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268E6">
      <w:pPr>
        <w:rPr>
          <w:rFonts w:eastAsia="黑体"/>
          <w:sz w:val="32"/>
          <w:szCs w:val="32"/>
        </w:rPr>
      </w:pPr>
      <w:r>
        <w:rPr>
          <w:rFonts w:cs="Microsoft JhengHei"/>
          <w:sz w:val="44"/>
          <w:szCs w:val="44"/>
        </w:rPr>
        <w:drawing>
          <wp:anchor distT="0" distB="0" distL="114300" distR="114300" simplePos="0" relativeHeight="251660288" behindDoc="0" locked="0" layoutInCell="1" allowOverlap="1">
            <wp:simplePos x="0" y="0"/>
            <wp:positionH relativeFrom="page">
              <wp:posOffset>4681855</wp:posOffset>
            </wp:positionH>
            <wp:positionV relativeFrom="page">
              <wp:posOffset>878205</wp:posOffset>
            </wp:positionV>
            <wp:extent cx="1720215" cy="800100"/>
            <wp:effectExtent l="0" t="0" r="13335" b="0"/>
            <wp:wrapNone/>
            <wp:docPr id="5"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说明: GD"/>
                    <pic:cNvPicPr>
                      <a:picLocks noChangeAspect="1"/>
                    </pic:cNvPicPr>
                  </pic:nvPicPr>
                  <pic:blipFill>
                    <a:blip r:embed="rId26"/>
                    <a:stretch>
                      <a:fillRect/>
                    </a:stretch>
                  </pic:blipFill>
                  <pic:spPr>
                    <a:xfrm>
                      <a:off x="0" y="0"/>
                      <a:ext cx="1720215" cy="800100"/>
                    </a:xfrm>
                    <a:prstGeom prst="rect">
                      <a:avLst/>
                    </a:prstGeom>
                    <a:noFill/>
                    <a:ln>
                      <a:noFill/>
                    </a:ln>
                  </pic:spPr>
                </pic:pic>
              </a:graphicData>
            </a:graphic>
          </wp:anchor>
        </w:drawing>
      </w:r>
    </w:p>
    <w:p w14:paraId="5FF8A85C">
      <w:pPr>
        <w:rPr>
          <w:rFonts w:eastAsia="MS Gothic"/>
          <w:b/>
          <w:sz w:val="84"/>
          <w:szCs w:val="84"/>
        </w:rPr>
      </w:pPr>
      <w:r>
        <w:rPr>
          <w:rFonts w:hint="eastAsia" w:eastAsia="黑体"/>
          <w:sz w:val="32"/>
          <w:szCs w:val="32"/>
        </w:rPr>
        <w:t xml:space="preserve">       </w:t>
      </w:r>
      <w:r>
        <w:rPr>
          <w:rFonts w:eastAsia="黑体"/>
          <w:spacing w:val="28"/>
          <w:sz w:val="48"/>
          <w:szCs w:val="48"/>
        </w:rPr>
        <w:t>广东省标准</w:t>
      </w:r>
      <w:r>
        <w:rPr>
          <w:rFonts w:eastAsia="黑体"/>
          <w:sz w:val="32"/>
          <w:szCs w:val="32"/>
        </w:rPr>
        <w:t xml:space="preserve">            </w:t>
      </w:r>
      <w:r>
        <w:rPr>
          <w:rFonts w:hint="eastAsia"/>
          <w:color w:val="000000"/>
          <w:sz w:val="52"/>
        </w:rPr>
        <w:t xml:space="preserve">   </w:t>
      </w:r>
    </w:p>
    <w:p w14:paraId="3AE79B8B">
      <w:pPr>
        <w:spacing w:line="400" w:lineRule="exact"/>
        <w:jc w:val="right"/>
        <w:rPr>
          <w:spacing w:val="17"/>
          <w:sz w:val="30"/>
          <w:szCs w:val="30"/>
        </w:rPr>
      </w:pPr>
      <w:r>
        <w:rPr>
          <w:spacing w:val="23"/>
          <w:sz w:val="30"/>
          <w:szCs w:val="30"/>
        </w:rPr>
        <w:t>DBJ 15-XX-</w:t>
      </w:r>
      <w:r>
        <w:rPr>
          <w:sz w:val="30"/>
          <w:szCs w:val="30"/>
        </w:rPr>
        <w:t>20</w:t>
      </w:r>
      <w:r>
        <w:rPr>
          <w:rFonts w:hint="eastAsia" w:ascii="黑体" w:hAnsi="黑体" w:eastAsia="黑体"/>
          <w:sz w:val="28"/>
          <w:szCs w:val="28"/>
        </w:rPr>
        <w:t>XX</w:t>
      </w:r>
    </w:p>
    <w:p w14:paraId="40729837">
      <w:pPr>
        <w:spacing w:line="400" w:lineRule="exact"/>
        <w:jc w:val="right"/>
        <w:rPr>
          <w:sz w:val="28"/>
          <w:szCs w:val="28"/>
        </w:rPr>
      </w:pPr>
      <w: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486400" cy="419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05pt;margin-top:28.3pt;height:3.3pt;width:432pt;z-index:251661312;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2xaSdQAAAAHAQAADwAAAAAAAAABACAAAAAiAAAAZHJzL2Rvd25yZXYueG1sUEsBAhQAFAAAAAgA&#10;h07iQM3fOV/wAQAAuAMAAA4AAAAAAAAAAQAgAAAAIwEAAGRycy9lMm9Eb2MueG1sUEsFBgAAAAAG&#10;AAYAWQEAAIUFAAAAAA==&#10;">
                <v:fill on="f" focussize="0,0"/>
                <v:stroke color="#000000" joinstyle="round"/>
                <v:imagedata o:title=""/>
                <o:lock v:ext="edit" aspectratio="f"/>
              </v:line>
            </w:pict>
          </mc:Fallback>
        </mc:AlternateContent>
      </w:r>
      <w:r>
        <w:rPr>
          <w:sz w:val="28"/>
          <w:szCs w:val="28"/>
        </w:rPr>
        <w:t xml:space="preserve">                                        </w:t>
      </w:r>
      <w:r>
        <w:rPr>
          <w:rFonts w:hint="eastAsia" w:ascii="黑体" w:hAnsi="黑体" w:eastAsia="黑体"/>
          <w:sz w:val="28"/>
          <w:szCs w:val="28"/>
        </w:rPr>
        <w:t>备案号 J XXXXX-20XX</w:t>
      </w:r>
    </w:p>
    <w:p w14:paraId="66727D20">
      <w:pPr>
        <w:pStyle w:val="28"/>
        <w:rPr>
          <w:rFonts w:ascii="Times New Roman"/>
          <w:spacing w:val="4"/>
          <w:sz w:val="28"/>
          <w:szCs w:val="22"/>
        </w:rPr>
      </w:pPr>
    </w:p>
    <w:p w14:paraId="05C5E52B">
      <w:pPr>
        <w:spacing w:line="400" w:lineRule="exact"/>
        <w:rPr>
          <w:sz w:val="28"/>
          <w:szCs w:val="28"/>
        </w:rPr>
      </w:pPr>
    </w:p>
    <w:p w14:paraId="60B9696B">
      <w:pPr>
        <w:outlineLvl w:val="0"/>
        <w:rPr>
          <w:rFonts w:hint="eastAsia" w:ascii="宋体" w:hAnsi="宋体"/>
          <w:b/>
          <w:sz w:val="48"/>
          <w:szCs w:val="48"/>
        </w:rPr>
      </w:pPr>
    </w:p>
    <w:p w14:paraId="4219D4E2">
      <w:pPr>
        <w:jc w:val="center"/>
        <w:rPr>
          <w:rFonts w:hint="eastAsia" w:ascii="宋体" w:hAnsi="宋体"/>
          <w:b/>
          <w:sz w:val="48"/>
          <w:szCs w:val="48"/>
        </w:rPr>
      </w:pPr>
      <w:r>
        <w:rPr>
          <w:rFonts w:hint="eastAsia" w:ascii="宋体" w:hAnsi="宋体"/>
          <w:b/>
          <w:sz w:val="48"/>
          <w:szCs w:val="48"/>
        </w:rPr>
        <w:t>建筑废弃物制备可控低强度材料应用</w:t>
      </w:r>
    </w:p>
    <w:p w14:paraId="2FB35E5B">
      <w:pPr>
        <w:jc w:val="center"/>
        <w:rPr>
          <w:rFonts w:hint="eastAsia" w:ascii="宋体" w:hAnsi="宋体"/>
          <w:b/>
          <w:sz w:val="48"/>
          <w:szCs w:val="48"/>
        </w:rPr>
      </w:pPr>
      <w:r>
        <w:rPr>
          <w:rFonts w:hint="eastAsia" w:ascii="宋体" w:hAnsi="宋体"/>
          <w:b/>
          <w:sz w:val="48"/>
          <w:szCs w:val="48"/>
        </w:rPr>
        <w:t>技术标准</w:t>
      </w:r>
    </w:p>
    <w:p w14:paraId="7808E03D">
      <w:pPr>
        <w:jc w:val="center"/>
        <w:rPr>
          <w:rFonts w:hint="eastAsia"/>
          <w:bCs/>
          <w:sz w:val="28"/>
          <w:szCs w:val="28"/>
        </w:rPr>
      </w:pPr>
      <w:r>
        <w:rPr>
          <w:rFonts w:hint="eastAsia"/>
          <w:bCs/>
          <w:sz w:val="28"/>
          <w:szCs w:val="28"/>
        </w:rPr>
        <w:t>Technical standard for application of controllable low</w:t>
      </w:r>
      <w:r>
        <w:rPr>
          <w:rFonts w:hint="eastAsia"/>
          <w:bCs/>
          <w:sz w:val="28"/>
          <w:szCs w:val="28"/>
          <w:lang w:val="en-US" w:eastAsia="zh-CN"/>
        </w:rPr>
        <w:t>-</w:t>
      </w:r>
      <w:r>
        <w:rPr>
          <w:rFonts w:hint="eastAsia"/>
          <w:bCs/>
          <w:sz w:val="28"/>
          <w:szCs w:val="28"/>
        </w:rPr>
        <w:t>strength materials prepared from construction wastes</w:t>
      </w:r>
    </w:p>
    <w:p w14:paraId="4D4371AF">
      <w:pPr>
        <w:jc w:val="center"/>
      </w:pPr>
      <w:r>
        <w:rPr>
          <w:b/>
          <w:color w:val="000000"/>
          <w:sz w:val="30"/>
          <w:szCs w:val="30"/>
        </w:rPr>
        <w:t>（</w:t>
      </w:r>
      <w:r>
        <w:rPr>
          <w:rFonts w:hint="eastAsia"/>
          <w:b/>
          <w:color w:val="000000"/>
          <w:sz w:val="30"/>
          <w:szCs w:val="30"/>
        </w:rPr>
        <w:t>征求意见稿</w:t>
      </w:r>
      <w:r>
        <w:rPr>
          <w:b/>
          <w:color w:val="000000"/>
          <w:sz w:val="30"/>
          <w:szCs w:val="30"/>
        </w:rPr>
        <w:t>）</w:t>
      </w:r>
    </w:p>
    <w:p w14:paraId="52BAB0B4"/>
    <w:p w14:paraId="46443BDD"/>
    <w:p w14:paraId="5FF11ABE"/>
    <w:p w14:paraId="2BE3F264"/>
    <w:p w14:paraId="4C2714B2"/>
    <w:p w14:paraId="4F9E2A3B"/>
    <w:p w14:paraId="21C9AA49"/>
    <w:p w14:paraId="6853509D"/>
    <w:p w14:paraId="6EC46BF6"/>
    <w:p w14:paraId="1C3A6E3F">
      <w:pPr>
        <w:rPr>
          <w:rFonts w:eastAsia="黑体"/>
          <w:sz w:val="28"/>
          <w:szCs w:val="28"/>
        </w:rPr>
      </w:pPr>
      <w:r>
        <w:rPr>
          <w:b/>
          <w:bCs/>
          <w:sz w:val="32"/>
        </w:rPr>
        <w:t xml:space="preserve">  </w:t>
      </w:r>
      <w:r>
        <w:rPr>
          <w:rFonts w:hint="eastAsia" w:eastAsia="黑体"/>
          <w:sz w:val="28"/>
          <w:szCs w:val="28"/>
        </w:rPr>
        <w:t>20XX-XX-XX</w:t>
      </w:r>
      <w:r>
        <w:rPr>
          <w:rFonts w:eastAsia="黑体"/>
          <w:sz w:val="28"/>
          <w:szCs w:val="28"/>
        </w:rPr>
        <w:t xml:space="preserve">  发布                   </w:t>
      </w:r>
      <w:r>
        <w:rPr>
          <w:rFonts w:hint="eastAsia" w:eastAsia="黑体"/>
          <w:sz w:val="28"/>
          <w:szCs w:val="28"/>
        </w:rPr>
        <w:t xml:space="preserve">20XX-XX-XX  </w:t>
      </w:r>
      <w:r>
        <w:rPr>
          <w:rFonts w:eastAsia="黑体"/>
          <w:sz w:val="28"/>
          <w:szCs w:val="28"/>
        </w:rPr>
        <w:t>实施</w:t>
      </w:r>
    </w:p>
    <w:p w14:paraId="0744A1A3">
      <w:pPr>
        <w:tabs>
          <w:tab w:val="left" w:pos="8235"/>
        </w:tabs>
        <w:rPr>
          <w:rFonts w:eastAsia="黑体"/>
          <w:b/>
          <w:sz w:val="28"/>
          <w:szCs w:val="28"/>
        </w:rPr>
      </w:pPr>
      <w:r>
        <w:rPr>
          <w:rFonts w:eastAsia="黑体"/>
          <w:b/>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6" name="直接连接符 6"/>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4pt;height:2.1pt;width:441pt;z-index:251659264;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T&#10;Siq+0gAAAAUBAAAPAAAAAAAAAAEAIAAAACIAAABkcnMvZG93bnJldi54bWxQSwECFAAUAAAACACH&#10;TuJAqZwggPEBAADcAwAADgAAAAAAAAABACAAAAAhAQAAZHJzL2Uyb0RvYy54bWxQSwUGAAAAAAYA&#10;BgBZAQAAhAUAAAAA&#10;">
                <v:fill on="f" focussize="0,0"/>
                <v:stroke color="#000000" joinstyle="round"/>
                <v:imagedata o:title=""/>
                <o:lock v:ext="edit" aspectratio="f"/>
              </v:line>
            </w:pict>
          </mc:Fallback>
        </mc:AlternateContent>
      </w:r>
      <w:r>
        <w:rPr>
          <w:rFonts w:eastAsia="黑体"/>
          <w:b/>
          <w:sz w:val="28"/>
          <w:szCs w:val="28"/>
        </w:rPr>
        <w:tab/>
      </w:r>
    </w:p>
    <w:p w14:paraId="65C8BDD3">
      <w:pPr>
        <w:jc w:val="center"/>
        <w:rPr>
          <w:rFonts w:eastAsia="黑体"/>
          <w:spacing w:val="20"/>
          <w:sz w:val="32"/>
          <w:szCs w:val="32"/>
        </w:rPr>
      </w:pPr>
      <w:r>
        <w:rPr>
          <w:rFonts w:eastAsia="黑体"/>
          <w:sz w:val="32"/>
          <w:szCs w:val="32"/>
        </w:rPr>
        <w:t>广东省住房和城乡建设厅</w:t>
      </w:r>
      <w:r>
        <w:rPr>
          <w:rFonts w:eastAsia="黑体"/>
          <w:spacing w:val="20"/>
          <w:sz w:val="28"/>
          <w:szCs w:val="28"/>
        </w:rPr>
        <w:t xml:space="preserve">  </w:t>
      </w:r>
      <w:r>
        <w:rPr>
          <w:rFonts w:eastAsia="黑体"/>
          <w:spacing w:val="20"/>
          <w:sz w:val="32"/>
          <w:szCs w:val="32"/>
        </w:rPr>
        <w:t>发布</w:t>
      </w:r>
    </w:p>
    <w:tbl>
      <w:tblPr>
        <w:tblStyle w:val="72"/>
        <w:tblpPr w:leftFromText="180" w:rightFromText="180" w:vertAnchor="text" w:horzAnchor="page" w:tblpX="8520" w:tblpY="4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tblGrid>
      <w:tr w14:paraId="35DB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20" w:type="dxa"/>
            <w:vAlign w:val="center"/>
          </w:tcPr>
          <w:p w14:paraId="28B8576F">
            <w:pPr>
              <w:jc w:val="center"/>
            </w:pPr>
            <w:r>
              <w:rPr>
                <w:rFonts w:hint="eastAsia"/>
              </w:rPr>
              <w:t>本标准不涉及专利</w:t>
            </w:r>
          </w:p>
        </w:tc>
      </w:tr>
    </w:tbl>
    <w:p w14:paraId="6418378F">
      <w:pPr>
        <w:rPr>
          <w:rFonts w:hint="eastAsia" w:ascii="仿宋_GB2312" w:hAnsi="仿宋_GB2312" w:eastAsia="仿宋_GB2312" w:cs="仿宋_GB2312"/>
          <w:sz w:val="32"/>
          <w:szCs w:val="32"/>
        </w:rPr>
        <w:sectPr>
          <w:headerReference r:id="rId4" w:type="first"/>
          <w:headerReference r:id="rId3" w:type="default"/>
          <w:footerReference r:id="rId5" w:type="even"/>
          <w:pgSz w:w="11905" w:h="16838"/>
          <w:pgMar w:top="1582" w:right="1440" w:bottom="1162" w:left="1582" w:header="0" w:footer="969" w:gutter="283"/>
          <w:cols w:space="0" w:num="1"/>
          <w:docGrid w:type="linesAndChars" w:linePitch="312" w:charSpace="0"/>
        </w:sectPr>
      </w:pPr>
    </w:p>
    <w:p w14:paraId="2E53F745">
      <w:pPr>
        <w:jc w:val="center"/>
        <w:rPr>
          <w:b/>
          <w:bCs/>
          <w:color w:val="000000"/>
          <w:sz w:val="36"/>
          <w:szCs w:val="36"/>
        </w:rPr>
      </w:pPr>
      <w:r>
        <w:rPr>
          <w:rFonts w:hint="eastAsia"/>
          <w:b/>
          <w:bCs/>
          <w:color w:val="000000"/>
          <w:sz w:val="36"/>
          <w:szCs w:val="36"/>
        </w:rPr>
        <w:t>前  言</w:t>
      </w:r>
    </w:p>
    <w:p w14:paraId="29F7F072">
      <w:pPr>
        <w:jc w:val="center"/>
        <w:rPr>
          <w:b/>
          <w:bCs/>
          <w:color w:val="000000"/>
          <w:sz w:val="32"/>
          <w:szCs w:val="32"/>
        </w:rPr>
      </w:pPr>
    </w:p>
    <w:p w14:paraId="10BFD587">
      <w:pPr>
        <w:adjustRightInd w:val="0"/>
        <w:snapToGrid w:val="0"/>
        <w:spacing w:before="93" w:beforeLines="30" w:after="93" w:afterLines="30" w:line="360" w:lineRule="auto"/>
        <w:ind w:firstLine="420" w:firstLineChars="200"/>
        <w:rPr>
          <w:color w:val="000000"/>
          <w:szCs w:val="21"/>
        </w:rPr>
      </w:pPr>
      <w:r>
        <w:rPr>
          <w:color w:val="000000"/>
          <w:szCs w:val="21"/>
        </w:rPr>
        <w:t>根据</w:t>
      </w:r>
      <w:r>
        <w:rPr>
          <w:rFonts w:hint="eastAsia"/>
          <w:color w:val="000000"/>
          <w:szCs w:val="21"/>
        </w:rPr>
        <w:t>《广东省市场监督管理局关于批准下达2023年第一批广东省地方标准制修订计划的通知》（粤市监标准〔2023〕211号）</w:t>
      </w:r>
      <w:r>
        <w:rPr>
          <w:color w:val="000000"/>
          <w:szCs w:val="21"/>
        </w:rPr>
        <w:t>的要求，</w:t>
      </w:r>
      <w:r>
        <w:rPr>
          <w:rFonts w:hint="eastAsia"/>
          <w:color w:val="000000"/>
          <w:szCs w:val="21"/>
        </w:rPr>
        <w:t>编制组经广泛调查研究，认真总结实践经验，参考国内外有关标准，结合广东省的实际，并在广泛征求意见的基础上，编制了本标准。</w:t>
      </w:r>
    </w:p>
    <w:p w14:paraId="758B930A">
      <w:pPr>
        <w:adjustRightInd w:val="0"/>
        <w:snapToGrid w:val="0"/>
        <w:spacing w:before="93" w:beforeLines="30" w:after="93" w:afterLines="30" w:line="360" w:lineRule="auto"/>
        <w:ind w:firstLine="420" w:firstLineChars="200"/>
        <w:rPr>
          <w:color w:val="000000"/>
          <w:szCs w:val="21"/>
        </w:rPr>
      </w:pPr>
      <w:r>
        <w:rPr>
          <w:rFonts w:hint="eastAsia"/>
          <w:color w:val="000000"/>
          <w:szCs w:val="21"/>
        </w:rPr>
        <w:t>本标准</w:t>
      </w:r>
      <w:r>
        <w:rPr>
          <w:color w:val="000000"/>
          <w:szCs w:val="21"/>
        </w:rPr>
        <w:t>的主要内容是：</w:t>
      </w:r>
      <w:r>
        <w:rPr>
          <w:rFonts w:hint="eastAsia"/>
          <w:color w:val="000000"/>
          <w:szCs w:val="21"/>
        </w:rPr>
        <w:t>1.</w:t>
      </w:r>
      <w:r>
        <w:rPr>
          <w:color w:val="000000"/>
          <w:szCs w:val="21"/>
        </w:rPr>
        <w:t>总则</w:t>
      </w:r>
      <w:r>
        <w:rPr>
          <w:rFonts w:hint="eastAsia"/>
          <w:color w:val="000000"/>
          <w:szCs w:val="21"/>
        </w:rPr>
        <w:t>；2.术语和符号；3.原材料；4.性能要求；5.配合比设计；6.生产运输与施工；7.质量检验与评定；8.实验室要求</w:t>
      </w:r>
      <w:r>
        <w:rPr>
          <w:color w:val="000000"/>
          <w:szCs w:val="21"/>
        </w:rPr>
        <w:t>。</w:t>
      </w:r>
    </w:p>
    <w:p w14:paraId="3A2748E6">
      <w:pPr>
        <w:adjustRightInd w:val="0"/>
        <w:snapToGrid w:val="0"/>
        <w:spacing w:before="93" w:beforeLines="30" w:after="93" w:afterLines="30" w:line="360" w:lineRule="auto"/>
        <w:ind w:firstLine="420" w:firstLineChars="200"/>
        <w:rPr>
          <w:color w:val="000000"/>
          <w:szCs w:val="21"/>
        </w:rPr>
      </w:pPr>
      <w:r>
        <w:rPr>
          <w:rFonts w:hint="eastAsia"/>
          <w:color w:val="000000"/>
          <w:szCs w:val="21"/>
        </w:rPr>
        <w:t>本标准</w:t>
      </w:r>
      <w:r>
        <w:rPr>
          <w:color w:val="000000"/>
          <w:szCs w:val="21"/>
        </w:rPr>
        <w:t>由广东省住房和城乡建设厅负责管理，</w:t>
      </w:r>
      <w:r>
        <w:rPr>
          <w:rFonts w:hint="eastAsia"/>
          <w:color w:val="000000"/>
          <w:szCs w:val="21"/>
        </w:rPr>
        <w:t>由主编单位</w:t>
      </w:r>
      <w:r>
        <w:rPr>
          <w:color w:val="000000"/>
          <w:szCs w:val="21"/>
        </w:rPr>
        <w:t>负责具体技术内容的解释。执行过程中如有意见或建议，请寄送</w:t>
      </w:r>
      <w:r>
        <w:rPr>
          <w:rFonts w:hint="eastAsia"/>
          <w:color w:val="000000"/>
          <w:szCs w:val="21"/>
        </w:rPr>
        <w:t>广东省建筑材料行业协会</w:t>
      </w:r>
      <w:r>
        <w:rPr>
          <w:color w:val="000000"/>
          <w:szCs w:val="21"/>
        </w:rPr>
        <w:t>（地址</w:t>
      </w:r>
      <w:r>
        <w:rPr>
          <w:szCs w:val="21"/>
        </w:rPr>
        <w:t>：</w:t>
      </w:r>
      <w:r>
        <w:rPr>
          <w:rFonts w:hint="eastAsia"/>
          <w:szCs w:val="21"/>
        </w:rPr>
        <w:t>广州市东风中路300号金安大厦副楼3701</w:t>
      </w:r>
      <w:r>
        <w:rPr>
          <w:szCs w:val="21"/>
        </w:rPr>
        <w:t>；</w:t>
      </w:r>
      <w:r>
        <w:rPr>
          <w:color w:val="000000"/>
          <w:szCs w:val="21"/>
        </w:rPr>
        <w:t>邮政编码：</w:t>
      </w:r>
      <w:r>
        <w:rPr>
          <w:rFonts w:hint="eastAsia"/>
          <w:color w:val="000000"/>
          <w:szCs w:val="21"/>
        </w:rPr>
        <w:t>510030</w:t>
      </w:r>
      <w:r>
        <w:rPr>
          <w:color w:val="000000"/>
          <w:szCs w:val="21"/>
        </w:rPr>
        <w:t>）。</w:t>
      </w:r>
    </w:p>
    <w:p w14:paraId="1793C442">
      <w:pPr>
        <w:adjustRightInd w:val="0"/>
        <w:snapToGrid w:val="0"/>
        <w:spacing w:before="93" w:beforeLines="30" w:after="93" w:afterLines="30" w:line="360" w:lineRule="auto"/>
        <w:ind w:firstLine="420" w:firstLineChars="200"/>
        <w:rPr>
          <w:color w:val="000000"/>
          <w:szCs w:val="21"/>
        </w:rPr>
      </w:pPr>
      <w:r>
        <w:rPr>
          <w:rFonts w:hint="eastAsia"/>
          <w:color w:val="000000"/>
          <w:szCs w:val="21"/>
        </w:rPr>
        <w:t>本标准主编单位：广东省建筑材料行业协会</w:t>
      </w:r>
    </w:p>
    <w:p w14:paraId="6A692562">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华南理工大学</w:t>
      </w:r>
    </w:p>
    <w:p w14:paraId="44CB2AEF">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广州市光达环保科技投资有限公司</w:t>
      </w:r>
    </w:p>
    <w:p w14:paraId="4C1B422C">
      <w:pPr>
        <w:adjustRightInd w:val="0"/>
        <w:snapToGrid w:val="0"/>
        <w:spacing w:before="93" w:beforeLines="30" w:after="93" w:afterLines="30" w:line="360" w:lineRule="auto"/>
        <w:ind w:firstLine="420" w:firstLineChars="200"/>
        <w:rPr>
          <w:color w:val="000000"/>
          <w:szCs w:val="21"/>
        </w:rPr>
      </w:pPr>
      <w:r>
        <w:rPr>
          <w:rFonts w:hint="eastAsia"/>
          <w:color w:val="000000"/>
          <w:szCs w:val="21"/>
        </w:rPr>
        <w:t>本标准参编单位：长大市政工程（广东）有限公司</w:t>
      </w:r>
    </w:p>
    <w:p w14:paraId="711D1DCF">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广州珠江建设发展有限公司</w:t>
      </w:r>
    </w:p>
    <w:p w14:paraId="595FAE5B">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广东省建科建筑设计院有限公司</w:t>
      </w:r>
    </w:p>
    <w:p w14:paraId="1FF87096">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广东建科创新技术研究院有限公司</w:t>
      </w:r>
    </w:p>
    <w:p w14:paraId="168FA5EA">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中建四局绿色建筑科技（广东）有限公司</w:t>
      </w:r>
    </w:p>
    <w:p w14:paraId="69E0BBE8">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广东新瑞龙生态建材有限公司</w:t>
      </w:r>
    </w:p>
    <w:p w14:paraId="1B6647E6">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如一建设发展（广东）有限公司</w:t>
      </w:r>
    </w:p>
    <w:p w14:paraId="035D6C03">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深圳港创智研复材科技有限公司</w:t>
      </w:r>
    </w:p>
    <w:p w14:paraId="3E86684C">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广东筠诚建筑科技有限公司</w:t>
      </w:r>
    </w:p>
    <w:p w14:paraId="5E134DD7">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中交四航工程研究院有限公司</w:t>
      </w:r>
    </w:p>
    <w:p w14:paraId="6C1D129F">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深圳建中路桥工程有限公司</w:t>
      </w:r>
    </w:p>
    <w:p w14:paraId="0FC81321">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广东万成建设集团有限公司</w:t>
      </w:r>
    </w:p>
    <w:p w14:paraId="34D0A3BA">
      <w:pPr>
        <w:adjustRightInd w:val="0"/>
        <w:snapToGrid w:val="0"/>
        <w:spacing w:before="93" w:beforeLines="30" w:after="93" w:afterLines="30" w:line="360" w:lineRule="auto"/>
        <w:ind w:firstLine="420" w:firstLineChars="200"/>
        <w:rPr>
          <w:color w:val="000000"/>
          <w:szCs w:val="21"/>
        </w:rPr>
      </w:pPr>
      <w:r>
        <w:rPr>
          <w:rFonts w:hint="eastAsia"/>
          <w:color w:val="000000"/>
          <w:szCs w:val="21"/>
        </w:rPr>
        <w:t>本标准主要起草人员：张同生  陈振广  吴正德  余其俊  韦江雄  杨东来</w:t>
      </w:r>
    </w:p>
    <w:p w14:paraId="6DB7057F">
      <w:pPr>
        <w:adjustRightInd w:val="0"/>
        <w:snapToGrid w:val="0"/>
        <w:spacing w:before="93" w:beforeLines="30" w:after="93" w:afterLines="30" w:line="360" w:lineRule="auto"/>
        <w:ind w:firstLine="2520" w:firstLineChars="1200"/>
        <w:rPr>
          <w:color w:val="000000"/>
          <w:szCs w:val="21"/>
        </w:rPr>
      </w:pPr>
      <w:r>
        <w:rPr>
          <w:rFonts w:hint="eastAsia"/>
          <w:color w:val="000000"/>
          <w:szCs w:val="21"/>
        </w:rPr>
        <w:t>陈泽健  曾思清  汪  伟  张顺先  吕世明  伊宝锋</w:t>
      </w:r>
    </w:p>
    <w:p w14:paraId="6AC313A5">
      <w:pPr>
        <w:adjustRightInd w:val="0"/>
        <w:snapToGrid w:val="0"/>
        <w:spacing w:before="93" w:beforeLines="30" w:after="93" w:afterLines="30" w:line="360" w:lineRule="auto"/>
        <w:ind w:firstLine="420" w:firstLineChars="200"/>
        <w:rPr>
          <w:color w:val="000000"/>
          <w:szCs w:val="21"/>
        </w:rPr>
      </w:pPr>
    </w:p>
    <w:p w14:paraId="63004CB8">
      <w:pPr>
        <w:adjustRightInd w:val="0"/>
        <w:snapToGrid w:val="0"/>
        <w:spacing w:before="93" w:beforeLines="30" w:after="93" w:afterLines="30" w:line="360" w:lineRule="auto"/>
        <w:ind w:firstLine="2520" w:firstLineChars="1200"/>
        <w:rPr>
          <w:color w:val="000000"/>
          <w:szCs w:val="21"/>
        </w:rPr>
      </w:pPr>
      <w:r>
        <w:rPr>
          <w:rFonts w:hint="eastAsia"/>
          <w:color w:val="000000"/>
          <w:szCs w:val="21"/>
        </w:rPr>
        <w:t>温喜廉  徐其功  郑  昊  刘远亮  李  诚  罗  智</w:t>
      </w:r>
    </w:p>
    <w:p w14:paraId="29B9B217">
      <w:pPr>
        <w:adjustRightInd w:val="0"/>
        <w:snapToGrid w:val="0"/>
        <w:spacing w:before="93" w:beforeLines="30" w:after="93" w:afterLines="30" w:line="360" w:lineRule="auto"/>
        <w:ind w:firstLine="2520" w:firstLineChars="1200"/>
        <w:rPr>
          <w:color w:val="000000"/>
          <w:szCs w:val="21"/>
        </w:rPr>
      </w:pPr>
      <w:r>
        <w:rPr>
          <w:rFonts w:hint="eastAsia"/>
          <w:color w:val="000000"/>
          <w:szCs w:val="21"/>
        </w:rPr>
        <w:t xml:space="preserve">蒋克柱  孙  勇  李思浓  庄秋坤  林金明  王  凯 </w:t>
      </w:r>
    </w:p>
    <w:p w14:paraId="34675F37">
      <w:pPr>
        <w:adjustRightInd w:val="0"/>
        <w:snapToGrid w:val="0"/>
        <w:spacing w:before="93" w:beforeLines="30" w:after="93" w:afterLines="30" w:line="360" w:lineRule="auto"/>
        <w:ind w:firstLine="2520" w:firstLineChars="1200"/>
        <w:rPr>
          <w:color w:val="000000"/>
          <w:szCs w:val="21"/>
        </w:rPr>
      </w:pPr>
      <w:r>
        <w:rPr>
          <w:rFonts w:hint="eastAsia"/>
          <w:color w:val="000000"/>
          <w:szCs w:val="21"/>
        </w:rPr>
        <w:t xml:space="preserve">马孟超  朱东烽  杭世杰  范志宏  陈灿峰  罗计成 </w:t>
      </w:r>
    </w:p>
    <w:p w14:paraId="1AD47CA5">
      <w:pPr>
        <w:adjustRightInd w:val="0"/>
        <w:snapToGrid w:val="0"/>
        <w:spacing w:before="93" w:beforeLines="30" w:after="93" w:afterLines="30" w:line="360" w:lineRule="auto"/>
        <w:ind w:firstLine="2520" w:firstLineChars="1200"/>
        <w:rPr>
          <w:color w:val="000000"/>
          <w:szCs w:val="21"/>
        </w:rPr>
      </w:pPr>
      <w:r>
        <w:rPr>
          <w:rFonts w:hint="eastAsia"/>
          <w:color w:val="000000"/>
          <w:szCs w:val="21"/>
        </w:rPr>
        <w:t>郭海志  潘  辉  黄翠娴</w:t>
      </w:r>
    </w:p>
    <w:p w14:paraId="67D1AF75">
      <w:pPr>
        <w:ind w:firstLine="420" w:firstLineChars="200"/>
        <w:rPr>
          <w:color w:val="000000"/>
          <w:szCs w:val="21"/>
        </w:rPr>
        <w:sectPr>
          <w:headerReference r:id="rId7" w:type="first"/>
          <w:footerReference r:id="rId9" w:type="first"/>
          <w:headerReference r:id="rId6" w:type="default"/>
          <w:footerReference r:id="rId8" w:type="default"/>
          <w:pgSz w:w="11905" w:h="16838"/>
          <w:pgMar w:top="1582" w:right="1440" w:bottom="1162" w:left="1582" w:header="0" w:footer="969" w:gutter="283"/>
          <w:pgNumType w:start="1"/>
          <w:cols w:space="0" w:num="1"/>
          <w:titlePg/>
          <w:docGrid w:type="linesAndChars" w:linePitch="312" w:charSpace="0"/>
        </w:sectPr>
      </w:pPr>
      <w:r>
        <w:rPr>
          <w:rFonts w:hint="eastAsia"/>
          <w:color w:val="000000"/>
          <w:szCs w:val="21"/>
        </w:rPr>
        <w:t>本标准主要审查人员：</w:t>
      </w:r>
    </w:p>
    <w:p w14:paraId="5F69C0F0">
      <w:pPr>
        <w:spacing w:line="400" w:lineRule="exact"/>
        <w:jc w:val="center"/>
        <w:rPr>
          <w:sz w:val="28"/>
          <w:szCs w:val="28"/>
        </w:rPr>
      </w:pPr>
      <w:r>
        <w:rPr>
          <w:sz w:val="28"/>
          <w:szCs w:val="28"/>
        </w:rPr>
        <w:t>目 次</w:t>
      </w:r>
    </w:p>
    <w:p w14:paraId="6231BAF9">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TOC \o "1-3" \h \z \u </w:instrText>
      </w:r>
      <w:r>
        <w:rPr>
          <w:rFonts w:hint="eastAsia" w:ascii="微软雅黑" w:hAnsi="微软雅黑" w:eastAsia="微软雅黑" w:cs="微软雅黑"/>
          <w:b w:val="0"/>
          <w:bCs w:val="0"/>
          <w:sz w:val="21"/>
          <w:szCs w:val="21"/>
        </w:rPr>
        <w:fldChar w:fldCharType="separate"/>
      </w:r>
      <w:r>
        <w:fldChar w:fldCharType="begin"/>
      </w:r>
      <w:r>
        <w:instrText xml:space="preserve"> HYPERLINK \l "_Toc25949" </w:instrText>
      </w:r>
      <w:r>
        <w:fldChar w:fldCharType="separate"/>
      </w:r>
      <w:r>
        <w:rPr>
          <w:rFonts w:ascii="微软雅黑" w:hAnsi="微软雅黑" w:eastAsia="微软雅黑" w:cs="微软雅黑"/>
          <w:b w:val="0"/>
          <w:bCs w:val="0"/>
          <w:sz w:val="21"/>
          <w:szCs w:val="21"/>
        </w:rPr>
        <w:t xml:space="preserve">1. </w:t>
      </w:r>
      <w:r>
        <w:rPr>
          <w:rFonts w:hint="eastAsia" w:ascii="微软雅黑" w:hAnsi="微软雅黑" w:eastAsia="微软雅黑" w:cs="微软雅黑"/>
          <w:b w:val="0"/>
          <w:bCs w:val="0"/>
          <w:sz w:val="21"/>
          <w:szCs w:val="21"/>
        </w:rPr>
        <w:t>总  则</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_Toc25949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1</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51DBBA21">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"_Toc28458" </w:instrText>
      </w:r>
      <w:r>
        <w:fldChar w:fldCharType="separate"/>
      </w:r>
      <w:r>
        <w:rPr>
          <w:rFonts w:ascii="微软雅黑" w:hAnsi="微软雅黑" w:eastAsia="微软雅黑" w:cs="微软雅黑"/>
          <w:b w:val="0"/>
          <w:bCs w:val="0"/>
          <w:kern w:val="44"/>
          <w:sz w:val="21"/>
          <w:szCs w:val="21"/>
        </w:rPr>
        <w:t xml:space="preserve">2. </w:t>
      </w:r>
      <w:r>
        <w:rPr>
          <w:rFonts w:hint="eastAsia" w:ascii="微软雅黑" w:hAnsi="微软雅黑" w:eastAsia="微软雅黑" w:cs="微软雅黑"/>
          <w:b w:val="0"/>
          <w:bCs w:val="0"/>
          <w:kern w:val="44"/>
          <w:sz w:val="21"/>
          <w:szCs w:val="21"/>
        </w:rPr>
        <w:t>术语和符号</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_Toc28458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3</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3A9FC819">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"_Toc29798" </w:instrText>
      </w:r>
      <w:r>
        <w:fldChar w:fldCharType="separate"/>
      </w:r>
      <w:r>
        <w:rPr>
          <w:rFonts w:hint="eastAsia" w:ascii="微软雅黑" w:hAnsi="微软雅黑" w:eastAsia="微软雅黑" w:cs="微软雅黑"/>
          <w:sz w:val="21"/>
          <w:szCs w:val="21"/>
        </w:rPr>
        <w:t xml:space="preserve">2.1 </w:t>
      </w:r>
      <w:r>
        <w:rPr>
          <w:rFonts w:hint="eastAsia" w:ascii="微软雅黑" w:hAnsi="微软雅黑" w:eastAsia="微软雅黑" w:cs="微软雅黑"/>
          <w:kern w:val="0"/>
          <w:sz w:val="21"/>
          <w:szCs w:val="21"/>
          <w:lang w:bidi="ar"/>
        </w:rPr>
        <w:t>术语</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_Toc29798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3</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07B9B8B1">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"_Toc9412" </w:instrText>
      </w:r>
      <w:r>
        <w:fldChar w:fldCharType="separate"/>
      </w:r>
      <w:r>
        <w:rPr>
          <w:rFonts w:hint="eastAsia" w:ascii="微软雅黑" w:hAnsi="微软雅黑" w:eastAsia="微软雅黑" w:cs="微软雅黑"/>
          <w:kern w:val="0"/>
          <w:sz w:val="21"/>
          <w:szCs w:val="21"/>
          <w:lang w:bidi="ar"/>
        </w:rPr>
        <w:t>2.2 符号</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_Toc9412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5</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4D795B84">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"_Toc15749" </w:instrText>
      </w:r>
      <w:r>
        <w:fldChar w:fldCharType="separate"/>
      </w:r>
      <w:r>
        <w:rPr>
          <w:rFonts w:ascii="微软雅黑" w:hAnsi="微软雅黑" w:eastAsia="微软雅黑" w:cs="微软雅黑"/>
          <w:b w:val="0"/>
          <w:bCs w:val="0"/>
          <w:kern w:val="44"/>
          <w:sz w:val="21"/>
          <w:szCs w:val="21"/>
        </w:rPr>
        <w:t xml:space="preserve">3. </w:t>
      </w:r>
      <w:r>
        <w:rPr>
          <w:rFonts w:hint="eastAsia" w:ascii="微软雅黑" w:hAnsi="微软雅黑" w:eastAsia="微软雅黑" w:cs="微软雅黑"/>
          <w:b w:val="0"/>
          <w:bCs w:val="0"/>
          <w:kern w:val="44"/>
          <w:sz w:val="21"/>
          <w:szCs w:val="21"/>
        </w:rPr>
        <w:t>原材料</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_Toc15749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6</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3EB9EFE0">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"_Toc883" </w:instrText>
      </w:r>
      <w:r>
        <w:fldChar w:fldCharType="separate"/>
      </w:r>
      <w:r>
        <w:rPr>
          <w:rFonts w:hint="eastAsia" w:ascii="微软雅黑" w:hAnsi="微软雅黑" w:eastAsia="微软雅黑" w:cs="微软雅黑"/>
          <w:kern w:val="0"/>
          <w:sz w:val="21"/>
          <w:szCs w:val="21"/>
          <w:lang w:bidi="ar"/>
        </w:rPr>
        <w:t>3.1 胶凝材料</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_Toc883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6</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1D833107">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"_Toc7878" </w:instrText>
      </w:r>
      <w:r>
        <w:fldChar w:fldCharType="separate"/>
      </w:r>
      <w:r>
        <w:rPr>
          <w:rFonts w:hint="eastAsia" w:ascii="微软雅黑" w:hAnsi="微软雅黑" w:eastAsia="微软雅黑" w:cs="微软雅黑"/>
          <w:sz w:val="21"/>
          <w:szCs w:val="21"/>
        </w:rPr>
        <w:t xml:space="preserve">3.2 </w:t>
      </w:r>
      <w:r>
        <w:rPr>
          <w:rFonts w:hint="eastAsia" w:ascii="微软雅黑" w:hAnsi="微软雅黑" w:eastAsia="微软雅黑" w:cs="微软雅黑"/>
          <w:kern w:val="0"/>
          <w:sz w:val="21"/>
          <w:szCs w:val="21"/>
          <w:lang w:bidi="ar"/>
        </w:rPr>
        <w:t>细骨料</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_Toc7878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6</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18A8FEC8">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"_Toc11262" </w:instrText>
      </w:r>
      <w:r>
        <w:fldChar w:fldCharType="separate"/>
      </w:r>
      <w:r>
        <w:rPr>
          <w:rFonts w:hint="eastAsia" w:ascii="微软雅黑" w:hAnsi="微软雅黑" w:eastAsia="微软雅黑" w:cs="微软雅黑"/>
          <w:kern w:val="0"/>
          <w:sz w:val="21"/>
          <w:szCs w:val="21"/>
          <w:lang w:bidi="ar"/>
        </w:rPr>
        <w:t>3.3 拌合用水</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_Toc11262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7</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5D0D5EEE">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"_Toc28123" </w:instrText>
      </w:r>
      <w:r>
        <w:fldChar w:fldCharType="separate"/>
      </w:r>
      <w:r>
        <w:rPr>
          <w:rFonts w:hint="eastAsia" w:ascii="微软雅黑" w:hAnsi="微软雅黑" w:eastAsia="微软雅黑" w:cs="微软雅黑"/>
          <w:kern w:val="0"/>
          <w:sz w:val="21"/>
          <w:szCs w:val="21"/>
          <w:lang w:bidi="ar"/>
        </w:rPr>
        <w:t>3.4 外加剂</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_Toc28123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7</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65CBB05C">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"_Toc11485" </w:instrText>
      </w:r>
      <w:r>
        <w:fldChar w:fldCharType="separate"/>
      </w:r>
      <w:r>
        <w:rPr>
          <w:rFonts w:ascii="微软雅黑" w:hAnsi="微软雅黑" w:eastAsia="微软雅黑" w:cs="微软雅黑"/>
          <w:b w:val="0"/>
          <w:bCs w:val="0"/>
          <w:kern w:val="44"/>
          <w:sz w:val="21"/>
          <w:szCs w:val="21"/>
        </w:rPr>
        <w:t xml:space="preserve">4. </w:t>
      </w:r>
      <w:r>
        <w:rPr>
          <w:rFonts w:hint="eastAsia" w:ascii="微软雅黑" w:hAnsi="微软雅黑" w:eastAsia="微软雅黑" w:cs="微软雅黑"/>
          <w:b w:val="0"/>
          <w:bCs w:val="0"/>
          <w:kern w:val="44"/>
          <w:sz w:val="21"/>
          <w:szCs w:val="21"/>
        </w:rPr>
        <w:t>性能要求</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_Toc11485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8</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4695D10F">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"_Toc24241" </w:instrText>
      </w:r>
      <w:r>
        <w:fldChar w:fldCharType="separate"/>
      </w:r>
      <w:r>
        <w:rPr>
          <w:rFonts w:hint="eastAsia" w:ascii="微软雅黑" w:hAnsi="微软雅黑" w:eastAsia="微软雅黑" w:cs="微软雅黑"/>
          <w:sz w:val="21"/>
          <w:szCs w:val="21"/>
        </w:rPr>
        <w:t xml:space="preserve">4.1 </w:t>
      </w:r>
      <w:r>
        <w:rPr>
          <w:rFonts w:hint="eastAsia" w:ascii="微软雅黑" w:hAnsi="微软雅黑" w:eastAsia="微软雅黑" w:cs="微软雅黑"/>
          <w:kern w:val="0"/>
          <w:sz w:val="21"/>
          <w:szCs w:val="21"/>
          <w:lang w:bidi="ar"/>
        </w:rPr>
        <w:t>低强度充填材料拌合物性能要求</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_Toc24241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8</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6538EB27">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"_Toc31988" </w:instrText>
      </w:r>
      <w:r>
        <w:fldChar w:fldCharType="separate"/>
      </w:r>
      <w:r>
        <w:rPr>
          <w:rFonts w:hint="eastAsia" w:ascii="微软雅黑" w:hAnsi="微软雅黑" w:eastAsia="微软雅黑" w:cs="微软雅黑"/>
          <w:kern w:val="0"/>
          <w:sz w:val="21"/>
          <w:szCs w:val="21"/>
          <w:lang w:bidi="ar"/>
        </w:rPr>
        <w:t>4.2 低强度充填材料硬化性能要求</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_Toc31988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9</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26D3F720">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"_Toc12254" </w:instrText>
      </w:r>
      <w:r>
        <w:fldChar w:fldCharType="separate"/>
      </w:r>
      <w:r>
        <w:rPr>
          <w:rFonts w:ascii="微软雅黑" w:hAnsi="微软雅黑" w:eastAsia="微软雅黑" w:cs="微软雅黑"/>
          <w:b w:val="0"/>
          <w:bCs w:val="0"/>
          <w:kern w:val="44"/>
          <w:sz w:val="21"/>
          <w:szCs w:val="21"/>
        </w:rPr>
        <w:t xml:space="preserve">5. </w:t>
      </w:r>
      <w:r>
        <w:rPr>
          <w:rFonts w:hint="eastAsia" w:ascii="微软雅黑" w:hAnsi="微软雅黑" w:eastAsia="微软雅黑" w:cs="微软雅黑"/>
          <w:b w:val="0"/>
          <w:bCs w:val="0"/>
          <w:kern w:val="44"/>
          <w:sz w:val="21"/>
          <w:szCs w:val="21"/>
        </w:rPr>
        <w:t>配合比设计</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_Toc12254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11</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2BF31AA9">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"_Toc30049" </w:instrText>
      </w:r>
      <w:r>
        <w:fldChar w:fldCharType="separate"/>
      </w:r>
      <w:r>
        <w:rPr>
          <w:rFonts w:hint="eastAsia" w:ascii="微软雅黑" w:hAnsi="微软雅黑" w:eastAsia="微软雅黑" w:cs="微软雅黑"/>
          <w:kern w:val="0"/>
          <w:sz w:val="21"/>
          <w:szCs w:val="21"/>
          <w:lang w:bidi="ar"/>
        </w:rPr>
        <w:t>5.1 一般规定</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_Toc30049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11</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1C816A2E">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"_Toc21525" </w:instrText>
      </w:r>
      <w:r>
        <w:fldChar w:fldCharType="separate"/>
      </w:r>
      <w:r>
        <w:rPr>
          <w:rFonts w:hint="eastAsia" w:ascii="微软雅黑" w:hAnsi="微软雅黑" w:eastAsia="微软雅黑" w:cs="微软雅黑"/>
          <w:kern w:val="0"/>
          <w:sz w:val="21"/>
          <w:szCs w:val="21"/>
          <w:lang w:bidi="ar"/>
        </w:rPr>
        <w:t>5.2 配合比设计与计算</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_Toc21525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12</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14E7483D">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"_Toc8434" </w:instrText>
      </w:r>
      <w:r>
        <w:fldChar w:fldCharType="separate"/>
      </w:r>
      <w:r>
        <w:rPr>
          <w:rFonts w:hint="eastAsia" w:ascii="微软雅黑" w:hAnsi="微软雅黑" w:eastAsia="微软雅黑" w:cs="微软雅黑"/>
          <w:kern w:val="0"/>
          <w:sz w:val="21"/>
          <w:szCs w:val="21"/>
          <w:lang w:bidi="ar"/>
        </w:rPr>
        <w:t>5.3 试配与调整</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_Toc8434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14</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5E094848">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"_Toc17119" </w:instrText>
      </w:r>
      <w:r>
        <w:fldChar w:fldCharType="separate"/>
      </w:r>
      <w:r>
        <w:rPr>
          <w:rFonts w:ascii="微软雅黑" w:hAnsi="微软雅黑" w:eastAsia="微软雅黑" w:cs="微软雅黑"/>
          <w:b w:val="0"/>
          <w:bCs w:val="0"/>
          <w:kern w:val="44"/>
          <w:sz w:val="21"/>
          <w:szCs w:val="21"/>
        </w:rPr>
        <w:t xml:space="preserve">6. </w:t>
      </w:r>
      <w:r>
        <w:rPr>
          <w:rFonts w:hint="eastAsia" w:ascii="微软雅黑" w:hAnsi="微软雅黑" w:eastAsia="微软雅黑" w:cs="微软雅黑"/>
          <w:b w:val="0"/>
          <w:bCs w:val="0"/>
          <w:kern w:val="44"/>
          <w:sz w:val="21"/>
          <w:szCs w:val="21"/>
        </w:rPr>
        <w:t>生产运输与施工</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_Toc17119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15</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28BBFA2E">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"_Toc27078" </w:instrText>
      </w:r>
      <w:r>
        <w:fldChar w:fldCharType="separate"/>
      </w:r>
      <w:r>
        <w:rPr>
          <w:rFonts w:hint="eastAsia" w:ascii="微软雅黑" w:hAnsi="微软雅黑" w:eastAsia="微软雅黑" w:cs="微软雅黑"/>
          <w:kern w:val="0"/>
          <w:sz w:val="21"/>
          <w:szCs w:val="21"/>
          <w:lang w:bidi="ar"/>
        </w:rPr>
        <w:t>6.1 一般规定</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_Toc27078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15</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7FEC166E">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"_Toc27658" </w:instrText>
      </w:r>
      <w:r>
        <w:fldChar w:fldCharType="separate"/>
      </w:r>
      <w:r>
        <w:rPr>
          <w:rFonts w:hint="eastAsia" w:ascii="微软雅黑" w:hAnsi="微软雅黑" w:eastAsia="微软雅黑" w:cs="微软雅黑"/>
          <w:sz w:val="21"/>
          <w:szCs w:val="21"/>
        </w:rPr>
        <w:t xml:space="preserve">6.2 </w:t>
      </w:r>
      <w:r>
        <w:rPr>
          <w:rFonts w:hint="eastAsia" w:ascii="微软雅黑" w:hAnsi="微软雅黑" w:eastAsia="微软雅黑" w:cs="微软雅黑"/>
          <w:kern w:val="0"/>
          <w:sz w:val="21"/>
          <w:szCs w:val="21"/>
          <w:lang w:bidi="ar"/>
        </w:rPr>
        <w:t>原材料贮存</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_Toc27658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15</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768A5784">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"_Toc12395" </w:instrText>
      </w:r>
      <w:r>
        <w:fldChar w:fldCharType="separate"/>
      </w:r>
      <w:r>
        <w:rPr>
          <w:rFonts w:hint="eastAsia" w:ascii="微软雅黑" w:hAnsi="微软雅黑" w:eastAsia="微软雅黑" w:cs="微软雅黑"/>
          <w:kern w:val="0"/>
          <w:sz w:val="21"/>
          <w:szCs w:val="21"/>
          <w:lang w:bidi="ar"/>
        </w:rPr>
        <w:t>6.3 计量与搅拌</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_Toc12395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16</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362B5D9D">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"_Toc9264" </w:instrText>
      </w:r>
      <w:r>
        <w:fldChar w:fldCharType="separate"/>
      </w:r>
      <w:r>
        <w:rPr>
          <w:rFonts w:hint="eastAsia" w:ascii="微软雅黑" w:hAnsi="微软雅黑" w:eastAsia="微软雅黑" w:cs="微软雅黑"/>
          <w:sz w:val="21"/>
          <w:szCs w:val="21"/>
        </w:rPr>
        <w:t xml:space="preserve">6.4 </w:t>
      </w:r>
      <w:r>
        <w:rPr>
          <w:rFonts w:hint="eastAsia" w:ascii="微软雅黑" w:hAnsi="微软雅黑" w:eastAsia="微软雅黑" w:cs="微软雅黑"/>
          <w:kern w:val="0"/>
          <w:sz w:val="21"/>
          <w:szCs w:val="21"/>
          <w:lang w:bidi="ar"/>
        </w:rPr>
        <w:t>运输</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_Toc9264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16</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3A0AE7AC">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"_Toc1285" </w:instrText>
      </w:r>
      <w:r>
        <w:fldChar w:fldCharType="separate"/>
      </w:r>
      <w:r>
        <w:rPr>
          <w:rFonts w:hint="eastAsia" w:ascii="微软雅黑" w:hAnsi="微软雅黑" w:eastAsia="微软雅黑" w:cs="微软雅黑"/>
          <w:kern w:val="0"/>
          <w:sz w:val="21"/>
          <w:szCs w:val="21"/>
          <w:lang w:bidi="ar"/>
        </w:rPr>
        <w:t>6.5 浇筑与养护</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_Toc1285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17</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4C6B8AEC">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"_Toc12550" </w:instrText>
      </w:r>
      <w:r>
        <w:fldChar w:fldCharType="separate"/>
      </w:r>
      <w:r>
        <w:rPr>
          <w:rFonts w:ascii="微软雅黑" w:hAnsi="微软雅黑" w:eastAsia="微软雅黑" w:cs="微软雅黑"/>
          <w:b w:val="0"/>
          <w:bCs w:val="0"/>
          <w:kern w:val="44"/>
          <w:sz w:val="21"/>
          <w:szCs w:val="21"/>
        </w:rPr>
        <w:t xml:space="preserve">7. </w:t>
      </w:r>
      <w:r>
        <w:rPr>
          <w:rFonts w:hint="eastAsia" w:ascii="微软雅黑" w:hAnsi="微软雅黑" w:eastAsia="微软雅黑" w:cs="微软雅黑"/>
          <w:b w:val="0"/>
          <w:bCs w:val="0"/>
          <w:kern w:val="44"/>
          <w:sz w:val="21"/>
          <w:szCs w:val="21"/>
        </w:rPr>
        <w:t>质量检验与评定</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_Toc12550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18</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6DEB65B2">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"_Toc3161" </w:instrText>
      </w:r>
      <w:r>
        <w:fldChar w:fldCharType="separate"/>
      </w:r>
      <w:r>
        <w:rPr>
          <w:rFonts w:hint="eastAsia" w:ascii="微软雅黑" w:hAnsi="微软雅黑" w:eastAsia="微软雅黑" w:cs="微软雅黑"/>
          <w:sz w:val="21"/>
          <w:szCs w:val="21"/>
        </w:rPr>
        <w:t xml:space="preserve">7.1 </w:t>
      </w:r>
      <w:r>
        <w:rPr>
          <w:rFonts w:hint="eastAsia" w:ascii="微软雅黑" w:hAnsi="微软雅黑" w:eastAsia="微软雅黑" w:cs="微软雅黑"/>
          <w:kern w:val="0"/>
          <w:sz w:val="21"/>
          <w:szCs w:val="21"/>
          <w:lang w:bidi="ar"/>
        </w:rPr>
        <w:t>低强度充填材料拌合物性能检验</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_Toc3161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18</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182EE715">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"_Toc29677" </w:instrText>
      </w:r>
      <w:r>
        <w:fldChar w:fldCharType="separate"/>
      </w:r>
      <w:r>
        <w:rPr>
          <w:rFonts w:hint="eastAsia" w:ascii="微软雅黑" w:hAnsi="微软雅黑" w:eastAsia="微软雅黑" w:cs="微软雅黑"/>
          <w:kern w:val="0"/>
          <w:sz w:val="21"/>
          <w:szCs w:val="21"/>
          <w:lang w:bidi="ar"/>
        </w:rPr>
        <w:t>7.2 低强度充填材料硬化性能检验</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_Toc29677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18</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1C4F6ED3">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"_Toc31873" </w:instrText>
      </w:r>
      <w:r>
        <w:fldChar w:fldCharType="separate"/>
      </w:r>
      <w:r>
        <w:rPr>
          <w:rFonts w:hint="eastAsia" w:ascii="微软雅黑" w:hAnsi="微软雅黑" w:eastAsia="微软雅黑" w:cs="微软雅黑"/>
          <w:kern w:val="0"/>
          <w:sz w:val="21"/>
          <w:szCs w:val="21"/>
          <w:lang w:bidi="ar"/>
        </w:rPr>
        <w:t>7.3 低强度充填材料质量评定</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_Toc31873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18</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1A199F76">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"_Toc6439" </w:instrText>
      </w:r>
      <w:r>
        <w:fldChar w:fldCharType="separate"/>
      </w:r>
      <w:r>
        <w:rPr>
          <w:rFonts w:ascii="微软雅黑" w:hAnsi="微软雅黑" w:eastAsia="微软雅黑" w:cs="微软雅黑"/>
          <w:b w:val="0"/>
          <w:bCs w:val="0"/>
          <w:kern w:val="44"/>
          <w:sz w:val="21"/>
          <w:szCs w:val="21"/>
        </w:rPr>
        <w:t xml:space="preserve">8. </w:t>
      </w:r>
      <w:r>
        <w:rPr>
          <w:rFonts w:hint="eastAsia" w:ascii="微软雅黑" w:hAnsi="微软雅黑" w:eastAsia="微软雅黑" w:cs="微软雅黑"/>
          <w:b w:val="0"/>
          <w:bCs w:val="0"/>
          <w:kern w:val="44"/>
          <w:sz w:val="21"/>
          <w:szCs w:val="21"/>
        </w:rPr>
        <w:t>实验室要求</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_Toc6439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20</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3D680AAF">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"_Toc11523" </w:instrText>
      </w:r>
      <w:r>
        <w:fldChar w:fldCharType="separate"/>
      </w:r>
      <w:r>
        <w:rPr>
          <w:rFonts w:hint="eastAsia" w:ascii="微软雅黑" w:hAnsi="微软雅黑" w:eastAsia="微软雅黑" w:cs="微软雅黑"/>
          <w:b w:val="0"/>
          <w:bCs w:val="0"/>
          <w:kern w:val="44"/>
          <w:sz w:val="21"/>
          <w:szCs w:val="21"/>
        </w:rPr>
        <w:t>附录A 低强度充填材料拌合物流动度的标准试验方法</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_Toc11523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22</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1C8DA0A6">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"_Toc1011" </w:instrText>
      </w:r>
      <w:r>
        <w:fldChar w:fldCharType="separate"/>
      </w:r>
      <w:r>
        <w:rPr>
          <w:rFonts w:hint="eastAsia" w:ascii="微软雅黑" w:hAnsi="微软雅黑" w:eastAsia="微软雅黑" w:cs="微软雅黑"/>
          <w:b w:val="0"/>
          <w:bCs w:val="0"/>
          <w:kern w:val="44"/>
          <w:sz w:val="21"/>
          <w:szCs w:val="21"/>
        </w:rPr>
        <w:t>附录B 低强度充填材料拌合物泌水率的标准试验方法</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_Toc1011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23</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329D8D76">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"_Toc21462" </w:instrText>
      </w:r>
      <w:r>
        <w:fldChar w:fldCharType="separate"/>
      </w:r>
      <w:r>
        <w:rPr>
          <w:rFonts w:hint="eastAsia" w:ascii="微软雅黑" w:hAnsi="微软雅黑" w:eastAsia="微软雅黑" w:cs="微软雅黑"/>
          <w:b w:val="0"/>
          <w:bCs w:val="0"/>
          <w:kern w:val="44"/>
          <w:sz w:val="21"/>
          <w:szCs w:val="21"/>
        </w:rPr>
        <w:t>附录C 低强度充填材料拌合物落球凝结时间的标准试验方法</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_Toc21462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24</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18A3978F">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"_Toc20115" </w:instrText>
      </w:r>
      <w:r>
        <w:fldChar w:fldCharType="separate"/>
      </w:r>
      <w:r>
        <w:rPr>
          <w:rFonts w:hint="eastAsia" w:ascii="微软雅黑" w:hAnsi="微软雅黑" w:eastAsia="微软雅黑" w:cs="微软雅黑"/>
          <w:b w:val="0"/>
          <w:bCs w:val="0"/>
          <w:kern w:val="44"/>
          <w:sz w:val="21"/>
          <w:szCs w:val="21"/>
        </w:rPr>
        <w:t>附录D 低强度充填材料拌合物沉降率的标准试验方法</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_Toc20115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25</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50B2B4E9">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"_Toc5888" </w:instrText>
      </w:r>
      <w:r>
        <w:fldChar w:fldCharType="separate"/>
      </w:r>
      <w:r>
        <w:rPr>
          <w:rFonts w:hint="eastAsia" w:ascii="微软雅黑" w:hAnsi="微软雅黑" w:eastAsia="微软雅黑" w:cs="微软雅黑"/>
          <w:b w:val="0"/>
          <w:bCs w:val="0"/>
          <w:kern w:val="44"/>
          <w:sz w:val="21"/>
          <w:szCs w:val="21"/>
        </w:rPr>
        <w:t>附录E 低强度充填材料无侧限抗压强度的标准试验方法</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_Toc5888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26</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4A9C4319">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"_Toc4115" </w:instrText>
      </w:r>
      <w:r>
        <w:fldChar w:fldCharType="separate"/>
      </w:r>
      <w:r>
        <w:rPr>
          <w:rFonts w:hint="eastAsia" w:ascii="微软雅黑" w:hAnsi="微软雅黑" w:eastAsia="微软雅黑" w:cs="微软雅黑"/>
          <w:b w:val="0"/>
          <w:bCs w:val="0"/>
          <w:kern w:val="44"/>
          <w:sz w:val="21"/>
          <w:szCs w:val="21"/>
        </w:rPr>
        <w:t>本标准用词说明</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_Toc4115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27</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2E1D85CA">
      <w:pPr>
        <w:pStyle w:val="50"/>
        <w:tabs>
          <w:tab w:val="right" w:leader="dot" w:pos="8601"/>
          <w:tab w:val="clear" w:pos="9923"/>
        </w:tabs>
        <w:spacing w:line="400" w:lineRule="exact"/>
        <w:rPr>
          <w:rFonts w:hint="eastAsia"/>
        </w:rPr>
      </w:pPr>
      <w:r>
        <w:fldChar w:fldCharType="begin"/>
      </w:r>
      <w:r>
        <w:instrText xml:space="preserve"> HYPERLINK \l "_Toc4115" </w:instrText>
      </w:r>
      <w:r>
        <w:fldChar w:fldCharType="separate"/>
      </w:r>
      <w:r>
        <w:rPr>
          <w:rFonts w:hint="eastAsia" w:ascii="微软雅黑" w:hAnsi="微软雅黑" w:eastAsia="微软雅黑" w:cs="微软雅黑"/>
          <w:b w:val="0"/>
          <w:bCs w:val="0"/>
          <w:kern w:val="44"/>
          <w:sz w:val="21"/>
          <w:szCs w:val="21"/>
          <w:lang w:val="en-US" w:eastAsia="zh-CN"/>
        </w:rPr>
        <w:t>引用标准名录</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_Toc12377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28</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0B643686">
      <w:pPr>
        <w:pStyle w:val="50"/>
        <w:tabs>
          <w:tab w:val="right" w:leader="dot" w:pos="8601"/>
          <w:tab w:val="clear" w:pos="9923"/>
        </w:tabs>
        <w:spacing w:line="400" w:lineRule="exact"/>
        <w:rPr>
          <w:rFonts w:hint="eastAsia" w:ascii="微软雅黑" w:hAnsi="微软雅黑" w:eastAsia="微软雅黑" w:cs="微软雅黑"/>
          <w:b w:val="0"/>
          <w:bCs w:val="0"/>
          <w:sz w:val="21"/>
          <w:szCs w:val="21"/>
          <w:lang w:eastAsia="zh-CN"/>
        </w:rPr>
      </w:pPr>
      <w:r>
        <w:fldChar w:fldCharType="begin"/>
      </w:r>
      <w:r>
        <w:instrText xml:space="preserve"> HYPERLINK \l "_Toc12377" </w:instrText>
      </w:r>
      <w:r>
        <w:fldChar w:fldCharType="separate"/>
      </w:r>
      <w:r>
        <w:rPr>
          <w:rFonts w:hint="eastAsia" w:ascii="微软雅黑" w:hAnsi="微软雅黑" w:eastAsia="微软雅黑" w:cs="微软雅黑"/>
          <w:b w:val="0"/>
          <w:bCs w:val="0"/>
          <w:kern w:val="44"/>
          <w:sz w:val="21"/>
          <w:szCs w:val="21"/>
          <w:lang w:val="en-US" w:eastAsia="zh-CN"/>
        </w:rPr>
        <w:t>条文说明</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_Toc12377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28</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lang w:val="en-US" w:eastAsia="zh-CN"/>
        </w:rPr>
        <w:t>8</w:t>
      </w:r>
    </w:p>
    <w:p w14:paraId="5044C616">
      <w:pPr>
        <w:pStyle w:val="50"/>
        <w:tabs>
          <w:tab w:val="right" w:leader="dot" w:pos="8601"/>
          <w:tab w:val="clear" w:pos="9923"/>
        </w:tabs>
        <w:spacing w:line="400" w:lineRule="exact"/>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sz w:val="21"/>
          <w:szCs w:val="21"/>
        </w:rPr>
        <w:fldChar w:fldCharType="end"/>
      </w:r>
    </w:p>
    <w:p w14:paraId="721B0D05">
      <w:pPr>
        <w:pStyle w:val="50"/>
        <w:spacing w:line="400" w:lineRule="exact"/>
        <w:rPr>
          <w:rFonts w:hint="eastAsia" w:ascii="微软雅黑" w:hAnsi="微软雅黑" w:eastAsia="微软雅黑" w:cs="微软雅黑"/>
          <w:b w:val="0"/>
          <w:bCs w:val="0"/>
          <w:sz w:val="21"/>
          <w:szCs w:val="21"/>
        </w:rPr>
        <w:sectPr>
          <w:footerReference r:id="rId10" w:type="default"/>
          <w:pgSz w:w="11907" w:h="16840"/>
          <w:pgMar w:top="1582" w:right="1440" w:bottom="1162" w:left="1582" w:header="0" w:footer="969" w:gutter="284"/>
          <w:cols w:space="720" w:num="1"/>
          <w:docGrid w:type="linesAndChars" w:linePitch="312" w:charSpace="0"/>
        </w:sectPr>
      </w:pPr>
    </w:p>
    <w:p w14:paraId="1D0D1E11">
      <w:pPr>
        <w:pStyle w:val="2"/>
        <w:keepNext w:val="0"/>
        <w:keepLines w:val="0"/>
        <w:numPr>
          <w:ilvl w:val="0"/>
          <w:numId w:val="11"/>
        </w:numPr>
        <w:spacing w:before="78" w:beforeLines="25" w:after="0" w:line="440" w:lineRule="exact"/>
        <w:rPr>
          <w:rFonts w:hint="eastAsia" w:ascii="微软雅黑" w:hAnsi="微软雅黑" w:eastAsia="微软雅黑" w:cs="微软雅黑"/>
          <w:b/>
          <w:color w:val="000000"/>
          <w:sz w:val="32"/>
          <w:szCs w:val="32"/>
        </w:rPr>
      </w:pPr>
      <w:bookmarkStart w:id="0" w:name="_Toc2272"/>
      <w:bookmarkStart w:id="1" w:name="_Toc25949"/>
      <w:bookmarkStart w:id="2" w:name="_Toc4543"/>
      <w:r>
        <w:rPr>
          <w:rFonts w:hint="eastAsia" w:ascii="微软雅黑" w:hAnsi="微软雅黑" w:eastAsia="微软雅黑" w:cs="微软雅黑"/>
          <w:b/>
          <w:color w:val="000000"/>
          <w:sz w:val="32"/>
          <w:szCs w:val="32"/>
        </w:rPr>
        <w:t>总  则</w:t>
      </w:r>
      <w:bookmarkEnd w:id="0"/>
      <w:bookmarkEnd w:id="1"/>
      <w:bookmarkEnd w:id="2"/>
    </w:p>
    <w:p w14:paraId="1A3FA9C8"/>
    <w:p w14:paraId="6D99050F">
      <w:pPr>
        <w:pStyle w:val="3"/>
        <w:keepNext w:val="0"/>
        <w:keepLines w:val="0"/>
        <w:numPr>
          <w:ilvl w:val="1"/>
          <w:numId w:val="12"/>
        </w:numPr>
        <w:tabs>
          <w:tab w:val="clear" w:pos="576"/>
        </w:tabs>
        <w:spacing w:before="78" w:beforeLines="25" w:after="0" w:line="440" w:lineRule="exact"/>
        <w:jc w:val="both"/>
        <w:rPr>
          <w:rFonts w:hint="eastAsia" w:ascii="宋体" w:hAnsi="宋体" w:eastAsia="宋体" w:cs="宋体"/>
          <w:b w:val="0"/>
          <w:bCs w:val="0"/>
          <w:color w:val="000000"/>
          <w:kern w:val="0"/>
          <w:sz w:val="24"/>
          <w:szCs w:val="22"/>
          <w:lang w:bidi="ar"/>
        </w:rPr>
      </w:pPr>
      <w:r>
        <w:rPr>
          <w:rFonts w:hint="eastAsia" w:ascii="宋体" w:hAnsi="宋体" w:eastAsia="宋体" w:cs="宋体"/>
          <w:b w:val="0"/>
          <w:bCs w:val="0"/>
          <w:color w:val="000000"/>
          <w:kern w:val="0"/>
          <w:sz w:val="24"/>
          <w:szCs w:val="22"/>
          <w:lang w:bidi="ar"/>
        </w:rPr>
        <w:t xml:space="preserve"> </w:t>
      </w:r>
      <w:bookmarkStart w:id="3" w:name="_Toc10094"/>
      <w:bookmarkStart w:id="4" w:name="_Toc4372"/>
      <w:bookmarkStart w:id="5" w:name="_Toc30418"/>
      <w:r>
        <w:rPr>
          <w:rFonts w:hint="eastAsia" w:ascii="宋体" w:hAnsi="宋体" w:eastAsia="宋体" w:cs="宋体"/>
          <w:b w:val="0"/>
          <w:bCs w:val="0"/>
          <w:color w:val="000000"/>
          <w:kern w:val="0"/>
          <w:sz w:val="24"/>
          <w:szCs w:val="22"/>
          <w:lang w:bidi="ar"/>
        </w:rPr>
        <w:t>为规范我省低强度充填材料在</w:t>
      </w:r>
      <w:r>
        <w:rPr>
          <w:rFonts w:hint="eastAsia" w:ascii="宋体" w:hAnsi="宋体" w:eastAsia="宋体" w:cs="宋体"/>
          <w:b w:val="0"/>
          <w:bCs w:val="0"/>
          <w:kern w:val="0"/>
          <w:sz w:val="24"/>
          <w:szCs w:val="22"/>
          <w:lang w:bidi="ar"/>
        </w:rPr>
        <w:t>工程建设</w:t>
      </w:r>
      <w:r>
        <w:rPr>
          <w:rFonts w:hint="eastAsia" w:ascii="宋体" w:hAnsi="宋体" w:eastAsia="宋体" w:cs="宋体"/>
          <w:b w:val="0"/>
          <w:bCs w:val="0"/>
          <w:color w:val="000000"/>
          <w:kern w:val="0"/>
          <w:sz w:val="24"/>
          <w:szCs w:val="22"/>
          <w:lang w:bidi="ar"/>
        </w:rPr>
        <w:t>中的应用，推进大规模建筑废弃物的有效消纳，做到技术先进、经济合理、安全适用及质量保证，特制定本标准。</w:t>
      </w:r>
      <w:bookmarkEnd w:id="3"/>
      <w:bookmarkEnd w:id="4"/>
      <w:bookmarkEnd w:id="5"/>
    </w:p>
    <w:p w14:paraId="1235C7EB">
      <w:pPr>
        <w:snapToGrid w:val="0"/>
        <w:spacing w:before="78" w:beforeLines="25" w:line="440" w:lineRule="exact"/>
        <w:rPr>
          <w:rFonts w:hint="eastAsia" w:ascii="楷体" w:hAnsi="楷体" w:eastAsia="楷体" w:cs="楷体"/>
          <w:bCs/>
          <w:sz w:val="24"/>
        </w:rPr>
      </w:pPr>
      <w:r>
        <w:rPr>
          <w:rFonts w:hint="eastAsia" w:ascii="楷体" w:hAnsi="楷体" w:eastAsia="楷体" w:cs="楷体"/>
          <w:bCs/>
          <w:sz w:val="24"/>
        </w:rPr>
        <w:t>【条文说明】随着中国城镇化水平显著提高，为满足城镇居民生活需求，大规模旧城拆除、改造等工程开展如火如荼，但其过程产生了大量的建筑废弃物。为应对自然资源和生态环境面临的挑战，高效利用建筑废弃物是实现绿色可持续发展的应有之义。作为一种具有高流动性，自密</w:t>
      </w:r>
      <w:r>
        <w:rPr>
          <w:rFonts w:hint="eastAsia" w:eastAsia="楷体" w:cs="楷体"/>
          <w:bCs/>
          <w:sz w:val="24"/>
        </w:rPr>
        <w:t>实，28d无侧限抗压强度低于8.3MPa的新型充填材料，低强度充填材料制备工艺简单，施工无需碾压，可以有效避免</w:t>
      </w:r>
      <w:r>
        <w:rPr>
          <w:rFonts w:hint="eastAsia" w:ascii="楷体" w:hAnsi="楷体" w:eastAsia="楷体" w:cs="楷体"/>
          <w:bCs/>
          <w:sz w:val="24"/>
        </w:rPr>
        <w:t>传统充填材料因压实不足引起的沉降病害。水泥窑灰、再生骨料、废弃泥浆、工程渣土等常见固体废弃物均可以用于制备低强度充填材料，低强度充填材料具备大规模消纳废弃物的潜力。因此，利用建筑废弃物制备低强度充填材料是一种消纳建筑废弃物的有效方式。为保证低强度充填材料的生产技术经济合理、保证工程质量，保持先进技术，亟需一本标准来规范低强度充填材料的应用，全面提高其环境效益、社会效益和经济效益。</w:t>
      </w:r>
    </w:p>
    <w:p w14:paraId="4E2441F9">
      <w:pPr>
        <w:pStyle w:val="3"/>
        <w:keepNext w:val="0"/>
        <w:keepLines w:val="0"/>
        <w:numPr>
          <w:ilvl w:val="1"/>
          <w:numId w:val="12"/>
        </w:numPr>
        <w:tabs>
          <w:tab w:val="clear" w:pos="576"/>
        </w:tabs>
        <w:spacing w:before="78" w:beforeLines="25" w:after="0" w:line="440" w:lineRule="exact"/>
        <w:jc w:val="both"/>
        <w:rPr>
          <w:rFonts w:hint="eastAsia" w:ascii="宋体" w:hAnsi="宋体" w:eastAsia="宋体" w:cs="宋体"/>
          <w:b w:val="0"/>
          <w:bCs w:val="0"/>
          <w:color w:val="000000"/>
          <w:kern w:val="0"/>
          <w:sz w:val="24"/>
          <w:szCs w:val="22"/>
          <w:lang w:bidi="ar"/>
        </w:rPr>
      </w:pPr>
      <w:r>
        <w:rPr>
          <w:rFonts w:hint="eastAsia" w:ascii="宋体" w:hAnsi="宋体" w:eastAsia="宋体" w:cs="宋体"/>
          <w:b w:val="0"/>
          <w:bCs w:val="0"/>
          <w:color w:val="000000"/>
          <w:kern w:val="0"/>
          <w:sz w:val="24"/>
          <w:szCs w:val="22"/>
          <w:lang w:bidi="ar"/>
        </w:rPr>
        <w:t xml:space="preserve"> </w:t>
      </w:r>
      <w:bookmarkStart w:id="6" w:name="_Toc3246"/>
      <w:bookmarkStart w:id="7" w:name="_Toc677"/>
      <w:bookmarkStart w:id="8" w:name="_Toc12614"/>
      <w:r>
        <w:rPr>
          <w:rFonts w:hint="eastAsia" w:ascii="宋体" w:hAnsi="宋体" w:eastAsia="宋体" w:cs="宋体"/>
          <w:b w:val="0"/>
          <w:bCs w:val="0"/>
          <w:color w:val="000000"/>
          <w:kern w:val="0"/>
          <w:sz w:val="24"/>
          <w:szCs w:val="22"/>
          <w:lang w:bidi="ar"/>
        </w:rPr>
        <w:t>本标准适用于低强度充填材料性能</w:t>
      </w:r>
      <w:r>
        <w:rPr>
          <w:rFonts w:ascii="宋体" w:hAnsi="宋体" w:eastAsia="宋体" w:cs="宋体"/>
          <w:b w:val="0"/>
          <w:bCs w:val="0"/>
          <w:color w:val="000000"/>
          <w:kern w:val="0"/>
          <w:sz w:val="24"/>
          <w:szCs w:val="22"/>
          <w:lang w:bidi="ar"/>
        </w:rPr>
        <w:t>控制</w:t>
      </w:r>
      <w:r>
        <w:rPr>
          <w:rFonts w:hint="eastAsia" w:ascii="宋体" w:hAnsi="宋体" w:eastAsia="宋体" w:cs="宋体"/>
          <w:b w:val="0"/>
          <w:bCs w:val="0"/>
          <w:color w:val="000000"/>
          <w:kern w:val="0"/>
          <w:sz w:val="24"/>
          <w:szCs w:val="22"/>
          <w:lang w:bidi="ar"/>
        </w:rPr>
        <w:t>、配合比设计、生产运输与施工，以及质量检验与评定。</w:t>
      </w:r>
      <w:bookmarkEnd w:id="6"/>
      <w:bookmarkEnd w:id="7"/>
      <w:bookmarkEnd w:id="8"/>
    </w:p>
    <w:p w14:paraId="2B7E4428">
      <w:pPr>
        <w:snapToGrid w:val="0"/>
        <w:spacing w:before="78" w:beforeLines="25" w:line="440" w:lineRule="exact"/>
        <w:rPr>
          <w:rFonts w:hint="eastAsia" w:ascii="楷体" w:hAnsi="楷体" w:eastAsia="楷体" w:cs="楷体"/>
          <w:bCs/>
          <w:sz w:val="24"/>
        </w:rPr>
      </w:pPr>
      <w:r>
        <w:rPr>
          <w:rFonts w:hint="eastAsia" w:ascii="楷体" w:hAnsi="楷体" w:eastAsia="楷体" w:cs="楷体"/>
          <w:bCs/>
          <w:sz w:val="24"/>
        </w:rPr>
        <w:t>【条文说明】本标准主要针对建筑废弃物低强度充填材料的</w:t>
      </w:r>
      <w:r>
        <w:rPr>
          <w:rFonts w:hint="eastAsia" w:ascii="楷体" w:hAnsi="楷体" w:eastAsia="楷体" w:cs="楷体"/>
          <w:bCs/>
          <w:sz w:val="24"/>
          <w:lang w:bidi="ar"/>
        </w:rPr>
        <w:t>性能控制、</w:t>
      </w:r>
      <w:r>
        <w:rPr>
          <w:rFonts w:hint="eastAsia" w:ascii="楷体" w:hAnsi="楷体" w:eastAsia="楷体" w:cs="楷体"/>
          <w:bCs/>
          <w:sz w:val="24"/>
        </w:rPr>
        <w:t>配合比设计、生产运输</w:t>
      </w:r>
      <w:r>
        <w:rPr>
          <w:rFonts w:hint="eastAsia" w:ascii="楷体" w:hAnsi="楷体" w:eastAsia="楷体" w:cs="楷体"/>
          <w:bCs/>
          <w:sz w:val="24"/>
          <w:lang w:bidi="ar"/>
        </w:rPr>
        <w:t>与施工</w:t>
      </w:r>
      <w:r>
        <w:rPr>
          <w:rFonts w:hint="eastAsia" w:ascii="楷体" w:hAnsi="楷体" w:eastAsia="楷体" w:cs="楷体"/>
          <w:bCs/>
          <w:sz w:val="24"/>
        </w:rPr>
        <w:t>，以及质量检验与评定。施工环境、试件形状规格等因素不在本标准范围内。</w:t>
      </w:r>
    </w:p>
    <w:p w14:paraId="1DC663A3">
      <w:pPr>
        <w:pStyle w:val="3"/>
        <w:numPr>
          <w:ilvl w:val="1"/>
          <w:numId w:val="12"/>
        </w:numPr>
        <w:tabs>
          <w:tab w:val="clear" w:pos="576"/>
        </w:tabs>
        <w:spacing w:before="78" w:beforeLines="25" w:after="0" w:line="440" w:lineRule="exact"/>
        <w:jc w:val="left"/>
        <w:rPr>
          <w:rFonts w:hint="eastAsia" w:ascii="宋体" w:hAnsi="宋体" w:eastAsia="宋体" w:cs="宋体"/>
          <w:b w:val="0"/>
          <w:bCs w:val="0"/>
          <w:color w:val="000000"/>
          <w:kern w:val="0"/>
          <w:sz w:val="24"/>
          <w:szCs w:val="22"/>
          <w:lang w:bidi="ar"/>
        </w:rPr>
      </w:pPr>
      <w:r>
        <w:rPr>
          <w:rFonts w:hint="eastAsia" w:ascii="宋体" w:hAnsi="宋体" w:eastAsia="宋体" w:cs="宋体"/>
          <w:b w:val="0"/>
          <w:bCs w:val="0"/>
          <w:color w:val="000000"/>
          <w:kern w:val="0"/>
          <w:sz w:val="24"/>
          <w:szCs w:val="22"/>
          <w:lang w:bidi="ar"/>
        </w:rPr>
        <w:t xml:space="preserve"> </w:t>
      </w:r>
      <w:bookmarkStart w:id="9" w:name="_Toc12766"/>
      <w:bookmarkStart w:id="10" w:name="_Toc30284"/>
      <w:r>
        <w:rPr>
          <w:rFonts w:hint="eastAsia" w:ascii="宋体" w:hAnsi="宋体" w:eastAsia="宋体" w:cs="宋体"/>
          <w:b w:val="0"/>
          <w:bCs w:val="0"/>
          <w:color w:val="000000"/>
          <w:kern w:val="0"/>
          <w:sz w:val="24"/>
          <w:szCs w:val="22"/>
          <w:lang w:bidi="ar"/>
        </w:rPr>
        <w:t>低强度充填材料适用于</w:t>
      </w:r>
      <w:r>
        <w:rPr>
          <w:rFonts w:hint="eastAsia" w:ascii="宋体" w:hAnsi="宋体" w:eastAsia="宋体" w:cs="宋体"/>
          <w:b w:val="0"/>
          <w:bCs w:val="0"/>
          <w:sz w:val="24"/>
          <w:szCs w:val="24"/>
          <w:lang w:bidi="ar"/>
        </w:rPr>
        <w:t>土方开挖等临时回填工程，管沟、肥槽、隧道竖井、下水道等无需承受荷载的非结构回填工程，道路工程等承受一定荷载的结构回填工程，不适用于特殊地质条件或承载要求较高的回填工程。</w:t>
      </w:r>
      <w:bookmarkEnd w:id="9"/>
      <w:bookmarkEnd w:id="10"/>
    </w:p>
    <w:p w14:paraId="557D4D32">
      <w:pPr>
        <w:pStyle w:val="3"/>
        <w:keepNext w:val="0"/>
        <w:keepLines w:val="0"/>
        <w:numPr>
          <w:ilvl w:val="1"/>
          <w:numId w:val="12"/>
        </w:numPr>
        <w:tabs>
          <w:tab w:val="clear" w:pos="576"/>
        </w:tabs>
        <w:spacing w:before="78" w:beforeLines="25" w:after="0" w:line="440" w:lineRule="exact"/>
        <w:jc w:val="both"/>
        <w:rPr>
          <w:rFonts w:hint="eastAsia" w:ascii="宋体" w:hAnsi="宋体" w:eastAsia="宋体" w:cs="宋体"/>
          <w:b w:val="0"/>
          <w:bCs w:val="0"/>
          <w:color w:val="000000"/>
          <w:kern w:val="0"/>
          <w:sz w:val="24"/>
          <w:szCs w:val="22"/>
          <w:lang w:bidi="ar"/>
        </w:rPr>
      </w:pPr>
      <w:r>
        <w:rPr>
          <w:rFonts w:hint="eastAsia" w:ascii="宋体" w:hAnsi="宋体" w:eastAsia="宋体" w:cs="宋体"/>
          <w:b w:val="0"/>
          <w:bCs w:val="0"/>
          <w:color w:val="000000"/>
          <w:kern w:val="0"/>
          <w:sz w:val="24"/>
          <w:szCs w:val="22"/>
          <w:lang w:bidi="ar"/>
        </w:rPr>
        <w:t xml:space="preserve"> </w:t>
      </w:r>
      <w:bookmarkStart w:id="11" w:name="_Toc27373"/>
      <w:bookmarkStart w:id="12" w:name="_Toc2050"/>
      <w:bookmarkStart w:id="13" w:name="_Toc19877"/>
      <w:r>
        <w:rPr>
          <w:rFonts w:hint="eastAsia" w:ascii="宋体" w:hAnsi="宋体" w:eastAsia="宋体" w:cs="宋体"/>
          <w:b w:val="0"/>
          <w:bCs w:val="0"/>
          <w:color w:val="000000"/>
          <w:kern w:val="0"/>
          <w:sz w:val="24"/>
          <w:szCs w:val="22"/>
          <w:lang w:bidi="ar"/>
        </w:rPr>
        <w:t>低强度充填材料配合比设计、施工与质量检验除应符合本标准外，尚应符合国家、行业和广东省现行有关标准的规定。</w:t>
      </w:r>
      <w:bookmarkEnd w:id="11"/>
      <w:bookmarkEnd w:id="12"/>
      <w:bookmarkEnd w:id="13"/>
    </w:p>
    <w:p w14:paraId="2EE437AF">
      <w:pPr>
        <w:spacing w:before="78" w:beforeLines="25" w:line="440" w:lineRule="exact"/>
        <w:rPr>
          <w:rFonts w:eastAsia="楷体"/>
          <w:bCs/>
          <w:color w:val="000000"/>
          <w:sz w:val="24"/>
        </w:rPr>
      </w:pPr>
      <w:r>
        <w:rPr>
          <w:rFonts w:eastAsia="楷体"/>
          <w:bCs/>
          <w:color w:val="000000"/>
          <w:sz w:val="24"/>
        </w:rPr>
        <w:t>【条文说明】</w:t>
      </w:r>
      <w:r>
        <w:rPr>
          <w:rFonts w:hint="eastAsia" w:eastAsia="楷体"/>
          <w:bCs/>
          <w:color w:val="000000"/>
          <w:sz w:val="24"/>
        </w:rPr>
        <w:t>本标准</w:t>
      </w:r>
      <w:r>
        <w:rPr>
          <w:rFonts w:eastAsia="楷体"/>
          <w:bCs/>
          <w:color w:val="000000"/>
          <w:sz w:val="24"/>
        </w:rPr>
        <w:t>通过理论积累与大量实验，</w:t>
      </w:r>
      <w:r>
        <w:rPr>
          <w:rFonts w:hint="eastAsia" w:eastAsia="楷体"/>
          <w:bCs/>
          <w:color w:val="000000"/>
          <w:sz w:val="24"/>
        </w:rPr>
        <w:t>确定</w:t>
      </w:r>
      <w:r>
        <w:rPr>
          <w:rFonts w:eastAsia="楷体"/>
          <w:bCs/>
          <w:color w:val="000000"/>
          <w:sz w:val="24"/>
        </w:rPr>
        <w:t>建筑废弃物</w:t>
      </w:r>
      <w:r>
        <w:rPr>
          <w:rFonts w:hint="eastAsia" w:eastAsia="楷体"/>
          <w:bCs/>
          <w:color w:val="000000"/>
          <w:sz w:val="24"/>
        </w:rPr>
        <w:t>基低强度充填材料的</w:t>
      </w:r>
      <w:r>
        <w:rPr>
          <w:rFonts w:eastAsia="楷体"/>
          <w:bCs/>
          <w:color w:val="000000"/>
          <w:sz w:val="24"/>
        </w:rPr>
        <w:t>工作性能、力学性能</w:t>
      </w:r>
      <w:r>
        <w:rPr>
          <w:rFonts w:hint="eastAsia" w:eastAsia="楷体"/>
          <w:bCs/>
          <w:color w:val="000000"/>
          <w:sz w:val="24"/>
        </w:rPr>
        <w:t>调控范围，并</w:t>
      </w:r>
      <w:r>
        <w:rPr>
          <w:rFonts w:eastAsia="楷体"/>
          <w:bCs/>
          <w:color w:val="000000"/>
          <w:sz w:val="24"/>
        </w:rPr>
        <w:t>结合实际生产</w:t>
      </w:r>
      <w:r>
        <w:rPr>
          <w:rFonts w:hint="eastAsia" w:eastAsia="楷体"/>
          <w:bCs/>
          <w:color w:val="000000"/>
          <w:sz w:val="24"/>
        </w:rPr>
        <w:t>需求</w:t>
      </w:r>
      <w:r>
        <w:rPr>
          <w:rFonts w:eastAsia="楷体"/>
          <w:bCs/>
          <w:color w:val="000000"/>
          <w:sz w:val="24"/>
        </w:rPr>
        <w:t>编制而成，对于常规检测等通用性内容描述较为简要，故应符合国家、行业</w:t>
      </w:r>
      <w:r>
        <w:rPr>
          <w:rFonts w:hint="eastAsia" w:eastAsia="楷体"/>
          <w:bCs/>
          <w:color w:val="000000"/>
          <w:sz w:val="24"/>
        </w:rPr>
        <w:t>和</w:t>
      </w:r>
      <w:r>
        <w:rPr>
          <w:rFonts w:eastAsia="楷体"/>
          <w:bCs/>
          <w:color w:val="000000"/>
          <w:sz w:val="24"/>
        </w:rPr>
        <w:t>广东省</w:t>
      </w:r>
      <w:r>
        <w:rPr>
          <w:rFonts w:hint="eastAsia" w:eastAsia="楷体"/>
          <w:bCs/>
          <w:color w:val="000000"/>
          <w:sz w:val="24"/>
        </w:rPr>
        <w:t>现行有关标准的</w:t>
      </w:r>
      <w:r>
        <w:rPr>
          <w:rFonts w:eastAsia="楷体"/>
          <w:bCs/>
          <w:color w:val="000000"/>
          <w:sz w:val="24"/>
        </w:rPr>
        <w:t>规定。</w:t>
      </w:r>
    </w:p>
    <w:p w14:paraId="7659E638">
      <w:pPr>
        <w:spacing w:line="440" w:lineRule="exact"/>
        <w:rPr>
          <w:rFonts w:eastAsia="楷体"/>
          <w:bCs/>
          <w:color w:val="000000"/>
          <w:sz w:val="24"/>
        </w:rPr>
      </w:pPr>
      <w:r>
        <w:rPr>
          <w:rFonts w:eastAsia="楷体"/>
          <w:bCs/>
          <w:color w:val="000000"/>
          <w:sz w:val="24"/>
        </w:rPr>
        <w:br w:type="page"/>
      </w:r>
    </w:p>
    <w:p w14:paraId="6C2D49D4">
      <w:pPr>
        <w:spacing w:before="78" w:beforeLines="25" w:line="440" w:lineRule="exact"/>
        <w:rPr>
          <w:rFonts w:eastAsia="楷体"/>
          <w:bCs/>
          <w:color w:val="000000"/>
          <w:sz w:val="24"/>
        </w:rPr>
        <w:sectPr>
          <w:footerReference r:id="rId12" w:type="default"/>
          <w:headerReference r:id="rId11" w:type="even"/>
          <w:pgSz w:w="11905" w:h="16838"/>
          <w:pgMar w:top="1582" w:right="1440" w:bottom="1162" w:left="1582" w:header="0" w:footer="969" w:gutter="283"/>
          <w:pgNumType w:start="1"/>
          <w:cols w:space="0" w:num="1"/>
          <w:docGrid w:type="linesAndChars" w:linePitch="312" w:charSpace="0"/>
        </w:sectPr>
      </w:pPr>
    </w:p>
    <w:p w14:paraId="2DDAEB1D">
      <w:pPr>
        <w:pStyle w:val="2"/>
        <w:numPr>
          <w:ilvl w:val="0"/>
          <w:numId w:val="13"/>
        </w:numPr>
        <w:spacing w:before="78" w:beforeLines="25" w:after="0" w:line="440" w:lineRule="exact"/>
        <w:ind w:left="0" w:firstLine="0"/>
        <w:rPr>
          <w:rFonts w:hint="eastAsia" w:ascii="微软雅黑" w:hAnsi="微软雅黑" w:eastAsia="微软雅黑" w:cs="微软雅黑"/>
          <w:b/>
          <w:sz w:val="32"/>
          <w:szCs w:val="32"/>
        </w:rPr>
      </w:pPr>
      <w:bookmarkStart w:id="14" w:name="_Toc31441"/>
      <w:bookmarkStart w:id="15" w:name="_Toc28458"/>
      <w:bookmarkStart w:id="16" w:name="_Toc16034"/>
      <w:bookmarkStart w:id="17" w:name="_Toc10781"/>
      <w:r>
        <w:rPr>
          <w:rFonts w:hint="eastAsia" w:ascii="微软雅黑" w:hAnsi="微软雅黑" w:eastAsia="微软雅黑" w:cs="微软雅黑"/>
          <w:b/>
          <w:sz w:val="32"/>
          <w:szCs w:val="32"/>
        </w:rPr>
        <w:t>术语和符号</w:t>
      </w:r>
      <w:bookmarkEnd w:id="14"/>
      <w:bookmarkEnd w:id="15"/>
      <w:bookmarkEnd w:id="16"/>
      <w:bookmarkEnd w:id="17"/>
    </w:p>
    <w:p w14:paraId="2F493620"/>
    <w:p w14:paraId="74A8C27C">
      <w:pPr>
        <w:pStyle w:val="3"/>
        <w:keepNext w:val="0"/>
        <w:keepLines w:val="0"/>
        <w:numPr>
          <w:ilvl w:val="0"/>
          <w:numId w:val="14"/>
        </w:numPr>
        <w:spacing w:before="78" w:beforeLines="25" w:after="0" w:line="440" w:lineRule="exact"/>
      </w:pPr>
      <w:bookmarkStart w:id="18" w:name="_Toc29798"/>
      <w:bookmarkStart w:id="19" w:name="_Toc16610"/>
      <w:bookmarkStart w:id="20" w:name="_Toc8080"/>
      <w:bookmarkStart w:id="21" w:name="_Toc9846"/>
      <w:r>
        <w:rPr>
          <w:rFonts w:hint="eastAsia" w:ascii="微软雅黑" w:hAnsi="微软雅黑" w:eastAsia="微软雅黑" w:cs="微软雅黑"/>
          <w:bCs w:val="0"/>
          <w:kern w:val="0"/>
          <w:sz w:val="28"/>
          <w:szCs w:val="28"/>
          <w:lang w:val="en-US" w:eastAsia="zh-CN" w:bidi="ar"/>
        </w:rPr>
        <w:t xml:space="preserve"> </w:t>
      </w:r>
      <w:r>
        <w:rPr>
          <w:rFonts w:hint="eastAsia" w:ascii="微软雅黑" w:hAnsi="微软雅黑" w:eastAsia="微软雅黑" w:cs="微软雅黑"/>
          <w:bCs w:val="0"/>
          <w:kern w:val="0"/>
          <w:sz w:val="28"/>
          <w:szCs w:val="28"/>
          <w:lang w:bidi="ar"/>
        </w:rPr>
        <w:t>术语</w:t>
      </w:r>
      <w:bookmarkEnd w:id="18"/>
      <w:bookmarkEnd w:id="19"/>
      <w:bookmarkEnd w:id="20"/>
      <w:bookmarkEnd w:id="21"/>
    </w:p>
    <w:p w14:paraId="3B6C07B7">
      <w:pPr>
        <w:pStyle w:val="3"/>
        <w:keepNext w:val="0"/>
        <w:keepLines w:val="0"/>
        <w:numPr>
          <w:ilvl w:val="1"/>
          <w:numId w:val="15"/>
        </w:numPr>
        <w:spacing w:before="78" w:beforeLines="25" w:after="0" w:line="440" w:lineRule="exact"/>
        <w:jc w:val="both"/>
        <w:rPr>
          <w:rFonts w:eastAsia="宋体" w:cs="宋体"/>
          <w:bCs w:val="0"/>
          <w:color w:val="000000"/>
          <w:kern w:val="0"/>
          <w:sz w:val="24"/>
          <w:szCs w:val="22"/>
          <w:lang w:bidi="ar"/>
        </w:rPr>
      </w:pPr>
      <w:bookmarkStart w:id="22" w:name="_Toc16384"/>
      <w:bookmarkStart w:id="23" w:name="_Toc15613"/>
      <w:bookmarkStart w:id="24" w:name="_Toc3661"/>
      <w:r>
        <w:rPr>
          <w:rFonts w:hint="eastAsia" w:eastAsia="宋体" w:cs="宋体"/>
          <w:bCs w:val="0"/>
          <w:color w:val="000000"/>
          <w:kern w:val="0"/>
          <w:sz w:val="24"/>
          <w:szCs w:val="22"/>
          <w:lang w:bidi="ar"/>
        </w:rPr>
        <w:t>低强度充填材料</w:t>
      </w:r>
      <w:r>
        <w:rPr>
          <w:rFonts w:eastAsia="宋体" w:cs="宋体"/>
          <w:color w:val="000000"/>
          <w:sz w:val="24"/>
          <w:szCs w:val="22"/>
        </w:rPr>
        <w:t xml:space="preserve"> </w:t>
      </w:r>
      <w:r>
        <w:rPr>
          <w:rFonts w:hint="eastAsia" w:eastAsia="宋体" w:cs="宋体"/>
          <w:bCs w:val="0"/>
          <w:color w:val="000000"/>
          <w:kern w:val="0"/>
          <w:sz w:val="24"/>
          <w:szCs w:val="22"/>
          <w:lang w:bidi="ar"/>
        </w:rPr>
        <w:t>controlled low-strength materials</w:t>
      </w:r>
      <w:bookmarkEnd w:id="22"/>
      <w:r>
        <w:rPr>
          <w:rFonts w:hint="eastAsia" w:eastAsia="宋体" w:cs="宋体"/>
          <w:bCs w:val="0"/>
          <w:color w:val="000000"/>
          <w:kern w:val="0"/>
          <w:sz w:val="24"/>
          <w:szCs w:val="22"/>
          <w:lang w:bidi="ar"/>
        </w:rPr>
        <w:t xml:space="preserve"> </w:t>
      </w:r>
      <w:r>
        <w:rPr>
          <w:rFonts w:hint="eastAsia" w:eastAsia="宋体"/>
          <w:color w:val="000000"/>
          <w:sz w:val="24"/>
        </w:rPr>
        <w:t>(CLSM)</w:t>
      </w:r>
      <w:bookmarkEnd w:id="23"/>
      <w:bookmarkEnd w:id="24"/>
      <w:r>
        <w:rPr>
          <w:rFonts w:hint="eastAsia" w:eastAsia="宋体"/>
          <w:color w:val="000000"/>
          <w:sz w:val="24"/>
        </w:rPr>
        <w:t xml:space="preserve"> </w:t>
      </w:r>
    </w:p>
    <w:p w14:paraId="697E2497">
      <w:pPr>
        <w:spacing w:before="78" w:beforeLines="25" w:line="440" w:lineRule="exact"/>
        <w:ind w:firstLine="480" w:firstLineChars="200"/>
      </w:pPr>
      <w:r>
        <w:rPr>
          <w:rFonts w:hint="eastAsia" w:cs="宋体"/>
          <w:sz w:val="24"/>
        </w:rPr>
        <w:t>由胶凝材料、细骨料、水和外加剂等按一定比例拌合，形成具有较高流动性，在自重作用下可自行填充，形成自密实结构，且</w:t>
      </w:r>
      <w:r>
        <w:rPr>
          <w:rFonts w:hint="eastAsia"/>
          <w:bCs/>
          <w:color w:val="000000"/>
          <w:sz w:val="24"/>
        </w:rPr>
        <w:t>28天</w:t>
      </w:r>
      <w:r>
        <w:rPr>
          <w:rFonts w:hint="eastAsia" w:cs="宋体"/>
          <w:sz w:val="24"/>
        </w:rPr>
        <w:t>无侧限抗压强度为0.3MPa~8.3MPa的新型回填材料。</w:t>
      </w:r>
    </w:p>
    <w:p w14:paraId="434CFFF2">
      <w:pPr>
        <w:spacing w:before="78" w:beforeLines="25" w:line="440" w:lineRule="exact"/>
        <w:ind w:firstLine="480" w:firstLineChars="200"/>
        <w:rPr>
          <w:rFonts w:eastAsia="楷体"/>
          <w:sz w:val="24"/>
          <w:szCs w:val="32"/>
        </w:rPr>
      </w:pPr>
      <w:r>
        <w:rPr>
          <w:rFonts w:hint="eastAsia" w:ascii="楷体" w:hAnsi="楷体" w:eastAsia="楷体" w:cs="楷体"/>
          <w:sz w:val="24"/>
          <w:szCs w:val="32"/>
        </w:rPr>
        <w:t>【条文说明</w:t>
      </w:r>
      <w:r>
        <w:rPr>
          <w:rFonts w:eastAsia="楷体"/>
          <w:sz w:val="24"/>
          <w:szCs w:val="32"/>
        </w:rPr>
        <w:t>】与传统混凝土相比，低强度充填材料抗压强度较低，通常低强度充填材料要求无侧限抗压强度为2.1MPa，对于临时回填的回填工程，其无侧限抗压强度应为0.3MPa~0.7MPa，对于结构回填工程，例如</w:t>
      </w:r>
      <w:r>
        <w:rPr>
          <w:rFonts w:hint="eastAsia" w:eastAsia="楷体"/>
          <w:sz w:val="24"/>
          <w:szCs w:val="32"/>
        </w:rPr>
        <w:t>道路</w:t>
      </w:r>
      <w:r>
        <w:rPr>
          <w:rFonts w:eastAsia="楷体"/>
          <w:sz w:val="24"/>
          <w:szCs w:val="32"/>
        </w:rPr>
        <w:t>回填</w:t>
      </w:r>
      <w:r>
        <w:rPr>
          <w:rFonts w:hint="eastAsia" w:eastAsia="楷体"/>
          <w:sz w:val="24"/>
          <w:szCs w:val="32"/>
        </w:rPr>
        <w:t>工程</w:t>
      </w:r>
      <w:r>
        <w:rPr>
          <w:rFonts w:eastAsia="楷体"/>
          <w:sz w:val="24"/>
          <w:szCs w:val="32"/>
        </w:rPr>
        <w:t>，此时其强度要求通常为2.</w:t>
      </w:r>
      <w:r>
        <w:rPr>
          <w:rFonts w:hint="eastAsia" w:eastAsia="楷体"/>
          <w:sz w:val="24"/>
          <w:szCs w:val="32"/>
        </w:rPr>
        <w:t>1</w:t>
      </w:r>
      <w:r>
        <w:rPr>
          <w:rFonts w:eastAsia="楷体"/>
          <w:sz w:val="24"/>
          <w:szCs w:val="32"/>
        </w:rPr>
        <w:t>MPa~8.3MPa</w:t>
      </w:r>
      <w:r>
        <w:rPr>
          <w:rFonts w:hint="eastAsia" w:eastAsia="楷体"/>
          <w:sz w:val="24"/>
          <w:szCs w:val="32"/>
        </w:rPr>
        <w:t>。</w:t>
      </w:r>
    </w:p>
    <w:p w14:paraId="4DDA2C4A">
      <w:pPr>
        <w:pStyle w:val="3"/>
        <w:keepNext w:val="0"/>
        <w:keepLines w:val="0"/>
        <w:numPr>
          <w:ilvl w:val="1"/>
          <w:numId w:val="15"/>
        </w:numPr>
        <w:spacing w:before="78" w:beforeLines="25" w:after="0" w:line="440" w:lineRule="exact"/>
        <w:jc w:val="both"/>
        <w:rPr>
          <w:rFonts w:eastAsia="宋体" w:cs="宋体"/>
          <w:bCs w:val="0"/>
          <w:color w:val="000000"/>
          <w:kern w:val="0"/>
          <w:sz w:val="24"/>
          <w:szCs w:val="22"/>
          <w:lang w:bidi="ar"/>
        </w:rPr>
      </w:pPr>
      <w:bookmarkStart w:id="25" w:name="_Toc25576"/>
      <w:bookmarkStart w:id="26" w:name="_Toc30876"/>
      <w:bookmarkStart w:id="27" w:name="_Toc25970"/>
      <w:r>
        <w:rPr>
          <w:rFonts w:hint="eastAsia" w:eastAsia="宋体" w:cs="宋体"/>
          <w:bCs w:val="0"/>
          <w:color w:val="000000"/>
          <w:kern w:val="0"/>
          <w:sz w:val="24"/>
          <w:szCs w:val="22"/>
          <w:lang w:bidi="ar"/>
        </w:rPr>
        <w:t>再生砂</w:t>
      </w:r>
      <w:r>
        <w:rPr>
          <w:rFonts w:eastAsia="宋体" w:cs="宋体"/>
          <w:color w:val="000000"/>
          <w:sz w:val="24"/>
          <w:szCs w:val="22"/>
        </w:rPr>
        <w:t xml:space="preserve"> </w:t>
      </w:r>
      <w:r>
        <w:rPr>
          <w:rFonts w:hint="eastAsia" w:eastAsia="宋体" w:cs="宋体"/>
          <w:bCs w:val="0"/>
          <w:color w:val="000000"/>
          <w:kern w:val="0"/>
          <w:sz w:val="24"/>
          <w:szCs w:val="22"/>
          <w:lang w:bidi="ar"/>
        </w:rPr>
        <w:t xml:space="preserve">recycled sand </w:t>
      </w:r>
      <w:bookmarkEnd w:id="25"/>
      <w:bookmarkEnd w:id="26"/>
      <w:bookmarkEnd w:id="27"/>
    </w:p>
    <w:p w14:paraId="1948E400">
      <w:pPr>
        <w:spacing w:before="78" w:beforeLines="25" w:line="440" w:lineRule="exact"/>
        <w:ind w:firstLine="480" w:firstLineChars="200"/>
        <w:rPr>
          <w:rFonts w:cs="宋体"/>
          <w:sz w:val="24"/>
        </w:rPr>
      </w:pPr>
      <w:r>
        <w:rPr>
          <w:rFonts w:hint="eastAsia" w:cs="宋体"/>
          <w:sz w:val="24"/>
        </w:rPr>
        <w:t>建筑废弃物经除杂、破碎和筛分等工艺处置获得的粒径为</w:t>
      </w:r>
      <w:r>
        <w:rPr>
          <w:rFonts w:hint="eastAsia"/>
          <w:bCs/>
          <w:color w:val="000000"/>
          <w:sz w:val="24"/>
        </w:rPr>
        <w:t>0.075mm~4.75mm的颗粒。</w:t>
      </w:r>
    </w:p>
    <w:p w14:paraId="68D2CB85">
      <w:pPr>
        <w:spacing w:before="78" w:beforeLines="25" w:line="440" w:lineRule="exact"/>
        <w:ind w:firstLine="480" w:firstLineChars="200"/>
        <w:rPr>
          <w:rFonts w:hint="eastAsia" w:ascii="楷体" w:hAnsi="楷体" w:eastAsia="楷体" w:cs="楷体"/>
          <w:bCs/>
          <w:color w:val="000000"/>
          <w:sz w:val="24"/>
        </w:rPr>
      </w:pPr>
      <w:r>
        <w:rPr>
          <w:rFonts w:ascii="楷体" w:hAnsi="楷体" w:eastAsia="楷体" w:cs="楷体"/>
          <w:bCs/>
          <w:color w:val="000000"/>
          <w:sz w:val="24"/>
        </w:rPr>
        <w:t>【条文说明】再生砂</w:t>
      </w:r>
      <w:r>
        <w:rPr>
          <w:rFonts w:hint="eastAsia" w:ascii="楷体" w:hAnsi="楷体" w:eastAsia="楷体" w:cs="楷体"/>
          <w:bCs/>
          <w:color w:val="000000"/>
          <w:sz w:val="24"/>
        </w:rPr>
        <w:t>可</w:t>
      </w:r>
      <w:r>
        <w:rPr>
          <w:rFonts w:ascii="楷体" w:hAnsi="楷体" w:eastAsia="楷体" w:cs="楷体"/>
          <w:bCs/>
          <w:color w:val="000000"/>
          <w:sz w:val="24"/>
        </w:rPr>
        <w:t>全替代</w:t>
      </w:r>
      <w:r>
        <w:rPr>
          <w:rFonts w:hint="eastAsia" w:ascii="楷体" w:hAnsi="楷体" w:eastAsia="楷体" w:cs="楷体"/>
          <w:bCs/>
          <w:color w:val="000000"/>
          <w:sz w:val="24"/>
        </w:rPr>
        <w:t>天然</w:t>
      </w:r>
      <w:r>
        <w:rPr>
          <w:rFonts w:ascii="楷体" w:hAnsi="楷体" w:eastAsia="楷体" w:cs="楷体"/>
          <w:bCs/>
          <w:color w:val="000000"/>
          <w:sz w:val="24"/>
        </w:rPr>
        <w:t>砂。</w:t>
      </w:r>
    </w:p>
    <w:p w14:paraId="718954CF">
      <w:pPr>
        <w:pStyle w:val="3"/>
        <w:keepNext w:val="0"/>
        <w:keepLines w:val="0"/>
        <w:numPr>
          <w:ilvl w:val="1"/>
          <w:numId w:val="15"/>
        </w:numPr>
        <w:spacing w:before="78" w:beforeLines="25" w:after="0" w:line="440" w:lineRule="exact"/>
        <w:jc w:val="both"/>
        <w:rPr>
          <w:rFonts w:eastAsia="宋体" w:cs="宋体"/>
          <w:bCs w:val="0"/>
          <w:color w:val="000000"/>
          <w:kern w:val="0"/>
          <w:sz w:val="24"/>
          <w:szCs w:val="22"/>
          <w:lang w:bidi="ar"/>
        </w:rPr>
      </w:pPr>
      <w:bookmarkStart w:id="28" w:name="_Toc19558"/>
      <w:bookmarkStart w:id="29" w:name="_Toc8798"/>
      <w:bookmarkStart w:id="30" w:name="_Toc5326"/>
      <w:r>
        <w:rPr>
          <w:rFonts w:hint="eastAsia" w:eastAsia="宋体" w:cs="宋体"/>
          <w:bCs w:val="0"/>
          <w:color w:val="000000"/>
          <w:kern w:val="0"/>
          <w:sz w:val="24"/>
          <w:szCs w:val="22"/>
          <w:lang w:bidi="ar"/>
        </w:rPr>
        <w:t>再生粉 recycled powder</w:t>
      </w:r>
      <w:bookmarkEnd w:id="28"/>
      <w:bookmarkEnd w:id="29"/>
    </w:p>
    <w:p w14:paraId="6E8F5667">
      <w:pPr>
        <w:spacing w:line="440" w:lineRule="exact"/>
        <w:ind w:firstLine="480" w:firstLineChars="200"/>
        <w:rPr>
          <w:bCs/>
          <w:color w:val="000000"/>
          <w:sz w:val="24"/>
        </w:rPr>
      </w:pPr>
      <w:r>
        <w:rPr>
          <w:rFonts w:hint="eastAsia" w:cs="宋体"/>
          <w:sz w:val="24"/>
        </w:rPr>
        <w:t>建筑废弃物经除杂、破碎和筛分等工艺处置获得的粒径不大于0.075mm</w:t>
      </w:r>
      <w:r>
        <w:rPr>
          <w:rFonts w:hint="eastAsia"/>
          <w:bCs/>
          <w:color w:val="000000"/>
          <w:sz w:val="24"/>
        </w:rPr>
        <w:t>的颗粒。</w:t>
      </w:r>
    </w:p>
    <w:p w14:paraId="19415848">
      <w:pPr>
        <w:spacing w:line="440" w:lineRule="exact"/>
        <w:ind w:firstLine="480" w:firstLineChars="200"/>
        <w:rPr>
          <w:bCs/>
          <w:color w:val="000000"/>
          <w:sz w:val="24"/>
        </w:rPr>
      </w:pPr>
      <w:r>
        <w:rPr>
          <w:rFonts w:ascii="楷体" w:hAnsi="楷体" w:eastAsia="楷体" w:cs="楷体"/>
          <w:bCs/>
          <w:color w:val="000000"/>
          <w:sz w:val="24"/>
        </w:rPr>
        <w:t>【条文说明】再生粉部分替代胶凝材料</w:t>
      </w:r>
      <w:r>
        <w:rPr>
          <w:rFonts w:hint="eastAsia" w:ascii="楷体" w:hAnsi="楷体" w:eastAsia="楷体" w:cs="楷体"/>
          <w:bCs/>
          <w:color w:val="000000"/>
          <w:sz w:val="24"/>
        </w:rPr>
        <w:t>。</w:t>
      </w:r>
    </w:p>
    <w:p w14:paraId="7CB80384">
      <w:pPr>
        <w:pStyle w:val="3"/>
        <w:keepNext w:val="0"/>
        <w:keepLines w:val="0"/>
        <w:numPr>
          <w:ilvl w:val="1"/>
          <w:numId w:val="15"/>
        </w:numPr>
        <w:spacing w:before="78" w:beforeLines="25" w:after="0" w:line="440" w:lineRule="exact"/>
        <w:jc w:val="both"/>
        <w:rPr>
          <w:rFonts w:eastAsia="宋体" w:cs="宋体"/>
          <w:bCs w:val="0"/>
          <w:color w:val="000000"/>
          <w:kern w:val="0"/>
          <w:sz w:val="24"/>
          <w:szCs w:val="22"/>
          <w:lang w:bidi="ar"/>
        </w:rPr>
      </w:pPr>
      <w:bookmarkStart w:id="31" w:name="_Toc2538"/>
      <w:bookmarkStart w:id="32" w:name="_Toc404"/>
      <w:r>
        <w:rPr>
          <w:rFonts w:hint="eastAsia" w:eastAsia="宋体" w:cs="宋体"/>
          <w:bCs w:val="0"/>
          <w:color w:val="000000"/>
          <w:kern w:val="0"/>
          <w:sz w:val="24"/>
          <w:szCs w:val="22"/>
          <w:lang w:bidi="ar"/>
        </w:rPr>
        <w:t>泌水率</w:t>
      </w:r>
      <w:r>
        <w:rPr>
          <w:rFonts w:eastAsia="宋体" w:cs="宋体"/>
          <w:color w:val="000000"/>
          <w:sz w:val="24"/>
          <w:szCs w:val="22"/>
        </w:rPr>
        <w:t xml:space="preserve"> </w:t>
      </w:r>
      <w:r>
        <w:rPr>
          <w:rFonts w:hint="eastAsia" w:eastAsia="宋体" w:cs="宋体"/>
          <w:bCs w:val="0"/>
          <w:color w:val="000000"/>
          <w:kern w:val="0"/>
          <w:sz w:val="24"/>
          <w:szCs w:val="22"/>
          <w:lang w:bidi="ar"/>
        </w:rPr>
        <w:t>bleeding ratio</w:t>
      </w:r>
      <w:bookmarkEnd w:id="30"/>
      <w:bookmarkEnd w:id="31"/>
      <w:bookmarkEnd w:id="32"/>
    </w:p>
    <w:p w14:paraId="5BC1AE65">
      <w:pPr>
        <w:spacing w:before="78" w:beforeLines="25" w:line="440" w:lineRule="exact"/>
        <w:ind w:firstLine="480" w:firstLineChars="200"/>
        <w:rPr>
          <w:rFonts w:cs="宋体"/>
          <w:sz w:val="24"/>
        </w:rPr>
      </w:pPr>
      <w:r>
        <w:rPr>
          <w:rFonts w:hint="eastAsia" w:cs="宋体"/>
          <w:sz w:val="24"/>
        </w:rPr>
        <w:t>静置规定时间后收集的表面泌出水体积与所测试样品总体积之比。</w:t>
      </w:r>
    </w:p>
    <w:p w14:paraId="2AB696CA">
      <w:pPr>
        <w:pStyle w:val="3"/>
        <w:keepNext w:val="0"/>
        <w:keepLines w:val="0"/>
        <w:numPr>
          <w:ilvl w:val="1"/>
          <w:numId w:val="15"/>
        </w:numPr>
        <w:spacing w:before="78" w:beforeLines="25" w:after="0" w:line="440" w:lineRule="exact"/>
        <w:jc w:val="both"/>
        <w:rPr>
          <w:rFonts w:eastAsia="宋体" w:cs="宋体"/>
          <w:bCs w:val="0"/>
          <w:color w:val="000000"/>
          <w:kern w:val="0"/>
          <w:sz w:val="24"/>
          <w:szCs w:val="22"/>
          <w:lang w:bidi="ar"/>
        </w:rPr>
      </w:pPr>
      <w:bookmarkStart w:id="33" w:name="_Toc22108"/>
      <w:bookmarkStart w:id="34" w:name="_Toc29883"/>
      <w:bookmarkStart w:id="35" w:name="_Toc8622"/>
      <w:r>
        <w:rPr>
          <w:rFonts w:hint="eastAsia" w:eastAsia="宋体" w:cs="宋体"/>
          <w:bCs w:val="0"/>
          <w:color w:val="000000"/>
          <w:kern w:val="0"/>
          <w:sz w:val="24"/>
          <w:szCs w:val="22"/>
          <w:lang w:bidi="ar"/>
        </w:rPr>
        <w:t>沉降率</w:t>
      </w:r>
      <w:r>
        <w:rPr>
          <w:rFonts w:eastAsia="宋体" w:cs="宋体"/>
          <w:color w:val="000000"/>
          <w:sz w:val="24"/>
          <w:szCs w:val="22"/>
        </w:rPr>
        <w:t xml:space="preserve"> </w:t>
      </w:r>
      <w:r>
        <w:rPr>
          <w:rFonts w:hint="eastAsia" w:eastAsia="宋体" w:cs="宋体"/>
          <w:bCs w:val="0"/>
          <w:color w:val="000000"/>
          <w:kern w:val="0"/>
          <w:sz w:val="24"/>
          <w:szCs w:val="22"/>
          <w:lang w:bidi="ar"/>
        </w:rPr>
        <w:t>settlement ratio</w:t>
      </w:r>
      <w:bookmarkEnd w:id="33"/>
      <w:bookmarkEnd w:id="34"/>
      <w:bookmarkEnd w:id="35"/>
    </w:p>
    <w:p w14:paraId="361BDDDB">
      <w:pPr>
        <w:spacing w:before="78" w:beforeLines="25" w:line="440" w:lineRule="exact"/>
        <w:ind w:firstLine="480" w:firstLineChars="200"/>
        <w:rPr>
          <w:rFonts w:cs="宋体"/>
          <w:sz w:val="24"/>
        </w:rPr>
      </w:pPr>
      <w:r>
        <w:rPr>
          <w:rFonts w:hint="eastAsia" w:cs="宋体"/>
          <w:sz w:val="24"/>
        </w:rPr>
        <w:t>规定时间试样沉降的高度与初始高度之比。</w:t>
      </w:r>
    </w:p>
    <w:p w14:paraId="5D22F657">
      <w:pPr>
        <w:pStyle w:val="3"/>
        <w:keepNext w:val="0"/>
        <w:keepLines w:val="0"/>
        <w:numPr>
          <w:ilvl w:val="1"/>
          <w:numId w:val="15"/>
        </w:numPr>
        <w:spacing w:before="78" w:beforeLines="25" w:after="0" w:line="440" w:lineRule="exact"/>
        <w:jc w:val="both"/>
        <w:rPr>
          <w:rFonts w:eastAsia="宋体" w:cs="宋体"/>
          <w:bCs w:val="0"/>
          <w:color w:val="000000"/>
          <w:kern w:val="0"/>
          <w:sz w:val="24"/>
          <w:szCs w:val="22"/>
          <w:lang w:bidi="ar"/>
        </w:rPr>
      </w:pPr>
      <w:bookmarkStart w:id="36" w:name="_Toc31745"/>
      <w:bookmarkStart w:id="37" w:name="_Toc8214"/>
      <w:bookmarkStart w:id="38" w:name="_Toc9149"/>
      <w:r>
        <w:rPr>
          <w:rFonts w:hint="eastAsia" w:eastAsia="宋体" w:cs="宋体"/>
          <w:bCs w:val="0"/>
          <w:color w:val="000000"/>
          <w:kern w:val="0"/>
          <w:sz w:val="24"/>
          <w:szCs w:val="22"/>
          <w:lang w:bidi="ar"/>
        </w:rPr>
        <w:t>落球凝结时间</w:t>
      </w:r>
      <w:r>
        <w:rPr>
          <w:rFonts w:eastAsia="宋体" w:cs="宋体"/>
          <w:color w:val="000000"/>
          <w:sz w:val="24"/>
          <w:szCs w:val="22"/>
        </w:rPr>
        <w:t xml:space="preserve"> </w:t>
      </w:r>
      <w:r>
        <w:rPr>
          <w:rFonts w:hint="eastAsia" w:eastAsia="宋体" w:cs="宋体"/>
          <w:bCs w:val="0"/>
          <w:color w:val="000000"/>
          <w:kern w:val="0"/>
          <w:sz w:val="24"/>
          <w:szCs w:val="22"/>
          <w:lang w:bidi="ar"/>
        </w:rPr>
        <w:t>setting time measured by ball</w:t>
      </w:r>
      <w:bookmarkEnd w:id="36"/>
      <w:r>
        <w:rPr>
          <w:rFonts w:hint="eastAsia" w:eastAsia="宋体" w:cs="宋体"/>
          <w:bCs w:val="0"/>
          <w:color w:val="000000"/>
          <w:kern w:val="0"/>
          <w:sz w:val="24"/>
          <w:szCs w:val="22"/>
          <w:lang w:bidi="ar"/>
        </w:rPr>
        <w:t>-drop</w:t>
      </w:r>
      <w:bookmarkEnd w:id="37"/>
      <w:bookmarkEnd w:id="38"/>
    </w:p>
    <w:p w14:paraId="776F2A1E">
      <w:pPr>
        <w:spacing w:before="78" w:beforeLines="25" w:line="440" w:lineRule="exact"/>
        <w:ind w:firstLine="480" w:firstLineChars="200"/>
        <w:rPr>
          <w:rFonts w:hint="eastAsia" w:ascii="宋体" w:hAnsi="宋体" w:cs="宋体"/>
          <w:sz w:val="24"/>
        </w:rPr>
      </w:pPr>
      <w:r>
        <w:rPr>
          <w:rFonts w:hint="eastAsia" w:cs="宋体"/>
          <w:sz w:val="24"/>
        </w:rPr>
        <w:t>以规定装置进行落球实验，试样表面落球凹坑直径为76mm时对应的时间。</w:t>
      </w:r>
    </w:p>
    <w:p w14:paraId="0EC80F3E">
      <w:pPr>
        <w:pStyle w:val="3"/>
        <w:keepNext w:val="0"/>
        <w:keepLines w:val="0"/>
        <w:numPr>
          <w:ilvl w:val="1"/>
          <w:numId w:val="15"/>
        </w:numPr>
        <w:spacing w:before="78" w:beforeLines="25" w:after="0" w:line="440" w:lineRule="exact"/>
        <w:jc w:val="both"/>
        <w:rPr>
          <w:rFonts w:eastAsia="宋体" w:cs="宋体"/>
          <w:bCs w:val="0"/>
          <w:kern w:val="0"/>
          <w:sz w:val="24"/>
          <w:szCs w:val="22"/>
          <w:lang w:bidi="ar"/>
        </w:rPr>
      </w:pPr>
      <w:bookmarkStart w:id="39" w:name="_Toc7775"/>
      <w:bookmarkStart w:id="40" w:name="_Toc2847"/>
      <w:bookmarkStart w:id="41" w:name="_Toc10768"/>
      <w:r>
        <w:rPr>
          <w:rFonts w:hint="eastAsia" w:eastAsia="宋体" w:cs="宋体"/>
          <w:bCs w:val="0"/>
          <w:kern w:val="0"/>
          <w:sz w:val="24"/>
          <w:szCs w:val="22"/>
          <w:lang w:bidi="ar"/>
        </w:rPr>
        <w:t>流动</w:t>
      </w:r>
      <w:r>
        <w:rPr>
          <w:rFonts w:eastAsia="宋体" w:cs="宋体"/>
          <w:bCs w:val="0"/>
          <w:kern w:val="0"/>
          <w:sz w:val="24"/>
          <w:szCs w:val="22"/>
          <w:lang w:bidi="ar"/>
        </w:rPr>
        <w:t>性</w:t>
      </w:r>
      <w:r>
        <w:rPr>
          <w:rFonts w:hint="eastAsia" w:eastAsia="宋体" w:cs="宋体"/>
          <w:bCs w:val="0"/>
          <w:kern w:val="0"/>
          <w:sz w:val="24"/>
          <w:szCs w:val="22"/>
          <w:lang w:bidi="ar"/>
        </w:rPr>
        <w:t xml:space="preserve"> flowability</w:t>
      </w:r>
      <w:bookmarkEnd w:id="39"/>
      <w:bookmarkEnd w:id="40"/>
      <w:bookmarkEnd w:id="41"/>
    </w:p>
    <w:p w14:paraId="73DF36AE">
      <w:pPr>
        <w:spacing w:before="78" w:beforeLines="25" w:line="440" w:lineRule="exact"/>
        <w:ind w:firstLine="480" w:firstLineChars="200"/>
        <w:rPr>
          <w:bCs/>
          <w:sz w:val="24"/>
        </w:rPr>
      </w:pPr>
      <w:r>
        <w:rPr>
          <w:rFonts w:hint="eastAsia" w:cs="宋体"/>
          <w:sz w:val="24"/>
        </w:rPr>
        <w:t>低强度充填材料拌合物可流动的状态。流动度小于150mm，称为低流动性低强度充填材料；流动度150mm~200mm，称为普通流动性低强度充填材料；流动度</w:t>
      </w:r>
      <w:r>
        <w:rPr>
          <w:rFonts w:hint="eastAsia"/>
          <w:sz w:val="24"/>
        </w:rPr>
        <w:t>大于</w:t>
      </w:r>
      <w:r>
        <w:rPr>
          <w:rFonts w:hint="eastAsia" w:cs="宋体"/>
          <w:sz w:val="24"/>
        </w:rPr>
        <w:t>150mm，称为高流动性低强度充填材料。</w:t>
      </w:r>
    </w:p>
    <w:p w14:paraId="102B6F0C">
      <w:pPr>
        <w:pStyle w:val="3"/>
        <w:keepNext w:val="0"/>
        <w:keepLines w:val="0"/>
        <w:numPr>
          <w:ilvl w:val="1"/>
          <w:numId w:val="15"/>
        </w:numPr>
        <w:spacing w:before="78" w:beforeLines="25" w:line="440" w:lineRule="exact"/>
        <w:jc w:val="both"/>
        <w:rPr>
          <w:rFonts w:eastAsia="宋体" w:cs="宋体"/>
          <w:bCs w:val="0"/>
          <w:kern w:val="0"/>
          <w:sz w:val="24"/>
          <w:szCs w:val="22"/>
          <w:lang w:bidi="ar"/>
        </w:rPr>
      </w:pPr>
      <w:bookmarkStart w:id="42" w:name="_Toc29785"/>
      <w:bookmarkStart w:id="43" w:name="_Toc14775"/>
      <w:r>
        <w:rPr>
          <w:rFonts w:hint="eastAsia" w:eastAsia="宋体" w:cs="宋体"/>
          <w:bCs w:val="0"/>
          <w:kern w:val="0"/>
          <w:sz w:val="24"/>
          <w:szCs w:val="22"/>
          <w:lang w:bidi="ar"/>
        </w:rPr>
        <w:t>流动度 fluidity</w:t>
      </w:r>
      <w:bookmarkEnd w:id="42"/>
      <w:bookmarkEnd w:id="43"/>
    </w:p>
    <w:p w14:paraId="6890C76B">
      <w:pPr>
        <w:adjustRightInd w:val="0"/>
        <w:spacing w:before="78" w:beforeLines="25" w:line="440" w:lineRule="exact"/>
        <w:ind w:firstLine="480" w:firstLineChars="200"/>
        <w:rPr>
          <w:bCs/>
          <w:sz w:val="24"/>
        </w:rPr>
      </w:pPr>
      <w:r>
        <w:rPr>
          <w:rFonts w:hint="eastAsia" w:cs="宋体"/>
          <w:sz w:val="24"/>
          <w:lang w:bidi="ar"/>
        </w:rPr>
        <w:t>低强度充填材料拌合物</w:t>
      </w:r>
      <w:r>
        <w:rPr>
          <w:rFonts w:hint="eastAsia" w:cs="宋体"/>
          <w:sz w:val="24"/>
        </w:rPr>
        <w:t>从内径75mm、高150mm的圆柱筒中坍落后扩展形成圆饼状</w:t>
      </w:r>
      <w:r>
        <w:rPr>
          <w:rFonts w:hint="eastAsia"/>
          <w:bCs/>
          <w:sz w:val="24"/>
        </w:rPr>
        <w:t>体的直径。</w:t>
      </w:r>
    </w:p>
    <w:p w14:paraId="455C07FA">
      <w:pPr>
        <w:pStyle w:val="3"/>
        <w:numPr>
          <w:ilvl w:val="1"/>
          <w:numId w:val="15"/>
        </w:numPr>
        <w:spacing w:before="78" w:beforeLines="25" w:line="440" w:lineRule="exact"/>
        <w:jc w:val="left"/>
        <w:rPr>
          <w:rFonts w:eastAsia="宋体" w:cs="宋体"/>
          <w:bCs w:val="0"/>
          <w:kern w:val="0"/>
          <w:sz w:val="24"/>
          <w:szCs w:val="22"/>
          <w:lang w:bidi="ar"/>
        </w:rPr>
      </w:pPr>
      <w:bookmarkStart w:id="44" w:name="_Toc19694"/>
      <w:bookmarkStart w:id="45" w:name="_Toc5693"/>
      <w:r>
        <w:rPr>
          <w:rFonts w:hint="eastAsia" w:eastAsia="宋体" w:cs="宋体"/>
          <w:bCs w:val="0"/>
          <w:kern w:val="0"/>
          <w:sz w:val="24"/>
          <w:szCs w:val="22"/>
          <w:lang w:bidi="ar"/>
        </w:rPr>
        <w:t xml:space="preserve">无侧限抗压强度 </w:t>
      </w:r>
      <w:r>
        <w:rPr>
          <w:rFonts w:hint="eastAsia" w:eastAsia="宋体" w:cs="宋体"/>
          <w:bCs w:val="0"/>
          <w:kern w:val="0"/>
          <w:sz w:val="24"/>
          <w:szCs w:val="22"/>
          <w:lang w:val="en-US" w:eastAsia="zh-CN" w:bidi="ar"/>
        </w:rPr>
        <w:t>u</w:t>
      </w:r>
      <w:r>
        <w:rPr>
          <w:rFonts w:hint="eastAsia" w:eastAsia="宋体" w:cs="宋体"/>
          <w:bCs w:val="0"/>
          <w:kern w:val="0"/>
          <w:sz w:val="24"/>
          <w:szCs w:val="22"/>
          <w:lang w:bidi="ar"/>
        </w:rPr>
        <w:t>nconfined compressive strength</w:t>
      </w:r>
      <w:bookmarkEnd w:id="44"/>
      <w:bookmarkEnd w:id="45"/>
    </w:p>
    <w:p w14:paraId="725F32BF">
      <w:pPr>
        <w:adjustRightInd w:val="0"/>
        <w:spacing w:before="78" w:beforeLines="25" w:line="440" w:lineRule="exact"/>
        <w:ind w:firstLine="480" w:firstLineChars="200"/>
        <w:rPr>
          <w:bCs/>
          <w:sz w:val="24"/>
          <w:lang w:bidi="ar"/>
        </w:rPr>
      </w:pPr>
      <w:r>
        <w:rPr>
          <w:rFonts w:hint="eastAsia"/>
          <w:bCs/>
          <w:sz w:val="24"/>
          <w:lang w:bidi="ar"/>
        </w:rPr>
        <w:t>低强度充填材料在无侧限条件下轴向压缩至破坏时单位面积所能承受的最大压应力。</w:t>
      </w:r>
    </w:p>
    <w:p w14:paraId="4447A804">
      <w:pPr>
        <w:pStyle w:val="3"/>
        <w:keepNext w:val="0"/>
        <w:keepLines w:val="0"/>
        <w:numPr>
          <w:ilvl w:val="255"/>
          <w:numId w:val="0"/>
        </w:numPr>
        <w:spacing w:before="78" w:beforeLines="25" w:line="440" w:lineRule="exact"/>
        <w:jc w:val="both"/>
        <w:rPr>
          <w:rFonts w:eastAsia="宋体" w:cs="宋体"/>
          <w:bCs w:val="0"/>
          <w:kern w:val="0"/>
          <w:sz w:val="24"/>
          <w:szCs w:val="22"/>
          <w:lang w:bidi="ar"/>
        </w:rPr>
        <w:sectPr>
          <w:headerReference r:id="rId15" w:type="first"/>
          <w:headerReference r:id="rId13" w:type="default"/>
          <w:footerReference r:id="rId16" w:type="default"/>
          <w:headerReference r:id="rId14" w:type="even"/>
          <w:pgSz w:w="11905" w:h="16838"/>
          <w:pgMar w:top="1582" w:right="1440" w:bottom="1162" w:left="1582" w:header="0" w:footer="969" w:gutter="283"/>
          <w:cols w:space="0" w:num="1"/>
          <w:docGrid w:type="linesAndChars" w:linePitch="312" w:charSpace="0"/>
        </w:sectPr>
      </w:pPr>
    </w:p>
    <w:p w14:paraId="2DF197BE">
      <w:pPr>
        <w:pStyle w:val="3"/>
        <w:keepNext w:val="0"/>
        <w:keepLines w:val="0"/>
        <w:numPr>
          <w:ilvl w:val="0"/>
          <w:numId w:val="14"/>
        </w:numPr>
        <w:spacing w:before="78" w:beforeLines="25" w:after="0" w:line="440" w:lineRule="exact"/>
        <w:rPr>
          <w:rFonts w:hint="eastAsia" w:ascii="微软雅黑" w:hAnsi="微软雅黑" w:eastAsia="微软雅黑" w:cs="微软雅黑"/>
          <w:bCs w:val="0"/>
          <w:kern w:val="0"/>
          <w:sz w:val="28"/>
          <w:szCs w:val="28"/>
          <w:lang w:bidi="ar"/>
        </w:rPr>
      </w:pPr>
      <w:bookmarkStart w:id="46" w:name="_Toc11248"/>
      <w:bookmarkStart w:id="47" w:name="_Toc23520"/>
      <w:bookmarkStart w:id="48" w:name="_Toc9412"/>
      <w:bookmarkStart w:id="49" w:name="_Toc2750"/>
      <w:r>
        <w:rPr>
          <w:rFonts w:hint="eastAsia" w:ascii="微软雅黑" w:hAnsi="微软雅黑" w:eastAsia="微软雅黑" w:cs="微软雅黑"/>
          <w:bCs w:val="0"/>
          <w:kern w:val="0"/>
          <w:sz w:val="28"/>
          <w:szCs w:val="28"/>
          <w:lang w:val="en-US" w:eastAsia="zh-CN" w:bidi="ar"/>
        </w:rPr>
        <w:t xml:space="preserve"> </w:t>
      </w:r>
      <w:r>
        <w:rPr>
          <w:rFonts w:hint="eastAsia" w:ascii="微软雅黑" w:hAnsi="微软雅黑" w:eastAsia="微软雅黑" w:cs="微软雅黑"/>
          <w:bCs w:val="0"/>
          <w:kern w:val="0"/>
          <w:sz w:val="28"/>
          <w:szCs w:val="28"/>
          <w:lang w:bidi="ar"/>
        </w:rPr>
        <w:t>符号</w:t>
      </w:r>
      <w:bookmarkEnd w:id="46"/>
      <w:bookmarkEnd w:id="47"/>
      <w:bookmarkEnd w:id="48"/>
      <w:bookmarkEnd w:id="49"/>
    </w:p>
    <w:p w14:paraId="2A90A913"/>
    <w:p w14:paraId="46E6D14A">
      <w:pPr>
        <w:spacing w:before="156" w:beforeLines="50" w:line="440" w:lineRule="exact"/>
        <w:ind w:firstLine="480" w:firstLineChars="200"/>
        <w:rPr>
          <w:rFonts w:hint="eastAsia" w:ascii="宋体" w:hAnsi="宋体" w:cs="宋体"/>
          <w:sz w:val="24"/>
        </w:rPr>
      </w:pPr>
      <w:r>
        <w:rPr>
          <w:i/>
          <w:iCs/>
          <w:sz w:val="24"/>
        </w:rPr>
        <w:t>V</w:t>
      </w:r>
      <w:r>
        <w:rPr>
          <w:sz w:val="24"/>
          <w:vertAlign w:val="subscript"/>
        </w:rPr>
        <w:t>f</w:t>
      </w:r>
      <w:r>
        <w:rPr>
          <w:rFonts w:hint="eastAsia" w:ascii="宋体" w:hAnsi="宋体" w:cs="宋体"/>
          <w:sz w:val="24"/>
        </w:rPr>
        <w:t>——细骨料绝对体积用量；</w:t>
      </w:r>
    </w:p>
    <w:p w14:paraId="3C5F2063">
      <w:pPr>
        <w:spacing w:before="156" w:beforeLines="50" w:line="440" w:lineRule="exact"/>
        <w:ind w:firstLine="480" w:firstLineChars="200"/>
        <w:rPr>
          <w:rFonts w:hint="eastAsia" w:ascii="宋体" w:hAnsi="宋体" w:cs="宋体"/>
          <w:sz w:val="24"/>
        </w:rPr>
      </w:pPr>
      <w:r>
        <w:rPr>
          <w:i/>
          <w:iCs/>
          <w:sz w:val="24"/>
        </w:rPr>
        <w:t>V</w:t>
      </w:r>
      <w:r>
        <w:rPr>
          <w:sz w:val="24"/>
          <w:vertAlign w:val="subscript"/>
        </w:rPr>
        <w:t>p</w:t>
      </w:r>
      <w:r>
        <w:rPr>
          <w:rFonts w:hint="eastAsia" w:ascii="宋体" w:hAnsi="宋体" w:cs="宋体"/>
          <w:sz w:val="24"/>
        </w:rPr>
        <w:t>——净浆体积；</w:t>
      </w:r>
    </w:p>
    <w:p w14:paraId="4652E043">
      <w:pPr>
        <w:spacing w:before="156" w:beforeLines="50" w:line="440" w:lineRule="exact"/>
        <w:ind w:firstLine="480" w:firstLineChars="200"/>
        <w:rPr>
          <w:rFonts w:hint="eastAsia" w:ascii="宋体" w:hAnsi="宋体" w:cs="宋体"/>
          <w:sz w:val="24"/>
        </w:rPr>
      </w:pPr>
      <w:r>
        <w:rPr>
          <w:i/>
          <w:iCs/>
          <w:sz w:val="24"/>
        </w:rPr>
        <w:t>m</w:t>
      </w:r>
      <w:r>
        <w:rPr>
          <w:sz w:val="24"/>
          <w:vertAlign w:val="subscript"/>
        </w:rPr>
        <w:t>f</w:t>
      </w:r>
      <w:r>
        <w:rPr>
          <w:rFonts w:hint="eastAsia" w:ascii="宋体" w:hAnsi="宋体" w:cs="宋体"/>
          <w:sz w:val="24"/>
        </w:rPr>
        <w:t>——细骨料质量；</w:t>
      </w:r>
    </w:p>
    <w:p w14:paraId="23B75ADA">
      <w:pPr>
        <w:spacing w:before="156" w:beforeLines="50" w:line="440" w:lineRule="exact"/>
        <w:ind w:firstLine="480" w:firstLineChars="200"/>
        <w:rPr>
          <w:rFonts w:hint="eastAsia" w:ascii="宋体" w:hAnsi="宋体" w:cs="宋体"/>
          <w:sz w:val="24"/>
        </w:rPr>
      </w:pPr>
      <m:oMath>
        <m:r>
          <m:rPr/>
          <w:rPr>
            <w:rFonts w:ascii="Cambria Math" w:hAnsi="Cambria Math" w:cs="宋体"/>
            <w:sz w:val="24"/>
          </w:rPr>
          <m:t>φ</m:t>
        </m:r>
      </m:oMath>
      <w:r>
        <w:rPr>
          <w:rFonts w:hint="eastAsia" w:ascii="宋体" w:hAnsi="宋体" w:cs="宋体"/>
          <w:sz w:val="24"/>
        </w:rPr>
        <w:t>——建筑废弃物再生细骨料占总细骨料体积百分数；</w:t>
      </w:r>
    </w:p>
    <w:p w14:paraId="435EA7F0">
      <w:pPr>
        <w:spacing w:before="156" w:beforeLines="50" w:line="440" w:lineRule="exact"/>
        <w:ind w:firstLine="480" w:firstLineChars="200"/>
        <w:rPr>
          <w:rFonts w:hint="eastAsia" w:ascii="宋体" w:hAnsi="宋体" w:cs="宋体"/>
          <w:sz w:val="24"/>
        </w:rPr>
      </w:pPr>
      <m:oMath>
        <m:sSub>
          <m:sSubPr>
            <m:ctrlPr>
              <w:rPr>
                <w:rFonts w:hint="eastAsia" w:ascii="Cambria Math" w:hAnsi="Cambria Math" w:cs="宋体"/>
                <w:i/>
                <w:sz w:val="24"/>
              </w:rPr>
            </m:ctrlPr>
          </m:sSubPr>
          <m:e>
            <m:r>
              <m:rPr/>
              <w:rPr>
                <w:rFonts w:ascii="Cambria Math" w:hAnsi="Cambria Math" w:cs="宋体"/>
                <w:sz w:val="24"/>
              </w:rPr>
              <m:t>m</m:t>
            </m:r>
            <m:ctrlPr>
              <w:rPr>
                <w:rFonts w:hint="eastAsia" w:ascii="Cambria Math" w:hAnsi="Cambria Math" w:cs="宋体"/>
                <w:i/>
                <w:sz w:val="24"/>
              </w:rPr>
            </m:ctrlPr>
          </m:e>
          <m:sub>
            <m:r>
              <m:rPr>
                <m:sty m:val="p"/>
              </m:rPr>
              <w:rPr>
                <w:rFonts w:ascii="Cambria Math" w:hAnsi="Cambria Math" w:cs="宋体"/>
                <w:sz w:val="24"/>
              </w:rPr>
              <m:t>ws</m:t>
            </m:r>
            <m:ctrlPr>
              <w:rPr>
                <w:rFonts w:hint="eastAsia" w:ascii="Cambria Math" w:hAnsi="Cambria Math" w:cs="宋体"/>
                <w:i/>
                <w:sz w:val="24"/>
              </w:rPr>
            </m:ctrlPr>
          </m:sub>
        </m:sSub>
      </m:oMath>
      <w:r>
        <w:rPr>
          <w:rFonts w:hint="eastAsia" w:ascii="宋体" w:hAnsi="宋体" w:cs="宋体"/>
          <w:sz w:val="24"/>
        </w:rPr>
        <w:t>——作为细骨料的建筑废弃物质量；</w:t>
      </w:r>
    </w:p>
    <w:p w14:paraId="05F88D8A">
      <w:pPr>
        <w:spacing w:before="156" w:beforeLines="50" w:line="440" w:lineRule="exact"/>
        <w:ind w:firstLine="480" w:firstLineChars="200"/>
        <w:rPr>
          <w:rFonts w:hint="eastAsia" w:ascii="宋体" w:hAnsi="宋体" w:cs="宋体"/>
          <w:sz w:val="24"/>
        </w:rPr>
      </w:pPr>
      <m:oMath>
        <m:sSub>
          <m:sSubPr>
            <m:ctrlPr>
              <w:rPr>
                <w:rFonts w:hint="eastAsia" w:ascii="Cambria Math" w:hAnsi="Cambria Math" w:cs="宋体"/>
                <w:i/>
                <w:sz w:val="24"/>
              </w:rPr>
            </m:ctrlPr>
          </m:sSubPr>
          <m:e>
            <m:r>
              <m:rPr/>
              <w:rPr>
                <w:rFonts w:hint="eastAsia" w:ascii="Cambria Math" w:hAnsi="Cambria Math" w:cs="宋体"/>
                <w:sz w:val="24"/>
              </w:rPr>
              <m:t>ρ</m:t>
            </m:r>
            <m:ctrlPr>
              <w:rPr>
                <w:rFonts w:hint="eastAsia" w:ascii="Cambria Math" w:hAnsi="Cambria Math" w:cs="宋体"/>
                <w:i/>
                <w:sz w:val="24"/>
              </w:rPr>
            </m:ctrlPr>
          </m:e>
          <m:sub>
            <m:r>
              <m:rPr>
                <m:sty m:val="p"/>
              </m:rPr>
              <w:rPr>
                <w:rFonts w:ascii="Cambria Math" w:hAnsi="Cambria Math" w:cs="宋体"/>
                <w:sz w:val="24"/>
              </w:rPr>
              <m:t>ws</m:t>
            </m:r>
            <m:ctrlPr>
              <w:rPr>
                <w:rFonts w:hint="eastAsia" w:ascii="Cambria Math" w:hAnsi="Cambria Math" w:cs="宋体"/>
                <w:i/>
                <w:sz w:val="24"/>
              </w:rPr>
            </m:ctrlPr>
          </m:sub>
        </m:sSub>
      </m:oMath>
      <w:r>
        <w:rPr>
          <w:rFonts w:hint="eastAsia" w:ascii="宋体" w:hAnsi="宋体" w:cs="宋体"/>
          <w:sz w:val="24"/>
        </w:rPr>
        <w:t>——作为细骨料的建筑废弃物密度；</w:t>
      </w:r>
    </w:p>
    <w:p w14:paraId="33B453AA">
      <w:pPr>
        <w:spacing w:before="156" w:beforeLines="50" w:line="440" w:lineRule="exact"/>
        <w:ind w:firstLine="480" w:firstLineChars="200"/>
        <w:rPr>
          <w:rFonts w:hint="eastAsia" w:ascii="宋体" w:hAnsi="宋体" w:cs="宋体"/>
          <w:iCs/>
          <w:sz w:val="24"/>
        </w:rPr>
      </w:pPr>
      <m:oMath>
        <m:sSub>
          <m:sSubPr>
            <m:ctrlPr>
              <w:rPr>
                <w:rFonts w:hint="eastAsia" w:ascii="Cambria Math" w:hAnsi="Cambria Math" w:cs="宋体"/>
                <w:i/>
                <w:iCs/>
                <w:sz w:val="24"/>
              </w:rPr>
            </m:ctrlPr>
          </m:sSubPr>
          <m:e>
            <m:r>
              <m:rPr/>
              <w:rPr>
                <w:rFonts w:hint="eastAsia" w:ascii="Cambria Math" w:hAnsi="Cambria Math" w:cs="宋体"/>
                <w:sz w:val="24"/>
              </w:rPr>
              <m:t>m</m:t>
            </m:r>
            <m:ctrlPr>
              <w:rPr>
                <w:rFonts w:hint="eastAsia" w:ascii="Cambria Math" w:hAnsi="Cambria Math" w:cs="宋体"/>
                <w:i/>
                <w:iCs/>
                <w:sz w:val="24"/>
              </w:rPr>
            </m:ctrlPr>
          </m:e>
          <m:sub>
            <m:r>
              <m:rPr/>
              <w:rPr>
                <w:rFonts w:hint="eastAsia" w:ascii="Cambria Math" w:hAnsi="Cambria Math" w:cs="宋体"/>
                <w:sz w:val="24"/>
              </w:rPr>
              <m:t>ns</m:t>
            </m:r>
            <m:ctrlPr>
              <w:rPr>
                <w:rFonts w:hint="eastAsia" w:ascii="Cambria Math" w:hAnsi="Cambria Math" w:cs="宋体"/>
                <w:i/>
                <w:iCs/>
                <w:sz w:val="24"/>
              </w:rPr>
            </m:ctrlPr>
          </m:sub>
        </m:sSub>
      </m:oMath>
      <w:r>
        <w:rPr>
          <w:rFonts w:hint="eastAsia" w:ascii="宋体" w:hAnsi="宋体" w:cs="宋体"/>
          <w:iCs/>
          <w:sz w:val="24"/>
        </w:rPr>
        <w:t>—</w:t>
      </w:r>
      <w:r>
        <w:rPr>
          <w:rFonts w:hint="eastAsia" w:ascii="宋体" w:hAnsi="宋体" w:cs="宋体"/>
          <w:sz w:val="24"/>
        </w:rPr>
        <w:t>—</w:t>
      </w:r>
      <w:r>
        <w:rPr>
          <w:rFonts w:hint="eastAsia" w:ascii="宋体" w:hAnsi="宋体" w:cs="宋体"/>
          <w:iCs/>
          <w:sz w:val="24"/>
        </w:rPr>
        <w:t>普通细骨料质量</w:t>
      </w:r>
      <w:r>
        <w:rPr>
          <w:rFonts w:hint="eastAsia" w:ascii="宋体" w:hAnsi="宋体" w:cs="宋体"/>
          <w:sz w:val="24"/>
        </w:rPr>
        <w:t>；</w:t>
      </w:r>
    </w:p>
    <w:p w14:paraId="5A67A4D5">
      <w:pPr>
        <w:spacing w:before="156" w:beforeLines="50" w:line="440" w:lineRule="exact"/>
        <w:ind w:firstLine="480" w:firstLineChars="200"/>
        <w:rPr>
          <w:rFonts w:hint="eastAsia" w:ascii="宋体" w:hAnsi="宋体" w:cs="宋体"/>
          <w:sz w:val="24"/>
        </w:rPr>
      </w:pPr>
      <m:oMath>
        <m:sSub>
          <m:sSubPr>
            <m:ctrlPr>
              <w:rPr>
                <w:rFonts w:hint="eastAsia" w:ascii="Cambria Math" w:hAnsi="Cambria Math" w:cs="宋体"/>
                <w:i/>
                <w:sz w:val="24"/>
              </w:rPr>
            </m:ctrlPr>
          </m:sSubPr>
          <m:e>
            <m:r>
              <m:rPr/>
              <w:rPr>
                <w:rFonts w:hint="eastAsia" w:ascii="Cambria Math" w:hAnsi="Cambria Math" w:cs="宋体"/>
                <w:sz w:val="24"/>
              </w:rPr>
              <m:t>ρ</m:t>
            </m:r>
            <m:ctrlPr>
              <w:rPr>
                <w:rFonts w:hint="eastAsia" w:ascii="Cambria Math" w:hAnsi="Cambria Math" w:cs="宋体"/>
                <w:i/>
                <w:sz w:val="24"/>
              </w:rPr>
            </m:ctrlPr>
          </m:e>
          <m:sub>
            <m:r>
              <m:rPr>
                <m:sty m:val="p"/>
              </m:rPr>
              <w:rPr>
                <w:rFonts w:ascii="Cambria Math" w:hAnsi="Cambria Math" w:cs="宋体"/>
                <w:sz w:val="24"/>
              </w:rPr>
              <m:t>ns</m:t>
            </m:r>
            <m:ctrlPr>
              <w:rPr>
                <w:rFonts w:hint="eastAsia" w:ascii="Cambria Math" w:hAnsi="Cambria Math" w:cs="宋体"/>
                <w:i/>
                <w:sz w:val="24"/>
              </w:rPr>
            </m:ctrlPr>
          </m:sub>
        </m:sSub>
        <m:r>
          <m:rPr/>
          <w:rPr>
            <w:rFonts w:hint="eastAsia" w:ascii="Cambria Math" w:hAnsi="Cambria Math" w:cs="宋体"/>
            <w:sz w:val="24"/>
          </w:rPr>
          <m:t xml:space="preserve"> </m:t>
        </m:r>
      </m:oMath>
      <w:r>
        <w:rPr>
          <w:rFonts w:hint="eastAsia" w:ascii="宋体" w:hAnsi="宋体" w:cs="宋体"/>
          <w:sz w:val="24"/>
        </w:rPr>
        <w:t>——普通细骨料密度；</w:t>
      </w:r>
    </w:p>
    <w:p w14:paraId="0180B8A9">
      <w:pPr>
        <w:spacing w:before="156" w:beforeLines="50" w:line="440" w:lineRule="exact"/>
        <w:ind w:firstLine="480" w:firstLineChars="200"/>
        <w:rPr>
          <w:rFonts w:hint="eastAsia" w:ascii="宋体" w:hAnsi="宋体" w:cs="宋体"/>
          <w:iCs/>
          <w:sz w:val="24"/>
        </w:rPr>
      </w:pPr>
      <m:oMath>
        <m:r>
          <m:rPr/>
          <w:rPr>
            <w:rFonts w:hint="eastAsia" w:ascii="Cambria Math" w:hAnsi="Cambria Math" w:cs="宋体"/>
            <w:sz w:val="24"/>
          </w:rPr>
          <m:t>α</m:t>
        </m:r>
      </m:oMath>
      <w:r>
        <w:rPr>
          <w:rFonts w:hint="eastAsia" w:ascii="宋体" w:hAnsi="宋体" w:cs="宋体"/>
          <w:sz w:val="24"/>
        </w:rPr>
        <w:t>——建筑废弃物再生粉占总胶凝材料质量百分数；</w:t>
      </w:r>
    </w:p>
    <w:p w14:paraId="4C90C212">
      <w:pPr>
        <w:spacing w:before="156" w:beforeLines="50" w:line="440" w:lineRule="exact"/>
        <w:ind w:firstLine="480" w:firstLineChars="200"/>
        <w:rPr>
          <w:rFonts w:hint="eastAsia" w:ascii="宋体" w:hAnsi="宋体" w:cs="宋体"/>
          <w:sz w:val="24"/>
        </w:rPr>
      </w:pPr>
      <m:oMath>
        <m:sSub>
          <m:sSubPr>
            <m:ctrlPr>
              <w:rPr>
                <w:rFonts w:hint="eastAsia" w:ascii="Cambria Math" w:hAnsi="Cambria Math" w:cs="宋体"/>
                <w:i/>
                <w:sz w:val="24"/>
              </w:rPr>
            </m:ctrlPr>
          </m:sSubPr>
          <m:e>
            <m:r>
              <m:rPr/>
              <w:rPr>
                <w:rFonts w:hint="eastAsia" w:ascii="Cambria Math" w:hAnsi="Cambria Math" w:cs="宋体"/>
                <w:sz w:val="24"/>
              </w:rPr>
              <m:t>ρ</m:t>
            </m:r>
            <m:ctrlPr>
              <w:rPr>
                <w:rFonts w:hint="eastAsia" w:ascii="Cambria Math" w:hAnsi="Cambria Math" w:cs="宋体"/>
                <w:i/>
                <w:sz w:val="24"/>
              </w:rPr>
            </m:ctrlPr>
          </m:e>
          <m:sub>
            <m:r>
              <m:rPr/>
              <w:rPr>
                <w:rFonts w:hint="eastAsia" w:ascii="Cambria Math" w:hAnsi="Cambria Math" w:cs="宋体"/>
                <w:sz w:val="24"/>
              </w:rPr>
              <m:t>wb</m:t>
            </m:r>
            <m:ctrlPr>
              <w:rPr>
                <w:rFonts w:hint="eastAsia" w:ascii="Cambria Math" w:hAnsi="Cambria Math" w:cs="宋体"/>
                <w:i/>
                <w:sz w:val="24"/>
              </w:rPr>
            </m:ctrlPr>
          </m:sub>
        </m:sSub>
      </m:oMath>
      <w:r>
        <w:rPr>
          <w:rFonts w:hint="eastAsia"/>
          <w:sz w:val="24"/>
        </w:rPr>
        <w:t>——作为</w:t>
      </w:r>
      <w:r>
        <w:rPr>
          <w:rFonts w:hint="eastAsia" w:ascii="宋体" w:hAnsi="宋体" w:cs="宋体"/>
          <w:sz w:val="24"/>
        </w:rPr>
        <w:t>胶凝材料的建筑废弃物密度；</w:t>
      </w:r>
    </w:p>
    <w:p w14:paraId="1E34E067">
      <w:pPr>
        <w:spacing w:before="156" w:beforeLines="50" w:line="440" w:lineRule="exact"/>
        <w:ind w:firstLine="480" w:firstLineChars="200"/>
        <w:rPr>
          <w:rFonts w:hint="eastAsia" w:ascii="宋体" w:hAnsi="宋体" w:cs="宋体"/>
          <w:b/>
          <w:bCs/>
          <w:iCs/>
          <w:sz w:val="24"/>
        </w:rPr>
      </w:pPr>
      <m:oMath>
        <m:sSub>
          <m:sSubPr>
            <m:ctrlPr>
              <w:rPr>
                <w:rFonts w:hint="eastAsia" w:ascii="Cambria Math" w:hAnsi="Cambria Math" w:cs="宋体"/>
                <w:i/>
                <w:sz w:val="24"/>
              </w:rPr>
            </m:ctrlPr>
          </m:sSubPr>
          <m:e>
            <m:r>
              <m:rPr/>
              <w:rPr>
                <w:rFonts w:hint="eastAsia" w:ascii="Cambria Math" w:hAnsi="Cambria Math" w:cs="宋体"/>
                <w:sz w:val="24"/>
              </w:rPr>
              <m:t>ρ</m:t>
            </m:r>
            <m:ctrlPr>
              <w:rPr>
                <w:rFonts w:hint="eastAsia" w:ascii="Cambria Math" w:hAnsi="Cambria Math" w:cs="宋体"/>
                <w:i/>
                <w:sz w:val="24"/>
              </w:rPr>
            </m:ctrlPr>
          </m:e>
          <m:sub>
            <m:r>
              <m:rPr/>
              <w:rPr>
                <w:rFonts w:hint="eastAsia" w:ascii="Cambria Math" w:hAnsi="Cambria Math" w:cs="宋体"/>
                <w:sz w:val="24"/>
              </w:rPr>
              <m:t>nb</m:t>
            </m:r>
            <m:ctrlPr>
              <w:rPr>
                <w:rFonts w:hint="eastAsia" w:ascii="Cambria Math" w:hAnsi="Cambria Math" w:cs="宋体"/>
                <w:i/>
                <w:sz w:val="24"/>
              </w:rPr>
            </m:ctrlPr>
          </m:sub>
        </m:sSub>
      </m:oMath>
      <w:r>
        <w:rPr>
          <w:rFonts w:hint="eastAsia" w:ascii="宋体" w:hAnsi="宋体" w:cs="宋体"/>
          <w:sz w:val="24"/>
        </w:rPr>
        <w:t>——不含建筑废弃物再生粉的胶凝材料密度；</w:t>
      </w:r>
    </w:p>
    <w:p w14:paraId="7F5F4BD0">
      <w:pPr>
        <w:spacing w:before="156" w:beforeLines="50" w:line="440" w:lineRule="exact"/>
        <w:ind w:firstLine="480" w:firstLineChars="200"/>
        <w:rPr>
          <w:rFonts w:hint="eastAsia" w:ascii="宋体" w:hAnsi="宋体" w:cs="宋体"/>
          <w:sz w:val="24"/>
        </w:rPr>
      </w:pPr>
      <m:oMath>
        <m:sSub>
          <m:sSubPr>
            <m:ctrlPr>
              <w:rPr>
                <w:rFonts w:hint="eastAsia" w:ascii="Cambria Math" w:hAnsi="Cambria Math" w:cs="宋体"/>
                <w:i/>
                <w:sz w:val="24"/>
              </w:rPr>
            </m:ctrlPr>
          </m:sSubPr>
          <m:e>
            <m:r>
              <m:rPr/>
              <w:rPr>
                <w:rFonts w:hint="eastAsia" w:ascii="Cambria Math" w:hAnsi="Cambria Math" w:cs="宋体"/>
                <w:sz w:val="24"/>
              </w:rPr>
              <m:t>ρ</m:t>
            </m:r>
            <m:ctrlPr>
              <w:rPr>
                <w:rFonts w:hint="eastAsia" w:ascii="Cambria Math" w:hAnsi="Cambria Math" w:cs="宋体"/>
                <w:i/>
                <w:sz w:val="24"/>
              </w:rPr>
            </m:ctrlPr>
          </m:e>
          <m:sub>
            <m:r>
              <m:rPr/>
              <w:rPr>
                <w:rFonts w:hint="eastAsia" w:ascii="Cambria Math" w:hAnsi="Cambria Math" w:cs="宋体"/>
                <w:sz w:val="24"/>
              </w:rPr>
              <m:t>A</m:t>
            </m:r>
            <m:ctrlPr>
              <w:rPr>
                <w:rFonts w:hint="eastAsia" w:ascii="Cambria Math" w:hAnsi="Cambria Math" w:cs="宋体"/>
                <w:i/>
                <w:sz w:val="24"/>
              </w:rPr>
            </m:ctrlPr>
          </m:sub>
        </m:sSub>
      </m:oMath>
      <w:r>
        <w:rPr>
          <w:rFonts w:hint="eastAsia" w:ascii="宋体" w:hAnsi="宋体" w:cs="宋体"/>
          <w:sz w:val="24"/>
        </w:rPr>
        <w:t>——胶凝材料平均密度；</w:t>
      </w:r>
    </w:p>
    <w:p w14:paraId="676B427E">
      <w:pPr>
        <w:spacing w:before="156" w:beforeLines="50" w:line="440" w:lineRule="exact"/>
        <w:ind w:firstLine="480" w:firstLineChars="200"/>
        <w:rPr>
          <w:bCs/>
          <w:color w:val="000000"/>
          <w:sz w:val="24"/>
        </w:rPr>
        <w:sectPr>
          <w:footerReference r:id="rId18" w:type="first"/>
          <w:footerReference r:id="rId17" w:type="default"/>
          <w:pgSz w:w="11905" w:h="16838"/>
          <w:pgMar w:top="1582" w:right="1440" w:bottom="1162" w:left="1582" w:header="0" w:footer="969" w:gutter="283"/>
          <w:cols w:space="0" w:num="1"/>
          <w:titlePg/>
          <w:docGrid w:type="linesAndChars" w:linePitch="312" w:charSpace="0"/>
        </w:sectPr>
      </w:pPr>
      <m:oMath>
        <m:sSub>
          <m:sSubPr>
            <m:ctrlPr>
              <w:rPr>
                <w:rFonts w:hint="eastAsia" w:ascii="Cambria Math" w:hAnsi="Cambria Math" w:cs="宋体"/>
                <w:i/>
                <w:sz w:val="24"/>
              </w:rPr>
            </m:ctrlPr>
          </m:sSubPr>
          <m:e>
            <m:r>
              <m:rPr/>
              <w:rPr>
                <w:rFonts w:hint="eastAsia" w:ascii="Cambria Math" w:hAnsi="Cambria Math" w:cs="宋体"/>
                <w:sz w:val="24"/>
              </w:rPr>
              <m:t>m</m:t>
            </m:r>
            <m:ctrlPr>
              <w:rPr>
                <w:rFonts w:hint="eastAsia" w:ascii="Cambria Math" w:hAnsi="Cambria Math" w:cs="宋体"/>
                <w:i/>
                <w:sz w:val="24"/>
              </w:rPr>
            </m:ctrlPr>
          </m:e>
          <m:sub>
            <m:r>
              <m:rPr/>
              <w:rPr>
                <w:rFonts w:hint="eastAsia" w:ascii="Cambria Math" w:hAnsi="Cambria Math" w:cs="宋体"/>
                <w:sz w:val="24"/>
              </w:rPr>
              <m:t>b</m:t>
            </m:r>
            <m:ctrlPr>
              <w:rPr>
                <w:rFonts w:hint="eastAsia" w:ascii="Cambria Math" w:hAnsi="Cambria Math" w:cs="宋体"/>
                <w:i/>
                <w:sz w:val="24"/>
              </w:rPr>
            </m:ctrlPr>
          </m:sub>
        </m:sSub>
      </m:oMath>
      <w:r>
        <w:rPr>
          <w:rFonts w:hint="eastAsia" w:ascii="宋体" w:hAnsi="宋体" w:cs="宋体"/>
          <w:sz w:val="24"/>
        </w:rPr>
        <w:t>——胶凝材料总质量。</w:t>
      </w:r>
    </w:p>
    <w:p w14:paraId="06EEA5C0">
      <w:pPr>
        <w:pStyle w:val="2"/>
        <w:numPr>
          <w:ilvl w:val="0"/>
          <w:numId w:val="13"/>
        </w:numPr>
        <w:spacing w:before="78" w:beforeLines="25" w:after="0" w:line="440" w:lineRule="exact"/>
        <w:ind w:left="0" w:firstLine="0"/>
        <w:rPr>
          <w:rFonts w:hint="eastAsia" w:ascii="微软雅黑" w:hAnsi="微软雅黑" w:eastAsia="微软雅黑" w:cs="微软雅黑"/>
          <w:b/>
          <w:sz w:val="32"/>
          <w:szCs w:val="32"/>
        </w:rPr>
      </w:pPr>
      <w:bookmarkStart w:id="50" w:name="_Toc26474"/>
      <w:bookmarkStart w:id="51" w:name="_Toc31762"/>
      <w:bookmarkStart w:id="52" w:name="_Toc15749"/>
      <w:bookmarkStart w:id="53" w:name="_Toc7638"/>
      <w:r>
        <w:rPr>
          <w:rFonts w:hint="eastAsia" w:ascii="微软雅黑" w:hAnsi="微软雅黑" w:eastAsia="微软雅黑" w:cs="微软雅黑"/>
          <w:b/>
          <w:sz w:val="32"/>
          <w:szCs w:val="32"/>
        </w:rPr>
        <w:t>原材料</w:t>
      </w:r>
      <w:bookmarkEnd w:id="50"/>
      <w:bookmarkEnd w:id="51"/>
      <w:bookmarkEnd w:id="52"/>
      <w:bookmarkEnd w:id="53"/>
    </w:p>
    <w:p w14:paraId="3106A8F5"/>
    <w:p w14:paraId="52ECC16C">
      <w:pPr>
        <w:pStyle w:val="3"/>
        <w:numPr>
          <w:ilvl w:val="0"/>
          <w:numId w:val="16"/>
        </w:numPr>
        <w:spacing w:before="156" w:beforeLines="50" w:line="440" w:lineRule="exact"/>
      </w:pPr>
      <w:bookmarkStart w:id="54" w:name="_Toc1071"/>
      <w:bookmarkStart w:id="55" w:name="_Toc17162"/>
      <w:bookmarkStart w:id="56" w:name="_Toc1221"/>
      <w:bookmarkStart w:id="57" w:name="_Toc883"/>
      <w:r>
        <w:rPr>
          <w:rFonts w:hint="eastAsia" w:ascii="微软雅黑" w:hAnsi="微软雅黑" w:eastAsia="微软雅黑" w:cs="微软雅黑"/>
          <w:bCs w:val="0"/>
          <w:kern w:val="0"/>
          <w:sz w:val="28"/>
          <w:szCs w:val="28"/>
          <w:lang w:val="en-US" w:eastAsia="zh-CN" w:bidi="ar"/>
        </w:rPr>
        <w:t xml:space="preserve"> </w:t>
      </w:r>
      <w:r>
        <w:rPr>
          <w:rFonts w:hint="eastAsia" w:ascii="微软雅黑" w:hAnsi="微软雅黑" w:eastAsia="微软雅黑" w:cs="微软雅黑"/>
          <w:bCs w:val="0"/>
          <w:kern w:val="0"/>
          <w:sz w:val="28"/>
          <w:szCs w:val="28"/>
          <w:lang w:bidi="ar"/>
        </w:rPr>
        <w:t>胶凝材料</w:t>
      </w:r>
      <w:bookmarkEnd w:id="54"/>
      <w:bookmarkEnd w:id="55"/>
      <w:bookmarkEnd w:id="56"/>
      <w:bookmarkEnd w:id="57"/>
      <w:r>
        <w:rPr>
          <w:rFonts w:hint="eastAsia" w:ascii="微软雅黑" w:hAnsi="微软雅黑" w:eastAsia="微软雅黑" w:cs="微软雅黑"/>
          <w:bCs w:val="0"/>
          <w:kern w:val="0"/>
          <w:sz w:val="28"/>
          <w:szCs w:val="28"/>
          <w:lang w:bidi="ar"/>
        </w:rPr>
        <w:t xml:space="preserve"> </w:t>
      </w:r>
    </w:p>
    <w:p w14:paraId="7FD8BF67">
      <w:pPr>
        <w:pStyle w:val="3"/>
        <w:keepNext w:val="0"/>
        <w:keepLines w:val="0"/>
        <w:numPr>
          <w:ilvl w:val="1"/>
          <w:numId w:val="17"/>
        </w:numPr>
        <w:tabs>
          <w:tab w:val="clear" w:pos="576"/>
        </w:tabs>
        <w:spacing w:before="78" w:beforeLines="25" w:after="0" w:line="440" w:lineRule="exact"/>
        <w:jc w:val="both"/>
        <w:rPr>
          <w:rFonts w:hint="eastAsia" w:ascii="宋体" w:hAnsi="宋体" w:eastAsia="宋体" w:cs="宋体"/>
          <w:b w:val="0"/>
          <w:bCs w:val="0"/>
          <w:color w:val="000000"/>
          <w:kern w:val="0"/>
          <w:sz w:val="24"/>
          <w:szCs w:val="22"/>
          <w:lang w:bidi="ar"/>
        </w:rPr>
      </w:pPr>
      <w:r>
        <w:rPr>
          <w:rFonts w:hint="eastAsia" w:ascii="宋体" w:hAnsi="宋体" w:eastAsia="宋体" w:cs="宋体"/>
          <w:b w:val="0"/>
          <w:bCs w:val="0"/>
          <w:color w:val="000000"/>
          <w:kern w:val="0"/>
          <w:sz w:val="24"/>
          <w:szCs w:val="22"/>
          <w:lang w:bidi="ar"/>
        </w:rPr>
        <w:t xml:space="preserve"> </w:t>
      </w:r>
      <w:bookmarkStart w:id="58" w:name="_Toc10633"/>
      <w:bookmarkStart w:id="59" w:name="_Toc30257"/>
      <w:bookmarkStart w:id="60" w:name="_Toc872"/>
      <w:r>
        <w:rPr>
          <w:rFonts w:hint="eastAsia" w:ascii="宋体" w:hAnsi="宋体" w:eastAsia="宋体" w:cs="宋体"/>
          <w:b w:val="0"/>
          <w:bCs w:val="0"/>
          <w:color w:val="000000"/>
          <w:kern w:val="0"/>
          <w:sz w:val="24"/>
          <w:szCs w:val="22"/>
          <w:lang w:bidi="ar"/>
        </w:rPr>
        <w:t>配制低强度充填材料宜采用硅酸盐水泥或普通硅酸盐水泥，并应符合现行国家标准《通用硅酸盐水泥》</w:t>
      </w:r>
      <w:r>
        <w:rPr>
          <w:rFonts w:hint="eastAsia" w:eastAsia="楷体"/>
          <w:b w:val="0"/>
          <w:color w:val="000000"/>
          <w:sz w:val="24"/>
          <w:szCs w:val="24"/>
        </w:rPr>
        <w:t>GB 175</w:t>
      </w:r>
      <w:r>
        <w:rPr>
          <w:rFonts w:hint="eastAsia" w:ascii="宋体" w:hAnsi="宋体" w:eastAsia="宋体" w:cs="宋体"/>
          <w:b w:val="0"/>
          <w:bCs w:val="0"/>
          <w:color w:val="000000"/>
          <w:kern w:val="0"/>
          <w:sz w:val="24"/>
          <w:szCs w:val="22"/>
          <w:lang w:bidi="ar"/>
        </w:rPr>
        <w:t>的规定。当采用其它品种水泥时，其性能指标应符合国家现行相关标准的规定。</w:t>
      </w:r>
      <w:bookmarkEnd w:id="58"/>
      <w:bookmarkEnd w:id="59"/>
      <w:bookmarkEnd w:id="60"/>
    </w:p>
    <w:p w14:paraId="04224601">
      <w:pPr>
        <w:pStyle w:val="3"/>
        <w:keepNext w:val="0"/>
        <w:keepLines w:val="0"/>
        <w:numPr>
          <w:ilvl w:val="1"/>
          <w:numId w:val="17"/>
        </w:numPr>
        <w:tabs>
          <w:tab w:val="clear" w:pos="576"/>
        </w:tabs>
        <w:spacing w:before="78" w:beforeLines="25" w:after="0" w:line="440" w:lineRule="exact"/>
        <w:jc w:val="both"/>
        <w:rPr>
          <w:rFonts w:hint="eastAsia" w:ascii="宋体" w:hAnsi="宋体" w:eastAsia="宋体" w:cs="宋体"/>
          <w:b w:val="0"/>
          <w:bCs w:val="0"/>
          <w:color w:val="000000"/>
          <w:kern w:val="0"/>
          <w:sz w:val="24"/>
          <w:szCs w:val="22"/>
          <w:lang w:bidi="ar"/>
        </w:rPr>
      </w:pPr>
      <w:r>
        <w:rPr>
          <w:rFonts w:hint="eastAsia" w:ascii="宋体" w:hAnsi="宋体" w:eastAsia="宋体" w:cs="宋体"/>
          <w:b w:val="0"/>
          <w:bCs w:val="0"/>
          <w:color w:val="000000"/>
          <w:kern w:val="0"/>
          <w:sz w:val="24"/>
          <w:szCs w:val="22"/>
          <w:lang w:bidi="ar"/>
        </w:rPr>
        <w:t xml:space="preserve"> </w:t>
      </w:r>
      <w:bookmarkStart w:id="61" w:name="_Toc4107"/>
      <w:bookmarkStart w:id="62" w:name="_Toc5715"/>
      <w:bookmarkStart w:id="63" w:name="_Toc25959"/>
      <w:r>
        <w:rPr>
          <w:rFonts w:hint="eastAsia" w:ascii="宋体" w:hAnsi="宋体" w:eastAsia="宋体" w:cs="宋体"/>
          <w:b w:val="0"/>
          <w:bCs w:val="0"/>
          <w:color w:val="000000"/>
          <w:kern w:val="0"/>
          <w:sz w:val="24"/>
          <w:szCs w:val="22"/>
          <w:lang w:bidi="ar"/>
        </w:rPr>
        <w:t>粉煤灰、粒化高炉矿渣粉、硅灰等矿物掺合料其性能指标应符合国家现行相关标准的规定。</w:t>
      </w:r>
      <w:bookmarkEnd w:id="61"/>
      <w:bookmarkEnd w:id="62"/>
      <w:bookmarkEnd w:id="63"/>
    </w:p>
    <w:p w14:paraId="33D52239">
      <w:pPr>
        <w:numPr>
          <w:ilvl w:val="0"/>
          <w:numId w:val="18"/>
        </w:numPr>
        <w:spacing w:before="78" w:beforeLines="25" w:line="440" w:lineRule="exact"/>
        <w:ind w:left="0" w:firstLine="0"/>
        <w:rPr>
          <w:rFonts w:hint="eastAsia" w:ascii="宋体" w:hAnsi="宋体" w:cs="宋体"/>
          <w:color w:val="000000"/>
          <w:kern w:val="0"/>
          <w:sz w:val="24"/>
          <w:szCs w:val="22"/>
          <w:lang w:bidi="ar"/>
        </w:rPr>
      </w:pPr>
      <w:r>
        <w:rPr>
          <w:rFonts w:hint="eastAsia" w:ascii="宋体" w:hAnsi="宋体" w:cs="宋体"/>
          <w:color w:val="000000"/>
          <w:kern w:val="0"/>
          <w:sz w:val="24"/>
          <w:szCs w:val="22"/>
          <w:lang w:bidi="ar"/>
        </w:rPr>
        <w:t>宜采用再生混凝土微粉、再生砖粉、砖混渣土等建筑废弃物作为掺合料，其性能指标应符合《混凝土和砂浆用再生微粉》</w:t>
      </w:r>
      <w:r>
        <w:rPr>
          <w:color w:val="000000"/>
          <w:kern w:val="0"/>
          <w:sz w:val="24"/>
          <w:szCs w:val="22"/>
          <w:lang w:bidi="ar"/>
        </w:rPr>
        <w:t>JG/T 573</w:t>
      </w:r>
      <w:r>
        <w:rPr>
          <w:rFonts w:hint="eastAsia" w:ascii="宋体" w:hAnsi="宋体" w:cs="宋体"/>
          <w:color w:val="000000"/>
          <w:kern w:val="0"/>
          <w:sz w:val="24"/>
          <w:szCs w:val="22"/>
          <w:lang w:bidi="ar"/>
        </w:rPr>
        <w:t>的规定，满足</w:t>
      </w:r>
      <w:r>
        <w:rPr>
          <w:rFonts w:hint="eastAsia" w:ascii="宋体" w:hAnsi="宋体" w:cs="宋体"/>
          <w:kern w:val="0"/>
          <w:sz w:val="24"/>
          <w:lang w:bidi="ar"/>
        </w:rPr>
        <w:t>重金属溶出、有毒物质控制等相关标准规定，满足设计和环保要求。</w:t>
      </w:r>
    </w:p>
    <w:p w14:paraId="4C4CEA81">
      <w:pPr>
        <w:numPr>
          <w:ilvl w:val="255"/>
          <w:numId w:val="0"/>
        </w:numPr>
        <w:spacing w:before="78" w:beforeLines="25" w:line="440" w:lineRule="exact"/>
        <w:rPr>
          <w:rFonts w:hint="eastAsia" w:ascii="宋体" w:hAnsi="宋体" w:cs="宋体"/>
          <w:color w:val="000000"/>
          <w:kern w:val="0"/>
          <w:sz w:val="24"/>
          <w:szCs w:val="22"/>
          <w:lang w:bidi="ar"/>
        </w:rPr>
      </w:pPr>
      <w:r>
        <w:rPr>
          <w:rFonts w:ascii="楷体" w:hAnsi="楷体" w:eastAsia="楷体" w:cs="楷体"/>
          <w:bCs/>
          <w:color w:val="000000"/>
          <w:sz w:val="24"/>
        </w:rPr>
        <w:t>【条文说明】</w:t>
      </w:r>
      <w:r>
        <w:rPr>
          <w:rFonts w:hint="eastAsia" w:ascii="楷体" w:hAnsi="楷体" w:eastAsia="楷体" w:cs="楷体"/>
          <w:bCs/>
          <w:color w:val="000000"/>
          <w:sz w:val="24"/>
        </w:rPr>
        <w:t>再生混凝土微粉、再生砖粉、砖混渣土等建筑废弃物应满足《土壤环境质量 建设用地土壤污染风险管控标准》</w:t>
      </w:r>
      <w:r>
        <w:rPr>
          <w:rFonts w:eastAsia="楷体"/>
          <w:bCs/>
          <w:color w:val="000000"/>
          <w:sz w:val="24"/>
        </w:rPr>
        <w:t>GB36600</w:t>
      </w:r>
      <w:r>
        <w:rPr>
          <w:rFonts w:hint="eastAsia" w:ascii="楷体" w:hAnsi="楷体" w:eastAsia="楷体" w:cs="楷体"/>
          <w:bCs/>
          <w:color w:val="000000"/>
          <w:sz w:val="24"/>
        </w:rPr>
        <w:t>中第一类用地对铅、汞、镉溶出和挥发性有机物的规定。</w:t>
      </w:r>
    </w:p>
    <w:p w14:paraId="3F12021E"/>
    <w:p w14:paraId="4904C6AE">
      <w:pPr>
        <w:pStyle w:val="3"/>
        <w:keepNext w:val="0"/>
        <w:keepLines w:val="0"/>
        <w:numPr>
          <w:ilvl w:val="0"/>
          <w:numId w:val="16"/>
        </w:numPr>
        <w:spacing w:before="78" w:beforeLines="25" w:after="0" w:line="500" w:lineRule="exact"/>
        <w:ind w:left="0" w:firstLine="0"/>
      </w:pPr>
      <w:bookmarkStart w:id="64" w:name="_Toc7878"/>
      <w:bookmarkStart w:id="65" w:name="_Toc10203"/>
      <w:bookmarkStart w:id="66" w:name="_Toc13506"/>
      <w:bookmarkStart w:id="67" w:name="_Toc11653"/>
      <w:r>
        <w:rPr>
          <w:rFonts w:hint="eastAsia" w:ascii="微软雅黑" w:hAnsi="微软雅黑" w:eastAsia="微软雅黑" w:cs="微软雅黑"/>
          <w:bCs w:val="0"/>
          <w:kern w:val="0"/>
          <w:sz w:val="28"/>
          <w:szCs w:val="28"/>
          <w:lang w:bidi="ar"/>
        </w:rPr>
        <w:t>细骨料</w:t>
      </w:r>
      <w:bookmarkEnd w:id="64"/>
      <w:bookmarkEnd w:id="65"/>
      <w:bookmarkEnd w:id="66"/>
      <w:bookmarkEnd w:id="67"/>
    </w:p>
    <w:p w14:paraId="3A6C3EB4">
      <w:pPr>
        <w:pStyle w:val="3"/>
        <w:keepNext w:val="0"/>
        <w:keepLines w:val="0"/>
        <w:numPr>
          <w:ilvl w:val="1"/>
          <w:numId w:val="19"/>
        </w:numPr>
        <w:tabs>
          <w:tab w:val="clear" w:pos="576"/>
        </w:tabs>
        <w:spacing w:before="78" w:beforeLines="25" w:after="0" w:line="440" w:lineRule="exact"/>
        <w:jc w:val="both"/>
        <w:rPr>
          <w:rFonts w:hint="eastAsia" w:ascii="宋体" w:hAnsi="宋体" w:eastAsia="宋体" w:cs="宋体"/>
          <w:b w:val="0"/>
          <w:bCs w:val="0"/>
          <w:color w:val="000000"/>
          <w:kern w:val="0"/>
          <w:sz w:val="24"/>
          <w:szCs w:val="22"/>
          <w:lang w:bidi="ar"/>
        </w:rPr>
      </w:pPr>
      <w:r>
        <w:rPr>
          <w:rFonts w:hint="eastAsia" w:ascii="宋体" w:hAnsi="宋体" w:eastAsia="宋体" w:cs="宋体"/>
          <w:b w:val="0"/>
          <w:bCs w:val="0"/>
          <w:color w:val="000000"/>
          <w:kern w:val="0"/>
          <w:sz w:val="24"/>
          <w:szCs w:val="22"/>
          <w:lang w:bidi="ar"/>
        </w:rPr>
        <w:t xml:space="preserve"> </w:t>
      </w:r>
      <w:bookmarkStart w:id="68" w:name="_Toc9116"/>
      <w:bookmarkStart w:id="69" w:name="_Toc29297"/>
      <w:bookmarkStart w:id="70" w:name="_Toc5417"/>
      <w:r>
        <w:rPr>
          <w:rFonts w:hint="eastAsia" w:ascii="宋体" w:hAnsi="宋体" w:eastAsia="宋体" w:cs="宋体"/>
          <w:b w:val="0"/>
          <w:bCs w:val="0"/>
          <w:color w:val="000000"/>
          <w:kern w:val="0"/>
          <w:sz w:val="24"/>
          <w:szCs w:val="22"/>
          <w:lang w:bidi="ar"/>
        </w:rPr>
        <w:t>细骨料宜采用《建设</w:t>
      </w:r>
      <w:r>
        <w:rPr>
          <w:rFonts w:eastAsia="宋体"/>
          <w:b w:val="0"/>
          <w:bCs w:val="0"/>
          <w:color w:val="000000"/>
          <w:kern w:val="0"/>
          <w:sz w:val="24"/>
          <w:szCs w:val="22"/>
          <w:lang w:bidi="ar"/>
        </w:rPr>
        <w:t>用砂》GB/T 14684中</w:t>
      </w:r>
      <w:r>
        <w:rPr>
          <w:rFonts w:hint="eastAsia" w:ascii="宋体" w:hAnsi="宋体" w:eastAsia="宋体" w:cs="宋体"/>
          <w:b w:val="0"/>
          <w:bCs w:val="0"/>
          <w:color w:val="000000"/>
          <w:kern w:val="0"/>
          <w:sz w:val="24"/>
          <w:szCs w:val="22"/>
          <w:lang w:bidi="ar"/>
        </w:rPr>
        <w:t>规定级配Ⅱ区的中砂，细骨料的性能和试验方法应符合现行行业标准</w:t>
      </w:r>
      <w:bookmarkStart w:id="71" w:name="_Hlk73541215"/>
      <w:r>
        <w:rPr>
          <w:rFonts w:hint="eastAsia" w:ascii="宋体" w:hAnsi="宋体" w:eastAsia="宋体" w:cs="宋体"/>
          <w:b w:val="0"/>
          <w:bCs w:val="0"/>
          <w:color w:val="000000"/>
          <w:kern w:val="0"/>
          <w:sz w:val="24"/>
          <w:szCs w:val="22"/>
          <w:lang w:bidi="ar"/>
        </w:rPr>
        <w:t>《普通混凝土用砂</w:t>
      </w:r>
      <w:r>
        <w:rPr>
          <w:rFonts w:hint="eastAsia" w:ascii="宋体" w:hAnsi="宋体" w:eastAsia="宋体" w:cs="宋体"/>
          <w:b w:val="0"/>
          <w:bCs w:val="0"/>
          <w:color w:val="000000"/>
          <w:kern w:val="0"/>
          <w:sz w:val="24"/>
          <w:szCs w:val="22"/>
          <w:highlight w:val="none"/>
          <w:lang w:bidi="ar"/>
        </w:rPr>
        <w:t>、</w:t>
      </w:r>
      <w:r>
        <w:rPr>
          <w:rFonts w:hint="eastAsia" w:ascii="宋体" w:hAnsi="宋体" w:eastAsia="宋体" w:cs="宋体"/>
          <w:b w:val="0"/>
          <w:bCs w:val="0"/>
          <w:color w:val="000000"/>
          <w:kern w:val="0"/>
          <w:sz w:val="24"/>
          <w:szCs w:val="22"/>
          <w:lang w:bidi="ar"/>
        </w:rPr>
        <w:t>石质量及检验方法标准》</w:t>
      </w:r>
      <w:r>
        <w:rPr>
          <w:rFonts w:hint="eastAsia" w:eastAsia="楷体"/>
          <w:b w:val="0"/>
          <w:color w:val="000000"/>
          <w:sz w:val="24"/>
          <w:szCs w:val="24"/>
        </w:rPr>
        <w:t>JGJ 52</w:t>
      </w:r>
      <w:bookmarkEnd w:id="71"/>
      <w:r>
        <w:rPr>
          <w:rFonts w:hint="eastAsia" w:ascii="宋体" w:hAnsi="宋体" w:eastAsia="宋体" w:cs="宋体"/>
          <w:b w:val="0"/>
          <w:bCs w:val="0"/>
          <w:color w:val="000000"/>
          <w:kern w:val="0"/>
          <w:sz w:val="24"/>
          <w:szCs w:val="22"/>
          <w:lang w:bidi="ar"/>
        </w:rPr>
        <w:t>的相关规定。</w:t>
      </w:r>
      <w:bookmarkEnd w:id="68"/>
      <w:bookmarkEnd w:id="69"/>
      <w:bookmarkEnd w:id="70"/>
    </w:p>
    <w:p w14:paraId="6C506A0C">
      <w:pPr>
        <w:spacing w:before="78" w:beforeLines="25" w:line="440" w:lineRule="exact"/>
        <w:rPr>
          <w:rFonts w:eastAsia="楷体"/>
          <w:bCs/>
          <w:color w:val="000000"/>
          <w:sz w:val="24"/>
        </w:rPr>
      </w:pPr>
      <w:r>
        <w:rPr>
          <w:rFonts w:ascii="楷体" w:hAnsi="楷体" w:eastAsia="楷体" w:cs="楷体"/>
          <w:bCs/>
          <w:color w:val="000000"/>
          <w:sz w:val="24"/>
        </w:rPr>
        <w:t>【条文说明】</w:t>
      </w:r>
      <w:r>
        <w:rPr>
          <w:rFonts w:hint="eastAsia" w:ascii="楷体" w:hAnsi="楷体" w:eastAsia="楷体" w:cs="楷体"/>
          <w:bCs/>
          <w:color w:val="000000"/>
          <w:sz w:val="24"/>
        </w:rPr>
        <w:t>有关细骨料级配的规定来源于前期大量实验验证，并在对验证实验数据的综合分析基础上确定。实验表明</w:t>
      </w:r>
      <w:r>
        <w:rPr>
          <w:rFonts w:hint="eastAsia" w:eastAsia="楷体"/>
          <w:bCs/>
          <w:color w:val="000000"/>
          <w:sz w:val="24"/>
        </w:rPr>
        <w:t>，《建设用砂》GB/T 14684</w:t>
      </w:r>
      <w:r>
        <w:rPr>
          <w:rFonts w:hint="eastAsia" w:ascii="楷体" w:hAnsi="楷体" w:eastAsia="楷体" w:cs="楷体"/>
          <w:bCs/>
          <w:color w:val="000000"/>
          <w:sz w:val="24"/>
        </w:rPr>
        <w:t>中规定级配</w:t>
      </w:r>
      <w:r>
        <w:rPr>
          <w:rFonts w:eastAsia="楷体"/>
          <w:bCs/>
          <w:color w:val="000000"/>
          <w:sz w:val="24"/>
        </w:rPr>
        <w:t>Ⅱ</w:t>
      </w:r>
      <w:r>
        <w:rPr>
          <w:rFonts w:ascii="楷体" w:hAnsi="楷体" w:eastAsia="楷体" w:cs="楷体"/>
          <w:bCs/>
          <w:color w:val="000000"/>
          <w:sz w:val="24"/>
        </w:rPr>
        <w:t>区</w:t>
      </w:r>
      <w:r>
        <w:rPr>
          <w:rFonts w:hint="eastAsia" w:ascii="楷体" w:hAnsi="楷体" w:eastAsia="楷体" w:cs="楷体"/>
          <w:bCs/>
          <w:color w:val="000000"/>
          <w:sz w:val="24"/>
        </w:rPr>
        <w:t>的中砂在应用于低强度充填材料时，</w:t>
      </w:r>
      <w:r>
        <w:rPr>
          <w:rFonts w:eastAsia="楷体"/>
          <w:bCs/>
          <w:color w:val="000000"/>
          <w:sz w:val="24"/>
        </w:rPr>
        <w:t>可同时保证流动度</w:t>
      </w:r>
      <w:r>
        <w:rPr>
          <w:rFonts w:hint="eastAsia" w:eastAsia="楷体"/>
          <w:bCs/>
          <w:color w:val="000000"/>
          <w:sz w:val="24"/>
        </w:rPr>
        <w:t>在</w:t>
      </w:r>
      <w:r>
        <w:rPr>
          <w:rFonts w:eastAsia="楷体"/>
          <w:bCs/>
          <w:color w:val="000000"/>
          <w:sz w:val="24"/>
        </w:rPr>
        <w:t>大于100mm与28d无侧限抗压强度0.3MPa~8.3MPa</w:t>
      </w:r>
      <w:r>
        <w:rPr>
          <w:rFonts w:hint="eastAsia" w:eastAsia="楷体"/>
          <w:bCs/>
          <w:color w:val="000000"/>
          <w:sz w:val="24"/>
        </w:rPr>
        <w:t>范围内</w:t>
      </w:r>
      <w:r>
        <w:rPr>
          <w:rFonts w:eastAsia="楷体"/>
          <w:bCs/>
          <w:color w:val="000000"/>
          <w:sz w:val="24"/>
        </w:rPr>
        <w:t>可调可控。</w:t>
      </w:r>
    </w:p>
    <w:p w14:paraId="7368AF6A">
      <w:pPr>
        <w:pStyle w:val="3"/>
        <w:numPr>
          <w:ilvl w:val="1"/>
          <w:numId w:val="19"/>
        </w:numPr>
        <w:tabs>
          <w:tab w:val="clear" w:pos="576"/>
        </w:tabs>
        <w:spacing w:before="78" w:beforeLines="25" w:after="0" w:line="440" w:lineRule="exact"/>
        <w:jc w:val="left"/>
        <w:rPr>
          <w:rFonts w:hint="eastAsia" w:ascii="宋体" w:hAnsi="宋体" w:eastAsia="宋体" w:cs="宋体"/>
          <w:b w:val="0"/>
          <w:bCs w:val="0"/>
          <w:color w:val="000000"/>
          <w:kern w:val="0"/>
          <w:sz w:val="24"/>
          <w:szCs w:val="22"/>
          <w:lang w:bidi="ar"/>
        </w:rPr>
      </w:pPr>
      <w:r>
        <w:rPr>
          <w:rFonts w:hint="eastAsia" w:ascii="宋体" w:hAnsi="宋体" w:eastAsia="宋体" w:cs="宋体"/>
          <w:b w:val="0"/>
          <w:bCs w:val="0"/>
          <w:color w:val="000000"/>
          <w:kern w:val="0"/>
          <w:sz w:val="24"/>
          <w:szCs w:val="22"/>
          <w:lang w:bidi="ar"/>
        </w:rPr>
        <w:t xml:space="preserve"> </w:t>
      </w:r>
      <w:bookmarkStart w:id="72" w:name="_Toc26360"/>
      <w:bookmarkStart w:id="73" w:name="_Toc20028"/>
      <w:r>
        <w:rPr>
          <w:rFonts w:hint="eastAsia" w:ascii="宋体" w:hAnsi="宋体" w:eastAsia="宋体" w:cs="宋体"/>
          <w:b w:val="0"/>
          <w:bCs w:val="0"/>
          <w:color w:val="000000"/>
          <w:kern w:val="0"/>
          <w:sz w:val="24"/>
          <w:szCs w:val="22"/>
          <w:lang w:bidi="ar"/>
        </w:rPr>
        <w:t>采用再生砂作为细骨料时，其颗粒级配宜采用《建设用砂》</w:t>
      </w:r>
      <w:r>
        <w:rPr>
          <w:rFonts w:hint="eastAsia" w:eastAsia="宋体"/>
          <w:b w:val="0"/>
          <w:bCs w:val="0"/>
          <w:color w:val="000000"/>
          <w:kern w:val="0"/>
          <w:sz w:val="24"/>
          <w:szCs w:val="22"/>
          <w:lang w:bidi="ar"/>
        </w:rPr>
        <w:t>GB/T 14684</w:t>
      </w:r>
      <w:r>
        <w:rPr>
          <w:rFonts w:hint="eastAsia" w:ascii="宋体" w:hAnsi="宋体" w:eastAsia="宋体" w:cs="宋体"/>
          <w:b w:val="0"/>
          <w:bCs w:val="0"/>
          <w:color w:val="000000"/>
          <w:kern w:val="0"/>
          <w:sz w:val="24"/>
          <w:szCs w:val="22"/>
          <w:lang w:bidi="ar"/>
        </w:rPr>
        <w:t>中规定级配</w:t>
      </w:r>
      <w:r>
        <w:rPr>
          <w:rFonts w:hint="default" w:ascii="Times New Roman" w:hAnsi="Times New Roman" w:eastAsia="宋体" w:cs="Times New Roman"/>
          <w:b w:val="0"/>
          <w:bCs w:val="0"/>
          <w:color w:val="000000"/>
          <w:kern w:val="0"/>
          <w:sz w:val="24"/>
          <w:szCs w:val="22"/>
          <w:lang w:val="en-US" w:eastAsia="zh-CN" w:bidi="ar"/>
        </w:rPr>
        <w:t>Ⅱ</w:t>
      </w:r>
      <w:r>
        <w:rPr>
          <w:rFonts w:hint="eastAsia" w:ascii="宋体" w:hAnsi="宋体" w:eastAsia="宋体" w:cs="宋体"/>
          <w:b w:val="0"/>
          <w:bCs w:val="0"/>
          <w:color w:val="000000"/>
          <w:kern w:val="0"/>
          <w:sz w:val="24"/>
          <w:szCs w:val="22"/>
          <w:lang w:bidi="ar"/>
        </w:rPr>
        <w:t>区的中砂，性能和试验方法应符合现行国家标准《混凝土和砂浆用再生细骨料》</w:t>
      </w:r>
      <w:r>
        <w:rPr>
          <w:rFonts w:hint="eastAsia" w:eastAsia="宋体"/>
          <w:b w:val="0"/>
          <w:bCs w:val="0"/>
          <w:color w:val="000000"/>
          <w:kern w:val="0"/>
          <w:sz w:val="24"/>
          <w:szCs w:val="22"/>
          <w:lang w:bidi="ar"/>
        </w:rPr>
        <w:t>GB/T 25176</w:t>
      </w:r>
      <w:r>
        <w:rPr>
          <w:rFonts w:hint="eastAsia" w:ascii="宋体" w:hAnsi="宋体" w:eastAsia="宋体" w:cs="宋体"/>
          <w:b w:val="0"/>
          <w:bCs w:val="0"/>
          <w:color w:val="000000"/>
          <w:kern w:val="0"/>
          <w:sz w:val="24"/>
          <w:szCs w:val="22"/>
          <w:lang w:bidi="ar"/>
        </w:rPr>
        <w:t>的相关规定。满足重金属溶出、有毒物质控制等相关标准规定，满足设计和环保要求。</w:t>
      </w:r>
      <w:bookmarkEnd w:id="72"/>
      <w:bookmarkEnd w:id="73"/>
    </w:p>
    <w:p w14:paraId="3C267BA8">
      <w:pPr>
        <w:spacing w:before="78" w:beforeLines="25" w:line="440" w:lineRule="exact"/>
        <w:rPr>
          <w:rFonts w:hint="eastAsia" w:ascii="楷体" w:hAnsi="楷体" w:eastAsia="楷体" w:cs="楷体"/>
          <w:bCs/>
          <w:color w:val="000000"/>
          <w:sz w:val="24"/>
        </w:rPr>
      </w:pPr>
      <w:r>
        <w:rPr>
          <w:rFonts w:ascii="楷体" w:hAnsi="楷体" w:eastAsia="楷体" w:cs="楷体"/>
          <w:bCs/>
          <w:color w:val="000000"/>
          <w:sz w:val="24"/>
        </w:rPr>
        <w:t>【条文说明】</w:t>
      </w:r>
      <w:r>
        <w:rPr>
          <w:rFonts w:hint="eastAsia" w:ascii="楷体" w:hAnsi="楷体" w:eastAsia="楷体" w:cs="楷体"/>
          <w:bCs/>
          <w:color w:val="000000"/>
          <w:sz w:val="24"/>
        </w:rPr>
        <w:t>再生砂满足《土壤环境质量 建设用地土壤污染风险管控标准》</w:t>
      </w:r>
      <w:r>
        <w:rPr>
          <w:rFonts w:eastAsia="楷体"/>
          <w:bCs/>
          <w:color w:val="000000"/>
          <w:sz w:val="24"/>
        </w:rPr>
        <w:t>GB36600-2018</w:t>
      </w:r>
      <w:r>
        <w:rPr>
          <w:rFonts w:hint="eastAsia" w:ascii="楷体" w:hAnsi="楷体" w:eastAsia="楷体" w:cs="楷体"/>
          <w:bCs/>
          <w:color w:val="000000"/>
          <w:sz w:val="24"/>
        </w:rPr>
        <w:t>中第一类用地对铅、汞、镉溶出和挥发性有机物的规定。</w:t>
      </w:r>
    </w:p>
    <w:p w14:paraId="49475653">
      <w:pPr>
        <w:spacing w:before="78" w:beforeLines="25" w:line="440" w:lineRule="exact"/>
        <w:rPr>
          <w:rFonts w:hint="eastAsia" w:ascii="楷体" w:hAnsi="楷体" w:eastAsia="楷体" w:cs="楷体"/>
          <w:bCs/>
          <w:color w:val="000000"/>
          <w:sz w:val="24"/>
        </w:rPr>
      </w:pPr>
    </w:p>
    <w:p w14:paraId="020521B4">
      <w:pPr>
        <w:pStyle w:val="3"/>
        <w:keepNext w:val="0"/>
        <w:keepLines w:val="0"/>
        <w:numPr>
          <w:ilvl w:val="0"/>
          <w:numId w:val="16"/>
        </w:numPr>
        <w:spacing w:before="78" w:beforeLines="25" w:after="0" w:line="500" w:lineRule="exact"/>
        <w:ind w:left="0" w:firstLine="0"/>
        <w:rPr>
          <w:rFonts w:hint="eastAsia" w:ascii="微软雅黑" w:hAnsi="微软雅黑" w:eastAsia="微软雅黑" w:cs="微软雅黑"/>
          <w:bCs w:val="0"/>
          <w:kern w:val="0"/>
          <w:sz w:val="28"/>
          <w:szCs w:val="28"/>
          <w:lang w:bidi="ar"/>
        </w:rPr>
      </w:pPr>
      <w:bookmarkStart w:id="74" w:name="_Toc11262"/>
      <w:bookmarkStart w:id="75" w:name="_Toc26371"/>
      <w:bookmarkStart w:id="76" w:name="_Toc14638"/>
      <w:bookmarkStart w:id="77" w:name="_Toc31348"/>
      <w:r>
        <w:rPr>
          <w:rFonts w:hint="eastAsia" w:ascii="微软雅黑" w:hAnsi="微软雅黑" w:eastAsia="微软雅黑" w:cs="微软雅黑"/>
          <w:bCs w:val="0"/>
          <w:kern w:val="0"/>
          <w:sz w:val="28"/>
          <w:szCs w:val="28"/>
          <w:lang w:bidi="ar"/>
        </w:rPr>
        <w:t>拌合用水</w:t>
      </w:r>
      <w:bookmarkEnd w:id="74"/>
      <w:bookmarkEnd w:id="75"/>
      <w:bookmarkEnd w:id="76"/>
      <w:bookmarkEnd w:id="77"/>
    </w:p>
    <w:p w14:paraId="1FC40712">
      <w:pPr>
        <w:pStyle w:val="3"/>
        <w:numPr>
          <w:ilvl w:val="1"/>
          <w:numId w:val="20"/>
        </w:numPr>
        <w:tabs>
          <w:tab w:val="clear" w:pos="576"/>
        </w:tabs>
        <w:spacing w:before="78" w:beforeLines="25" w:after="0" w:line="440" w:lineRule="exact"/>
        <w:jc w:val="left"/>
        <w:rPr>
          <w:rFonts w:hint="eastAsia" w:ascii="宋体" w:hAnsi="宋体" w:eastAsia="宋体" w:cs="宋体"/>
          <w:b w:val="0"/>
          <w:bCs w:val="0"/>
          <w:color w:val="000000"/>
          <w:kern w:val="0"/>
          <w:sz w:val="24"/>
          <w:szCs w:val="24"/>
          <w:lang w:val="en-US" w:eastAsia="zh-CN" w:bidi="ar"/>
        </w:rPr>
      </w:pPr>
      <w:bookmarkStart w:id="78" w:name="_Toc1562"/>
      <w:bookmarkStart w:id="79" w:name="_Toc7858"/>
      <w:bookmarkStart w:id="80" w:name="_Toc13435"/>
      <w:r>
        <w:rPr>
          <w:rFonts w:hint="eastAsia" w:ascii="宋体" w:hAnsi="宋体" w:eastAsia="宋体" w:cs="宋体"/>
          <w:b w:val="0"/>
          <w:bCs w:val="0"/>
          <w:color w:val="000000"/>
          <w:kern w:val="0"/>
          <w:sz w:val="24"/>
          <w:szCs w:val="24"/>
          <w:lang w:val="en-US" w:eastAsia="zh-CN" w:bidi="ar"/>
        </w:rPr>
        <w:t xml:space="preserve"> 低强度充填材料拌合用水应符合现行行业标准</w:t>
      </w:r>
      <w:bookmarkStart w:id="81" w:name="_Hlk73541250"/>
      <w:r>
        <w:rPr>
          <w:rFonts w:hint="eastAsia" w:ascii="宋体" w:hAnsi="宋体" w:eastAsia="宋体" w:cs="宋体"/>
          <w:b w:val="0"/>
          <w:bCs w:val="0"/>
          <w:color w:val="000000"/>
          <w:kern w:val="0"/>
          <w:sz w:val="24"/>
          <w:szCs w:val="24"/>
          <w:lang w:val="en-US" w:eastAsia="zh-CN" w:bidi="ar"/>
        </w:rPr>
        <w:t>《混凝土拌合用水标准》</w:t>
      </w:r>
      <w:r>
        <w:rPr>
          <w:rFonts w:hint="eastAsia" w:eastAsia="楷体"/>
          <w:b w:val="0"/>
          <w:color w:val="000000"/>
          <w:sz w:val="24"/>
          <w:szCs w:val="24"/>
          <w:lang w:val="en-US" w:eastAsia="zh-CN"/>
        </w:rPr>
        <w:t>JGJ63</w:t>
      </w:r>
      <w:bookmarkEnd w:id="81"/>
      <w:r>
        <w:rPr>
          <w:rFonts w:hint="eastAsia" w:ascii="宋体" w:hAnsi="宋体" w:eastAsia="宋体" w:cs="宋体"/>
          <w:b w:val="0"/>
          <w:bCs w:val="0"/>
          <w:color w:val="000000"/>
          <w:kern w:val="0"/>
          <w:sz w:val="24"/>
          <w:szCs w:val="24"/>
          <w:lang w:val="en-US" w:eastAsia="zh-CN" w:bidi="ar"/>
        </w:rPr>
        <w:t>的相关规定。</w:t>
      </w:r>
      <w:bookmarkEnd w:id="78"/>
      <w:bookmarkEnd w:id="79"/>
      <w:bookmarkEnd w:id="80"/>
    </w:p>
    <w:p w14:paraId="0B86C152">
      <w:pPr>
        <w:pStyle w:val="3"/>
        <w:numPr>
          <w:ilvl w:val="1"/>
          <w:numId w:val="20"/>
        </w:numPr>
        <w:tabs>
          <w:tab w:val="clear" w:pos="576"/>
        </w:tabs>
        <w:spacing w:before="78" w:beforeLines="25" w:after="0" w:line="440" w:lineRule="exact"/>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 </w:t>
      </w:r>
      <w:r>
        <w:rPr>
          <w:rFonts w:hint="eastAsia" w:ascii="宋体" w:hAnsi="宋体" w:eastAsia="宋体" w:cs="宋体"/>
          <w:b w:val="0"/>
          <w:bCs w:val="0"/>
          <w:color w:val="000000"/>
          <w:kern w:val="0"/>
          <w:sz w:val="24"/>
          <w:szCs w:val="24"/>
          <w:lang w:bidi="ar"/>
        </w:rPr>
        <w:t>低强度充填材料拌合用水</w:t>
      </w:r>
      <w:r>
        <w:rPr>
          <w:rFonts w:hint="eastAsia" w:ascii="宋体" w:hAnsi="宋体" w:eastAsia="宋体" w:cs="宋体"/>
          <w:b w:val="0"/>
          <w:bCs w:val="0"/>
          <w:color w:val="000000"/>
          <w:kern w:val="0"/>
          <w:sz w:val="24"/>
          <w:szCs w:val="24"/>
          <w:lang w:val="en-US" w:eastAsia="zh-CN" w:bidi="ar"/>
        </w:rPr>
        <w:t>检验项目</w:t>
      </w:r>
      <w:r>
        <w:rPr>
          <w:rFonts w:hint="eastAsia" w:ascii="宋体" w:hAnsi="宋体" w:eastAsia="宋体" w:cs="宋体"/>
          <w:b w:val="0"/>
          <w:bCs w:val="0"/>
          <w:color w:val="000000"/>
          <w:kern w:val="0"/>
          <w:sz w:val="24"/>
          <w:szCs w:val="24"/>
          <w:lang w:bidi="ar"/>
        </w:rPr>
        <w:t>应符合现行行业标准《混凝土拌合用水标准》</w:t>
      </w:r>
      <w:r>
        <w:rPr>
          <w:rFonts w:hint="eastAsia" w:eastAsia="楷体"/>
          <w:b w:val="0"/>
          <w:color w:val="000000"/>
          <w:sz w:val="24"/>
          <w:szCs w:val="24"/>
        </w:rPr>
        <w:t>JGJ63</w:t>
      </w:r>
      <w:r>
        <w:rPr>
          <w:rFonts w:hint="eastAsia" w:ascii="宋体" w:hAnsi="宋体" w:eastAsia="宋体" w:cs="宋体"/>
          <w:b w:val="0"/>
          <w:bCs w:val="0"/>
          <w:color w:val="000000"/>
          <w:kern w:val="0"/>
          <w:sz w:val="24"/>
          <w:szCs w:val="24"/>
          <w:lang w:bidi="ar"/>
        </w:rPr>
        <w:t>的相关规定。</w:t>
      </w:r>
    </w:p>
    <w:p w14:paraId="35646E42"/>
    <w:p w14:paraId="34C7A586">
      <w:pPr>
        <w:pStyle w:val="3"/>
        <w:keepNext w:val="0"/>
        <w:keepLines w:val="0"/>
        <w:numPr>
          <w:ilvl w:val="0"/>
          <w:numId w:val="16"/>
        </w:numPr>
        <w:spacing w:before="78" w:beforeLines="25" w:after="0" w:line="500" w:lineRule="exact"/>
        <w:ind w:left="0" w:firstLine="0"/>
        <w:rPr>
          <w:rFonts w:hint="eastAsia" w:ascii="微软雅黑" w:hAnsi="微软雅黑" w:eastAsia="微软雅黑" w:cs="微软雅黑"/>
          <w:bCs w:val="0"/>
          <w:kern w:val="0"/>
          <w:sz w:val="28"/>
          <w:szCs w:val="28"/>
          <w:lang w:bidi="ar"/>
        </w:rPr>
      </w:pPr>
      <w:bookmarkStart w:id="82" w:name="_Toc28123"/>
      <w:bookmarkStart w:id="83" w:name="_Toc6311"/>
      <w:bookmarkStart w:id="84" w:name="_Toc19291"/>
      <w:bookmarkStart w:id="85" w:name="_Toc14347"/>
      <w:r>
        <w:rPr>
          <w:rFonts w:hint="eastAsia" w:ascii="微软雅黑" w:hAnsi="微软雅黑" w:eastAsia="微软雅黑" w:cs="微软雅黑"/>
          <w:bCs w:val="0"/>
          <w:kern w:val="0"/>
          <w:sz w:val="28"/>
          <w:szCs w:val="28"/>
          <w:lang w:bidi="ar"/>
        </w:rPr>
        <w:t>外加剂</w:t>
      </w:r>
      <w:bookmarkEnd w:id="82"/>
      <w:bookmarkEnd w:id="83"/>
      <w:bookmarkEnd w:id="84"/>
      <w:bookmarkEnd w:id="85"/>
    </w:p>
    <w:p w14:paraId="3D42ACBC">
      <w:pPr>
        <w:pStyle w:val="3"/>
        <w:keepNext w:val="0"/>
        <w:keepLines w:val="0"/>
        <w:numPr>
          <w:ilvl w:val="1"/>
          <w:numId w:val="21"/>
        </w:numPr>
        <w:tabs>
          <w:tab w:val="clear" w:pos="576"/>
        </w:tabs>
        <w:spacing w:before="78" w:beforeLines="25" w:after="0" w:line="440" w:lineRule="exact"/>
        <w:jc w:val="both"/>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 xml:space="preserve"> </w:t>
      </w:r>
      <w:bookmarkStart w:id="86" w:name="_Toc21366"/>
      <w:bookmarkStart w:id="87" w:name="_Toc26882"/>
      <w:bookmarkStart w:id="88" w:name="_Toc8730"/>
      <w:r>
        <w:rPr>
          <w:rFonts w:hint="eastAsia" w:ascii="宋体" w:hAnsi="宋体" w:eastAsia="宋体" w:cs="宋体"/>
          <w:b w:val="0"/>
          <w:bCs w:val="0"/>
          <w:color w:val="000000"/>
          <w:kern w:val="0"/>
          <w:sz w:val="24"/>
          <w:szCs w:val="24"/>
          <w:lang w:bidi="ar"/>
        </w:rPr>
        <w:t>掺外加剂时，外加剂性能应符合现行国家标准《混凝土外加剂》</w:t>
      </w:r>
      <w:r>
        <w:rPr>
          <w:rFonts w:hint="eastAsia" w:eastAsia="楷体"/>
          <w:b w:val="0"/>
          <w:color w:val="000000"/>
          <w:sz w:val="24"/>
          <w:szCs w:val="24"/>
        </w:rPr>
        <w:t xml:space="preserve">GB 8076 </w:t>
      </w:r>
      <w:r>
        <w:rPr>
          <w:rFonts w:hint="eastAsia" w:ascii="宋体" w:hAnsi="宋体" w:eastAsia="宋体" w:cs="宋体"/>
          <w:b w:val="0"/>
          <w:bCs w:val="0"/>
          <w:color w:val="000000"/>
          <w:kern w:val="0"/>
          <w:sz w:val="24"/>
          <w:szCs w:val="24"/>
          <w:lang w:bidi="ar"/>
        </w:rPr>
        <w:t>和</w:t>
      </w:r>
      <w:bookmarkStart w:id="89" w:name="_Hlk73541276"/>
      <w:r>
        <w:rPr>
          <w:rFonts w:hint="eastAsia" w:ascii="宋体" w:hAnsi="宋体" w:eastAsia="宋体" w:cs="宋体"/>
          <w:b w:val="0"/>
          <w:bCs w:val="0"/>
          <w:color w:val="000000"/>
          <w:kern w:val="0"/>
          <w:sz w:val="24"/>
          <w:szCs w:val="24"/>
          <w:lang w:bidi="ar"/>
        </w:rPr>
        <w:t>《混凝土外加剂应用技术规范》</w:t>
      </w:r>
      <w:r>
        <w:rPr>
          <w:rFonts w:hint="eastAsia" w:eastAsia="楷体"/>
          <w:b w:val="0"/>
          <w:color w:val="000000"/>
          <w:sz w:val="24"/>
          <w:szCs w:val="24"/>
        </w:rPr>
        <w:t>GB 50119</w:t>
      </w:r>
      <w:bookmarkEnd w:id="89"/>
      <w:r>
        <w:rPr>
          <w:rFonts w:hint="eastAsia" w:ascii="宋体" w:hAnsi="宋体" w:eastAsia="宋体" w:cs="宋体"/>
          <w:b w:val="0"/>
          <w:bCs w:val="0"/>
          <w:color w:val="000000"/>
          <w:kern w:val="0"/>
          <w:sz w:val="24"/>
          <w:szCs w:val="24"/>
          <w:lang w:bidi="ar"/>
        </w:rPr>
        <w:t>中的相关规定。</w:t>
      </w:r>
      <w:bookmarkEnd w:id="86"/>
      <w:bookmarkEnd w:id="87"/>
      <w:bookmarkEnd w:id="88"/>
    </w:p>
    <w:p w14:paraId="381A3183">
      <w:pPr>
        <w:pStyle w:val="3"/>
        <w:keepNext w:val="0"/>
        <w:keepLines w:val="0"/>
        <w:numPr>
          <w:ilvl w:val="1"/>
          <w:numId w:val="21"/>
        </w:numPr>
        <w:tabs>
          <w:tab w:val="clear" w:pos="576"/>
        </w:tabs>
        <w:spacing w:before="78" w:beforeLines="25" w:after="0" w:line="440" w:lineRule="exact"/>
        <w:jc w:val="both"/>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 xml:space="preserve"> </w:t>
      </w:r>
      <w:bookmarkStart w:id="90" w:name="_Toc20685"/>
      <w:bookmarkStart w:id="91" w:name="_Toc24510"/>
      <w:bookmarkStart w:id="92" w:name="_Toc25178"/>
      <w:r>
        <w:rPr>
          <w:rFonts w:hint="eastAsia" w:ascii="宋体" w:hAnsi="宋体" w:eastAsia="宋体" w:cs="宋体"/>
          <w:b w:val="0"/>
          <w:bCs w:val="0"/>
          <w:color w:val="000000"/>
          <w:kern w:val="0"/>
          <w:sz w:val="24"/>
          <w:szCs w:val="24"/>
          <w:lang w:bidi="ar"/>
        </w:rPr>
        <w:t>掺用改善拌合物性能的其他外加剂时，应通过充分试验进行验证。</w:t>
      </w:r>
      <w:bookmarkEnd w:id="90"/>
      <w:bookmarkEnd w:id="91"/>
      <w:bookmarkEnd w:id="92"/>
    </w:p>
    <w:p w14:paraId="67FA4CD2">
      <w:pPr>
        <w:pStyle w:val="3"/>
        <w:keepNext w:val="0"/>
        <w:keepLines w:val="0"/>
        <w:numPr>
          <w:ilvl w:val="1"/>
          <w:numId w:val="22"/>
        </w:numPr>
        <w:tabs>
          <w:tab w:val="clear" w:pos="576"/>
        </w:tabs>
        <w:spacing w:before="78" w:beforeLines="25" w:after="0" w:line="440" w:lineRule="exact"/>
        <w:jc w:val="both"/>
        <w:sectPr>
          <w:pgSz w:w="11905" w:h="16838"/>
          <w:pgMar w:top="1582" w:right="1440" w:bottom="1162" w:left="1582" w:header="0" w:footer="969" w:gutter="283"/>
          <w:cols w:space="0" w:num="1"/>
          <w:titlePg/>
          <w:docGrid w:type="linesAndChars" w:linePitch="312" w:charSpace="0"/>
        </w:sectPr>
      </w:pPr>
    </w:p>
    <w:p w14:paraId="75F57D12">
      <w:pPr>
        <w:pStyle w:val="2"/>
        <w:numPr>
          <w:ilvl w:val="0"/>
          <w:numId w:val="13"/>
        </w:numPr>
        <w:spacing w:before="78" w:beforeLines="25" w:after="0" w:line="440" w:lineRule="exact"/>
        <w:ind w:left="0" w:firstLine="0"/>
        <w:rPr>
          <w:rFonts w:hint="eastAsia" w:ascii="微软雅黑" w:hAnsi="微软雅黑" w:eastAsia="微软雅黑" w:cs="微软雅黑"/>
          <w:b/>
          <w:sz w:val="32"/>
          <w:szCs w:val="32"/>
        </w:rPr>
      </w:pPr>
      <w:bookmarkStart w:id="93" w:name="_Toc11485"/>
      <w:bookmarkStart w:id="94" w:name="_Toc17719"/>
      <w:bookmarkStart w:id="95" w:name="_Toc29676"/>
      <w:bookmarkStart w:id="96" w:name="_Toc13016"/>
      <w:r>
        <w:rPr>
          <w:rFonts w:hint="eastAsia" w:ascii="微软雅黑" w:hAnsi="微软雅黑" w:eastAsia="微软雅黑" w:cs="微软雅黑"/>
          <w:b/>
          <w:sz w:val="32"/>
          <w:szCs w:val="32"/>
        </w:rPr>
        <w:t>性能要求</w:t>
      </w:r>
      <w:bookmarkEnd w:id="93"/>
      <w:bookmarkEnd w:id="94"/>
      <w:bookmarkEnd w:id="95"/>
      <w:bookmarkEnd w:id="96"/>
    </w:p>
    <w:p w14:paraId="4D323B73"/>
    <w:p w14:paraId="6C7E7387">
      <w:pPr>
        <w:pStyle w:val="3"/>
        <w:keepNext w:val="0"/>
        <w:keepLines w:val="0"/>
        <w:numPr>
          <w:ilvl w:val="0"/>
          <w:numId w:val="23"/>
        </w:numPr>
        <w:spacing w:before="78" w:beforeLines="25" w:after="0" w:line="500" w:lineRule="exact"/>
      </w:pPr>
      <w:bookmarkStart w:id="97" w:name="_Toc10638"/>
      <w:bookmarkStart w:id="98" w:name="_Toc32649"/>
      <w:bookmarkStart w:id="99" w:name="_Toc23742"/>
      <w:bookmarkStart w:id="100" w:name="_Toc24241"/>
      <w:r>
        <w:rPr>
          <w:rFonts w:hint="eastAsia" w:ascii="微软雅黑" w:hAnsi="微软雅黑" w:eastAsia="微软雅黑" w:cs="微软雅黑"/>
          <w:bCs w:val="0"/>
          <w:kern w:val="0"/>
          <w:sz w:val="28"/>
          <w:szCs w:val="28"/>
          <w:lang w:val="en-US" w:eastAsia="zh-CN" w:bidi="ar"/>
        </w:rPr>
        <w:t xml:space="preserve"> </w:t>
      </w:r>
      <w:r>
        <w:rPr>
          <w:rFonts w:hint="eastAsia" w:ascii="微软雅黑" w:hAnsi="微软雅黑" w:eastAsia="微软雅黑" w:cs="微软雅黑"/>
          <w:bCs w:val="0"/>
          <w:kern w:val="0"/>
          <w:sz w:val="28"/>
          <w:szCs w:val="28"/>
          <w:lang w:bidi="ar"/>
        </w:rPr>
        <w:t>低强度充填材料拌合物性能要求</w:t>
      </w:r>
      <w:bookmarkEnd w:id="97"/>
      <w:bookmarkEnd w:id="98"/>
      <w:bookmarkEnd w:id="99"/>
      <w:bookmarkEnd w:id="100"/>
    </w:p>
    <w:p w14:paraId="65443965">
      <w:pPr>
        <w:pStyle w:val="4"/>
        <w:keepNext w:val="0"/>
        <w:keepLines w:val="0"/>
        <w:numPr>
          <w:ilvl w:val="2"/>
          <w:numId w:val="24"/>
        </w:numPr>
        <w:tabs>
          <w:tab w:val="clear" w:pos="720"/>
        </w:tabs>
        <w:spacing w:before="78" w:beforeLines="25" w:after="0" w:line="440" w:lineRule="exact"/>
        <w:jc w:val="left"/>
        <w:rPr>
          <w:rFonts w:hint="eastAsia" w:ascii="宋体" w:hAnsi="宋体" w:cs="宋体"/>
          <w:b w:val="0"/>
          <w:bCs w:val="0"/>
          <w:color w:val="000000"/>
          <w:kern w:val="0"/>
          <w:sz w:val="24"/>
          <w:szCs w:val="24"/>
          <w:lang w:bidi="ar"/>
        </w:rPr>
      </w:pPr>
      <w:bookmarkStart w:id="101" w:name="_Toc6978"/>
      <w:bookmarkStart w:id="102" w:name="_Toc24558"/>
      <w:bookmarkStart w:id="103" w:name="_Toc621"/>
      <w:r>
        <w:rPr>
          <w:rFonts w:hint="eastAsia" w:ascii="宋体" w:hAnsi="宋体" w:cs="宋体"/>
          <w:b w:val="0"/>
          <w:bCs w:val="0"/>
          <w:color w:val="000000"/>
          <w:kern w:val="0"/>
          <w:sz w:val="24"/>
          <w:szCs w:val="24"/>
          <w:lang w:bidi="ar"/>
        </w:rPr>
        <w:t>低强度充填材料拌合物性能指标为到现场浇筑前的性能指标，其中流动度、</w:t>
      </w:r>
      <w:r>
        <w:rPr>
          <w:rFonts w:hint="eastAsia" w:eastAsia="楷体"/>
          <w:b w:val="0"/>
          <w:color w:val="000000"/>
          <w:sz w:val="24"/>
          <w:szCs w:val="24"/>
        </w:rPr>
        <w:t>2h</w:t>
      </w:r>
      <w:r>
        <w:rPr>
          <w:rFonts w:hint="eastAsia" w:ascii="宋体" w:hAnsi="宋体" w:cs="宋体"/>
          <w:b w:val="0"/>
          <w:bCs w:val="0"/>
          <w:color w:val="000000"/>
          <w:kern w:val="0"/>
          <w:sz w:val="24"/>
          <w:szCs w:val="24"/>
          <w:lang w:bidi="ar"/>
        </w:rPr>
        <w:t>泌水率、</w:t>
      </w:r>
      <w:r>
        <w:rPr>
          <w:rFonts w:hint="eastAsia" w:eastAsia="楷体"/>
          <w:b w:val="0"/>
          <w:color w:val="000000"/>
          <w:sz w:val="24"/>
          <w:szCs w:val="24"/>
        </w:rPr>
        <w:t>48h</w:t>
      </w:r>
      <w:r>
        <w:rPr>
          <w:rFonts w:hint="eastAsia" w:ascii="宋体" w:hAnsi="宋体" w:cs="宋体"/>
          <w:b w:val="0"/>
          <w:bCs w:val="0"/>
          <w:color w:val="000000"/>
          <w:kern w:val="0"/>
          <w:sz w:val="24"/>
          <w:szCs w:val="24"/>
          <w:lang w:bidi="ar"/>
        </w:rPr>
        <w:t>沉降率性能指标应符合表</w:t>
      </w:r>
      <w:r>
        <w:rPr>
          <w:rFonts w:hint="eastAsia" w:eastAsia="楷体"/>
          <w:b w:val="0"/>
          <w:color w:val="000000"/>
          <w:sz w:val="24"/>
          <w:szCs w:val="24"/>
        </w:rPr>
        <w:t>4.1.1</w:t>
      </w:r>
      <w:r>
        <w:rPr>
          <w:rFonts w:hint="eastAsia" w:ascii="宋体" w:hAnsi="宋体" w:cs="宋体"/>
          <w:b w:val="0"/>
          <w:bCs w:val="0"/>
          <w:color w:val="000000"/>
          <w:kern w:val="0"/>
          <w:sz w:val="24"/>
          <w:szCs w:val="24"/>
          <w:lang w:bidi="ar"/>
        </w:rPr>
        <w:t>的规定。</w:t>
      </w:r>
      <w:bookmarkEnd w:id="101"/>
      <w:bookmarkEnd w:id="102"/>
      <w:bookmarkEnd w:id="103"/>
    </w:p>
    <w:p w14:paraId="0ACC8712">
      <w:pPr>
        <w:spacing w:before="78" w:beforeLines="25" w:line="440" w:lineRule="exact"/>
        <w:jc w:val="center"/>
        <w:rPr>
          <w:rFonts w:hint="eastAsia" w:ascii="黑体" w:hAnsi="黑体" w:eastAsia="黑体" w:cs="黑体"/>
          <w:b/>
          <w:bCs/>
          <w:sz w:val="24"/>
        </w:rPr>
      </w:pPr>
      <w:r>
        <w:rPr>
          <w:rFonts w:hint="eastAsia" w:ascii="黑体" w:hAnsi="黑体" w:eastAsia="黑体" w:cs="黑体"/>
          <w:b/>
          <w:bCs/>
          <w:sz w:val="24"/>
        </w:rPr>
        <w:t>表4.1.1低强度充填材料拌合物性能指标</w:t>
      </w:r>
    </w:p>
    <w:tbl>
      <w:tblPr>
        <w:tblStyle w:val="7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1"/>
        <w:gridCol w:w="1979"/>
        <w:gridCol w:w="2414"/>
        <w:gridCol w:w="1982"/>
      </w:tblGrid>
      <w:tr w14:paraId="2A01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84" w:type="pct"/>
            <w:shd w:val="clear" w:color="auto" w:fill="auto"/>
            <w:vAlign w:val="center"/>
          </w:tcPr>
          <w:p w14:paraId="47DA7020">
            <w:pPr>
              <w:spacing w:line="360" w:lineRule="auto"/>
              <w:jc w:val="center"/>
              <w:rPr>
                <w:rFonts w:hint="eastAsia" w:ascii="宋体" w:hAnsi="宋体" w:cs="宋体"/>
                <w:szCs w:val="21"/>
              </w:rPr>
            </w:pPr>
          </w:p>
        </w:tc>
        <w:tc>
          <w:tcPr>
            <w:tcW w:w="1122" w:type="pct"/>
            <w:shd w:val="clear" w:color="auto" w:fill="auto"/>
          </w:tcPr>
          <w:p w14:paraId="1301A902">
            <w:pPr>
              <w:spacing w:line="360" w:lineRule="auto"/>
              <w:jc w:val="center"/>
              <w:rPr>
                <w:rFonts w:hint="eastAsia" w:ascii="宋体" w:hAnsi="宋体" w:cs="宋体"/>
                <w:szCs w:val="21"/>
              </w:rPr>
            </w:pPr>
            <w:r>
              <w:rPr>
                <w:rFonts w:hint="eastAsia" w:ascii="宋体" w:hAnsi="宋体" w:cs="宋体"/>
                <w:szCs w:val="21"/>
              </w:rPr>
              <w:t>低流动性</w:t>
            </w:r>
          </w:p>
        </w:tc>
        <w:tc>
          <w:tcPr>
            <w:tcW w:w="1369" w:type="pct"/>
            <w:shd w:val="clear" w:color="auto" w:fill="auto"/>
          </w:tcPr>
          <w:p w14:paraId="70783488">
            <w:pPr>
              <w:spacing w:line="360" w:lineRule="auto"/>
              <w:jc w:val="center"/>
              <w:rPr>
                <w:rFonts w:hint="eastAsia" w:ascii="宋体" w:hAnsi="宋体" w:cs="宋体"/>
                <w:szCs w:val="21"/>
              </w:rPr>
            </w:pPr>
            <w:r>
              <w:rPr>
                <w:rFonts w:hint="eastAsia" w:ascii="宋体" w:hAnsi="宋体" w:cs="宋体"/>
                <w:szCs w:val="21"/>
              </w:rPr>
              <w:t>普通流动性</w:t>
            </w:r>
          </w:p>
        </w:tc>
        <w:tc>
          <w:tcPr>
            <w:tcW w:w="1122" w:type="pct"/>
            <w:shd w:val="clear" w:color="auto" w:fill="auto"/>
          </w:tcPr>
          <w:p w14:paraId="02ABAB1F">
            <w:pPr>
              <w:spacing w:line="360" w:lineRule="auto"/>
              <w:jc w:val="center"/>
              <w:rPr>
                <w:rFonts w:hint="eastAsia" w:ascii="宋体" w:hAnsi="宋体" w:cs="宋体"/>
                <w:szCs w:val="21"/>
              </w:rPr>
            </w:pPr>
            <w:r>
              <w:rPr>
                <w:rFonts w:hint="eastAsia" w:ascii="宋体" w:hAnsi="宋体" w:cs="宋体"/>
                <w:szCs w:val="21"/>
              </w:rPr>
              <w:t>高流动性</w:t>
            </w:r>
          </w:p>
        </w:tc>
      </w:tr>
      <w:tr w14:paraId="7A0C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384" w:type="pct"/>
            <w:shd w:val="clear" w:color="auto" w:fill="auto"/>
          </w:tcPr>
          <w:p w14:paraId="4749E780">
            <w:pPr>
              <w:spacing w:line="360" w:lineRule="auto"/>
              <w:jc w:val="center"/>
              <w:rPr>
                <w:rFonts w:hint="eastAsia" w:ascii="宋体" w:hAnsi="宋体" w:cs="宋体"/>
                <w:szCs w:val="21"/>
              </w:rPr>
            </w:pPr>
            <w:r>
              <w:rPr>
                <w:rFonts w:hint="eastAsia" w:ascii="宋体" w:hAnsi="宋体" w:cs="宋体"/>
                <w:szCs w:val="21"/>
              </w:rPr>
              <w:t>流动度</w:t>
            </w:r>
          </w:p>
        </w:tc>
        <w:tc>
          <w:tcPr>
            <w:tcW w:w="1122" w:type="pct"/>
            <w:shd w:val="clear" w:color="auto" w:fill="auto"/>
          </w:tcPr>
          <w:p w14:paraId="38D5845C">
            <w:pPr>
              <w:spacing w:line="360" w:lineRule="auto"/>
              <w:jc w:val="center"/>
              <w:rPr>
                <w:rFonts w:hint="eastAsia" w:ascii="宋体" w:hAnsi="宋体" w:cs="宋体"/>
                <w:szCs w:val="21"/>
              </w:rPr>
            </w:pPr>
            <w:r>
              <w:rPr>
                <w:rFonts w:hint="eastAsia" w:eastAsia="楷体"/>
                <w:bCs/>
                <w:color w:val="000000"/>
                <w:szCs w:val="21"/>
                <w:highlight w:val="none"/>
              </w:rPr>
              <w:t>&lt;</w:t>
            </w:r>
            <w:r>
              <w:rPr>
                <w:rFonts w:hint="eastAsia" w:eastAsia="楷体"/>
                <w:bCs/>
                <w:color w:val="000000"/>
                <w:szCs w:val="21"/>
              </w:rPr>
              <w:t>150mm</w:t>
            </w:r>
          </w:p>
        </w:tc>
        <w:tc>
          <w:tcPr>
            <w:tcW w:w="1369" w:type="pct"/>
            <w:shd w:val="clear" w:color="auto" w:fill="auto"/>
          </w:tcPr>
          <w:p w14:paraId="054F405E">
            <w:pPr>
              <w:spacing w:line="360" w:lineRule="auto"/>
              <w:jc w:val="center"/>
              <w:rPr>
                <w:rFonts w:hint="eastAsia" w:ascii="宋体" w:hAnsi="宋体" w:cs="宋体"/>
                <w:szCs w:val="21"/>
              </w:rPr>
            </w:pPr>
            <w:r>
              <w:rPr>
                <w:rFonts w:hint="eastAsia" w:eastAsia="楷体"/>
                <w:bCs/>
                <w:color w:val="000000"/>
                <w:szCs w:val="21"/>
              </w:rPr>
              <w:t>150mm~200mm</w:t>
            </w:r>
          </w:p>
        </w:tc>
        <w:tc>
          <w:tcPr>
            <w:tcW w:w="1122" w:type="pct"/>
            <w:shd w:val="clear" w:color="auto" w:fill="auto"/>
          </w:tcPr>
          <w:p w14:paraId="178C186C">
            <w:pPr>
              <w:spacing w:line="360" w:lineRule="auto"/>
              <w:jc w:val="center"/>
              <w:rPr>
                <w:rFonts w:hint="eastAsia" w:ascii="宋体" w:hAnsi="宋体" w:cs="宋体"/>
                <w:szCs w:val="21"/>
              </w:rPr>
            </w:pPr>
            <w:r>
              <w:rPr>
                <w:rFonts w:hint="eastAsia" w:eastAsia="楷体"/>
                <w:bCs/>
                <w:color w:val="000000"/>
                <w:szCs w:val="21"/>
                <w:highlight w:val="none"/>
              </w:rPr>
              <w:t>&gt;</w:t>
            </w:r>
            <w:r>
              <w:rPr>
                <w:rFonts w:hint="eastAsia" w:eastAsia="楷体"/>
                <w:bCs/>
                <w:color w:val="000000"/>
                <w:szCs w:val="21"/>
              </w:rPr>
              <w:t>200mm</w:t>
            </w:r>
          </w:p>
        </w:tc>
      </w:tr>
      <w:tr w14:paraId="5146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384" w:type="pct"/>
            <w:shd w:val="clear" w:color="auto" w:fill="auto"/>
          </w:tcPr>
          <w:p w14:paraId="77ED5312">
            <w:pPr>
              <w:spacing w:line="360" w:lineRule="auto"/>
              <w:jc w:val="center"/>
              <w:rPr>
                <w:rFonts w:hint="eastAsia" w:ascii="宋体" w:hAnsi="宋体" w:cs="宋体"/>
                <w:szCs w:val="21"/>
              </w:rPr>
            </w:pPr>
            <w:r>
              <w:rPr>
                <w:rFonts w:hint="eastAsia" w:ascii="宋体" w:hAnsi="宋体" w:cs="宋体"/>
                <w:szCs w:val="21"/>
              </w:rPr>
              <w:t>泌水率</w:t>
            </w:r>
            <w:r>
              <w:rPr>
                <w:rFonts w:hint="eastAsia" w:eastAsia="楷体"/>
                <w:bCs/>
                <w:color w:val="000000"/>
                <w:szCs w:val="21"/>
              </w:rPr>
              <w:t>(2h)</w:t>
            </w:r>
          </w:p>
        </w:tc>
        <w:tc>
          <w:tcPr>
            <w:tcW w:w="3615" w:type="pct"/>
            <w:gridSpan w:val="3"/>
            <w:shd w:val="clear" w:color="auto" w:fill="auto"/>
          </w:tcPr>
          <w:p w14:paraId="4C276D38">
            <w:pPr>
              <w:spacing w:line="360" w:lineRule="auto"/>
              <w:jc w:val="center"/>
              <w:rPr>
                <w:rFonts w:hint="eastAsia" w:ascii="宋体" w:hAnsi="宋体" w:cs="宋体"/>
                <w:szCs w:val="21"/>
              </w:rPr>
            </w:pPr>
            <w:r>
              <w:rPr>
                <w:rFonts w:hint="eastAsia" w:eastAsia="楷体"/>
                <w:bCs/>
                <w:color w:val="000000"/>
                <w:szCs w:val="21"/>
                <w:highlight w:val="none"/>
              </w:rPr>
              <w:t>&lt;</w:t>
            </w:r>
            <w:r>
              <w:rPr>
                <w:rFonts w:hint="eastAsia" w:eastAsia="楷体"/>
                <w:bCs/>
                <w:color w:val="000000"/>
                <w:szCs w:val="21"/>
              </w:rPr>
              <w:t>5%</w:t>
            </w:r>
          </w:p>
        </w:tc>
      </w:tr>
      <w:tr w14:paraId="0D1F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384" w:type="pct"/>
            <w:shd w:val="clear" w:color="auto" w:fill="auto"/>
          </w:tcPr>
          <w:p w14:paraId="7678FA19">
            <w:pPr>
              <w:spacing w:line="360" w:lineRule="auto"/>
              <w:jc w:val="center"/>
              <w:rPr>
                <w:rFonts w:hint="eastAsia" w:ascii="宋体" w:hAnsi="宋体" w:cs="宋体"/>
                <w:szCs w:val="21"/>
              </w:rPr>
            </w:pPr>
            <w:r>
              <w:rPr>
                <w:rFonts w:hint="eastAsia" w:ascii="宋体" w:hAnsi="宋体" w:cs="宋体"/>
                <w:szCs w:val="21"/>
              </w:rPr>
              <w:t>沉降率</w:t>
            </w:r>
            <w:r>
              <w:rPr>
                <w:rFonts w:hint="eastAsia" w:eastAsia="楷体"/>
                <w:bCs/>
                <w:color w:val="000000"/>
                <w:szCs w:val="21"/>
              </w:rPr>
              <w:t>(48h)</w:t>
            </w:r>
          </w:p>
        </w:tc>
        <w:tc>
          <w:tcPr>
            <w:tcW w:w="3615" w:type="pct"/>
            <w:gridSpan w:val="3"/>
            <w:shd w:val="clear" w:color="auto" w:fill="auto"/>
          </w:tcPr>
          <w:p w14:paraId="752A7444">
            <w:pPr>
              <w:spacing w:line="360" w:lineRule="auto"/>
              <w:jc w:val="center"/>
              <w:rPr>
                <w:rFonts w:hint="eastAsia" w:ascii="宋体" w:hAnsi="宋体" w:cs="宋体"/>
                <w:szCs w:val="21"/>
              </w:rPr>
            </w:pPr>
            <w:r>
              <w:rPr>
                <w:rFonts w:hint="eastAsia" w:eastAsia="楷体"/>
                <w:bCs/>
                <w:color w:val="000000"/>
                <w:szCs w:val="21"/>
                <w:highlight w:val="none"/>
              </w:rPr>
              <w:t>&lt;</w:t>
            </w:r>
            <w:r>
              <w:rPr>
                <w:rFonts w:hint="eastAsia" w:eastAsia="楷体"/>
                <w:bCs/>
                <w:color w:val="000000"/>
                <w:szCs w:val="21"/>
              </w:rPr>
              <w:t>2%</w:t>
            </w:r>
          </w:p>
        </w:tc>
      </w:tr>
    </w:tbl>
    <w:p w14:paraId="239B6D07">
      <w:pPr>
        <w:spacing w:before="78" w:beforeLines="25" w:line="440" w:lineRule="exact"/>
        <w:jc w:val="left"/>
        <w:rPr>
          <w:rFonts w:hint="eastAsia" w:ascii="楷体" w:hAnsi="楷体" w:eastAsia="楷体" w:cs="楷体"/>
          <w:bCs/>
          <w:color w:val="000000"/>
          <w:sz w:val="24"/>
        </w:rPr>
      </w:pPr>
      <w:r>
        <w:rPr>
          <w:rFonts w:hint="eastAsia" w:ascii="楷体" w:hAnsi="楷体" w:eastAsia="楷体" w:cs="楷体"/>
          <w:bCs/>
          <w:color w:val="000000"/>
          <w:sz w:val="24"/>
        </w:rPr>
        <w:t>【条文说明】</w:t>
      </w:r>
      <w:r>
        <w:rPr>
          <w:rFonts w:hint="eastAsia" w:ascii="楷体" w:hAnsi="楷体" w:eastAsia="楷体" w:cs="楷体"/>
          <w:bCs/>
          <w:sz w:val="24"/>
        </w:rPr>
        <w:t>有关流动度的规定参照</w:t>
      </w:r>
      <w:r>
        <w:rPr>
          <w:rFonts w:hint="eastAsia" w:eastAsia="楷体"/>
          <w:bCs/>
          <w:color w:val="000000"/>
          <w:sz w:val="24"/>
        </w:rPr>
        <w:t>2.1.8</w:t>
      </w:r>
      <w:r>
        <w:rPr>
          <w:rFonts w:hint="eastAsia" w:ascii="楷体" w:hAnsi="楷体" w:eastAsia="楷体" w:cs="楷体"/>
          <w:bCs/>
          <w:sz w:val="24"/>
        </w:rPr>
        <w:t>所述。</w:t>
      </w:r>
      <w:r>
        <w:rPr>
          <w:rFonts w:hint="eastAsia" w:ascii="楷体" w:hAnsi="楷体" w:eastAsia="楷体" w:cs="楷体"/>
          <w:bCs/>
          <w:color w:val="000000"/>
          <w:sz w:val="24"/>
        </w:rPr>
        <w:t>在泌水率方面，为避免严重的沉降，一般要求可控低强充填材料的</w:t>
      </w:r>
      <w:r>
        <w:rPr>
          <w:rFonts w:hint="eastAsia" w:eastAsia="楷体"/>
          <w:bCs/>
          <w:color w:val="000000"/>
          <w:sz w:val="24"/>
        </w:rPr>
        <w:t>120min</w:t>
      </w:r>
      <w:r>
        <w:rPr>
          <w:rFonts w:hint="eastAsia" w:ascii="楷体" w:hAnsi="楷体" w:eastAsia="楷体" w:cs="楷体"/>
          <w:bCs/>
          <w:color w:val="000000"/>
          <w:sz w:val="24"/>
        </w:rPr>
        <w:t>泌水率低于</w:t>
      </w:r>
      <w:r>
        <w:rPr>
          <w:rFonts w:hint="eastAsia" w:eastAsia="楷体"/>
          <w:bCs/>
          <w:color w:val="000000"/>
          <w:sz w:val="24"/>
        </w:rPr>
        <w:t>5%</w:t>
      </w:r>
      <w:r>
        <w:rPr>
          <w:rFonts w:hint="eastAsia" w:ascii="楷体" w:hAnsi="楷体" w:eastAsia="楷体" w:cs="楷体"/>
          <w:bCs/>
          <w:color w:val="000000"/>
          <w:sz w:val="24"/>
        </w:rPr>
        <w:t>。前期实验表明，泌水率过高伴随着浆体粘度大幅下降，进而降低细颗粒的粘聚力，导致其沉降率过高，因此对低强度充填材料的泌水率做出规定。沉降率过高，低强度充填材料的回填效率降低，严重则出现开裂、塌方等风险，因此对其沉降率做出规定。</w:t>
      </w:r>
    </w:p>
    <w:p w14:paraId="29BB00BC">
      <w:pPr>
        <w:pStyle w:val="4"/>
        <w:numPr>
          <w:ilvl w:val="2"/>
          <w:numId w:val="24"/>
        </w:numPr>
        <w:tabs>
          <w:tab w:val="clear" w:pos="720"/>
        </w:tabs>
        <w:spacing w:before="78" w:beforeLines="25" w:after="0" w:line="440" w:lineRule="exact"/>
        <w:jc w:val="left"/>
        <w:rPr>
          <w:rFonts w:cs="楷体"/>
          <w:b w:val="0"/>
          <w:bCs w:val="0"/>
          <w:color w:val="000000"/>
          <w:sz w:val="24"/>
          <w:szCs w:val="24"/>
        </w:rPr>
      </w:pPr>
      <w:bookmarkStart w:id="104" w:name="_Toc8747"/>
      <w:bookmarkStart w:id="105" w:name="_Toc22661"/>
      <w:r>
        <w:rPr>
          <w:rFonts w:hint="eastAsia" w:cs="楷体"/>
          <w:b w:val="0"/>
          <w:bCs w:val="0"/>
          <w:color w:val="000000"/>
          <w:sz w:val="24"/>
          <w:szCs w:val="24"/>
        </w:rPr>
        <w:t>不同工程对低强度充填材料流动性的要求宜符合表4.1.2的规定。</w:t>
      </w:r>
      <w:bookmarkEnd w:id="104"/>
      <w:bookmarkEnd w:id="105"/>
    </w:p>
    <w:p w14:paraId="19597DC0">
      <w:pPr>
        <w:spacing w:before="78" w:beforeLines="25" w:line="440" w:lineRule="exact"/>
        <w:jc w:val="center"/>
        <w:rPr>
          <w:rFonts w:hint="eastAsia" w:ascii="黑体" w:hAnsi="黑体" w:eastAsia="黑体" w:cs="黑体"/>
          <w:b/>
          <w:bCs/>
          <w:sz w:val="24"/>
        </w:rPr>
      </w:pPr>
      <w:r>
        <w:rPr>
          <w:rFonts w:hint="eastAsia" w:ascii="黑体" w:hAnsi="黑体" w:eastAsia="黑体" w:cs="黑体"/>
          <w:b/>
          <w:bCs/>
          <w:sz w:val="24"/>
        </w:rPr>
        <w:t>表4.1.2</w:t>
      </w:r>
      <w:r>
        <w:rPr>
          <w:rFonts w:hint="eastAsia" w:ascii="黑体" w:hAnsi="黑体" w:eastAsia="黑体" w:cs="黑体"/>
          <w:b/>
          <w:sz w:val="24"/>
        </w:rPr>
        <w:t>不同工程对</w:t>
      </w:r>
      <w:r>
        <w:rPr>
          <w:rFonts w:hint="eastAsia" w:ascii="黑体" w:hAnsi="黑体" w:eastAsia="黑体" w:cs="黑体"/>
          <w:b/>
          <w:bCs/>
          <w:sz w:val="24"/>
        </w:rPr>
        <w:t>低强度充填材料流动性的要求</w:t>
      </w:r>
    </w:p>
    <w:tbl>
      <w:tblPr>
        <w:tblStyle w:val="7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6"/>
        <w:gridCol w:w="4408"/>
      </w:tblGrid>
      <w:tr w14:paraId="0B18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58A40110">
            <w:pPr>
              <w:spacing w:before="78" w:beforeLines="25"/>
              <w:jc w:val="center"/>
              <w:rPr>
                <w:rFonts w:cs="楷体"/>
                <w:bCs/>
                <w:color w:val="000000"/>
                <w:szCs w:val="21"/>
              </w:rPr>
            </w:pPr>
            <w:r>
              <w:rPr>
                <w:rFonts w:hint="eastAsia" w:cs="楷体"/>
                <w:bCs/>
                <w:color w:val="000000"/>
                <w:szCs w:val="21"/>
              </w:rPr>
              <w:t>工程类型</w:t>
            </w:r>
          </w:p>
        </w:tc>
        <w:tc>
          <w:tcPr>
            <w:tcW w:w="2500" w:type="pct"/>
            <w:vAlign w:val="center"/>
          </w:tcPr>
          <w:p w14:paraId="6CBDB8F6">
            <w:pPr>
              <w:spacing w:before="78" w:beforeLines="25"/>
              <w:jc w:val="center"/>
              <w:rPr>
                <w:rFonts w:cs="楷体"/>
                <w:bCs/>
                <w:color w:val="000000"/>
                <w:szCs w:val="21"/>
              </w:rPr>
            </w:pPr>
            <w:r>
              <w:rPr>
                <w:rFonts w:hint="eastAsia" w:cs="楷体"/>
                <w:bCs/>
                <w:color w:val="000000"/>
                <w:szCs w:val="21"/>
              </w:rPr>
              <w:t>低强度充填材料的流动性状态</w:t>
            </w:r>
          </w:p>
        </w:tc>
      </w:tr>
      <w:tr w14:paraId="64EA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3D4A9A46">
            <w:pPr>
              <w:spacing w:before="78" w:beforeLines="25"/>
              <w:jc w:val="center"/>
              <w:rPr>
                <w:rFonts w:cs="楷体"/>
                <w:bCs/>
                <w:color w:val="000000"/>
                <w:szCs w:val="21"/>
              </w:rPr>
            </w:pPr>
            <w:r>
              <w:rPr>
                <w:rFonts w:hint="eastAsia" w:cs="楷体"/>
                <w:bCs/>
                <w:color w:val="000000"/>
                <w:szCs w:val="21"/>
              </w:rPr>
              <w:t>较大空间的管沟、路基、肥槽等回填工程</w:t>
            </w:r>
          </w:p>
        </w:tc>
        <w:tc>
          <w:tcPr>
            <w:tcW w:w="2500" w:type="pct"/>
            <w:vAlign w:val="center"/>
          </w:tcPr>
          <w:p w14:paraId="423DF418">
            <w:pPr>
              <w:spacing w:before="78" w:beforeLines="25"/>
              <w:jc w:val="center"/>
              <w:rPr>
                <w:rFonts w:cs="楷体"/>
                <w:bCs/>
                <w:color w:val="000000"/>
                <w:szCs w:val="21"/>
              </w:rPr>
            </w:pPr>
            <w:r>
              <w:rPr>
                <w:rFonts w:hint="eastAsia" w:cs="楷体"/>
                <w:bCs/>
                <w:color w:val="000000"/>
                <w:szCs w:val="21"/>
              </w:rPr>
              <w:t>低流动性</w:t>
            </w:r>
          </w:p>
        </w:tc>
      </w:tr>
      <w:tr w14:paraId="36A6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54B43059">
            <w:pPr>
              <w:spacing w:before="78" w:beforeLines="25"/>
              <w:jc w:val="center"/>
              <w:rPr>
                <w:rFonts w:cs="楷体"/>
                <w:bCs/>
                <w:color w:val="000000"/>
                <w:szCs w:val="21"/>
              </w:rPr>
            </w:pPr>
            <w:r>
              <w:rPr>
                <w:rFonts w:hint="eastAsia" w:cs="楷体"/>
                <w:bCs/>
                <w:color w:val="000000"/>
                <w:szCs w:val="21"/>
              </w:rPr>
              <w:t>一般回填工程</w:t>
            </w:r>
          </w:p>
        </w:tc>
        <w:tc>
          <w:tcPr>
            <w:tcW w:w="2500" w:type="pct"/>
            <w:vAlign w:val="center"/>
          </w:tcPr>
          <w:p w14:paraId="0B3CB3F1">
            <w:pPr>
              <w:spacing w:before="78" w:beforeLines="25"/>
              <w:jc w:val="center"/>
              <w:rPr>
                <w:rFonts w:cs="楷体"/>
                <w:bCs/>
                <w:color w:val="000000"/>
                <w:szCs w:val="21"/>
              </w:rPr>
            </w:pPr>
            <w:r>
              <w:rPr>
                <w:rFonts w:hint="eastAsia" w:cs="楷体"/>
                <w:bCs/>
                <w:color w:val="000000"/>
                <w:szCs w:val="21"/>
              </w:rPr>
              <w:t>普通流动性</w:t>
            </w:r>
          </w:p>
        </w:tc>
      </w:tr>
      <w:tr w14:paraId="5917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4749815B">
            <w:pPr>
              <w:spacing w:before="78" w:beforeLines="25"/>
              <w:jc w:val="center"/>
              <w:rPr>
                <w:rFonts w:cs="楷体"/>
                <w:bCs/>
                <w:color w:val="000000"/>
                <w:szCs w:val="21"/>
              </w:rPr>
            </w:pPr>
            <w:r>
              <w:rPr>
                <w:rFonts w:hint="eastAsia" w:cs="楷体"/>
                <w:bCs/>
                <w:color w:val="000000"/>
                <w:szCs w:val="21"/>
              </w:rPr>
              <w:t>狭窄操作空间或死角等回填工程</w:t>
            </w:r>
          </w:p>
        </w:tc>
        <w:tc>
          <w:tcPr>
            <w:tcW w:w="2500" w:type="pct"/>
            <w:vAlign w:val="center"/>
          </w:tcPr>
          <w:p w14:paraId="4C11AFB4">
            <w:pPr>
              <w:spacing w:before="78" w:beforeLines="25"/>
              <w:jc w:val="center"/>
              <w:rPr>
                <w:rFonts w:cs="楷体"/>
                <w:bCs/>
                <w:color w:val="000000"/>
                <w:szCs w:val="21"/>
              </w:rPr>
            </w:pPr>
            <w:r>
              <w:rPr>
                <w:rFonts w:hint="eastAsia" w:cs="楷体"/>
                <w:bCs/>
                <w:color w:val="000000"/>
                <w:szCs w:val="21"/>
              </w:rPr>
              <w:t>高流动性</w:t>
            </w:r>
          </w:p>
        </w:tc>
      </w:tr>
    </w:tbl>
    <w:p w14:paraId="1D426DBC">
      <w:pPr>
        <w:numPr>
          <w:ilvl w:val="0"/>
          <w:numId w:val="25"/>
        </w:numPr>
        <w:spacing w:before="78" w:beforeLines="25" w:line="440" w:lineRule="exact"/>
        <w:jc w:val="left"/>
        <w:rPr>
          <w:rFonts w:hint="eastAsia" w:ascii="宋体" w:hAnsi="宋体" w:cs="宋体"/>
          <w:color w:val="000000"/>
          <w:sz w:val="24"/>
          <w:lang w:bidi="ar"/>
        </w:rPr>
      </w:pPr>
      <w:bookmarkStart w:id="106" w:name="_Toc19642"/>
      <w:bookmarkStart w:id="107" w:name="_Toc16942"/>
      <w:bookmarkStart w:id="108" w:name="_Toc2950"/>
      <w:r>
        <w:rPr>
          <w:rFonts w:hint="eastAsia" w:ascii="宋体" w:hAnsi="宋体" w:cs="宋体"/>
          <w:color w:val="000000"/>
          <w:sz w:val="24"/>
          <w:lang w:bidi="ar"/>
        </w:rPr>
        <w:t>低强度充填材料拌合物流动度应符合表4.1.1和表4.1.2的规定，测试应按本标准附录A执行。</w:t>
      </w:r>
      <w:bookmarkEnd w:id="106"/>
      <w:bookmarkEnd w:id="107"/>
      <w:bookmarkEnd w:id="108"/>
    </w:p>
    <w:p w14:paraId="29809847">
      <w:pPr>
        <w:numPr>
          <w:ilvl w:val="0"/>
          <w:numId w:val="25"/>
        </w:numPr>
        <w:spacing w:before="78" w:beforeLines="25" w:line="440" w:lineRule="exact"/>
        <w:jc w:val="left"/>
        <w:rPr>
          <w:rFonts w:hint="eastAsia" w:ascii="宋体" w:hAnsi="宋体" w:cs="宋体"/>
          <w:color w:val="000000"/>
          <w:sz w:val="24"/>
          <w:lang w:bidi="ar"/>
        </w:rPr>
      </w:pPr>
      <w:bookmarkStart w:id="109" w:name="_Toc4293"/>
      <w:bookmarkStart w:id="110" w:name="_Toc15144"/>
      <w:bookmarkStart w:id="111" w:name="_Toc10006"/>
      <w:r>
        <w:rPr>
          <w:rFonts w:hint="eastAsia" w:ascii="宋体" w:hAnsi="宋体" w:cs="宋体"/>
          <w:color w:val="000000"/>
          <w:sz w:val="24"/>
          <w:lang w:bidi="ar"/>
        </w:rPr>
        <w:t>低强度充填材料拌合物泌水率应符合表4.1.1的规定，测试应按本标准附录B执行。</w:t>
      </w:r>
      <w:bookmarkEnd w:id="109"/>
      <w:bookmarkEnd w:id="110"/>
      <w:bookmarkEnd w:id="111"/>
    </w:p>
    <w:p w14:paraId="1BAE72F9">
      <w:pPr>
        <w:numPr>
          <w:ilvl w:val="0"/>
          <w:numId w:val="25"/>
        </w:numPr>
        <w:spacing w:before="78" w:beforeLines="25" w:line="440" w:lineRule="exact"/>
        <w:jc w:val="left"/>
        <w:rPr>
          <w:rFonts w:hint="eastAsia" w:ascii="宋体" w:hAnsi="宋体" w:cs="宋体"/>
          <w:color w:val="000000"/>
          <w:sz w:val="24"/>
          <w:lang w:bidi="ar"/>
        </w:rPr>
      </w:pPr>
      <w:bookmarkStart w:id="112" w:name="_Toc31074"/>
      <w:bookmarkStart w:id="113" w:name="_Toc29856"/>
      <w:bookmarkStart w:id="114" w:name="_Toc8131"/>
      <w:r>
        <w:rPr>
          <w:rFonts w:hint="eastAsia" w:ascii="宋体" w:hAnsi="宋体" w:cs="宋体"/>
          <w:color w:val="000000"/>
          <w:sz w:val="24"/>
          <w:lang w:bidi="ar"/>
        </w:rPr>
        <w:t>低强度充填材料拌合物分层度应满足具体工程要求，测试应按照现行行业标准《建筑砂浆基本性能试验方法标准》</w:t>
      </w:r>
      <w:r>
        <w:rPr>
          <w:rFonts w:hint="eastAsia" w:ascii="宋体" w:hAnsi="宋体" w:cs="宋体"/>
          <w:color w:val="000000"/>
          <w:sz w:val="24"/>
        </w:rPr>
        <w:t>JGJ/T70</w:t>
      </w:r>
      <w:r>
        <w:rPr>
          <w:rFonts w:hint="eastAsia" w:ascii="宋体" w:hAnsi="宋体" w:cs="宋体"/>
          <w:color w:val="000000"/>
          <w:sz w:val="24"/>
          <w:lang w:bidi="ar"/>
        </w:rPr>
        <w:t>的有关规定执行。</w:t>
      </w:r>
      <w:bookmarkEnd w:id="112"/>
      <w:bookmarkEnd w:id="113"/>
      <w:bookmarkEnd w:id="114"/>
    </w:p>
    <w:p w14:paraId="2523D2D5">
      <w:pPr>
        <w:numPr>
          <w:ilvl w:val="0"/>
          <w:numId w:val="25"/>
        </w:numPr>
        <w:spacing w:before="78" w:beforeLines="25" w:line="440" w:lineRule="exact"/>
        <w:jc w:val="left"/>
        <w:rPr>
          <w:rFonts w:hint="eastAsia" w:ascii="宋体" w:hAnsi="宋体" w:cs="宋体"/>
          <w:color w:val="000000"/>
          <w:sz w:val="24"/>
          <w:lang w:bidi="ar"/>
        </w:rPr>
      </w:pPr>
      <w:bookmarkStart w:id="115" w:name="_Toc13233"/>
      <w:bookmarkStart w:id="116" w:name="_Toc2933"/>
      <w:bookmarkStart w:id="117" w:name="_Toc19743"/>
      <w:r>
        <w:rPr>
          <w:rFonts w:hint="eastAsia" w:ascii="宋体" w:hAnsi="宋体" w:cs="宋体"/>
          <w:color w:val="000000"/>
          <w:sz w:val="24"/>
          <w:lang w:bidi="ar"/>
        </w:rPr>
        <w:t>低强度充填材料拌合物落球凝结时间不宜小于10h，严禁大于24h，测试应按照本标准附录C执行。</w:t>
      </w:r>
      <w:bookmarkEnd w:id="115"/>
      <w:bookmarkEnd w:id="116"/>
      <w:bookmarkEnd w:id="117"/>
    </w:p>
    <w:p w14:paraId="43CFF54A">
      <w:pPr>
        <w:numPr>
          <w:ilvl w:val="0"/>
          <w:numId w:val="25"/>
        </w:numPr>
        <w:spacing w:before="78" w:beforeLines="25" w:line="440" w:lineRule="exact"/>
        <w:jc w:val="left"/>
        <w:rPr>
          <w:rFonts w:hint="eastAsia" w:ascii="宋体" w:hAnsi="宋体" w:cs="宋体"/>
          <w:color w:val="000000"/>
          <w:sz w:val="24"/>
          <w:lang w:bidi="ar"/>
        </w:rPr>
      </w:pPr>
      <w:bookmarkStart w:id="118" w:name="_Toc7840"/>
      <w:bookmarkStart w:id="119" w:name="_Toc4739"/>
      <w:bookmarkStart w:id="120" w:name="_Toc32346"/>
      <w:r>
        <w:rPr>
          <w:rFonts w:hint="eastAsia" w:ascii="宋体" w:hAnsi="宋体" w:cs="宋体"/>
          <w:color w:val="000000"/>
          <w:sz w:val="24"/>
          <w:lang w:bidi="ar"/>
        </w:rPr>
        <w:t>低强度充填材料拌合物沉降率应符合表4.1.1的规定，测试应按照本标准附录D执行。</w:t>
      </w:r>
      <w:bookmarkEnd w:id="118"/>
      <w:bookmarkEnd w:id="119"/>
      <w:bookmarkEnd w:id="120"/>
    </w:p>
    <w:p w14:paraId="0E2EEBAD">
      <w:pPr>
        <w:pStyle w:val="3"/>
        <w:keepNext w:val="0"/>
        <w:keepLines w:val="0"/>
        <w:numPr>
          <w:ilvl w:val="0"/>
          <w:numId w:val="23"/>
        </w:numPr>
        <w:spacing w:before="78" w:beforeLines="25" w:after="0" w:line="500" w:lineRule="exact"/>
        <w:rPr>
          <w:rFonts w:hint="eastAsia" w:ascii="微软雅黑" w:hAnsi="微软雅黑" w:eastAsia="微软雅黑" w:cs="微软雅黑"/>
          <w:bCs w:val="0"/>
          <w:kern w:val="0"/>
          <w:sz w:val="28"/>
          <w:szCs w:val="28"/>
          <w:lang w:bidi="ar"/>
        </w:rPr>
      </w:pPr>
      <w:bookmarkStart w:id="121" w:name="_Toc31988"/>
      <w:bookmarkStart w:id="122" w:name="_Toc9102"/>
      <w:bookmarkStart w:id="123" w:name="_Toc26614"/>
      <w:bookmarkStart w:id="124" w:name="_Toc1891"/>
      <w:r>
        <w:rPr>
          <w:rFonts w:hint="eastAsia" w:ascii="微软雅黑" w:hAnsi="微软雅黑" w:eastAsia="微软雅黑" w:cs="微软雅黑"/>
          <w:bCs w:val="0"/>
          <w:kern w:val="0"/>
          <w:sz w:val="28"/>
          <w:szCs w:val="28"/>
          <w:lang w:val="en-US" w:eastAsia="zh-CN" w:bidi="ar"/>
        </w:rPr>
        <w:t xml:space="preserve"> </w:t>
      </w:r>
      <w:r>
        <w:rPr>
          <w:rFonts w:hint="eastAsia" w:ascii="微软雅黑" w:hAnsi="微软雅黑" w:eastAsia="微软雅黑" w:cs="微软雅黑"/>
          <w:bCs w:val="0"/>
          <w:kern w:val="0"/>
          <w:sz w:val="28"/>
          <w:szCs w:val="28"/>
          <w:lang w:bidi="ar"/>
        </w:rPr>
        <w:t>低强度充填材料硬化性能要求</w:t>
      </w:r>
      <w:bookmarkEnd w:id="121"/>
      <w:bookmarkEnd w:id="122"/>
      <w:bookmarkEnd w:id="123"/>
      <w:bookmarkEnd w:id="124"/>
    </w:p>
    <w:p w14:paraId="4B777384">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25" w:name="_Toc18723"/>
      <w:bookmarkStart w:id="126" w:name="_Toc22657"/>
      <w:bookmarkStart w:id="127" w:name="_Toc30601"/>
      <w:r>
        <w:rPr>
          <w:rFonts w:hint="eastAsia" w:ascii="Calibri" w:hAnsi="Calibri" w:cs="宋体"/>
          <w:b w:val="0"/>
          <w:bCs w:val="0"/>
          <w:color w:val="000000"/>
          <w:kern w:val="0"/>
          <w:sz w:val="24"/>
          <w:szCs w:val="24"/>
          <w:lang w:bidi="ar"/>
        </w:rPr>
        <w:t>低强度充填材料力学性能、长期性能和耐久性能应满足设计要求和现行相关标准的规定。</w:t>
      </w:r>
      <w:bookmarkEnd w:id="125"/>
      <w:bookmarkEnd w:id="126"/>
      <w:bookmarkEnd w:id="127"/>
    </w:p>
    <w:p w14:paraId="0B342245">
      <w:pPr>
        <w:spacing w:line="440" w:lineRule="exact"/>
        <w:rPr>
          <w:rFonts w:hint="eastAsia" w:ascii="楷体" w:hAnsi="楷体" w:eastAsia="楷体" w:cs="楷体"/>
          <w:bCs/>
          <w:color w:val="000000"/>
          <w:sz w:val="24"/>
        </w:rPr>
      </w:pPr>
      <w:r>
        <w:rPr>
          <w:rFonts w:ascii="楷体" w:hAnsi="楷体" w:eastAsia="楷体" w:cs="楷体"/>
          <w:bCs/>
          <w:color w:val="000000"/>
          <w:sz w:val="24"/>
        </w:rPr>
        <w:t>【条文说明】</w:t>
      </w:r>
      <w:r>
        <w:rPr>
          <w:rFonts w:hint="eastAsia" w:ascii="楷体" w:hAnsi="楷体" w:eastAsia="楷体" w:cs="楷体"/>
          <w:bCs/>
          <w:color w:val="000000"/>
          <w:sz w:val="24"/>
        </w:rPr>
        <w:t>在项目施工设计阶段应规划总结低强度充填材料性能预期与定位，并与常规相关标准进行对照，充分考虑项目的定位、性能需求、工作年限、施工环境、长期环境变化等因素，明确施工目标，确定合理的材料设计，严格遵守现有标准规定。</w:t>
      </w:r>
    </w:p>
    <w:p w14:paraId="38F2018C">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28" w:name="_Toc6454"/>
      <w:bookmarkStart w:id="129" w:name="_Toc26665"/>
      <w:bookmarkStart w:id="130" w:name="_Toc10253"/>
      <w:r>
        <w:rPr>
          <w:rFonts w:hint="eastAsia" w:ascii="Calibri" w:hAnsi="Calibri" w:cs="宋体"/>
          <w:b w:val="0"/>
          <w:bCs w:val="0"/>
          <w:color w:val="000000"/>
          <w:kern w:val="0"/>
          <w:sz w:val="24"/>
          <w:szCs w:val="24"/>
          <w:lang w:bidi="ar"/>
        </w:rPr>
        <w:t>低强度充填材料无侧限抗压强度测</w:t>
      </w:r>
      <w:r>
        <w:rPr>
          <w:b w:val="0"/>
          <w:bCs w:val="0"/>
          <w:color w:val="000000"/>
          <w:kern w:val="0"/>
          <w:sz w:val="24"/>
          <w:szCs w:val="24"/>
          <w:lang w:bidi="ar"/>
        </w:rPr>
        <w:t>试应按照本标准附录E执行</w:t>
      </w:r>
      <w:r>
        <w:rPr>
          <w:rFonts w:hint="eastAsia" w:ascii="Calibri" w:hAnsi="Calibri" w:cs="宋体"/>
          <w:b w:val="0"/>
          <w:bCs w:val="0"/>
          <w:color w:val="000000"/>
          <w:kern w:val="0"/>
          <w:sz w:val="24"/>
          <w:szCs w:val="24"/>
          <w:lang w:bidi="ar"/>
        </w:rPr>
        <w:t>。</w:t>
      </w:r>
      <w:bookmarkEnd w:id="128"/>
      <w:r>
        <w:rPr>
          <w:rFonts w:hint="eastAsia" w:cs="楷体"/>
          <w:b w:val="0"/>
          <w:bCs w:val="0"/>
          <w:color w:val="000000"/>
          <w:sz w:val="24"/>
          <w:szCs w:val="24"/>
        </w:rPr>
        <w:t>不同工程对低强度充填材料无侧限抗压强度的要求宜符合表4.2.2规定。</w:t>
      </w:r>
      <w:bookmarkEnd w:id="129"/>
      <w:bookmarkEnd w:id="130"/>
    </w:p>
    <w:p w14:paraId="6B12CD13">
      <w:pPr>
        <w:spacing w:before="78" w:beforeLines="25" w:line="440" w:lineRule="exact"/>
        <w:jc w:val="center"/>
        <w:rPr>
          <w:rFonts w:eastAsia="黑体" w:cs="楷体"/>
          <w:bCs/>
          <w:color w:val="000000"/>
          <w:sz w:val="24"/>
        </w:rPr>
      </w:pPr>
      <w:r>
        <w:rPr>
          <w:rFonts w:hint="eastAsia" w:ascii="黑体" w:hAnsi="黑体" w:eastAsia="黑体" w:cs="黑体"/>
          <w:b/>
          <w:bCs/>
          <w:sz w:val="24"/>
        </w:rPr>
        <w:t>表4.2.2</w:t>
      </w:r>
      <w:r>
        <w:rPr>
          <w:rFonts w:hint="eastAsia" w:ascii="黑体" w:hAnsi="黑体" w:eastAsia="黑体" w:cs="黑体"/>
          <w:b/>
          <w:sz w:val="24"/>
        </w:rPr>
        <w:t>不同</w:t>
      </w:r>
      <w:r>
        <w:rPr>
          <w:rFonts w:hint="eastAsia" w:ascii="黑体" w:hAnsi="黑体" w:eastAsia="黑体" w:cs="黑体"/>
          <w:b/>
          <w:bCs/>
          <w:sz w:val="24"/>
        </w:rPr>
        <w:t>工程对</w:t>
      </w:r>
      <w:r>
        <w:rPr>
          <w:rFonts w:hint="eastAsia" w:cs="楷体"/>
          <w:b/>
          <w:color w:val="000000"/>
          <w:sz w:val="24"/>
        </w:rPr>
        <w:t>低</w:t>
      </w:r>
      <w:r>
        <w:rPr>
          <w:rFonts w:hint="eastAsia" w:ascii="黑体" w:hAnsi="黑体" w:eastAsia="黑体" w:cs="黑体"/>
          <w:b/>
          <w:bCs/>
          <w:sz w:val="24"/>
        </w:rPr>
        <w:t>强度充填材料</w:t>
      </w:r>
      <w:r>
        <w:rPr>
          <w:rFonts w:hint="eastAsia" w:cs="楷体"/>
          <w:b/>
          <w:color w:val="000000"/>
          <w:sz w:val="24"/>
        </w:rPr>
        <w:t>无侧限抗压强度的要求</w:t>
      </w:r>
    </w:p>
    <w:tbl>
      <w:tblPr>
        <w:tblStyle w:val="7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4"/>
        <w:gridCol w:w="4410"/>
      </w:tblGrid>
      <w:tr w14:paraId="503A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vAlign w:val="center"/>
          </w:tcPr>
          <w:p w14:paraId="3CE0EDA4">
            <w:pPr>
              <w:spacing w:before="78" w:beforeLines="25"/>
              <w:jc w:val="center"/>
              <w:rPr>
                <w:rFonts w:cs="楷体"/>
                <w:bCs/>
                <w:color w:val="000000"/>
                <w:szCs w:val="21"/>
              </w:rPr>
            </w:pPr>
            <w:r>
              <w:rPr>
                <w:rFonts w:hint="eastAsia" w:cs="楷体"/>
                <w:bCs/>
                <w:color w:val="000000"/>
                <w:szCs w:val="21"/>
              </w:rPr>
              <w:t>适用工程范围</w:t>
            </w:r>
          </w:p>
        </w:tc>
        <w:tc>
          <w:tcPr>
            <w:tcW w:w="2501" w:type="pct"/>
            <w:vAlign w:val="center"/>
          </w:tcPr>
          <w:p w14:paraId="030B0399">
            <w:pPr>
              <w:spacing w:before="78" w:beforeLines="25"/>
              <w:jc w:val="center"/>
              <w:rPr>
                <w:rFonts w:hint="eastAsia" w:eastAsia="宋体" w:cs="楷体"/>
                <w:bCs/>
                <w:color w:val="000000"/>
                <w:szCs w:val="21"/>
                <w:lang w:val="en-US" w:eastAsia="zh-CN"/>
              </w:rPr>
            </w:pPr>
            <w:r>
              <w:rPr>
                <w:rFonts w:hint="eastAsia" w:cs="楷体"/>
                <w:bCs/>
                <w:color w:val="000000"/>
                <w:szCs w:val="21"/>
              </w:rPr>
              <w:t>28d无侧限抗压强度</w:t>
            </w:r>
            <w:r>
              <w:rPr>
                <w:rFonts w:hint="eastAsia" w:cs="楷体"/>
                <w:bCs/>
                <w:color w:val="000000"/>
                <w:szCs w:val="21"/>
                <w:lang w:val="en-US" w:eastAsia="zh-CN"/>
              </w:rPr>
              <w:t>（</w:t>
            </w:r>
            <w:r>
              <w:rPr>
                <w:rFonts w:hint="eastAsia" w:cs="楷体"/>
                <w:bCs/>
                <w:color w:val="000000"/>
                <w:szCs w:val="21"/>
              </w:rPr>
              <w:t>MPa</w:t>
            </w:r>
            <w:r>
              <w:rPr>
                <w:rFonts w:hint="eastAsia" w:cs="楷体"/>
                <w:bCs/>
                <w:color w:val="000000"/>
                <w:szCs w:val="21"/>
                <w:lang w:val="en-US" w:eastAsia="zh-CN"/>
              </w:rPr>
              <w:t>）</w:t>
            </w:r>
          </w:p>
        </w:tc>
      </w:tr>
      <w:tr w14:paraId="7DFD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vAlign w:val="center"/>
          </w:tcPr>
          <w:p w14:paraId="422F4AF2">
            <w:pPr>
              <w:spacing w:before="78" w:beforeLines="25"/>
              <w:jc w:val="center"/>
              <w:rPr>
                <w:rFonts w:cs="楷体"/>
                <w:bCs/>
                <w:color w:val="000000"/>
                <w:szCs w:val="21"/>
              </w:rPr>
            </w:pPr>
            <w:r>
              <w:rPr>
                <w:rFonts w:hint="eastAsia" w:cs="楷体"/>
                <w:bCs/>
                <w:color w:val="000000"/>
                <w:szCs w:val="21"/>
              </w:rPr>
              <w:t>需二次开挖的临时回填工程</w:t>
            </w:r>
          </w:p>
        </w:tc>
        <w:tc>
          <w:tcPr>
            <w:tcW w:w="2501" w:type="pct"/>
            <w:vAlign w:val="center"/>
          </w:tcPr>
          <w:p w14:paraId="71B75CB3">
            <w:pPr>
              <w:spacing w:before="78" w:beforeLines="25"/>
              <w:jc w:val="center"/>
              <w:rPr>
                <w:rFonts w:cs="楷体"/>
                <w:bCs/>
                <w:color w:val="000000"/>
                <w:szCs w:val="21"/>
              </w:rPr>
            </w:pPr>
            <w:r>
              <w:rPr>
                <w:rFonts w:hint="eastAsia" w:eastAsia="楷体"/>
                <w:bCs/>
                <w:color w:val="000000"/>
                <w:szCs w:val="21"/>
              </w:rPr>
              <w:t>0.3~0.7</w:t>
            </w:r>
          </w:p>
        </w:tc>
      </w:tr>
      <w:tr w14:paraId="23FC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vAlign w:val="center"/>
          </w:tcPr>
          <w:p w14:paraId="20E53BE9">
            <w:pPr>
              <w:spacing w:before="78" w:beforeLines="25"/>
              <w:jc w:val="center"/>
              <w:rPr>
                <w:rFonts w:cs="楷体"/>
                <w:bCs/>
                <w:color w:val="000000"/>
                <w:szCs w:val="21"/>
              </w:rPr>
            </w:pPr>
            <w:r>
              <w:rPr>
                <w:rFonts w:hint="eastAsia" w:cs="楷体"/>
                <w:bCs/>
                <w:color w:val="000000"/>
                <w:szCs w:val="21"/>
              </w:rPr>
              <w:t>管沟、肥槽、隧道竖井、下水道等无需承受荷载的非结构回填工程</w:t>
            </w:r>
          </w:p>
        </w:tc>
        <w:tc>
          <w:tcPr>
            <w:tcW w:w="2501" w:type="pct"/>
            <w:vAlign w:val="center"/>
          </w:tcPr>
          <w:p w14:paraId="55B46028">
            <w:pPr>
              <w:spacing w:before="78" w:beforeLines="25"/>
              <w:jc w:val="center"/>
              <w:rPr>
                <w:rFonts w:cs="楷体"/>
                <w:bCs/>
                <w:color w:val="000000"/>
                <w:szCs w:val="21"/>
              </w:rPr>
            </w:pPr>
            <w:r>
              <w:rPr>
                <w:rFonts w:hint="eastAsia" w:eastAsia="楷体"/>
                <w:bCs/>
                <w:color w:val="000000"/>
                <w:szCs w:val="21"/>
              </w:rPr>
              <w:t>0.7~2.1</w:t>
            </w:r>
          </w:p>
        </w:tc>
      </w:tr>
      <w:tr w14:paraId="420D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vAlign w:val="center"/>
          </w:tcPr>
          <w:p w14:paraId="233078D9">
            <w:pPr>
              <w:spacing w:before="78" w:beforeLines="25"/>
              <w:jc w:val="center"/>
              <w:rPr>
                <w:rFonts w:cs="楷体"/>
                <w:bCs/>
                <w:color w:val="000000"/>
                <w:szCs w:val="21"/>
              </w:rPr>
            </w:pPr>
            <w:r>
              <w:rPr>
                <w:rFonts w:hint="eastAsia" w:cs="楷体"/>
                <w:bCs/>
                <w:color w:val="000000"/>
                <w:szCs w:val="21"/>
              </w:rPr>
              <w:t>道路工程等承受一定荷载的结构回填工程</w:t>
            </w:r>
          </w:p>
        </w:tc>
        <w:tc>
          <w:tcPr>
            <w:tcW w:w="2501" w:type="pct"/>
            <w:vAlign w:val="center"/>
          </w:tcPr>
          <w:p w14:paraId="65502E2D">
            <w:pPr>
              <w:spacing w:before="78" w:beforeLines="25"/>
              <w:jc w:val="center"/>
              <w:rPr>
                <w:rFonts w:cs="楷体"/>
                <w:bCs/>
                <w:color w:val="000000"/>
                <w:szCs w:val="21"/>
              </w:rPr>
            </w:pPr>
            <w:r>
              <w:rPr>
                <w:rFonts w:hint="eastAsia" w:eastAsia="楷体"/>
                <w:bCs/>
                <w:color w:val="000000"/>
                <w:szCs w:val="21"/>
              </w:rPr>
              <w:t>2.1~8.3</w:t>
            </w:r>
          </w:p>
        </w:tc>
      </w:tr>
    </w:tbl>
    <w:p w14:paraId="313BAFAB">
      <w:pPr>
        <w:spacing w:before="78" w:beforeLines="25" w:line="440" w:lineRule="exact"/>
        <w:rPr>
          <w:sz w:val="24"/>
        </w:rPr>
      </w:pPr>
      <w:r>
        <w:rPr>
          <w:rFonts w:eastAsia="楷体"/>
          <w:bCs/>
          <w:color w:val="000000"/>
          <w:sz w:val="24"/>
        </w:rPr>
        <w:t>【条文说明】</w:t>
      </w:r>
      <w:r>
        <w:rPr>
          <w:rFonts w:hint="eastAsia" w:eastAsia="楷体"/>
          <w:bCs/>
          <w:color w:val="000000"/>
          <w:sz w:val="24"/>
        </w:rPr>
        <w:t>无侧限抗压强度是评价低强度充填材料载荷能力的性能指标，一般低强度充填材料无侧限抗压强度范围为0.3MPa~8.3MPa。</w:t>
      </w:r>
    </w:p>
    <w:p w14:paraId="0C35FDE4">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31" w:name="_Toc27514"/>
      <w:bookmarkStart w:id="132" w:name="_Toc14705"/>
      <w:bookmarkStart w:id="133" w:name="_Toc3250"/>
      <w:r>
        <w:rPr>
          <w:rFonts w:hint="eastAsia" w:ascii="Calibri" w:hAnsi="Calibri" w:cs="宋体"/>
          <w:b w:val="0"/>
          <w:bCs w:val="0"/>
          <w:color w:val="000000"/>
          <w:kern w:val="0"/>
          <w:sz w:val="24"/>
          <w:szCs w:val="24"/>
          <w:lang w:bidi="ar"/>
        </w:rPr>
        <w:t>低强度充填材料加州承载比</w:t>
      </w:r>
      <w:r>
        <w:rPr>
          <w:rFonts w:hint="eastAsia"/>
          <w:b w:val="0"/>
          <w:bCs w:val="0"/>
          <w:color w:val="000000"/>
          <w:kern w:val="0"/>
          <w:sz w:val="24"/>
          <w:szCs w:val="24"/>
          <w:lang w:bidi="ar"/>
        </w:rPr>
        <w:t>应</w:t>
      </w:r>
      <w:r>
        <w:rPr>
          <w:b w:val="0"/>
          <w:bCs w:val="0"/>
          <w:color w:val="000000"/>
          <w:kern w:val="0"/>
          <w:sz w:val="24"/>
          <w:szCs w:val="24"/>
          <w:lang w:bidi="ar"/>
        </w:rPr>
        <w:t>满足具体工程要求，</w:t>
      </w:r>
      <w:r>
        <w:rPr>
          <w:rFonts w:hint="eastAsia" w:ascii="Calibri" w:hAnsi="Calibri" w:cs="宋体"/>
          <w:b w:val="0"/>
          <w:bCs w:val="0"/>
          <w:color w:val="000000"/>
          <w:kern w:val="0"/>
          <w:sz w:val="24"/>
          <w:szCs w:val="24"/>
          <w:lang w:bidi="ar"/>
        </w:rPr>
        <w:t>测试应按照现行</w:t>
      </w:r>
      <w:r>
        <w:rPr>
          <w:rFonts w:hint="eastAsia" w:ascii="宋体" w:hAnsi="宋体" w:cs="宋体"/>
          <w:b w:val="0"/>
          <w:bCs w:val="0"/>
          <w:color w:val="000000"/>
          <w:kern w:val="0"/>
          <w:sz w:val="24"/>
          <w:szCs w:val="24"/>
          <w:lang w:bidi="ar"/>
        </w:rPr>
        <w:t>行业</w:t>
      </w:r>
      <w:r>
        <w:rPr>
          <w:rFonts w:hint="eastAsia" w:ascii="Calibri" w:hAnsi="Calibri" w:cs="宋体"/>
          <w:b w:val="0"/>
          <w:bCs w:val="0"/>
          <w:color w:val="000000"/>
          <w:kern w:val="0"/>
          <w:sz w:val="24"/>
          <w:szCs w:val="24"/>
          <w:lang w:bidi="ar"/>
        </w:rPr>
        <w:t>标准《公路土工试验规程》</w:t>
      </w:r>
      <w:r>
        <w:rPr>
          <w:b w:val="0"/>
          <w:bCs w:val="0"/>
          <w:color w:val="000000"/>
          <w:kern w:val="0"/>
          <w:sz w:val="24"/>
          <w:szCs w:val="24"/>
          <w:lang w:bidi="ar"/>
        </w:rPr>
        <w:t>JTG 3430</w:t>
      </w:r>
      <w:r>
        <w:rPr>
          <w:rFonts w:hint="eastAsia" w:ascii="宋体" w:hAnsi="宋体" w:cs="宋体"/>
          <w:b w:val="0"/>
          <w:bCs w:val="0"/>
          <w:color w:val="000000"/>
          <w:kern w:val="0"/>
          <w:sz w:val="24"/>
          <w:szCs w:val="24"/>
          <w:lang w:bidi="ar"/>
        </w:rPr>
        <w:t>的有关规定</w:t>
      </w:r>
      <w:r>
        <w:rPr>
          <w:rFonts w:hint="eastAsia" w:ascii="Calibri" w:hAnsi="Calibri" w:cs="宋体"/>
          <w:b w:val="0"/>
          <w:bCs w:val="0"/>
          <w:color w:val="000000"/>
          <w:kern w:val="0"/>
          <w:sz w:val="24"/>
          <w:szCs w:val="24"/>
          <w:lang w:bidi="ar"/>
        </w:rPr>
        <w:t>执行。</w:t>
      </w:r>
      <w:bookmarkEnd w:id="131"/>
      <w:bookmarkEnd w:id="132"/>
      <w:bookmarkEnd w:id="133"/>
    </w:p>
    <w:p w14:paraId="140FD104">
      <w:pPr>
        <w:spacing w:before="78" w:beforeLines="25" w:line="440" w:lineRule="exact"/>
        <w:rPr>
          <w:sz w:val="24"/>
        </w:rPr>
      </w:pPr>
      <w:r>
        <w:rPr>
          <w:rFonts w:eastAsia="楷体"/>
          <w:bCs/>
          <w:color w:val="000000"/>
          <w:sz w:val="24"/>
        </w:rPr>
        <w:t>【条文说明】</w:t>
      </w:r>
      <w:r>
        <w:rPr>
          <w:rFonts w:hint="eastAsia" w:eastAsia="楷体"/>
          <w:bCs/>
          <w:color w:val="000000"/>
          <w:sz w:val="24"/>
        </w:rPr>
        <w:t>加州承载比（CBR）是评定材料抵抗局部载荷变形能力的指标，在实际工程中是设计低强度充填材料施工厚度的重要参数。</w:t>
      </w:r>
    </w:p>
    <w:p w14:paraId="70F02235">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34" w:name="_Toc2615"/>
      <w:bookmarkStart w:id="135" w:name="_Toc21648"/>
      <w:bookmarkStart w:id="136" w:name="_Toc20298"/>
      <w:r>
        <w:rPr>
          <w:rFonts w:hint="eastAsia" w:ascii="Calibri" w:hAnsi="Calibri" w:cs="宋体"/>
          <w:b w:val="0"/>
          <w:bCs w:val="0"/>
          <w:color w:val="000000"/>
          <w:kern w:val="0"/>
          <w:sz w:val="24"/>
          <w:szCs w:val="24"/>
          <w:lang w:bidi="ar"/>
        </w:rPr>
        <w:t>低强度充填材料劈裂强度</w:t>
      </w:r>
      <w:r>
        <w:rPr>
          <w:rFonts w:hint="eastAsia"/>
          <w:b w:val="0"/>
          <w:bCs w:val="0"/>
          <w:color w:val="000000"/>
          <w:kern w:val="0"/>
          <w:sz w:val="24"/>
          <w:szCs w:val="24"/>
          <w:lang w:bidi="ar"/>
        </w:rPr>
        <w:t>应</w:t>
      </w:r>
      <w:r>
        <w:rPr>
          <w:b w:val="0"/>
          <w:bCs w:val="0"/>
          <w:color w:val="000000"/>
          <w:kern w:val="0"/>
          <w:sz w:val="24"/>
          <w:szCs w:val="24"/>
          <w:lang w:bidi="ar"/>
        </w:rPr>
        <w:t>满足具体工程要求，</w:t>
      </w:r>
      <w:r>
        <w:rPr>
          <w:rFonts w:hint="eastAsia" w:ascii="Calibri" w:hAnsi="Calibri" w:cs="宋体"/>
          <w:b w:val="0"/>
          <w:bCs w:val="0"/>
          <w:color w:val="000000"/>
          <w:kern w:val="0"/>
          <w:sz w:val="24"/>
          <w:szCs w:val="24"/>
          <w:lang w:bidi="ar"/>
        </w:rPr>
        <w:t>测试应按照现行</w:t>
      </w:r>
      <w:r>
        <w:rPr>
          <w:rFonts w:hint="eastAsia" w:ascii="宋体" w:hAnsi="宋体" w:cs="宋体"/>
          <w:b w:val="0"/>
          <w:bCs w:val="0"/>
          <w:color w:val="000000"/>
          <w:kern w:val="0"/>
          <w:sz w:val="24"/>
          <w:szCs w:val="24"/>
          <w:lang w:bidi="ar"/>
        </w:rPr>
        <w:t>行业</w:t>
      </w:r>
      <w:r>
        <w:rPr>
          <w:rFonts w:hint="eastAsia" w:ascii="Calibri" w:hAnsi="Calibri" w:cs="宋体"/>
          <w:b w:val="0"/>
          <w:bCs w:val="0"/>
          <w:color w:val="000000"/>
          <w:kern w:val="0"/>
          <w:sz w:val="24"/>
          <w:szCs w:val="24"/>
          <w:lang w:bidi="ar"/>
        </w:rPr>
        <w:t>标准《公路工程无机结合料稳定材料试验规程》</w:t>
      </w:r>
      <w:r>
        <w:rPr>
          <w:rFonts w:hint="eastAsia" w:eastAsia="楷体"/>
          <w:b w:val="0"/>
          <w:color w:val="000000"/>
          <w:sz w:val="24"/>
          <w:szCs w:val="24"/>
        </w:rPr>
        <w:t>JTG 3441</w:t>
      </w:r>
      <w:r>
        <w:rPr>
          <w:rFonts w:hint="eastAsia" w:ascii="宋体" w:hAnsi="宋体" w:cs="宋体"/>
          <w:b w:val="0"/>
          <w:bCs w:val="0"/>
          <w:color w:val="000000"/>
          <w:kern w:val="0"/>
          <w:sz w:val="24"/>
          <w:szCs w:val="24"/>
          <w:lang w:bidi="ar"/>
        </w:rPr>
        <w:t>的有关规定</w:t>
      </w:r>
      <w:r>
        <w:rPr>
          <w:rFonts w:hint="eastAsia" w:ascii="Calibri" w:hAnsi="Calibri" w:cs="宋体"/>
          <w:b w:val="0"/>
          <w:bCs w:val="0"/>
          <w:color w:val="000000"/>
          <w:kern w:val="0"/>
          <w:sz w:val="24"/>
          <w:szCs w:val="24"/>
          <w:lang w:bidi="ar"/>
        </w:rPr>
        <w:t>执行。</w:t>
      </w:r>
      <w:bookmarkEnd w:id="134"/>
      <w:bookmarkEnd w:id="135"/>
      <w:bookmarkEnd w:id="136"/>
    </w:p>
    <w:p w14:paraId="45904A0E">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37" w:name="_Toc28081"/>
      <w:bookmarkStart w:id="138" w:name="_Toc4447"/>
      <w:bookmarkStart w:id="139" w:name="_Toc31522"/>
      <w:r>
        <w:rPr>
          <w:rFonts w:hint="eastAsia" w:ascii="Calibri" w:hAnsi="Calibri" w:cs="宋体"/>
          <w:b w:val="0"/>
          <w:bCs w:val="0"/>
          <w:color w:val="000000"/>
          <w:kern w:val="0"/>
          <w:sz w:val="24"/>
          <w:szCs w:val="24"/>
          <w:lang w:bidi="ar"/>
        </w:rPr>
        <w:t>低强度充填材料抗渗性</w:t>
      </w:r>
      <w:r>
        <w:rPr>
          <w:rFonts w:hint="eastAsia"/>
          <w:b w:val="0"/>
          <w:bCs w:val="0"/>
          <w:color w:val="000000"/>
          <w:kern w:val="0"/>
          <w:sz w:val="24"/>
          <w:szCs w:val="24"/>
          <w:lang w:bidi="ar"/>
        </w:rPr>
        <w:t>应</w:t>
      </w:r>
      <w:r>
        <w:rPr>
          <w:b w:val="0"/>
          <w:bCs w:val="0"/>
          <w:color w:val="000000"/>
          <w:kern w:val="0"/>
          <w:sz w:val="24"/>
          <w:szCs w:val="24"/>
          <w:lang w:bidi="ar"/>
        </w:rPr>
        <w:t>满足具体工程要求，</w:t>
      </w:r>
      <w:r>
        <w:rPr>
          <w:rFonts w:hint="eastAsia" w:ascii="Calibri" w:hAnsi="Calibri" w:cs="宋体"/>
          <w:b w:val="0"/>
          <w:bCs w:val="0"/>
          <w:color w:val="000000"/>
          <w:kern w:val="0"/>
          <w:sz w:val="24"/>
          <w:szCs w:val="24"/>
          <w:lang w:bidi="ar"/>
        </w:rPr>
        <w:t>测试应按照现行</w:t>
      </w:r>
      <w:r>
        <w:rPr>
          <w:rFonts w:hint="eastAsia" w:ascii="宋体" w:hAnsi="宋体" w:cs="宋体"/>
          <w:b w:val="0"/>
          <w:bCs w:val="0"/>
          <w:color w:val="000000"/>
          <w:kern w:val="0"/>
          <w:sz w:val="24"/>
          <w:szCs w:val="24"/>
          <w:lang w:bidi="ar"/>
        </w:rPr>
        <w:t>行业</w:t>
      </w:r>
      <w:r>
        <w:rPr>
          <w:rFonts w:hint="eastAsia" w:ascii="Calibri" w:hAnsi="Calibri" w:cs="宋体"/>
          <w:b w:val="0"/>
          <w:bCs w:val="0"/>
          <w:color w:val="000000"/>
          <w:kern w:val="0"/>
          <w:sz w:val="24"/>
          <w:szCs w:val="24"/>
          <w:lang w:bidi="ar"/>
        </w:rPr>
        <w:t>标准《公路土工试验规程》</w:t>
      </w:r>
      <w:r>
        <w:rPr>
          <w:b w:val="0"/>
          <w:bCs w:val="0"/>
          <w:color w:val="000000"/>
          <w:kern w:val="0"/>
          <w:sz w:val="24"/>
          <w:szCs w:val="24"/>
          <w:lang w:bidi="ar"/>
        </w:rPr>
        <w:t>JTG 3430的</w:t>
      </w:r>
      <w:r>
        <w:rPr>
          <w:rFonts w:hint="eastAsia" w:ascii="宋体" w:hAnsi="宋体" w:cs="宋体"/>
          <w:b w:val="0"/>
          <w:bCs w:val="0"/>
          <w:color w:val="000000"/>
          <w:kern w:val="0"/>
          <w:sz w:val="24"/>
          <w:szCs w:val="24"/>
          <w:lang w:bidi="ar"/>
        </w:rPr>
        <w:t>有关规定</w:t>
      </w:r>
      <w:r>
        <w:rPr>
          <w:rFonts w:hint="eastAsia" w:ascii="Calibri" w:hAnsi="Calibri" w:cs="宋体"/>
          <w:b w:val="0"/>
          <w:bCs w:val="0"/>
          <w:color w:val="000000"/>
          <w:kern w:val="0"/>
          <w:sz w:val="24"/>
          <w:szCs w:val="24"/>
          <w:lang w:bidi="ar"/>
        </w:rPr>
        <w:t>执行。</w:t>
      </w:r>
      <w:bookmarkEnd w:id="137"/>
      <w:bookmarkEnd w:id="138"/>
      <w:bookmarkEnd w:id="139"/>
    </w:p>
    <w:p w14:paraId="72E8A43D">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40" w:name="_Toc26728"/>
      <w:bookmarkStart w:id="141" w:name="_Toc2322"/>
      <w:bookmarkStart w:id="142" w:name="_Toc7731"/>
      <w:r>
        <w:rPr>
          <w:rFonts w:hint="eastAsia" w:ascii="Calibri" w:hAnsi="Calibri" w:cs="宋体"/>
          <w:b w:val="0"/>
          <w:bCs w:val="0"/>
          <w:color w:val="000000"/>
          <w:kern w:val="0"/>
          <w:sz w:val="24"/>
          <w:szCs w:val="24"/>
          <w:lang w:bidi="ar"/>
        </w:rPr>
        <w:t>低强度充填材料抗冻融性能</w:t>
      </w:r>
      <w:r>
        <w:rPr>
          <w:rFonts w:hint="eastAsia"/>
          <w:b w:val="0"/>
          <w:bCs w:val="0"/>
          <w:color w:val="000000"/>
          <w:kern w:val="0"/>
          <w:sz w:val="24"/>
          <w:szCs w:val="24"/>
          <w:lang w:bidi="ar"/>
        </w:rPr>
        <w:t>应</w:t>
      </w:r>
      <w:r>
        <w:rPr>
          <w:b w:val="0"/>
          <w:bCs w:val="0"/>
          <w:color w:val="000000"/>
          <w:kern w:val="0"/>
          <w:sz w:val="24"/>
          <w:szCs w:val="24"/>
          <w:lang w:bidi="ar"/>
        </w:rPr>
        <w:t>满足具体工程要求，</w:t>
      </w:r>
      <w:r>
        <w:rPr>
          <w:rFonts w:hint="eastAsia" w:ascii="Calibri" w:hAnsi="Calibri" w:cs="宋体"/>
          <w:b w:val="0"/>
          <w:bCs w:val="0"/>
          <w:color w:val="000000"/>
          <w:kern w:val="0"/>
          <w:sz w:val="24"/>
          <w:szCs w:val="24"/>
          <w:lang w:bidi="ar"/>
        </w:rPr>
        <w:t>测试应按照现行</w:t>
      </w:r>
      <w:r>
        <w:rPr>
          <w:rFonts w:hint="eastAsia" w:ascii="宋体" w:hAnsi="宋体" w:cs="宋体"/>
          <w:b w:val="0"/>
          <w:bCs w:val="0"/>
          <w:color w:val="000000"/>
          <w:kern w:val="0"/>
          <w:sz w:val="24"/>
          <w:szCs w:val="24"/>
          <w:lang w:bidi="ar"/>
        </w:rPr>
        <w:t>行业</w:t>
      </w:r>
      <w:r>
        <w:rPr>
          <w:rFonts w:hint="eastAsia" w:ascii="Calibri" w:hAnsi="Calibri" w:cs="宋体"/>
          <w:b w:val="0"/>
          <w:bCs w:val="0"/>
          <w:color w:val="000000"/>
          <w:kern w:val="0"/>
          <w:sz w:val="24"/>
          <w:szCs w:val="24"/>
          <w:lang w:bidi="ar"/>
        </w:rPr>
        <w:t>标准《公路工程无机结合料稳定材料试验规程》</w:t>
      </w:r>
      <w:r>
        <w:rPr>
          <w:rFonts w:hint="eastAsia" w:eastAsia="楷体"/>
          <w:b w:val="0"/>
          <w:color w:val="000000"/>
          <w:sz w:val="24"/>
          <w:szCs w:val="24"/>
        </w:rPr>
        <w:t>JTG 3441</w:t>
      </w:r>
      <w:r>
        <w:rPr>
          <w:rFonts w:hint="eastAsia" w:ascii="宋体" w:hAnsi="宋体" w:cs="宋体"/>
          <w:b w:val="0"/>
          <w:bCs w:val="0"/>
          <w:color w:val="000000"/>
          <w:kern w:val="0"/>
          <w:sz w:val="24"/>
          <w:szCs w:val="24"/>
          <w:lang w:bidi="ar"/>
        </w:rPr>
        <w:t>的有关规定</w:t>
      </w:r>
      <w:r>
        <w:rPr>
          <w:rFonts w:hint="eastAsia" w:ascii="Calibri" w:hAnsi="Calibri" w:cs="宋体"/>
          <w:b w:val="0"/>
          <w:bCs w:val="0"/>
          <w:color w:val="000000"/>
          <w:kern w:val="0"/>
          <w:sz w:val="24"/>
          <w:szCs w:val="24"/>
          <w:lang w:bidi="ar"/>
        </w:rPr>
        <w:t>执行。</w:t>
      </w:r>
      <w:bookmarkEnd w:id="140"/>
      <w:bookmarkEnd w:id="141"/>
      <w:bookmarkEnd w:id="142"/>
    </w:p>
    <w:p w14:paraId="359872A0">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43" w:name="_Toc10804"/>
      <w:bookmarkStart w:id="144" w:name="_Toc9388"/>
      <w:r>
        <w:rPr>
          <w:rFonts w:hint="eastAsia" w:ascii="Calibri" w:hAnsi="Calibri" w:cs="宋体"/>
          <w:b w:val="0"/>
          <w:bCs w:val="0"/>
          <w:color w:val="000000"/>
          <w:kern w:val="0"/>
          <w:sz w:val="24"/>
          <w:szCs w:val="24"/>
          <w:lang w:bidi="ar"/>
        </w:rPr>
        <w:t>低强度充填材料抗硫酸盐侵蚀性能</w:t>
      </w:r>
      <w:r>
        <w:rPr>
          <w:rFonts w:hint="eastAsia"/>
          <w:b w:val="0"/>
          <w:bCs w:val="0"/>
          <w:color w:val="000000"/>
          <w:kern w:val="0"/>
          <w:sz w:val="24"/>
          <w:szCs w:val="24"/>
          <w:lang w:bidi="ar"/>
        </w:rPr>
        <w:t>应</w:t>
      </w:r>
      <w:r>
        <w:rPr>
          <w:b w:val="0"/>
          <w:bCs w:val="0"/>
          <w:color w:val="000000"/>
          <w:kern w:val="0"/>
          <w:sz w:val="24"/>
          <w:szCs w:val="24"/>
          <w:lang w:bidi="ar"/>
        </w:rPr>
        <w:t>满足具体工程要求，</w:t>
      </w:r>
      <w:r>
        <w:rPr>
          <w:rFonts w:hint="eastAsia" w:ascii="Calibri" w:hAnsi="Calibri" w:cs="宋体"/>
          <w:b w:val="0"/>
          <w:bCs w:val="0"/>
          <w:color w:val="000000"/>
          <w:kern w:val="0"/>
          <w:sz w:val="24"/>
          <w:szCs w:val="24"/>
          <w:lang w:bidi="ar"/>
        </w:rPr>
        <w:t>测试应按照现行国家标准《混凝土长期性能和耐久性能试验方法标准》GB/T50082的有关规定执行。</w:t>
      </w:r>
      <w:bookmarkEnd w:id="143"/>
      <w:bookmarkEnd w:id="144"/>
    </w:p>
    <w:p w14:paraId="56CCECCC">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45" w:name="_Toc22485"/>
      <w:bookmarkStart w:id="146" w:name="_Toc10988"/>
      <w:r>
        <w:rPr>
          <w:rFonts w:hint="eastAsia" w:ascii="Calibri" w:hAnsi="Calibri" w:cs="宋体"/>
          <w:b w:val="0"/>
          <w:bCs w:val="0"/>
          <w:color w:val="000000"/>
          <w:kern w:val="0"/>
          <w:sz w:val="24"/>
          <w:szCs w:val="24"/>
          <w:lang w:bidi="ar"/>
        </w:rPr>
        <w:t>低强度充填材料干缩性能</w:t>
      </w:r>
      <w:r>
        <w:rPr>
          <w:rFonts w:hint="eastAsia"/>
          <w:b w:val="0"/>
          <w:bCs w:val="0"/>
          <w:color w:val="000000"/>
          <w:kern w:val="0"/>
          <w:sz w:val="24"/>
          <w:szCs w:val="24"/>
          <w:lang w:bidi="ar"/>
        </w:rPr>
        <w:t>应</w:t>
      </w:r>
      <w:r>
        <w:rPr>
          <w:b w:val="0"/>
          <w:bCs w:val="0"/>
          <w:color w:val="000000"/>
          <w:kern w:val="0"/>
          <w:sz w:val="24"/>
          <w:szCs w:val="24"/>
          <w:lang w:bidi="ar"/>
        </w:rPr>
        <w:t>满足具体工程要求，</w:t>
      </w:r>
      <w:r>
        <w:rPr>
          <w:rFonts w:hint="eastAsia" w:ascii="Calibri" w:hAnsi="Calibri" w:cs="宋体"/>
          <w:b w:val="0"/>
          <w:bCs w:val="0"/>
          <w:color w:val="000000"/>
          <w:kern w:val="0"/>
          <w:sz w:val="24"/>
          <w:szCs w:val="24"/>
          <w:lang w:bidi="ar"/>
        </w:rPr>
        <w:t>测试应按照《公路工程无机结合料稳定材料试验规程》JTG 3441的有关规定执行。</w:t>
      </w:r>
      <w:bookmarkEnd w:id="145"/>
      <w:bookmarkEnd w:id="146"/>
    </w:p>
    <w:p w14:paraId="29569A9D">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47" w:name="_Toc28063"/>
      <w:bookmarkStart w:id="148" w:name="_Toc16978"/>
      <w:bookmarkStart w:id="149" w:name="_Toc6100"/>
      <w:r>
        <w:rPr>
          <w:rFonts w:hint="eastAsia" w:ascii="Calibri" w:hAnsi="Calibri" w:cs="宋体"/>
          <w:b w:val="0"/>
          <w:bCs w:val="0"/>
          <w:color w:val="000000"/>
          <w:kern w:val="0"/>
          <w:sz w:val="24"/>
          <w:szCs w:val="24"/>
          <w:lang w:bidi="ar"/>
        </w:rPr>
        <w:t>其他力学性能与耐久性</w:t>
      </w:r>
      <w:r>
        <w:rPr>
          <w:rFonts w:hint="eastAsia"/>
          <w:b w:val="0"/>
          <w:bCs w:val="0"/>
          <w:color w:val="000000"/>
          <w:kern w:val="0"/>
          <w:sz w:val="24"/>
          <w:szCs w:val="24"/>
          <w:lang w:bidi="ar"/>
        </w:rPr>
        <w:t>应</w:t>
      </w:r>
      <w:r>
        <w:rPr>
          <w:b w:val="0"/>
          <w:bCs w:val="0"/>
          <w:color w:val="000000"/>
          <w:kern w:val="0"/>
          <w:sz w:val="24"/>
          <w:szCs w:val="24"/>
          <w:lang w:bidi="ar"/>
        </w:rPr>
        <w:t>满足具体工程要求，</w:t>
      </w:r>
      <w:r>
        <w:rPr>
          <w:rFonts w:hint="eastAsia" w:ascii="Calibri" w:hAnsi="Calibri" w:cs="宋体"/>
          <w:b w:val="0"/>
          <w:bCs w:val="0"/>
          <w:color w:val="000000"/>
          <w:kern w:val="0"/>
          <w:sz w:val="24"/>
          <w:szCs w:val="24"/>
          <w:lang w:bidi="ar"/>
        </w:rPr>
        <w:t>测试应根据实际工程应用需要按现行有关标准的规定执行。</w:t>
      </w:r>
      <w:bookmarkEnd w:id="147"/>
      <w:bookmarkEnd w:id="148"/>
      <w:bookmarkEnd w:id="149"/>
    </w:p>
    <w:p w14:paraId="52C9E9DE">
      <w:pPr>
        <w:spacing w:before="78" w:beforeLines="25" w:line="440" w:lineRule="exact"/>
        <w:rPr>
          <w:rFonts w:hint="eastAsia" w:ascii="楷体" w:hAnsi="楷体" w:eastAsia="楷体" w:cs="楷体"/>
          <w:bCs/>
          <w:color w:val="000000"/>
          <w:sz w:val="24"/>
        </w:rPr>
      </w:pPr>
      <w:r>
        <w:rPr>
          <w:rFonts w:ascii="楷体" w:hAnsi="楷体" w:eastAsia="楷体" w:cs="楷体"/>
          <w:bCs/>
          <w:color w:val="000000"/>
          <w:sz w:val="24"/>
        </w:rPr>
        <w:t>【条文说明】</w:t>
      </w:r>
      <w:r>
        <w:rPr>
          <w:rFonts w:hint="eastAsia" w:ascii="楷体" w:hAnsi="楷体" w:eastAsia="楷体" w:cs="楷体"/>
          <w:bCs/>
          <w:color w:val="000000"/>
          <w:sz w:val="24"/>
        </w:rPr>
        <w:t>除上述测试要求外，在有特殊施工需求的前提下，可按照所需性能相对应的现行标准进行其他力学性能与耐久性测试。</w:t>
      </w:r>
    </w:p>
    <w:p w14:paraId="54A2E26C">
      <w:pPr>
        <w:spacing w:before="78" w:beforeLines="25" w:line="440" w:lineRule="exact"/>
        <w:rPr>
          <w:rFonts w:hint="eastAsia" w:ascii="楷体" w:hAnsi="楷体" w:eastAsia="楷体" w:cs="楷体"/>
          <w:bCs/>
          <w:color w:val="000000"/>
          <w:sz w:val="24"/>
        </w:rPr>
        <w:sectPr>
          <w:pgSz w:w="11905" w:h="16838"/>
          <w:pgMar w:top="1582" w:right="1440" w:bottom="1162" w:left="1582" w:header="0" w:footer="969" w:gutter="283"/>
          <w:cols w:space="0" w:num="1"/>
          <w:titlePg/>
          <w:docGrid w:type="linesAndChars" w:linePitch="312" w:charSpace="0"/>
        </w:sectPr>
      </w:pPr>
    </w:p>
    <w:p w14:paraId="7F5F67D9">
      <w:pPr>
        <w:pStyle w:val="2"/>
        <w:numPr>
          <w:ilvl w:val="0"/>
          <w:numId w:val="13"/>
        </w:numPr>
        <w:spacing w:before="78" w:beforeLines="25" w:after="0" w:line="440" w:lineRule="exact"/>
        <w:ind w:left="0" w:firstLine="0"/>
        <w:rPr>
          <w:rFonts w:hint="eastAsia" w:ascii="微软雅黑" w:hAnsi="微软雅黑" w:eastAsia="微软雅黑" w:cs="微软雅黑"/>
          <w:b/>
          <w:sz w:val="32"/>
          <w:szCs w:val="32"/>
        </w:rPr>
      </w:pPr>
      <w:bookmarkStart w:id="150" w:name="_Toc30319"/>
      <w:bookmarkStart w:id="151" w:name="_Toc12254"/>
      <w:bookmarkStart w:id="152" w:name="_Toc20835"/>
      <w:bookmarkStart w:id="153" w:name="_Toc18764"/>
      <w:r>
        <w:rPr>
          <w:rFonts w:hint="eastAsia" w:ascii="微软雅黑" w:hAnsi="微软雅黑" w:eastAsia="微软雅黑" w:cs="微软雅黑"/>
          <w:b/>
          <w:sz w:val="32"/>
          <w:szCs w:val="32"/>
        </w:rPr>
        <w:t>配合比设计</w:t>
      </w:r>
      <w:bookmarkEnd w:id="150"/>
      <w:bookmarkEnd w:id="151"/>
      <w:bookmarkEnd w:id="152"/>
      <w:bookmarkEnd w:id="153"/>
    </w:p>
    <w:p w14:paraId="5C27FE09"/>
    <w:p w14:paraId="7BBD9887">
      <w:pPr>
        <w:pStyle w:val="3"/>
        <w:keepNext w:val="0"/>
        <w:keepLines w:val="0"/>
        <w:numPr>
          <w:ilvl w:val="0"/>
          <w:numId w:val="27"/>
        </w:numPr>
        <w:tabs>
          <w:tab w:val="clear" w:pos="420"/>
          <w:tab w:val="clear" w:pos="576"/>
        </w:tabs>
        <w:spacing w:before="78" w:beforeLines="25" w:after="0" w:line="440" w:lineRule="exact"/>
        <w:ind w:left="435" w:hanging="435"/>
        <w:rPr>
          <w:rFonts w:hint="eastAsia" w:ascii="微软雅黑" w:hAnsi="微软雅黑" w:eastAsia="微软雅黑" w:cs="微软雅黑"/>
          <w:bCs w:val="0"/>
          <w:kern w:val="0"/>
          <w:sz w:val="28"/>
          <w:szCs w:val="24"/>
          <w:lang w:bidi="ar"/>
        </w:rPr>
      </w:pPr>
      <w:bookmarkStart w:id="154" w:name="_Toc16748"/>
      <w:r>
        <w:rPr>
          <w:rFonts w:hint="eastAsia" w:ascii="微软雅黑" w:hAnsi="微软雅黑" w:eastAsia="微软雅黑" w:cs="微软雅黑"/>
          <w:bCs w:val="0"/>
          <w:kern w:val="0"/>
          <w:sz w:val="28"/>
          <w:szCs w:val="24"/>
          <w:lang w:bidi="ar"/>
        </w:rPr>
        <w:t xml:space="preserve"> </w:t>
      </w:r>
      <w:bookmarkStart w:id="155" w:name="_Toc30049"/>
      <w:bookmarkStart w:id="156" w:name="_Toc29488"/>
      <w:bookmarkStart w:id="157" w:name="_Toc23125"/>
      <w:r>
        <w:rPr>
          <w:rFonts w:hint="eastAsia" w:ascii="微软雅黑" w:hAnsi="微软雅黑" w:eastAsia="微软雅黑" w:cs="微软雅黑"/>
          <w:bCs w:val="0"/>
          <w:kern w:val="0"/>
          <w:sz w:val="28"/>
          <w:szCs w:val="24"/>
          <w:lang w:bidi="ar"/>
        </w:rPr>
        <w:t>一般规定</w:t>
      </w:r>
      <w:bookmarkEnd w:id="154"/>
      <w:bookmarkEnd w:id="155"/>
      <w:bookmarkEnd w:id="156"/>
      <w:bookmarkEnd w:id="157"/>
    </w:p>
    <w:p w14:paraId="5BAFAB5D"/>
    <w:p w14:paraId="335AC4E5">
      <w:pPr>
        <w:pStyle w:val="4"/>
        <w:keepNext w:val="0"/>
        <w:keepLines w:val="0"/>
        <w:numPr>
          <w:ilvl w:val="0"/>
          <w:numId w:val="28"/>
        </w:numPr>
        <w:tabs>
          <w:tab w:val="clear" w:pos="720"/>
        </w:tabs>
        <w:spacing w:before="78" w:beforeLines="25" w:after="0" w:line="440" w:lineRule="exact"/>
        <w:ind w:left="0" w:firstLine="0"/>
        <w:rPr>
          <w:rStyle w:val="190"/>
          <w:rFonts w:hint="default"/>
          <w:b w:val="0"/>
        </w:rPr>
      </w:pPr>
      <w:bookmarkStart w:id="158" w:name="_Toc15066"/>
      <w:bookmarkStart w:id="159" w:name="_Toc31446"/>
      <w:bookmarkStart w:id="160" w:name="_Toc29802"/>
      <w:r>
        <w:rPr>
          <w:rStyle w:val="190"/>
          <w:rFonts w:hint="default"/>
          <w:b w:val="0"/>
        </w:rPr>
        <w:t>低强度充填材料配合比应根据工程特点、施工工艺，以及环境因素的技术要求进行设计，在综合考虑低强度充填材料拌合物性能、力学性能、耐久性以及其他必要性能要求的基础上，提出计算配合比，经试验室试配、调整出满足工作性</w:t>
      </w:r>
      <w:r>
        <w:rPr>
          <w:rStyle w:val="190"/>
          <w:b w:val="0"/>
        </w:rPr>
        <w:t>能</w:t>
      </w:r>
      <w:r>
        <w:rPr>
          <w:rStyle w:val="190"/>
          <w:rFonts w:hint="default"/>
          <w:b w:val="0"/>
        </w:rPr>
        <w:t>要求的试拌配合比，并</w:t>
      </w:r>
      <w:r>
        <w:rPr>
          <w:rStyle w:val="190"/>
          <w:b w:val="0"/>
        </w:rPr>
        <w:t>应</w:t>
      </w:r>
      <w:r>
        <w:rPr>
          <w:rStyle w:val="190"/>
          <w:rFonts w:hint="default"/>
          <w:b w:val="0"/>
        </w:rPr>
        <w:t>进一步经强度、耐久性复核得到基准配合比。</w:t>
      </w:r>
      <w:bookmarkEnd w:id="158"/>
      <w:bookmarkEnd w:id="159"/>
      <w:bookmarkEnd w:id="160"/>
    </w:p>
    <w:p w14:paraId="5A595C92">
      <w:pPr>
        <w:spacing w:before="78" w:beforeLines="25" w:line="440" w:lineRule="exact"/>
        <w:rPr>
          <w:rFonts w:hint="eastAsia" w:ascii="楷体" w:hAnsi="楷体" w:eastAsia="楷体" w:cs="楷体"/>
          <w:bCs/>
          <w:color w:val="000000"/>
          <w:sz w:val="24"/>
        </w:rPr>
      </w:pPr>
      <w:r>
        <w:rPr>
          <w:rFonts w:ascii="楷体" w:hAnsi="楷体" w:eastAsia="楷体" w:cs="楷体"/>
          <w:bCs/>
          <w:color w:val="000000"/>
          <w:sz w:val="24"/>
        </w:rPr>
        <w:t>【条文说明】</w:t>
      </w:r>
      <w:r>
        <w:rPr>
          <w:rFonts w:hint="eastAsia" w:ascii="楷体" w:hAnsi="楷体" w:eastAsia="楷体" w:cs="楷体"/>
          <w:bCs/>
          <w:color w:val="000000"/>
          <w:sz w:val="24"/>
        </w:rPr>
        <w:t>建筑废弃物低强度充填材料严禁在确定配合比后直接施工，需要对其工作性能与力学性能等进行试配验证与调整。因此，本标准规定，在计算出配合比后，必须进行试验与调整检测，最终得出可用于施工的基准配合比。</w:t>
      </w:r>
    </w:p>
    <w:p w14:paraId="419B3894">
      <w:pPr>
        <w:pStyle w:val="4"/>
        <w:keepNext w:val="0"/>
        <w:keepLines w:val="0"/>
        <w:numPr>
          <w:ilvl w:val="0"/>
          <w:numId w:val="28"/>
        </w:numPr>
        <w:tabs>
          <w:tab w:val="clear" w:pos="720"/>
        </w:tabs>
        <w:spacing w:before="78" w:beforeLines="25" w:after="0" w:line="440" w:lineRule="exact"/>
        <w:ind w:left="0" w:firstLine="0"/>
        <w:rPr>
          <w:rStyle w:val="190"/>
          <w:rFonts w:hint="default"/>
          <w:b w:val="0"/>
        </w:rPr>
      </w:pPr>
      <w:bookmarkStart w:id="161" w:name="_Toc4766"/>
      <w:bookmarkStart w:id="162" w:name="_Toc10024"/>
      <w:bookmarkStart w:id="163" w:name="_Toc4877"/>
      <w:r>
        <w:rPr>
          <w:rStyle w:val="190"/>
          <w:rFonts w:hint="default"/>
          <w:b w:val="0"/>
        </w:rPr>
        <w:t>低强度充填材料配</w:t>
      </w:r>
      <w:r>
        <w:rPr>
          <w:rStyle w:val="190"/>
          <w:b w:val="0"/>
        </w:rPr>
        <w:t>合</w:t>
      </w:r>
      <w:r>
        <w:rPr>
          <w:rStyle w:val="190"/>
          <w:rFonts w:hint="default"/>
          <w:b w:val="0"/>
        </w:rPr>
        <w:t>比设计宜采用绝对体积法，一般不加入粗骨料，胶凝材料用量不宜大于</w:t>
      </w:r>
      <w:r>
        <w:rPr>
          <w:b w:val="0"/>
          <w:bCs w:val="0"/>
          <w:sz w:val="24"/>
        </w:rPr>
        <w:t>250kg/</w:t>
      </w:r>
      <w:r>
        <w:rPr>
          <w:rFonts w:hint="eastAsia"/>
          <w:b w:val="0"/>
          <w:bCs w:val="0"/>
          <w:sz w:val="24"/>
          <w:lang w:eastAsia="zh-CN"/>
        </w:rPr>
        <w:t>m³</w:t>
      </w:r>
      <w:r>
        <w:rPr>
          <w:rStyle w:val="190"/>
          <w:rFonts w:hint="default"/>
          <w:b w:val="0"/>
        </w:rPr>
        <w:t>。</w:t>
      </w:r>
      <w:bookmarkEnd w:id="161"/>
      <w:bookmarkEnd w:id="162"/>
      <w:bookmarkEnd w:id="163"/>
    </w:p>
    <w:p w14:paraId="3FF916D2">
      <w:pPr>
        <w:pStyle w:val="4"/>
        <w:keepNext w:val="0"/>
        <w:keepLines w:val="0"/>
        <w:numPr>
          <w:ilvl w:val="0"/>
          <w:numId w:val="28"/>
        </w:numPr>
        <w:tabs>
          <w:tab w:val="clear" w:pos="720"/>
        </w:tabs>
        <w:spacing w:before="78" w:beforeLines="25" w:after="0" w:line="440" w:lineRule="exact"/>
        <w:ind w:left="0" w:firstLine="0"/>
        <w:rPr>
          <w:rStyle w:val="190"/>
          <w:rFonts w:hint="default"/>
          <w:b w:val="0"/>
        </w:rPr>
      </w:pPr>
      <w:bookmarkStart w:id="164" w:name="_Toc3489"/>
      <w:bookmarkStart w:id="165" w:name="_Toc28688"/>
      <w:bookmarkStart w:id="166" w:name="_Toc17099"/>
      <w:r>
        <w:rPr>
          <w:rStyle w:val="190"/>
          <w:rFonts w:hint="default"/>
          <w:b w:val="0"/>
        </w:rPr>
        <w:t>低强度充填材料可通过调整废弃物的掺量或添加外加剂改善浆体的粘聚性和流动性，可通过调整胶材用量与种类、水胶比与建筑废弃物用量调整硬化低强度充填材料力学性能。</w:t>
      </w:r>
      <w:bookmarkEnd w:id="164"/>
      <w:bookmarkEnd w:id="165"/>
      <w:bookmarkEnd w:id="166"/>
    </w:p>
    <w:p w14:paraId="59A301AF">
      <w:pPr>
        <w:spacing w:before="78" w:beforeLines="25" w:line="440" w:lineRule="exact"/>
        <w:rPr>
          <w:rFonts w:hint="eastAsia" w:ascii="楷体" w:hAnsi="楷体" w:eastAsia="楷体" w:cs="楷体"/>
          <w:bCs/>
          <w:color w:val="000000"/>
          <w:sz w:val="24"/>
        </w:rPr>
      </w:pPr>
      <w:r>
        <w:rPr>
          <w:rFonts w:ascii="楷体" w:hAnsi="楷体" w:eastAsia="楷体" w:cs="楷体"/>
          <w:bCs/>
          <w:color w:val="000000"/>
          <w:sz w:val="24"/>
        </w:rPr>
        <w:t>【条文说明】</w:t>
      </w:r>
    </w:p>
    <w:p w14:paraId="4932C78C">
      <w:pPr>
        <w:numPr>
          <w:ilvl w:val="0"/>
          <w:numId w:val="29"/>
        </w:numPr>
        <w:tabs>
          <w:tab w:val="left" w:pos="840"/>
        </w:tabs>
        <w:spacing w:before="78" w:beforeLines="25" w:line="440" w:lineRule="exact"/>
        <w:contextualSpacing/>
        <w:rPr>
          <w:rFonts w:hint="eastAsia" w:ascii="楷体" w:hAnsi="楷体" w:eastAsia="楷体" w:cs="华文楷体"/>
          <w:color w:val="000000"/>
          <w:sz w:val="24"/>
        </w:rPr>
      </w:pPr>
      <w:r>
        <w:rPr>
          <w:rFonts w:hint="eastAsia" w:ascii="楷体" w:hAnsi="楷体" w:eastAsia="楷体" w:cs="华文楷体"/>
          <w:color w:val="000000"/>
          <w:sz w:val="24"/>
        </w:rPr>
        <w:t>通过改变建筑废弃物的占比或使用不同种类的外加剂均可调控新拌低强度充填材料的黏聚性与流动性，进而调整低强度充填材料的施工性能。经过调整后的配合比需经过试验验</w:t>
      </w:r>
      <w:r>
        <w:rPr>
          <w:rFonts w:hint="eastAsia" w:ascii="楷体" w:hAnsi="楷体" w:eastAsia="楷体" w:cs="华文楷体"/>
          <w:sz w:val="24"/>
        </w:rPr>
        <w:t>证，如第</w:t>
      </w:r>
      <w:r>
        <w:rPr>
          <w:rFonts w:hint="eastAsia"/>
          <w:sz w:val="24"/>
          <w:szCs w:val="32"/>
        </w:rPr>
        <w:t>5.1.1</w:t>
      </w:r>
      <w:r>
        <w:rPr>
          <w:rFonts w:hint="eastAsia" w:ascii="楷体" w:hAnsi="楷体" w:eastAsia="楷体" w:cs="华文楷体"/>
          <w:sz w:val="24"/>
        </w:rPr>
        <w:t>条所述。</w:t>
      </w:r>
    </w:p>
    <w:p w14:paraId="442FD880">
      <w:pPr>
        <w:numPr>
          <w:ilvl w:val="0"/>
          <w:numId w:val="29"/>
        </w:numPr>
        <w:tabs>
          <w:tab w:val="left" w:pos="840"/>
        </w:tabs>
        <w:spacing w:before="78" w:beforeLines="25" w:line="440" w:lineRule="exact"/>
        <w:contextualSpacing/>
        <w:rPr>
          <w:rFonts w:hint="eastAsia" w:ascii="楷体" w:hAnsi="楷体" w:eastAsia="楷体" w:cs="华文楷体"/>
          <w:color w:val="000000"/>
          <w:sz w:val="24"/>
        </w:rPr>
      </w:pPr>
      <w:r>
        <w:rPr>
          <w:rFonts w:hint="eastAsia" w:ascii="楷体" w:hAnsi="楷体" w:eastAsia="楷体" w:cs="华文楷体"/>
          <w:color w:val="000000"/>
          <w:sz w:val="24"/>
        </w:rPr>
        <w:t>硬化低强度充填材料孔隙率影响其力学性能，通过改变胶凝材料用量、种类与建筑废弃物用量，调控低强度充填材料初始浆体堆积密度和水化产物孔隙填充能力，通过改变水胶比，改变硬化低强度充填材料自由水含量，进而改变孔隙率，因此胶凝材料、水胶比与建筑废弃物用量的改变均可改变硬化低强度充填材料力学性能，均需要根据相应的标准进行配合比设计。</w:t>
      </w:r>
    </w:p>
    <w:p w14:paraId="21C4DF05">
      <w:pPr>
        <w:pStyle w:val="4"/>
        <w:keepNext w:val="0"/>
        <w:keepLines w:val="0"/>
        <w:numPr>
          <w:ilvl w:val="0"/>
          <w:numId w:val="28"/>
        </w:numPr>
        <w:tabs>
          <w:tab w:val="clear" w:pos="720"/>
        </w:tabs>
        <w:spacing w:before="78" w:beforeLines="25" w:after="0" w:line="440" w:lineRule="exact"/>
        <w:ind w:left="0" w:firstLine="0"/>
      </w:pPr>
      <w:bookmarkStart w:id="167" w:name="_Toc24555"/>
      <w:bookmarkStart w:id="168" w:name="_Toc24968"/>
      <w:bookmarkStart w:id="169" w:name="_Toc255"/>
      <w:r>
        <w:rPr>
          <w:rStyle w:val="190"/>
          <w:rFonts w:hint="default"/>
          <w:b w:val="0"/>
        </w:rPr>
        <w:t>本配</w:t>
      </w:r>
      <w:r>
        <w:rPr>
          <w:rStyle w:val="190"/>
          <w:b w:val="0"/>
        </w:rPr>
        <w:t>合</w:t>
      </w:r>
      <w:r>
        <w:rPr>
          <w:rStyle w:val="190"/>
          <w:rFonts w:hint="default"/>
          <w:b w:val="0"/>
        </w:rPr>
        <w:t>比设计方法适用于满足</w:t>
      </w:r>
      <w:r>
        <w:rPr>
          <w:rStyle w:val="190"/>
          <w:b w:val="0"/>
        </w:rPr>
        <w:t>相关</w:t>
      </w:r>
      <w:r>
        <w:rPr>
          <w:rStyle w:val="190"/>
          <w:rFonts w:hint="default"/>
          <w:b w:val="0"/>
        </w:rPr>
        <w:t>标准的细骨料、胶凝材料与再生砂粉、建筑渣土等建筑废弃物制备低强度充填材料，若低强度充填材料需掺加其他废弃物或有特定性能要求，</w:t>
      </w:r>
      <w:r>
        <w:rPr>
          <w:rFonts w:hint="eastAsia" w:ascii="宋体" w:hAnsi="宋体" w:cs="宋体"/>
          <w:b w:val="0"/>
          <w:sz w:val="24"/>
          <w:szCs w:val="24"/>
          <w:lang w:bidi="ar"/>
        </w:rPr>
        <w:t>本配合比设计方法可辅助试配，</w:t>
      </w:r>
      <w:r>
        <w:rPr>
          <w:rStyle w:val="190"/>
          <w:rFonts w:hint="default"/>
          <w:b w:val="0"/>
        </w:rPr>
        <w:t>配</w:t>
      </w:r>
      <w:r>
        <w:rPr>
          <w:rStyle w:val="190"/>
          <w:b w:val="0"/>
        </w:rPr>
        <w:t>合</w:t>
      </w:r>
      <w:r>
        <w:rPr>
          <w:rStyle w:val="190"/>
          <w:rFonts w:hint="default"/>
          <w:b w:val="0"/>
        </w:rPr>
        <w:t>比宜</w:t>
      </w:r>
      <w:r>
        <w:rPr>
          <w:rFonts w:hint="eastAsia" w:ascii="宋体" w:hAnsi="宋体" w:cs="宋体"/>
          <w:b w:val="0"/>
          <w:sz w:val="24"/>
          <w:szCs w:val="24"/>
          <w:lang w:bidi="ar"/>
        </w:rPr>
        <w:t>以试验结果为准</w:t>
      </w:r>
      <w:r>
        <w:rPr>
          <w:rStyle w:val="190"/>
          <w:rFonts w:hint="default"/>
          <w:b w:val="0"/>
        </w:rPr>
        <w:t>。</w:t>
      </w:r>
      <w:bookmarkEnd w:id="167"/>
      <w:bookmarkEnd w:id="168"/>
      <w:bookmarkEnd w:id="169"/>
    </w:p>
    <w:p w14:paraId="16BA0397">
      <w:pPr>
        <w:rPr>
          <w:rStyle w:val="190"/>
          <w:rFonts w:hint="default"/>
          <w:b w:val="0"/>
          <w:bCs/>
        </w:rPr>
      </w:pPr>
    </w:p>
    <w:p w14:paraId="7D713B4A">
      <w:pPr>
        <w:rPr>
          <w:rStyle w:val="190"/>
          <w:rFonts w:hint="default"/>
          <w:b w:val="0"/>
          <w:bCs/>
        </w:rPr>
      </w:pPr>
    </w:p>
    <w:p w14:paraId="7D4729EF">
      <w:pPr>
        <w:rPr>
          <w:rStyle w:val="190"/>
          <w:rFonts w:hint="default"/>
          <w:b w:val="0"/>
          <w:bCs/>
        </w:rPr>
      </w:pPr>
    </w:p>
    <w:p w14:paraId="3B006D35">
      <w:pPr>
        <w:pStyle w:val="3"/>
        <w:keepNext w:val="0"/>
        <w:keepLines w:val="0"/>
        <w:numPr>
          <w:ilvl w:val="0"/>
          <w:numId w:val="27"/>
        </w:numPr>
        <w:tabs>
          <w:tab w:val="clear" w:pos="420"/>
          <w:tab w:val="clear" w:pos="576"/>
        </w:tabs>
        <w:spacing w:before="78" w:beforeLines="25" w:after="0" w:line="440" w:lineRule="exact"/>
        <w:ind w:left="435" w:hanging="435"/>
        <w:rPr>
          <w:rFonts w:hint="eastAsia" w:ascii="微软雅黑" w:hAnsi="微软雅黑" w:eastAsia="微软雅黑" w:cs="微软雅黑"/>
          <w:bCs w:val="0"/>
          <w:kern w:val="0"/>
          <w:sz w:val="28"/>
          <w:szCs w:val="24"/>
          <w:lang w:bidi="ar"/>
        </w:rPr>
      </w:pPr>
      <w:r>
        <w:rPr>
          <w:rFonts w:hint="eastAsia" w:ascii="微软雅黑" w:hAnsi="微软雅黑" w:eastAsia="微软雅黑" w:cs="微软雅黑"/>
          <w:bCs w:val="0"/>
          <w:kern w:val="0"/>
          <w:sz w:val="28"/>
          <w:szCs w:val="24"/>
          <w:lang w:bidi="ar"/>
        </w:rPr>
        <w:t xml:space="preserve"> </w:t>
      </w:r>
      <w:bookmarkStart w:id="170" w:name="_Toc13943"/>
      <w:bookmarkStart w:id="171" w:name="_Toc21649"/>
      <w:bookmarkStart w:id="172" w:name="_Toc21525"/>
      <w:r>
        <w:rPr>
          <w:rFonts w:hint="eastAsia" w:ascii="微软雅黑" w:hAnsi="微软雅黑" w:eastAsia="微软雅黑" w:cs="微软雅黑"/>
          <w:bCs w:val="0"/>
          <w:kern w:val="0"/>
          <w:sz w:val="28"/>
          <w:szCs w:val="24"/>
          <w:lang w:bidi="ar"/>
        </w:rPr>
        <w:t>配合比设计</w:t>
      </w:r>
      <w:bookmarkEnd w:id="170"/>
      <w:r>
        <w:rPr>
          <w:rFonts w:hint="eastAsia" w:ascii="微软雅黑" w:hAnsi="微软雅黑" w:eastAsia="微软雅黑" w:cs="微软雅黑"/>
          <w:bCs w:val="0"/>
          <w:kern w:val="0"/>
          <w:sz w:val="28"/>
          <w:szCs w:val="24"/>
          <w:lang w:bidi="ar"/>
        </w:rPr>
        <w:t>与计算</w:t>
      </w:r>
      <w:bookmarkEnd w:id="171"/>
      <w:bookmarkEnd w:id="172"/>
    </w:p>
    <w:p w14:paraId="092C435F"/>
    <w:p w14:paraId="38EE4604">
      <w:pPr>
        <w:pStyle w:val="4"/>
        <w:keepNext w:val="0"/>
        <w:keepLines w:val="0"/>
        <w:numPr>
          <w:ilvl w:val="0"/>
          <w:numId w:val="30"/>
        </w:numPr>
        <w:spacing w:before="78" w:beforeLines="25" w:after="0" w:line="440" w:lineRule="exact"/>
        <w:rPr>
          <w:rStyle w:val="190"/>
          <w:rFonts w:hint="default"/>
          <w:b w:val="0"/>
        </w:rPr>
      </w:pPr>
      <w:bookmarkStart w:id="173" w:name="_Toc10084"/>
      <w:bookmarkStart w:id="174" w:name="_Toc31111"/>
      <w:bookmarkStart w:id="175" w:name="_Toc537"/>
      <w:r>
        <w:rPr>
          <w:rStyle w:val="190"/>
          <w:b w:val="0"/>
        </w:rPr>
        <w:t xml:space="preserve"> 配合比设计与计算</w:t>
      </w:r>
      <w:bookmarkEnd w:id="173"/>
      <w:r>
        <w:rPr>
          <w:rStyle w:val="190"/>
          <w:b w:val="0"/>
        </w:rPr>
        <w:t>应符合下列规定：</w:t>
      </w:r>
      <w:bookmarkEnd w:id="174"/>
      <w:bookmarkEnd w:id="175"/>
      <w:bookmarkStart w:id="176" w:name="_Toc15327"/>
    </w:p>
    <w:p w14:paraId="68FD6C9C">
      <w:pPr>
        <w:numPr>
          <w:ilvl w:val="0"/>
          <w:numId w:val="31"/>
        </w:numPr>
        <w:tabs>
          <w:tab w:val="left" w:pos="840"/>
        </w:tabs>
        <w:spacing w:before="78" w:beforeLines="25" w:line="440" w:lineRule="exact"/>
        <w:contextualSpacing/>
        <w:rPr>
          <w:rFonts w:hint="eastAsia" w:ascii="宋体" w:hAnsi="宋体" w:cs="宋体"/>
          <w:color w:val="000000"/>
          <w:sz w:val="24"/>
        </w:rPr>
      </w:pPr>
      <w:r>
        <w:rPr>
          <w:rFonts w:hint="eastAsia" w:ascii="宋体" w:hAnsi="宋体" w:cs="宋体"/>
          <w:color w:val="000000"/>
          <w:sz w:val="24"/>
        </w:rPr>
        <w:t>低强度充填材料配合比设计应确定拌合物中细骨料体积与净浆体积、水胶比、胶凝材料种类与掺量、建筑废弃物掺量、外加剂掺量等参数</w:t>
      </w:r>
      <w:bookmarkEnd w:id="176"/>
      <w:r>
        <w:rPr>
          <w:rFonts w:hint="eastAsia" w:ascii="宋体" w:hAnsi="宋体" w:cs="宋体"/>
          <w:color w:val="000000"/>
          <w:sz w:val="24"/>
          <w:lang w:eastAsia="zh-CN"/>
        </w:rPr>
        <w:t>；</w:t>
      </w:r>
    </w:p>
    <w:p w14:paraId="106E21DA">
      <w:pPr>
        <w:numPr>
          <w:ilvl w:val="0"/>
          <w:numId w:val="31"/>
        </w:numPr>
        <w:tabs>
          <w:tab w:val="left" w:pos="840"/>
        </w:tabs>
        <w:spacing w:before="78" w:beforeLines="25" w:line="440" w:lineRule="exact"/>
        <w:contextualSpacing/>
        <w:rPr>
          <w:rFonts w:hint="eastAsia" w:ascii="宋体" w:hAnsi="宋体" w:cs="宋体"/>
          <w:color w:val="000000"/>
          <w:sz w:val="24"/>
        </w:rPr>
      </w:pPr>
      <w:r>
        <w:rPr>
          <w:rFonts w:hint="eastAsia" w:ascii="宋体" w:hAnsi="宋体" w:cs="宋体"/>
          <w:color w:val="000000"/>
          <w:sz w:val="24"/>
        </w:rPr>
        <w:t>配合比计</w:t>
      </w:r>
      <w:r>
        <w:rPr>
          <w:rFonts w:hint="eastAsia" w:ascii="宋体" w:hAnsi="宋体" w:cs="宋体"/>
          <w:color w:val="000000"/>
          <w:sz w:val="24"/>
          <w:lang w:val="en-US" w:eastAsia="zh-CN"/>
        </w:rPr>
        <w:t>算应</w:t>
      </w:r>
      <w:r>
        <w:rPr>
          <w:rFonts w:hint="eastAsia" w:ascii="宋体" w:hAnsi="宋体" w:cs="宋体"/>
          <w:color w:val="000000"/>
          <w:sz w:val="24"/>
        </w:rPr>
        <w:t>根据强度确定水胶比及胶凝材料组成，根据工作性能要求确定浆体体积含量（依据水胶比、胶凝材料组成、浆体量可计算单方用水量、水泥用量、建筑废弃物量），再根据体积计算单方骨料用量。</w:t>
      </w:r>
    </w:p>
    <w:p w14:paraId="7E6267BE">
      <w:pPr>
        <w:pStyle w:val="4"/>
        <w:keepNext w:val="0"/>
        <w:keepLines w:val="0"/>
        <w:numPr>
          <w:ilvl w:val="0"/>
          <w:numId w:val="30"/>
        </w:numPr>
        <w:spacing w:before="78" w:beforeLines="25" w:after="0" w:line="440" w:lineRule="exact"/>
        <w:rPr>
          <w:rStyle w:val="190"/>
          <w:rFonts w:hint="default"/>
          <w:b w:val="0"/>
        </w:rPr>
      </w:pPr>
      <w:bookmarkStart w:id="177" w:name="_Toc6739"/>
      <w:bookmarkStart w:id="178" w:name="_Toc6005"/>
      <w:r>
        <w:rPr>
          <w:rStyle w:val="190"/>
          <w:b w:val="0"/>
        </w:rPr>
        <w:t xml:space="preserve"> 确定低强度充填材料水胶比与胶凝材料组成，水胶比与胶凝材料中建筑废</w:t>
      </w:r>
      <w:bookmarkEnd w:id="177"/>
      <w:bookmarkEnd w:id="178"/>
    </w:p>
    <w:p w14:paraId="21D27234">
      <w:pPr>
        <w:pStyle w:val="4"/>
        <w:keepNext w:val="0"/>
        <w:keepLines w:val="0"/>
        <w:spacing w:before="78" w:beforeLines="25" w:after="0" w:line="440" w:lineRule="exact"/>
        <w:ind w:left="0" w:firstLine="0"/>
        <w:rPr>
          <w:rStyle w:val="190"/>
          <w:rFonts w:hint="default"/>
          <w:b w:val="0"/>
        </w:rPr>
      </w:pPr>
      <w:bookmarkStart w:id="179" w:name="_Toc31836"/>
      <w:bookmarkStart w:id="180" w:name="_Toc31960"/>
      <w:r>
        <w:rPr>
          <w:rStyle w:val="190"/>
          <w:b w:val="0"/>
        </w:rPr>
        <w:t>弃物的质量</w:t>
      </w:r>
      <w:r>
        <w:rPr>
          <w:rStyle w:val="190"/>
          <w:rFonts w:hint="default" w:ascii="Times New Roman" w:hAnsi="Times New Roman" w:cs="Times New Roman"/>
          <w:b w:val="0"/>
        </w:rPr>
        <w:t>百分数（%）</w:t>
      </w:r>
      <w:r>
        <w:rPr>
          <w:rStyle w:val="190"/>
          <w:rFonts w:ascii="Times New Roman" w:hAnsi="Times New Roman" w:cs="Times New Roman"/>
          <w:b w:val="0"/>
        </w:rPr>
        <w:t>宜</w:t>
      </w:r>
      <w:r>
        <w:rPr>
          <w:rStyle w:val="190"/>
          <w:rFonts w:hint="default" w:ascii="Times New Roman" w:hAnsi="Times New Roman" w:cs="Times New Roman"/>
          <w:b w:val="0"/>
        </w:rPr>
        <w:t>按照表5.2.2</w:t>
      </w:r>
      <w:r>
        <w:rPr>
          <w:rStyle w:val="190"/>
          <w:b w:val="0"/>
        </w:rPr>
        <w:t>选用。</w:t>
      </w:r>
      <w:bookmarkEnd w:id="179"/>
      <w:bookmarkEnd w:id="180"/>
    </w:p>
    <w:p w14:paraId="73957D11">
      <w:pPr>
        <w:spacing w:line="360" w:lineRule="auto"/>
        <w:ind w:firstLine="480" w:firstLineChars="200"/>
        <w:jc w:val="center"/>
        <w:rPr>
          <w:rFonts w:hint="eastAsia" w:ascii="黑体" w:hAnsi="黑体" w:eastAsia="黑体" w:cs="黑体"/>
          <w:b/>
          <w:bCs/>
          <w:sz w:val="24"/>
        </w:rPr>
      </w:pPr>
      <w:r>
        <w:rPr>
          <w:rFonts w:hint="eastAsia" w:ascii="黑体" w:hAnsi="黑体" w:eastAsia="黑体" w:cs="黑体"/>
          <w:b/>
          <w:bCs/>
          <w:sz w:val="24"/>
          <w:lang w:bidi="ar"/>
        </w:rPr>
        <w:t>表5.2.2 建议水胶比与胶凝材料中建筑废弃物的质量百分数</w:t>
      </w:r>
    </w:p>
    <w:tbl>
      <w:tblPr>
        <w:tblStyle w:val="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2204"/>
        <w:gridCol w:w="2202"/>
        <w:gridCol w:w="2202"/>
      </w:tblGrid>
      <w:tr w14:paraId="75E4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5239DC88">
            <w:pPr>
              <w:spacing w:before="78" w:beforeLines="25"/>
              <w:jc w:val="center"/>
              <w:rPr>
                <w:rFonts w:cs="楷体"/>
                <w:bCs/>
                <w:color w:val="000000"/>
                <w:szCs w:val="21"/>
              </w:rPr>
            </w:pPr>
            <w:r>
              <w:rPr>
                <w:rFonts w:hint="eastAsia" w:cs="楷体"/>
                <w:bCs/>
                <w:color w:val="000000"/>
                <w:szCs w:val="21"/>
              </w:rPr>
              <w:t>28d无侧限抗压强度</w:t>
            </w:r>
            <w:r>
              <w:rPr>
                <w:rFonts w:hint="eastAsia" w:cs="楷体"/>
                <w:bCs/>
                <w:color w:val="000000"/>
                <w:szCs w:val="21"/>
                <w:lang w:eastAsia="zh-CN"/>
              </w:rPr>
              <w:t>（</w:t>
            </w:r>
            <w:r>
              <w:rPr>
                <w:rFonts w:hint="eastAsia" w:cs="楷体"/>
                <w:bCs/>
                <w:color w:val="000000"/>
                <w:szCs w:val="21"/>
              </w:rPr>
              <w:t>MPa</w:t>
            </w:r>
            <w:r>
              <w:rPr>
                <w:rFonts w:hint="eastAsia" w:cs="楷体"/>
                <w:bCs/>
                <w:color w:val="000000"/>
                <w:szCs w:val="21"/>
                <w:lang w:eastAsia="zh-CN"/>
              </w:rPr>
              <w:t>）</w:t>
            </w:r>
          </w:p>
        </w:tc>
        <w:tc>
          <w:tcPr>
            <w:tcW w:w="1250" w:type="pct"/>
            <w:vAlign w:val="center"/>
          </w:tcPr>
          <w:p w14:paraId="3251AB02">
            <w:pPr>
              <w:spacing w:before="78" w:beforeLines="25"/>
              <w:jc w:val="center"/>
              <w:rPr>
                <w:rFonts w:cs="楷体"/>
                <w:bCs/>
                <w:color w:val="000000"/>
                <w:szCs w:val="21"/>
              </w:rPr>
            </w:pPr>
            <w:r>
              <w:rPr>
                <w:rFonts w:hint="eastAsia" w:cs="楷体"/>
                <w:bCs/>
                <w:color w:val="000000"/>
                <w:szCs w:val="21"/>
              </w:rPr>
              <w:t>水胶比</w:t>
            </w:r>
          </w:p>
        </w:tc>
        <w:tc>
          <w:tcPr>
            <w:tcW w:w="1249" w:type="pct"/>
          </w:tcPr>
          <w:p w14:paraId="1C0ACF30">
            <w:pPr>
              <w:spacing w:before="78" w:beforeLines="25"/>
              <w:jc w:val="center"/>
              <w:rPr>
                <w:rFonts w:cs="楷体"/>
                <w:bCs/>
                <w:color w:val="000000"/>
                <w:szCs w:val="21"/>
              </w:rPr>
            </w:pPr>
            <w:r>
              <w:rPr>
                <w:rFonts w:hint="eastAsia" w:cs="楷体"/>
                <w:bCs/>
                <w:color w:val="000000"/>
                <w:szCs w:val="21"/>
              </w:rPr>
              <w:t>胶凝材料中建筑废弃物的质量百分数（%）</w:t>
            </w:r>
          </w:p>
        </w:tc>
        <w:tc>
          <w:tcPr>
            <w:tcW w:w="1249" w:type="pct"/>
            <w:vAlign w:val="center"/>
          </w:tcPr>
          <w:p w14:paraId="09B5BE08">
            <w:pPr>
              <w:spacing w:before="78" w:beforeLines="25"/>
              <w:jc w:val="center"/>
              <w:rPr>
                <w:rFonts w:cs="楷体"/>
                <w:bCs/>
                <w:color w:val="000000"/>
                <w:szCs w:val="21"/>
              </w:rPr>
            </w:pPr>
            <w:r>
              <w:rPr>
                <w:rFonts w:hint="eastAsia" w:cs="楷体"/>
                <w:bCs/>
                <w:color w:val="000000"/>
                <w:szCs w:val="21"/>
              </w:rPr>
              <w:t>备注</w:t>
            </w:r>
          </w:p>
        </w:tc>
      </w:tr>
      <w:tr w14:paraId="1F2E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50" w:type="pct"/>
            <w:vAlign w:val="center"/>
          </w:tcPr>
          <w:p w14:paraId="1D3D59A4">
            <w:pPr>
              <w:spacing w:before="78" w:beforeLines="25"/>
              <w:jc w:val="center"/>
              <w:rPr>
                <w:rFonts w:cs="楷体"/>
                <w:bCs/>
                <w:color w:val="000000"/>
                <w:szCs w:val="21"/>
              </w:rPr>
            </w:pPr>
            <w:r>
              <w:rPr>
                <w:rFonts w:hint="eastAsia" w:eastAsia="楷体"/>
                <w:bCs/>
                <w:color w:val="000000"/>
                <w:szCs w:val="21"/>
              </w:rPr>
              <w:t>0.3~0.7</w:t>
            </w:r>
          </w:p>
        </w:tc>
        <w:tc>
          <w:tcPr>
            <w:tcW w:w="1250" w:type="pct"/>
            <w:vAlign w:val="center"/>
          </w:tcPr>
          <w:p w14:paraId="41FFCA62">
            <w:pPr>
              <w:spacing w:before="78" w:beforeLines="25"/>
              <w:jc w:val="center"/>
              <w:rPr>
                <w:rFonts w:cs="楷体"/>
                <w:bCs/>
                <w:color w:val="000000"/>
                <w:szCs w:val="21"/>
              </w:rPr>
            </w:pPr>
            <w:r>
              <w:rPr>
                <w:rFonts w:hint="eastAsia" w:cs="楷体"/>
                <w:bCs/>
                <w:color w:val="000000"/>
                <w:szCs w:val="21"/>
              </w:rPr>
              <w:t>2.0~2.4</w:t>
            </w:r>
          </w:p>
        </w:tc>
        <w:tc>
          <w:tcPr>
            <w:tcW w:w="1249" w:type="pct"/>
            <w:vAlign w:val="center"/>
          </w:tcPr>
          <w:p w14:paraId="11AB9D6D">
            <w:pPr>
              <w:spacing w:before="78" w:beforeLines="25"/>
              <w:jc w:val="center"/>
              <w:rPr>
                <w:rFonts w:cs="楷体"/>
                <w:bCs/>
                <w:color w:val="000000"/>
                <w:szCs w:val="21"/>
              </w:rPr>
            </w:pPr>
            <w:r>
              <w:rPr>
                <w:rFonts w:hint="eastAsia" w:cs="楷体"/>
                <w:bCs/>
                <w:color w:val="000000"/>
                <w:szCs w:val="21"/>
                <w:highlight w:val="none"/>
              </w:rPr>
              <w:t>&lt;</w:t>
            </w:r>
            <w:r>
              <w:rPr>
                <w:rFonts w:hint="eastAsia" w:cs="楷体"/>
                <w:bCs/>
                <w:color w:val="000000"/>
                <w:szCs w:val="21"/>
              </w:rPr>
              <w:t>80</w:t>
            </w:r>
          </w:p>
        </w:tc>
        <w:tc>
          <w:tcPr>
            <w:tcW w:w="1249" w:type="pct"/>
            <w:vMerge w:val="restart"/>
            <w:vAlign w:val="center"/>
          </w:tcPr>
          <w:p w14:paraId="25AC7449">
            <w:pPr>
              <w:spacing w:before="78" w:beforeLines="25"/>
              <w:jc w:val="center"/>
              <w:rPr>
                <w:rFonts w:cs="楷体"/>
                <w:bCs/>
                <w:color w:val="000000"/>
                <w:szCs w:val="21"/>
              </w:rPr>
            </w:pPr>
            <w:r>
              <w:rPr>
                <w:rFonts w:hint="eastAsia" w:cs="楷体"/>
                <w:bCs/>
                <w:color w:val="000000"/>
                <w:szCs w:val="21"/>
              </w:rPr>
              <w:t>要想达到指定抗压强度，如果建筑废弃物质量百分数选择偏高，可适当降低水胶比，反之也适用。</w:t>
            </w:r>
          </w:p>
        </w:tc>
      </w:tr>
      <w:tr w14:paraId="0417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50" w:type="pct"/>
            <w:vAlign w:val="center"/>
          </w:tcPr>
          <w:p w14:paraId="4720EE02">
            <w:pPr>
              <w:spacing w:before="78" w:beforeLines="25"/>
              <w:jc w:val="center"/>
              <w:rPr>
                <w:rFonts w:cs="楷体"/>
                <w:bCs/>
                <w:color w:val="000000"/>
                <w:szCs w:val="21"/>
              </w:rPr>
            </w:pPr>
            <w:r>
              <w:rPr>
                <w:rFonts w:hint="eastAsia" w:eastAsia="楷体"/>
                <w:bCs/>
                <w:color w:val="000000"/>
                <w:szCs w:val="21"/>
              </w:rPr>
              <w:t>0.7~2.1</w:t>
            </w:r>
          </w:p>
        </w:tc>
        <w:tc>
          <w:tcPr>
            <w:tcW w:w="1250" w:type="pct"/>
            <w:vAlign w:val="center"/>
          </w:tcPr>
          <w:p w14:paraId="1EDDA83C">
            <w:pPr>
              <w:spacing w:before="78" w:beforeLines="25"/>
              <w:jc w:val="center"/>
              <w:rPr>
                <w:rFonts w:cs="楷体"/>
                <w:bCs/>
                <w:color w:val="000000"/>
                <w:szCs w:val="21"/>
              </w:rPr>
            </w:pPr>
            <w:r>
              <w:rPr>
                <w:rFonts w:hint="eastAsia" w:cs="楷体"/>
                <w:bCs/>
                <w:color w:val="000000"/>
                <w:szCs w:val="21"/>
              </w:rPr>
              <w:t>1.7~2.2</w:t>
            </w:r>
          </w:p>
        </w:tc>
        <w:tc>
          <w:tcPr>
            <w:tcW w:w="1249" w:type="pct"/>
            <w:vAlign w:val="center"/>
          </w:tcPr>
          <w:p w14:paraId="4A5A5822">
            <w:pPr>
              <w:spacing w:before="78" w:beforeLines="25"/>
              <w:jc w:val="center"/>
              <w:rPr>
                <w:rFonts w:cs="楷体"/>
                <w:bCs/>
                <w:color w:val="000000"/>
                <w:szCs w:val="21"/>
              </w:rPr>
            </w:pPr>
            <w:r>
              <w:rPr>
                <w:rFonts w:hint="eastAsia" w:cs="楷体"/>
                <w:bCs/>
                <w:color w:val="000000"/>
                <w:szCs w:val="21"/>
                <w:highlight w:val="none"/>
              </w:rPr>
              <w:t>&lt;</w:t>
            </w:r>
            <w:r>
              <w:rPr>
                <w:rFonts w:hint="eastAsia" w:cs="楷体"/>
                <w:bCs/>
                <w:color w:val="000000"/>
                <w:szCs w:val="21"/>
              </w:rPr>
              <w:t>60</w:t>
            </w:r>
          </w:p>
        </w:tc>
        <w:tc>
          <w:tcPr>
            <w:tcW w:w="1249" w:type="pct"/>
            <w:vMerge w:val="continue"/>
            <w:vAlign w:val="center"/>
          </w:tcPr>
          <w:p w14:paraId="610773BF">
            <w:pPr>
              <w:spacing w:before="78" w:beforeLines="25"/>
              <w:jc w:val="center"/>
              <w:rPr>
                <w:rFonts w:cs="楷体"/>
                <w:bCs/>
                <w:color w:val="000000"/>
                <w:szCs w:val="21"/>
              </w:rPr>
            </w:pPr>
          </w:p>
        </w:tc>
      </w:tr>
      <w:tr w14:paraId="76A2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50" w:type="pct"/>
            <w:vAlign w:val="center"/>
          </w:tcPr>
          <w:p w14:paraId="41E04B71">
            <w:pPr>
              <w:spacing w:before="78" w:beforeLines="25"/>
              <w:jc w:val="center"/>
              <w:rPr>
                <w:rFonts w:cs="楷体"/>
                <w:bCs/>
                <w:color w:val="000000"/>
                <w:szCs w:val="21"/>
              </w:rPr>
            </w:pPr>
            <w:r>
              <w:rPr>
                <w:rFonts w:hint="eastAsia" w:eastAsia="楷体"/>
                <w:bCs/>
                <w:color w:val="000000"/>
                <w:szCs w:val="21"/>
              </w:rPr>
              <w:t>2.1~8.3</w:t>
            </w:r>
          </w:p>
        </w:tc>
        <w:tc>
          <w:tcPr>
            <w:tcW w:w="1250" w:type="pct"/>
            <w:vAlign w:val="center"/>
          </w:tcPr>
          <w:p w14:paraId="05D45395">
            <w:pPr>
              <w:spacing w:before="78" w:beforeLines="25"/>
              <w:jc w:val="center"/>
              <w:rPr>
                <w:rFonts w:cs="楷体"/>
                <w:bCs/>
                <w:color w:val="000000"/>
                <w:szCs w:val="21"/>
              </w:rPr>
            </w:pPr>
            <w:r>
              <w:rPr>
                <w:rFonts w:hint="eastAsia" w:cs="楷体"/>
                <w:bCs/>
                <w:color w:val="000000"/>
                <w:szCs w:val="21"/>
              </w:rPr>
              <w:t>1.3~1.9</w:t>
            </w:r>
          </w:p>
        </w:tc>
        <w:tc>
          <w:tcPr>
            <w:tcW w:w="1249" w:type="pct"/>
            <w:vAlign w:val="center"/>
          </w:tcPr>
          <w:p w14:paraId="284DB921">
            <w:pPr>
              <w:spacing w:before="78" w:beforeLines="25"/>
              <w:jc w:val="center"/>
              <w:rPr>
                <w:rFonts w:cs="楷体"/>
                <w:bCs/>
                <w:color w:val="000000"/>
                <w:szCs w:val="21"/>
              </w:rPr>
            </w:pPr>
            <w:r>
              <w:rPr>
                <w:rFonts w:hint="eastAsia" w:cs="楷体"/>
                <w:bCs/>
                <w:color w:val="000000"/>
                <w:szCs w:val="21"/>
                <w:highlight w:val="none"/>
              </w:rPr>
              <w:t>&lt;</w:t>
            </w:r>
            <w:r>
              <w:rPr>
                <w:rFonts w:hint="eastAsia" w:cs="楷体"/>
                <w:bCs/>
                <w:color w:val="000000"/>
                <w:szCs w:val="21"/>
              </w:rPr>
              <w:t>40</w:t>
            </w:r>
          </w:p>
        </w:tc>
        <w:tc>
          <w:tcPr>
            <w:tcW w:w="1249" w:type="pct"/>
            <w:vMerge w:val="continue"/>
            <w:vAlign w:val="center"/>
          </w:tcPr>
          <w:p w14:paraId="12FE5B26">
            <w:pPr>
              <w:spacing w:before="78" w:beforeLines="25"/>
              <w:jc w:val="center"/>
              <w:rPr>
                <w:rFonts w:cs="楷体"/>
                <w:bCs/>
                <w:color w:val="000000"/>
                <w:szCs w:val="21"/>
              </w:rPr>
            </w:pPr>
          </w:p>
        </w:tc>
      </w:tr>
    </w:tbl>
    <w:p w14:paraId="3A98372B">
      <w:pPr>
        <w:spacing w:before="78" w:beforeLines="25" w:line="440" w:lineRule="exact"/>
        <w:rPr>
          <w:rFonts w:hint="eastAsia" w:ascii="楷体" w:hAnsi="楷体" w:eastAsia="楷体" w:cs="楷体"/>
          <w:bCs/>
          <w:color w:val="000000"/>
          <w:sz w:val="24"/>
        </w:rPr>
      </w:pPr>
      <w:r>
        <w:rPr>
          <w:rFonts w:ascii="楷体" w:hAnsi="楷体" w:eastAsia="楷体" w:cs="楷体"/>
          <w:bCs/>
          <w:color w:val="000000"/>
          <w:sz w:val="24"/>
        </w:rPr>
        <w:t>【条文说明】通过控制水胶比及胶凝材料组成控制低强度充填材料的强度，</w:t>
      </w:r>
      <w:r>
        <w:rPr>
          <w:rFonts w:hint="eastAsia" w:ascii="楷体" w:hAnsi="楷体" w:eastAsia="楷体" w:cs="楷体"/>
          <w:bCs/>
          <w:color w:val="000000"/>
          <w:sz w:val="24"/>
        </w:rPr>
        <w:t>表</w:t>
      </w:r>
      <w:r>
        <w:rPr>
          <w:rFonts w:hint="eastAsia"/>
          <w:sz w:val="24"/>
          <w:szCs w:val="32"/>
        </w:rPr>
        <w:t>5.2.2</w:t>
      </w:r>
      <w:r>
        <w:rPr>
          <w:rFonts w:ascii="楷体" w:hAnsi="楷体" w:eastAsia="楷体" w:cs="楷体"/>
          <w:bCs/>
          <w:color w:val="000000"/>
          <w:sz w:val="24"/>
        </w:rPr>
        <w:t>中数据是基于前期实验室的数据给出的建议值，可供参考，但实际生产过程中，建筑废弃物组成多变，需要根据实际情况进行调整。</w:t>
      </w:r>
    </w:p>
    <w:p w14:paraId="0C2997EF">
      <w:pPr>
        <w:pStyle w:val="4"/>
        <w:keepNext w:val="0"/>
        <w:keepLines w:val="0"/>
        <w:numPr>
          <w:ilvl w:val="0"/>
          <w:numId w:val="30"/>
        </w:numPr>
        <w:spacing w:before="78" w:beforeLines="25" w:after="0" w:line="440" w:lineRule="exact"/>
        <w:rPr>
          <w:rStyle w:val="190"/>
          <w:rFonts w:hint="default" w:ascii="Times New Roman" w:hAnsi="Times New Roman" w:cs="Times New Roman"/>
          <w:b w:val="0"/>
        </w:rPr>
      </w:pPr>
      <w:bookmarkStart w:id="181" w:name="_Toc5414"/>
      <w:bookmarkStart w:id="182" w:name="_Toc27320"/>
      <w:bookmarkStart w:id="183" w:name="_Toc25951"/>
      <w:r>
        <w:rPr>
          <w:rStyle w:val="190"/>
          <w:b w:val="0"/>
        </w:rPr>
        <w:t xml:space="preserve"> 确定每立方米低强度</w:t>
      </w:r>
      <w:r>
        <w:rPr>
          <w:rStyle w:val="190"/>
          <w:rFonts w:hint="default" w:ascii="Times New Roman" w:hAnsi="Times New Roman" w:cs="Times New Roman"/>
          <w:b w:val="0"/>
        </w:rPr>
        <w:t>充填材料中细骨料绝对体积用量（</w:t>
      </w:r>
      <m:oMath>
        <m:sSub>
          <m:sSubPr>
            <m:ctrlPr>
              <w:rPr>
                <w:rFonts w:ascii="Cambria Math" w:hAnsi="Cambria Math"/>
                <w:i/>
                <w:sz w:val="24"/>
              </w:rPr>
            </m:ctrlPr>
          </m:sSubPr>
          <m:e>
            <m:r>
              <m:rPr>
                <m:sty m:val="bi"/>
              </m:rPr>
              <w:rPr>
                <w:rFonts w:ascii="Cambria Math" w:hAnsi="Cambria Math"/>
                <w:sz w:val="24"/>
              </w:rPr>
              <m:t>V</m:t>
            </m:r>
            <m:ctrlPr>
              <w:rPr>
                <w:rFonts w:ascii="Cambria Math" w:hAnsi="Cambria Math"/>
                <w:i/>
                <w:sz w:val="24"/>
              </w:rPr>
            </m:ctrlPr>
          </m:e>
          <m:sub>
            <m:r>
              <m:rPr>
                <m:sty m:val="bi"/>
              </m:rPr>
              <w:rPr>
                <w:rFonts w:ascii="Cambria Math" w:hAnsi="Cambria Math"/>
                <w:sz w:val="24"/>
              </w:rPr>
              <m:t>f</m:t>
            </m:r>
            <m:ctrlPr>
              <w:rPr>
                <w:rFonts w:ascii="Cambria Math" w:hAnsi="Cambria Math"/>
                <w:i/>
                <w:sz w:val="24"/>
              </w:rPr>
            </m:ctrlPr>
          </m:sub>
        </m:sSub>
      </m:oMath>
      <w:r>
        <w:rPr>
          <w:rStyle w:val="190"/>
          <w:rFonts w:hint="default" w:ascii="Times New Roman" w:hAnsi="Times New Roman" w:cs="Times New Roman"/>
          <w:b w:val="0"/>
        </w:rPr>
        <w:t>）及质量（</w:t>
      </w:r>
      <m:oMath>
        <m:sSub>
          <m:sSubPr>
            <m:ctrlPr>
              <w:rPr>
                <w:rFonts w:ascii="Cambria Math" w:hAnsi="Cambria Math"/>
                <w:i/>
                <w:iCs/>
                <w:sz w:val="24"/>
              </w:rPr>
            </m:ctrlPr>
          </m:sSubPr>
          <m:e>
            <m:r>
              <m:rPr>
                <m:sty m:val="bi"/>
              </m:rPr>
              <w:rPr>
                <w:rFonts w:ascii="Cambria Math" w:hAnsi="Cambria Math"/>
                <w:sz w:val="24"/>
              </w:rPr>
              <m:t>m</m:t>
            </m:r>
            <m:ctrlPr>
              <w:rPr>
                <w:rFonts w:ascii="Cambria Math" w:hAnsi="Cambria Math"/>
                <w:i/>
                <w:iCs/>
                <w:sz w:val="24"/>
              </w:rPr>
            </m:ctrlPr>
          </m:e>
          <m:sub>
            <m:r>
              <m:rPr>
                <m:sty m:val="b"/>
              </m:rPr>
              <w:rPr>
                <w:rFonts w:ascii="Cambria Math" w:hAnsi="Cambria Math"/>
                <w:sz w:val="24"/>
              </w:rPr>
              <m:t>f</m:t>
            </m:r>
            <m:ctrlPr>
              <w:rPr>
                <w:rFonts w:ascii="Cambria Math" w:hAnsi="Cambria Math"/>
                <w:i/>
                <w:iCs/>
                <w:sz w:val="24"/>
              </w:rPr>
            </m:ctrlPr>
          </m:sub>
        </m:sSub>
      </m:oMath>
      <w:r>
        <w:rPr>
          <w:rStyle w:val="190"/>
          <w:rFonts w:hint="default" w:ascii="Times New Roman" w:hAnsi="Times New Roman" w:cs="Times New Roman"/>
          <w:b w:val="0"/>
        </w:rPr>
        <w:t>），</w:t>
      </w:r>
      <w:bookmarkEnd w:id="181"/>
      <w:bookmarkEnd w:id="182"/>
    </w:p>
    <w:p w14:paraId="618FE9ED">
      <w:pPr>
        <w:pStyle w:val="4"/>
        <w:keepNext w:val="0"/>
        <w:keepLines w:val="0"/>
        <w:spacing w:before="78" w:beforeLines="25" w:after="0" w:line="440" w:lineRule="exact"/>
        <w:ind w:left="0" w:firstLine="0"/>
        <w:rPr>
          <w:rStyle w:val="190"/>
          <w:rFonts w:hint="default" w:ascii="Times New Roman" w:hAnsi="Times New Roman" w:cs="Times New Roman"/>
          <w:b w:val="0"/>
        </w:rPr>
      </w:pPr>
      <m:oMath>
        <m:sSub>
          <w:bookmarkStart w:id="184" w:name="_Toc29759"/>
          <w:bookmarkStart w:id="185" w:name="_Toc4345"/>
          <m:sSubPr>
            <m:ctrlPr>
              <w:rPr>
                <w:rFonts w:ascii="Cambria Math" w:hAnsi="Cambria Math"/>
                <w:i/>
                <w:sz w:val="24"/>
              </w:rPr>
            </m:ctrlPr>
          </m:sSubPr>
          <m:e>
            <m:r>
              <m:rPr>
                <m:sty m:val="bi"/>
              </m:rPr>
              <w:rPr>
                <w:rFonts w:ascii="Cambria Math" w:hAnsi="Cambria Math"/>
                <w:sz w:val="24"/>
              </w:rPr>
              <m:t>V</m:t>
            </m:r>
            <m:ctrlPr>
              <w:rPr>
                <w:rFonts w:ascii="Cambria Math" w:hAnsi="Cambria Math"/>
                <w:i/>
                <w:sz w:val="24"/>
              </w:rPr>
            </m:ctrlPr>
          </m:e>
          <m:sub>
            <m:r>
              <m:rPr>
                <m:sty m:val="b"/>
              </m:rPr>
              <w:rPr>
                <w:rFonts w:ascii="Cambria Math" w:hAnsi="Cambria Math"/>
                <w:sz w:val="24"/>
              </w:rPr>
              <m:t>f</m:t>
            </m:r>
            <m:ctrlPr>
              <w:rPr>
                <w:rFonts w:ascii="Cambria Math" w:hAnsi="Cambria Math"/>
                <w:i/>
                <w:sz w:val="24"/>
              </w:rPr>
            </m:ctrlPr>
          </m:sub>
        </m:sSub>
      </m:oMath>
      <w:r>
        <w:rPr>
          <w:rStyle w:val="190"/>
          <w:rFonts w:ascii="Times New Roman" w:hAnsi="Times New Roman" w:cs="Times New Roman"/>
          <w:b w:val="0"/>
        </w:rPr>
        <w:t>宜</w:t>
      </w:r>
      <w:r>
        <w:rPr>
          <w:rStyle w:val="190"/>
          <w:rFonts w:hint="default" w:ascii="Times New Roman" w:hAnsi="Times New Roman" w:cs="Times New Roman"/>
          <w:b w:val="0"/>
        </w:rPr>
        <w:t>按照表5.2.3选用，细骨料的质量（</w:t>
      </w:r>
      <m:oMath>
        <m:sSub>
          <m:sSubPr>
            <m:ctrlPr>
              <w:rPr>
                <w:rFonts w:ascii="Cambria Math" w:hAnsi="Cambria Math"/>
                <w:i/>
                <w:iCs/>
                <w:sz w:val="24"/>
              </w:rPr>
            </m:ctrlPr>
          </m:sSubPr>
          <m:e>
            <m:r>
              <m:rPr>
                <m:sty m:val="bi"/>
              </m:rPr>
              <w:rPr>
                <w:rFonts w:ascii="Cambria Math" w:hAnsi="Cambria Math"/>
                <w:sz w:val="24"/>
              </w:rPr>
              <m:t>m</m:t>
            </m:r>
            <m:ctrlPr>
              <w:rPr>
                <w:rFonts w:ascii="Cambria Math" w:hAnsi="Cambria Math"/>
                <w:i/>
                <w:iCs/>
                <w:sz w:val="24"/>
              </w:rPr>
            </m:ctrlPr>
          </m:e>
          <m:sub>
            <m:r>
              <m:rPr>
                <m:sty m:val="b"/>
              </m:rPr>
              <w:rPr>
                <w:rFonts w:ascii="Cambria Math" w:hAnsi="Cambria Math"/>
                <w:sz w:val="24"/>
              </w:rPr>
              <m:t>f</m:t>
            </m:r>
            <m:ctrlPr>
              <w:rPr>
                <w:rFonts w:ascii="Cambria Math" w:hAnsi="Cambria Math"/>
                <w:i/>
                <w:iCs/>
                <w:sz w:val="24"/>
              </w:rPr>
            </m:ctrlPr>
          </m:sub>
        </m:sSub>
      </m:oMath>
      <w:r>
        <w:rPr>
          <w:rStyle w:val="190"/>
          <w:rFonts w:hint="default" w:ascii="Times New Roman" w:hAnsi="Times New Roman" w:cs="Times New Roman"/>
          <w:b w:val="0"/>
        </w:rPr>
        <w:t>）可根据细骨料绝对体积（</w:t>
      </w:r>
      <m:oMath>
        <m:sSub>
          <m:sSubPr>
            <m:ctrlPr>
              <w:rPr>
                <w:rFonts w:ascii="Cambria Math" w:hAnsi="Cambria Math"/>
                <w:i/>
                <w:sz w:val="24"/>
              </w:rPr>
            </m:ctrlPr>
          </m:sSubPr>
          <m:e>
            <m:r>
              <m:rPr>
                <m:sty m:val="bi"/>
              </m:rPr>
              <w:rPr>
                <w:rFonts w:ascii="Cambria Math" w:hAnsi="Cambria Math"/>
                <w:sz w:val="24"/>
              </w:rPr>
              <m:t>V</m:t>
            </m:r>
            <m:ctrlPr>
              <w:rPr>
                <w:rFonts w:ascii="Cambria Math" w:hAnsi="Cambria Math"/>
                <w:i/>
                <w:sz w:val="24"/>
              </w:rPr>
            </m:ctrlPr>
          </m:e>
          <m:sub>
            <m:r>
              <m:rPr>
                <m:sty m:val="bi"/>
              </m:rPr>
              <w:rPr>
                <w:rFonts w:ascii="Cambria Math" w:hAnsi="Cambria Math"/>
                <w:sz w:val="24"/>
              </w:rPr>
              <m:t>f</m:t>
            </m:r>
            <m:ctrlPr>
              <w:rPr>
                <w:rFonts w:ascii="Cambria Math" w:hAnsi="Cambria Math"/>
                <w:i/>
                <w:sz w:val="24"/>
              </w:rPr>
            </m:ctrlPr>
          </m:sub>
        </m:sSub>
      </m:oMath>
      <w:r>
        <w:rPr>
          <w:rStyle w:val="190"/>
          <w:rFonts w:hint="default" w:ascii="Times New Roman" w:hAnsi="Times New Roman" w:cs="Times New Roman"/>
          <w:b w:val="0"/>
        </w:rPr>
        <w:t>）与表观密度（</w:t>
      </w:r>
      <m:oMath>
        <m:sSub>
          <m:sSubPr>
            <m:ctrlPr>
              <w:rPr>
                <w:rStyle w:val="190"/>
                <w:rFonts w:hint="default" w:ascii="Cambria Math" w:hAnsi="Cambria Math" w:cs="Times New Roman"/>
                <w:b w:val="0"/>
              </w:rPr>
            </m:ctrlPr>
          </m:sSubPr>
          <m:e>
            <m:r>
              <m:rPr>
                <m:sty m:val="b"/>
              </m:rPr>
              <w:rPr>
                <w:rStyle w:val="190"/>
                <w:rFonts w:hint="default" w:ascii="Cambria Math" w:hAnsi="Cambria Math" w:cs="Times New Roman"/>
              </w:rPr>
              <m:t>ρ</m:t>
            </m:r>
            <m:ctrlPr>
              <w:rPr>
                <w:rStyle w:val="190"/>
                <w:rFonts w:hint="default" w:ascii="Cambria Math" w:hAnsi="Cambria Math" w:cs="Times New Roman"/>
                <w:b w:val="0"/>
              </w:rPr>
            </m:ctrlPr>
          </m:e>
          <m:sub>
            <m:r>
              <m:rPr>
                <m:sty m:val="b"/>
              </m:rPr>
              <w:rPr>
                <w:rStyle w:val="190"/>
                <w:rFonts w:hint="default" w:ascii="Cambria Math" w:hAnsi="Cambria Math" w:cs="Times New Roman"/>
              </w:rPr>
              <m:t>ws</m:t>
            </m:r>
            <m:ctrlPr>
              <w:rPr>
                <w:rStyle w:val="190"/>
                <w:rFonts w:hint="default" w:ascii="Cambria Math" w:hAnsi="Cambria Math" w:cs="Times New Roman"/>
                <w:b w:val="0"/>
              </w:rPr>
            </m:ctrlPr>
          </m:sub>
        </m:sSub>
      </m:oMath>
      <w:r>
        <w:rPr>
          <w:rStyle w:val="190"/>
          <w:rFonts w:hint="default" w:ascii="Times New Roman" w:hAnsi="Times New Roman" w:cs="Times New Roman"/>
          <w:b w:val="0"/>
        </w:rPr>
        <w:t>与</w:t>
      </w:r>
      <m:oMath>
        <m:sSub>
          <m:sSubPr>
            <m:ctrlPr>
              <w:rPr>
                <w:rStyle w:val="190"/>
                <w:rFonts w:hint="default" w:ascii="Cambria Math" w:hAnsi="Cambria Math" w:cs="Times New Roman"/>
                <w:b w:val="0"/>
              </w:rPr>
            </m:ctrlPr>
          </m:sSubPr>
          <m:e>
            <m:r>
              <m:rPr>
                <m:sty m:val="b"/>
              </m:rPr>
              <w:rPr>
                <w:rStyle w:val="190"/>
                <w:rFonts w:hint="default" w:ascii="Cambria Math" w:hAnsi="Cambria Math" w:cs="Times New Roman"/>
              </w:rPr>
              <m:t>ρ</m:t>
            </m:r>
            <m:ctrlPr>
              <w:rPr>
                <w:rStyle w:val="190"/>
                <w:rFonts w:hint="default" w:ascii="Cambria Math" w:hAnsi="Cambria Math" w:cs="Times New Roman"/>
                <w:b w:val="0"/>
              </w:rPr>
            </m:ctrlPr>
          </m:e>
          <m:sub>
            <m:r>
              <m:rPr>
                <m:sty m:val="b"/>
              </m:rPr>
              <w:rPr>
                <w:rStyle w:val="190"/>
                <w:rFonts w:hint="default" w:ascii="Cambria Math" w:hAnsi="Cambria Math" w:cs="Times New Roman"/>
              </w:rPr>
              <m:t>ns</m:t>
            </m:r>
            <m:ctrlPr>
              <w:rPr>
                <w:rStyle w:val="190"/>
                <w:rFonts w:hint="default" w:ascii="Cambria Math" w:hAnsi="Cambria Math" w:cs="Times New Roman"/>
                <w:b w:val="0"/>
              </w:rPr>
            </m:ctrlPr>
          </m:sub>
        </m:sSub>
      </m:oMath>
      <w:r>
        <w:rPr>
          <w:rStyle w:val="190"/>
          <w:rFonts w:hint="default" w:ascii="Times New Roman" w:hAnsi="Times New Roman" w:cs="Times New Roman"/>
          <w:b w:val="0"/>
        </w:rPr>
        <w:t>）按下列公式计算。</w:t>
      </w:r>
      <w:bookmarkEnd w:id="183"/>
      <w:bookmarkEnd w:id="184"/>
      <w:bookmarkEnd w:id="185"/>
    </w:p>
    <w:p w14:paraId="66CA23BE">
      <w:pPr>
        <w:spacing w:line="360" w:lineRule="auto"/>
        <w:jc w:val="right"/>
        <w:rPr>
          <w:sz w:val="24"/>
        </w:rPr>
      </w:pPr>
      <m:oMath>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ws</m:t>
            </m:r>
            <m:ctrlPr>
              <w:rPr>
                <w:rFonts w:ascii="Cambria Math" w:hAnsi="Cambria Math"/>
                <w:i/>
                <w:sz w:val="24"/>
              </w:rPr>
            </m:ctrlPr>
          </m:sub>
        </m:sSub>
        <m:r>
          <m:rPr/>
          <w:rPr>
            <w:rFonts w:ascii="Cambria Math" w:hAnsi="Cambria Math"/>
            <w:sz w:val="24"/>
          </w:rPr>
          <m:t xml:space="preserve"> = </m:t>
        </m:r>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f</m:t>
            </m:r>
            <m:ctrlPr>
              <w:rPr>
                <w:rFonts w:ascii="Cambria Math" w:hAnsi="Cambria Math"/>
                <w:i/>
                <w:sz w:val="24"/>
              </w:rPr>
            </m:ctrlPr>
          </m:sub>
        </m:sSub>
        <m:r>
          <m:rPr/>
          <w:rPr>
            <w:rFonts w:ascii="Cambria Math" w:hAnsi="Cambria Math"/>
            <w:sz w:val="24"/>
          </w:rPr>
          <m:t>×φ×</m:t>
        </m:r>
        <m:sSub>
          <m:sSubPr>
            <m:ctrlPr>
              <w:rPr>
                <w:rFonts w:ascii="Cambria Math" w:hAnsi="Cambria Math"/>
                <w:i/>
                <w:sz w:val="24"/>
              </w:rPr>
            </m:ctrlPr>
          </m:sSubPr>
          <m:e>
            <m:r>
              <m:rPr/>
              <w:rPr>
                <w:rFonts w:ascii="Cambria Math" w:hAnsi="Cambria Math"/>
                <w:sz w:val="24"/>
              </w:rPr>
              <m:t>ρ</m:t>
            </m:r>
            <m:ctrlPr>
              <w:rPr>
                <w:rFonts w:ascii="Cambria Math" w:hAnsi="Cambria Math"/>
                <w:i/>
                <w:sz w:val="24"/>
              </w:rPr>
            </m:ctrlPr>
          </m:e>
          <m:sub>
            <m:r>
              <m:rPr/>
              <w:rPr>
                <w:rFonts w:ascii="Cambria Math" w:hAnsi="Cambria Math"/>
                <w:sz w:val="24"/>
              </w:rPr>
              <m:t>ws</m:t>
            </m:r>
            <m:ctrlPr>
              <w:rPr>
                <w:rFonts w:ascii="Cambria Math" w:hAnsi="Cambria Math"/>
                <w:i/>
                <w:sz w:val="24"/>
              </w:rPr>
            </m:ctrlPr>
          </m:sub>
        </m:sSub>
      </m:oMath>
      <w:r>
        <w:rPr>
          <w:i/>
          <w:sz w:val="24"/>
        </w:rPr>
        <w:t xml:space="preserve">   </w:t>
      </w:r>
      <w:r>
        <w:rPr>
          <w:sz w:val="24"/>
        </w:rPr>
        <w:t xml:space="preserve">    </w:t>
      </w:r>
      <w:r>
        <w:rPr>
          <w:rFonts w:hint="eastAsia"/>
          <w:sz w:val="24"/>
        </w:rPr>
        <w:t xml:space="preserve">  </w:t>
      </w:r>
      <w:r>
        <w:rPr>
          <w:sz w:val="24"/>
        </w:rPr>
        <w:t xml:space="preserve">          （</w:t>
      </w:r>
      <w:r>
        <w:rPr>
          <w:rFonts w:hint="eastAsia"/>
          <w:sz w:val="24"/>
        </w:rPr>
        <w:t>5</w:t>
      </w:r>
      <w:r>
        <w:rPr>
          <w:sz w:val="24"/>
        </w:rPr>
        <w:t>.2.</w:t>
      </w:r>
      <w:r>
        <w:rPr>
          <w:rFonts w:hint="eastAsia"/>
          <w:sz w:val="24"/>
        </w:rPr>
        <w:t>3</w:t>
      </w:r>
      <w:r>
        <w:rPr>
          <w:sz w:val="24"/>
        </w:rPr>
        <w:t>-</w:t>
      </w:r>
      <w:r>
        <w:rPr>
          <w:rFonts w:hint="eastAsia"/>
          <w:sz w:val="24"/>
        </w:rPr>
        <w:t>1</w:t>
      </w:r>
      <w:r>
        <w:rPr>
          <w:sz w:val="24"/>
        </w:rPr>
        <w:t>）</w:t>
      </w:r>
    </w:p>
    <w:p w14:paraId="21932345">
      <w:pPr>
        <w:spacing w:line="360" w:lineRule="auto"/>
        <w:jc w:val="right"/>
        <w:rPr>
          <w:sz w:val="24"/>
        </w:rPr>
      </w:pPr>
      <m:oMath>
        <m:sSub>
          <m:sSubPr>
            <m:ctrlPr>
              <w:rPr>
                <w:rFonts w:ascii="Cambria Math" w:hAnsi="Cambria Math"/>
                <w:i/>
                <w:iCs/>
                <w:sz w:val="24"/>
              </w:rPr>
            </m:ctrlPr>
          </m:sSubPr>
          <m:e>
            <m:r>
              <m:rPr/>
              <w:rPr>
                <w:rFonts w:ascii="Cambria Math" w:hAnsi="Cambria Math"/>
                <w:sz w:val="24"/>
              </w:rPr>
              <m:t>m</m:t>
            </m:r>
            <m:ctrlPr>
              <w:rPr>
                <w:rFonts w:ascii="Cambria Math" w:hAnsi="Cambria Math"/>
                <w:i/>
                <w:iCs/>
                <w:sz w:val="24"/>
              </w:rPr>
            </m:ctrlPr>
          </m:e>
          <m:sub>
            <m:r>
              <m:rPr/>
              <w:rPr>
                <w:rFonts w:ascii="Cambria Math" w:hAnsi="Cambria Math"/>
                <w:sz w:val="24"/>
              </w:rPr>
              <m:t>ns</m:t>
            </m:r>
            <m:ctrlPr>
              <w:rPr>
                <w:rFonts w:ascii="Cambria Math" w:hAnsi="Cambria Math"/>
                <w:i/>
                <w:iCs/>
                <w:sz w:val="24"/>
              </w:rPr>
            </m:ctrlPr>
          </m:sub>
        </m:sSub>
        <m:r>
          <m:rPr/>
          <w:rPr>
            <w:rFonts w:ascii="Cambria Math" w:hAnsi="Cambria Math"/>
            <w:sz w:val="24"/>
          </w:rPr>
          <m:t xml:space="preserve">= </m:t>
        </m:r>
        <m:sSub>
          <m:sSubPr>
            <m:ctrlPr>
              <w:rPr>
                <w:rFonts w:ascii="Cambria Math" w:hAnsi="Cambria Math"/>
                <w:i/>
                <w:iCs/>
                <w:sz w:val="24"/>
              </w:rPr>
            </m:ctrlPr>
          </m:sSubPr>
          <m:e>
            <m:r>
              <m:rPr/>
              <w:rPr>
                <w:rFonts w:ascii="Cambria Math" w:hAnsi="Cambria Math"/>
                <w:sz w:val="24"/>
              </w:rPr>
              <m:t>V</m:t>
            </m:r>
            <m:ctrlPr>
              <w:rPr>
                <w:rFonts w:ascii="Cambria Math" w:hAnsi="Cambria Math"/>
                <w:i/>
                <w:iCs/>
                <w:sz w:val="24"/>
              </w:rPr>
            </m:ctrlPr>
          </m:e>
          <m:sub>
            <m:r>
              <m:rPr/>
              <w:rPr>
                <w:rFonts w:ascii="Cambria Math" w:hAnsi="Cambria Math"/>
                <w:sz w:val="24"/>
              </w:rPr>
              <m:t>f</m:t>
            </m:r>
            <m:ctrlPr>
              <w:rPr>
                <w:rFonts w:ascii="Cambria Math" w:hAnsi="Cambria Math"/>
                <w:i/>
                <w:iCs/>
                <w:sz w:val="24"/>
              </w:rPr>
            </m:ctrlPr>
          </m:sub>
        </m:sSub>
        <m:r>
          <m:rPr/>
          <w:rPr>
            <w:rFonts w:ascii="Cambria Math" w:hAnsi="Cambria Math"/>
            <w:sz w:val="24"/>
          </w:rPr>
          <m:t>×(1−φ)</m:t>
        </m:r>
        <m:r>
          <m:rPr>
            <m:sty m:val="bi"/>
          </m:rPr>
          <w:rPr>
            <w:rFonts w:ascii="Cambria Math" w:hAnsi="Cambria Math"/>
            <w:sz w:val="24"/>
          </w:rPr>
          <m:t xml:space="preserve">× </m:t>
        </m:r>
        <m:sSub>
          <m:sSubPr>
            <m:ctrlPr>
              <w:rPr>
                <w:rFonts w:ascii="Cambria Math" w:hAnsi="Cambria Math"/>
                <w:i/>
                <w:iCs/>
                <w:sz w:val="24"/>
              </w:rPr>
            </m:ctrlPr>
          </m:sSubPr>
          <m:e>
            <m:r>
              <m:rPr/>
              <w:rPr>
                <w:rFonts w:ascii="Cambria Math" w:hAnsi="Cambria Math"/>
                <w:sz w:val="24"/>
              </w:rPr>
              <m:t>ρ</m:t>
            </m:r>
            <m:ctrlPr>
              <w:rPr>
                <w:rFonts w:ascii="Cambria Math" w:hAnsi="Cambria Math"/>
                <w:i/>
                <w:iCs/>
                <w:sz w:val="24"/>
              </w:rPr>
            </m:ctrlPr>
          </m:e>
          <m:sub>
            <m:r>
              <m:rPr/>
              <w:rPr>
                <w:rFonts w:ascii="Cambria Math" w:hAnsi="Cambria Math"/>
                <w:sz w:val="24"/>
              </w:rPr>
              <m:t>ns</m:t>
            </m:r>
            <m:ctrlPr>
              <w:rPr>
                <w:rFonts w:ascii="Cambria Math" w:hAnsi="Cambria Math"/>
                <w:i/>
                <w:iCs/>
                <w:sz w:val="24"/>
              </w:rPr>
            </m:ctrlPr>
          </m:sub>
        </m:sSub>
      </m:oMath>
      <w:r>
        <w:rPr>
          <w:i/>
          <w:iCs/>
          <w:sz w:val="24"/>
        </w:rPr>
        <w:t xml:space="preserve">  </w:t>
      </w:r>
      <w:r>
        <w:rPr>
          <w:sz w:val="24"/>
        </w:rPr>
        <w:t xml:space="preserve">              （</w:t>
      </w:r>
      <w:r>
        <w:rPr>
          <w:rFonts w:hint="eastAsia"/>
          <w:sz w:val="24"/>
        </w:rPr>
        <w:t>5</w:t>
      </w:r>
      <w:r>
        <w:rPr>
          <w:sz w:val="24"/>
        </w:rPr>
        <w:t>.2.</w:t>
      </w:r>
      <w:r>
        <w:rPr>
          <w:rFonts w:hint="eastAsia"/>
          <w:sz w:val="24"/>
        </w:rPr>
        <w:t>3</w:t>
      </w:r>
      <w:r>
        <w:rPr>
          <w:sz w:val="24"/>
        </w:rPr>
        <w:t>-</w:t>
      </w:r>
      <w:r>
        <w:rPr>
          <w:rFonts w:hint="eastAsia"/>
          <w:sz w:val="24"/>
        </w:rPr>
        <w:t>2</w:t>
      </w:r>
      <w:r>
        <w:rPr>
          <w:sz w:val="24"/>
        </w:rPr>
        <w:t>）</w:t>
      </w:r>
    </w:p>
    <w:p w14:paraId="6597F27F">
      <w:pPr>
        <w:spacing w:line="360" w:lineRule="auto"/>
        <w:jc w:val="right"/>
        <w:rPr>
          <w:sz w:val="24"/>
        </w:rPr>
      </w:pPr>
      <m:oMath>
        <m:sSub>
          <m:sSubPr>
            <m:ctrlPr>
              <w:rPr>
                <w:rFonts w:ascii="Cambria Math" w:hAnsi="Cambria Math"/>
                <w:i/>
                <w:iCs/>
                <w:sz w:val="24"/>
              </w:rPr>
            </m:ctrlPr>
          </m:sSubPr>
          <m:e>
            <m:r>
              <m:rPr/>
              <w:rPr>
                <w:rFonts w:ascii="Cambria Math" w:hAnsi="Cambria Math"/>
                <w:sz w:val="24"/>
              </w:rPr>
              <m:t>m</m:t>
            </m:r>
            <m:ctrlPr>
              <w:rPr>
                <w:rFonts w:ascii="Cambria Math" w:hAnsi="Cambria Math"/>
                <w:i/>
                <w:iCs/>
                <w:sz w:val="24"/>
              </w:rPr>
            </m:ctrlPr>
          </m:e>
          <m:sub>
            <m:r>
              <m:rPr>
                <m:sty m:val="p"/>
              </m:rPr>
              <w:rPr>
                <w:rFonts w:ascii="Cambria Math" w:hAnsi="Cambria Math"/>
                <w:sz w:val="24"/>
              </w:rPr>
              <m:t>f</m:t>
            </m:r>
            <m:ctrlPr>
              <w:rPr>
                <w:rFonts w:ascii="Cambria Math" w:hAnsi="Cambria Math"/>
                <w:i/>
                <w:iCs/>
                <w:sz w:val="24"/>
              </w:rPr>
            </m:ctrlPr>
          </m:sub>
        </m:sSub>
        <m:r>
          <m:rPr/>
          <w:rPr>
            <w:rFonts w:ascii="Cambria Math" w:hAnsi="Cambria Math"/>
            <w:sz w:val="24"/>
          </w:rPr>
          <m:t xml:space="preserve">= </m:t>
        </m:r>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ws</m:t>
            </m:r>
            <m:ctrlPr>
              <w:rPr>
                <w:rFonts w:ascii="Cambria Math" w:hAnsi="Cambria Math"/>
                <w:i/>
                <w:sz w:val="24"/>
              </w:rPr>
            </m:ctrlPr>
          </m:sub>
        </m:sSub>
      </m:oMath>
      <w:r>
        <w:rPr>
          <w:rFonts w:hint="eastAsia" w:hAnsi="Cambria Math"/>
          <w:i/>
          <w:sz w:val="24"/>
        </w:rPr>
        <w:t>+</w:t>
      </w:r>
      <m:oMath>
        <m:sSub>
          <m:sSubPr>
            <m:ctrlPr>
              <w:rPr>
                <w:rFonts w:ascii="Cambria Math" w:hAnsi="Cambria Math"/>
                <w:i/>
                <w:iCs/>
                <w:sz w:val="24"/>
              </w:rPr>
            </m:ctrlPr>
          </m:sSubPr>
          <m:e>
            <m:r>
              <m:rPr/>
              <w:rPr>
                <w:rFonts w:ascii="Cambria Math" w:hAnsi="Cambria Math"/>
                <w:sz w:val="24"/>
              </w:rPr>
              <m:t>m</m:t>
            </m:r>
            <m:ctrlPr>
              <w:rPr>
                <w:rFonts w:ascii="Cambria Math" w:hAnsi="Cambria Math"/>
                <w:i/>
                <w:iCs/>
                <w:sz w:val="24"/>
              </w:rPr>
            </m:ctrlPr>
          </m:e>
          <m:sub>
            <m:r>
              <m:rPr/>
              <w:rPr>
                <w:rFonts w:ascii="Cambria Math" w:hAnsi="Cambria Math"/>
                <w:sz w:val="24"/>
              </w:rPr>
              <m:t>ns</m:t>
            </m:r>
            <m:ctrlPr>
              <w:rPr>
                <w:rFonts w:ascii="Cambria Math" w:hAnsi="Cambria Math"/>
                <w:i/>
                <w:iCs/>
                <w:sz w:val="24"/>
              </w:rPr>
            </m:ctrlPr>
          </m:sub>
        </m:sSub>
      </m:oMath>
      <w:r>
        <w:rPr>
          <w:i/>
          <w:iCs/>
          <w:sz w:val="24"/>
        </w:rPr>
        <w:t xml:space="preserve">  </w:t>
      </w:r>
      <w:r>
        <w:rPr>
          <w:sz w:val="24"/>
        </w:rPr>
        <w:t xml:space="preserve">                   （</w:t>
      </w:r>
      <w:r>
        <w:rPr>
          <w:rFonts w:hint="eastAsia"/>
          <w:sz w:val="24"/>
        </w:rPr>
        <w:t>5</w:t>
      </w:r>
      <w:r>
        <w:rPr>
          <w:sz w:val="24"/>
        </w:rPr>
        <w:t>.2.</w:t>
      </w:r>
      <w:r>
        <w:rPr>
          <w:rFonts w:hint="eastAsia"/>
          <w:sz w:val="24"/>
        </w:rPr>
        <w:t>3</w:t>
      </w:r>
      <w:r>
        <w:rPr>
          <w:sz w:val="24"/>
        </w:rPr>
        <w:t>-</w:t>
      </w:r>
      <w:r>
        <w:rPr>
          <w:rFonts w:hint="eastAsia"/>
          <w:sz w:val="24"/>
        </w:rPr>
        <w:t>3</w:t>
      </w:r>
      <w:r>
        <w:rPr>
          <w:sz w:val="24"/>
        </w:rPr>
        <w:t>）</w:t>
      </w:r>
    </w:p>
    <w:p w14:paraId="43CB5F83">
      <w:pPr>
        <w:spacing w:before="78" w:beforeLines="25" w:line="440" w:lineRule="exact"/>
        <w:rPr>
          <w:sz w:val="24"/>
        </w:rPr>
      </w:pPr>
      <w:r>
        <w:rPr>
          <w:sz w:val="24"/>
        </w:rPr>
        <w:t>式中：</w:t>
      </w:r>
      <m:oMath>
        <m:r>
          <m:rPr/>
          <w:rPr>
            <w:rFonts w:ascii="Cambria Math" w:hAnsi="Cambria Math"/>
            <w:sz w:val="24"/>
          </w:rPr>
          <m:t>φ</m:t>
        </m:r>
      </m:oMath>
      <w:r>
        <w:rPr>
          <w:rFonts w:hint="eastAsia"/>
          <w:sz w:val="24"/>
        </w:rPr>
        <w:t>——</w:t>
      </w:r>
      <w:r>
        <w:rPr>
          <w:sz w:val="24"/>
        </w:rPr>
        <w:t>建筑废弃物</w:t>
      </w:r>
      <w:r>
        <w:rPr>
          <w:rFonts w:hint="eastAsia"/>
          <w:sz w:val="24"/>
        </w:rPr>
        <w:t>再生细骨料占总</w:t>
      </w:r>
      <w:r>
        <w:rPr>
          <w:sz w:val="24"/>
        </w:rPr>
        <w:t>细骨料体积百分数（%）</w:t>
      </w:r>
      <w:r>
        <w:rPr>
          <w:rFonts w:hint="eastAsia"/>
          <w:sz w:val="24"/>
        </w:rPr>
        <w:t>；</w:t>
      </w:r>
    </w:p>
    <w:p w14:paraId="1476F861">
      <w:pPr>
        <w:spacing w:before="78" w:beforeLines="25" w:line="440" w:lineRule="exact"/>
        <w:ind w:firstLine="720" w:firstLineChars="300"/>
        <w:jc w:val="left"/>
        <w:rPr>
          <w:sz w:val="24"/>
        </w:rPr>
      </w:pPr>
      <m:oMath>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ws</m:t>
            </m:r>
            <m:ctrlPr>
              <w:rPr>
                <w:rFonts w:ascii="Cambria Math" w:hAnsi="Cambria Math"/>
                <w:i/>
                <w:sz w:val="24"/>
              </w:rPr>
            </m:ctrlPr>
          </m:sub>
        </m:sSub>
      </m:oMath>
      <w:r>
        <w:rPr>
          <w:rFonts w:hint="eastAsia"/>
          <w:sz w:val="24"/>
        </w:rPr>
        <w:t>——作为</w:t>
      </w:r>
      <w:r>
        <w:rPr>
          <w:sz w:val="24"/>
        </w:rPr>
        <w:t>细骨料的建筑废弃物质量（kg）</w:t>
      </w:r>
      <w:r>
        <w:rPr>
          <w:rFonts w:hint="eastAsia"/>
          <w:sz w:val="24"/>
        </w:rPr>
        <w:t>；</w:t>
      </w:r>
    </w:p>
    <w:p w14:paraId="330DF87B">
      <w:pPr>
        <w:spacing w:before="78" w:beforeLines="25" w:line="440" w:lineRule="exact"/>
        <w:ind w:firstLine="720" w:firstLineChars="300"/>
        <w:jc w:val="left"/>
        <w:rPr>
          <w:sz w:val="24"/>
        </w:rPr>
      </w:pPr>
      <m:oMath>
        <m:sSub>
          <m:sSubPr>
            <m:ctrlPr>
              <w:rPr>
                <w:rFonts w:ascii="Cambria Math" w:hAnsi="Cambria Math"/>
                <w:i/>
                <w:sz w:val="24"/>
              </w:rPr>
            </m:ctrlPr>
          </m:sSubPr>
          <m:e>
            <m:r>
              <m:rPr/>
              <w:rPr>
                <w:rFonts w:ascii="Cambria Math" w:hAnsi="Cambria Math"/>
                <w:sz w:val="24"/>
              </w:rPr>
              <m:t>ρ</m:t>
            </m:r>
            <m:ctrlPr>
              <w:rPr>
                <w:rFonts w:ascii="Cambria Math" w:hAnsi="Cambria Math"/>
                <w:i/>
                <w:sz w:val="24"/>
              </w:rPr>
            </m:ctrlPr>
          </m:e>
          <m:sub>
            <m:r>
              <m:rPr/>
              <w:rPr>
                <w:rFonts w:ascii="Cambria Math" w:hAnsi="Cambria Math"/>
                <w:sz w:val="24"/>
              </w:rPr>
              <m:t>ws</m:t>
            </m:r>
            <m:ctrlPr>
              <w:rPr>
                <w:rFonts w:ascii="Cambria Math" w:hAnsi="Cambria Math"/>
                <w:i/>
                <w:sz w:val="24"/>
              </w:rPr>
            </m:ctrlPr>
          </m:sub>
        </m:sSub>
      </m:oMath>
      <w:r>
        <w:rPr>
          <w:rFonts w:hint="eastAsia"/>
          <w:sz w:val="24"/>
        </w:rPr>
        <w:t>——作为</w:t>
      </w:r>
      <w:r>
        <w:rPr>
          <w:sz w:val="24"/>
        </w:rPr>
        <w:t>细骨料</w:t>
      </w:r>
      <w:r>
        <w:rPr>
          <w:rFonts w:hint="eastAsia"/>
          <w:sz w:val="24"/>
        </w:rPr>
        <w:t>的</w:t>
      </w:r>
      <w:r>
        <w:rPr>
          <w:sz w:val="24"/>
        </w:rPr>
        <w:t>建筑废弃物密度（kg/</w:t>
      </w:r>
      <w:r>
        <w:rPr>
          <w:rFonts w:hint="eastAsia"/>
          <w:sz w:val="24"/>
          <w:lang w:eastAsia="zh-CN"/>
        </w:rPr>
        <w:t>m³</w:t>
      </w:r>
      <w:r>
        <w:rPr>
          <w:sz w:val="24"/>
        </w:rPr>
        <w:t>）</w:t>
      </w:r>
      <w:r>
        <w:rPr>
          <w:rFonts w:hint="eastAsia"/>
          <w:sz w:val="24"/>
        </w:rPr>
        <w:t>；</w:t>
      </w:r>
    </w:p>
    <w:p w14:paraId="2BF9B7A6">
      <w:pPr>
        <w:spacing w:before="78" w:beforeLines="25" w:line="440" w:lineRule="exact"/>
        <w:ind w:firstLine="720" w:firstLineChars="300"/>
        <w:jc w:val="left"/>
        <w:rPr>
          <w:iCs/>
          <w:sz w:val="24"/>
        </w:rPr>
      </w:pPr>
      <m:oMath>
        <m:sSub>
          <m:sSubPr>
            <m:ctrlPr>
              <w:rPr>
                <w:rFonts w:ascii="Cambria Math" w:hAnsi="Cambria Math"/>
                <w:i/>
                <w:iCs/>
                <w:sz w:val="24"/>
              </w:rPr>
            </m:ctrlPr>
          </m:sSubPr>
          <m:e>
            <m:r>
              <m:rPr/>
              <w:rPr>
                <w:rFonts w:ascii="Cambria Math" w:hAnsi="Cambria Math"/>
                <w:sz w:val="24"/>
              </w:rPr>
              <m:t>m</m:t>
            </m:r>
            <m:ctrlPr>
              <w:rPr>
                <w:rFonts w:ascii="Cambria Math" w:hAnsi="Cambria Math"/>
                <w:i/>
                <w:iCs/>
                <w:sz w:val="24"/>
              </w:rPr>
            </m:ctrlPr>
          </m:e>
          <m:sub>
            <m:r>
              <m:rPr/>
              <w:rPr>
                <w:rFonts w:ascii="Cambria Math" w:hAnsi="Cambria Math"/>
                <w:sz w:val="24"/>
              </w:rPr>
              <m:t>ns</m:t>
            </m:r>
            <m:ctrlPr>
              <w:rPr>
                <w:rFonts w:ascii="Cambria Math" w:hAnsi="Cambria Math"/>
                <w:i/>
                <w:iCs/>
                <w:sz w:val="24"/>
              </w:rPr>
            </m:ctrlPr>
          </m:sub>
        </m:sSub>
      </m:oMath>
      <w:r>
        <w:rPr>
          <w:rFonts w:hint="eastAsia"/>
          <w:sz w:val="24"/>
        </w:rPr>
        <w:t>——</w:t>
      </w:r>
      <w:r>
        <w:rPr>
          <w:iCs/>
          <w:sz w:val="24"/>
        </w:rPr>
        <w:t>普通细</w:t>
      </w:r>
      <w:r>
        <w:rPr>
          <w:rFonts w:hint="eastAsia"/>
          <w:iCs/>
          <w:sz w:val="24"/>
        </w:rPr>
        <w:t>骨</w:t>
      </w:r>
      <w:r>
        <w:rPr>
          <w:iCs/>
          <w:sz w:val="24"/>
        </w:rPr>
        <w:t>料质量（kg）</w:t>
      </w:r>
      <w:r>
        <w:rPr>
          <w:rFonts w:hint="eastAsia"/>
          <w:iCs/>
          <w:sz w:val="24"/>
        </w:rPr>
        <w:t>；</w:t>
      </w:r>
    </w:p>
    <w:p w14:paraId="71E870FE">
      <w:pPr>
        <w:spacing w:before="78" w:beforeLines="25" w:line="440" w:lineRule="exact"/>
        <w:ind w:firstLine="720" w:firstLineChars="300"/>
        <w:jc w:val="left"/>
        <w:rPr>
          <w:sz w:val="24"/>
        </w:rPr>
      </w:pPr>
      <m:oMath>
        <m:sSub>
          <m:sSubPr>
            <m:ctrlPr>
              <w:rPr>
                <w:rFonts w:ascii="Cambria Math" w:hAnsi="Cambria Math"/>
                <w:i/>
                <w:sz w:val="24"/>
              </w:rPr>
            </m:ctrlPr>
          </m:sSubPr>
          <m:e>
            <m:r>
              <m:rPr/>
              <w:rPr>
                <w:rFonts w:ascii="Cambria Math" w:hAnsi="Cambria Math"/>
                <w:sz w:val="24"/>
              </w:rPr>
              <m:t>ρ</m:t>
            </m:r>
            <m:ctrlPr>
              <w:rPr>
                <w:rFonts w:ascii="Cambria Math" w:hAnsi="Cambria Math"/>
                <w:i/>
                <w:sz w:val="24"/>
              </w:rPr>
            </m:ctrlPr>
          </m:e>
          <m:sub>
            <m:r>
              <m:rPr/>
              <w:rPr>
                <w:rFonts w:ascii="Cambria Math" w:hAnsi="Cambria Math"/>
                <w:sz w:val="24"/>
              </w:rPr>
              <m:t>ns</m:t>
            </m:r>
            <m:ctrlPr>
              <w:rPr>
                <w:rFonts w:ascii="Cambria Math" w:hAnsi="Cambria Math"/>
                <w:i/>
                <w:sz w:val="24"/>
              </w:rPr>
            </m:ctrlPr>
          </m:sub>
        </m:sSub>
        <m:r>
          <m:rPr/>
          <w:rPr>
            <w:rFonts w:ascii="Cambria Math" w:hAnsi="Cambria Math"/>
            <w:sz w:val="24"/>
          </w:rPr>
          <m:t xml:space="preserve"> </m:t>
        </m:r>
      </m:oMath>
      <w:r>
        <w:rPr>
          <w:rFonts w:hint="eastAsia"/>
          <w:sz w:val="24"/>
        </w:rPr>
        <w:t>——</w:t>
      </w:r>
      <w:r>
        <w:rPr>
          <w:sz w:val="24"/>
        </w:rPr>
        <w:t>普通细</w:t>
      </w:r>
      <w:r>
        <w:rPr>
          <w:rFonts w:hint="eastAsia"/>
          <w:sz w:val="24"/>
        </w:rPr>
        <w:t>骨</w:t>
      </w:r>
      <w:r>
        <w:rPr>
          <w:sz w:val="24"/>
        </w:rPr>
        <w:t>料密度（kg/</w:t>
      </w:r>
      <w:r>
        <w:rPr>
          <w:rFonts w:hint="eastAsia"/>
          <w:sz w:val="24"/>
          <w:lang w:eastAsia="zh-CN"/>
        </w:rPr>
        <w:t>m³</w:t>
      </w:r>
      <w:r>
        <w:rPr>
          <w:sz w:val="24"/>
        </w:rPr>
        <w:t>）</w:t>
      </w:r>
      <w:r>
        <w:rPr>
          <w:rFonts w:hint="eastAsia"/>
          <w:sz w:val="24"/>
        </w:rPr>
        <w:t>。</w:t>
      </w:r>
    </w:p>
    <w:p w14:paraId="1FC69974">
      <w:pPr>
        <w:widowControl/>
        <w:jc w:val="left"/>
      </w:pPr>
    </w:p>
    <w:p w14:paraId="73CFCC84">
      <w:pPr>
        <w:spacing w:line="360" w:lineRule="auto"/>
        <w:ind w:firstLine="480" w:firstLineChars="200"/>
        <w:jc w:val="center"/>
        <w:rPr>
          <w:rFonts w:eastAsia="黑体"/>
          <w:b/>
          <w:bCs/>
          <w:sz w:val="24"/>
        </w:rPr>
      </w:pPr>
      <w:r>
        <w:rPr>
          <w:rFonts w:eastAsia="黑体"/>
          <w:b/>
          <w:bCs/>
          <w:sz w:val="24"/>
        </w:rPr>
        <w:t>表5.2.3  建议每方低强度充填材料绝对体积用量（</w:t>
      </w:r>
      <w:r>
        <w:rPr>
          <w:rFonts w:hint="eastAsia" w:eastAsia="黑体"/>
          <w:b/>
          <w:bCs/>
          <w:sz w:val="24"/>
          <w:lang w:eastAsia="zh-CN"/>
        </w:rPr>
        <w:t>m³</w:t>
      </w:r>
      <w:r>
        <w:rPr>
          <w:rFonts w:eastAsia="黑体"/>
          <w:b/>
          <w:bCs/>
          <w:sz w:val="24"/>
        </w:rPr>
        <w:t>）</w:t>
      </w:r>
    </w:p>
    <w:tbl>
      <w:tblPr>
        <w:tblStyle w:val="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2236"/>
        <w:gridCol w:w="2236"/>
        <w:gridCol w:w="2237"/>
      </w:tblGrid>
      <w:tr w14:paraId="596B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2" w:type="dxa"/>
          </w:tcPr>
          <w:p w14:paraId="29143462">
            <w:pPr>
              <w:spacing w:line="360" w:lineRule="auto"/>
              <w:jc w:val="center"/>
              <w:rPr>
                <w:szCs w:val="21"/>
              </w:rPr>
            </w:pPr>
          </w:p>
        </w:tc>
        <w:tc>
          <w:tcPr>
            <w:tcW w:w="2483" w:type="dxa"/>
          </w:tcPr>
          <w:p w14:paraId="5C8E944C">
            <w:pPr>
              <w:spacing w:line="360" w:lineRule="auto"/>
              <w:jc w:val="center"/>
              <w:rPr>
                <w:szCs w:val="21"/>
              </w:rPr>
            </w:pPr>
            <w:r>
              <w:rPr>
                <w:szCs w:val="21"/>
              </w:rPr>
              <w:t>高流动性</w:t>
            </w:r>
          </w:p>
        </w:tc>
        <w:tc>
          <w:tcPr>
            <w:tcW w:w="2483" w:type="dxa"/>
          </w:tcPr>
          <w:p w14:paraId="17605585">
            <w:pPr>
              <w:spacing w:line="360" w:lineRule="auto"/>
              <w:jc w:val="center"/>
              <w:rPr>
                <w:szCs w:val="21"/>
              </w:rPr>
            </w:pPr>
            <w:r>
              <w:rPr>
                <w:szCs w:val="21"/>
              </w:rPr>
              <w:t>普通流动性</w:t>
            </w:r>
          </w:p>
        </w:tc>
        <w:tc>
          <w:tcPr>
            <w:tcW w:w="2484" w:type="dxa"/>
          </w:tcPr>
          <w:p w14:paraId="5EA96B2B">
            <w:pPr>
              <w:spacing w:line="360" w:lineRule="auto"/>
              <w:jc w:val="center"/>
              <w:rPr>
                <w:szCs w:val="21"/>
              </w:rPr>
            </w:pPr>
            <w:r>
              <w:rPr>
                <w:szCs w:val="21"/>
              </w:rPr>
              <w:t>低流动性</w:t>
            </w:r>
          </w:p>
        </w:tc>
      </w:tr>
      <w:tr w14:paraId="455C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2" w:type="dxa"/>
          </w:tcPr>
          <w:p w14:paraId="0D5A8B4A">
            <w:pPr>
              <w:spacing w:line="360" w:lineRule="auto"/>
              <w:jc w:val="center"/>
              <w:rPr>
                <w:szCs w:val="21"/>
              </w:rPr>
            </w:pPr>
            <w:r>
              <w:rPr>
                <w:szCs w:val="21"/>
              </w:rPr>
              <w:t>细骨料绝对体积用量</w:t>
            </w:r>
          </w:p>
        </w:tc>
        <w:tc>
          <w:tcPr>
            <w:tcW w:w="2483" w:type="dxa"/>
          </w:tcPr>
          <w:p w14:paraId="255E4E1D">
            <w:pPr>
              <w:spacing w:line="360" w:lineRule="auto"/>
              <w:jc w:val="center"/>
              <w:rPr>
                <w:szCs w:val="21"/>
              </w:rPr>
            </w:pPr>
            <w:r>
              <w:rPr>
                <w:szCs w:val="21"/>
              </w:rPr>
              <w:t>0.47~0.50</w:t>
            </w:r>
          </w:p>
        </w:tc>
        <w:tc>
          <w:tcPr>
            <w:tcW w:w="2483" w:type="dxa"/>
          </w:tcPr>
          <w:p w14:paraId="40AA6AD0">
            <w:pPr>
              <w:spacing w:line="360" w:lineRule="auto"/>
              <w:jc w:val="center"/>
              <w:rPr>
                <w:szCs w:val="21"/>
              </w:rPr>
            </w:pPr>
            <w:r>
              <w:rPr>
                <w:szCs w:val="21"/>
              </w:rPr>
              <w:t>0.49~0.52</w:t>
            </w:r>
          </w:p>
        </w:tc>
        <w:tc>
          <w:tcPr>
            <w:tcW w:w="2484" w:type="dxa"/>
          </w:tcPr>
          <w:p w14:paraId="71A3BDFF">
            <w:pPr>
              <w:spacing w:line="360" w:lineRule="auto"/>
              <w:jc w:val="center"/>
              <w:rPr>
                <w:szCs w:val="21"/>
              </w:rPr>
            </w:pPr>
            <w:r>
              <w:rPr>
                <w:szCs w:val="21"/>
              </w:rPr>
              <w:t>0.51~0.54</w:t>
            </w:r>
          </w:p>
        </w:tc>
      </w:tr>
    </w:tbl>
    <w:p w14:paraId="1684A00F">
      <w:pPr>
        <w:spacing w:before="78" w:beforeLines="25" w:line="440" w:lineRule="exact"/>
        <w:rPr>
          <w:rFonts w:hint="eastAsia" w:ascii="楷体" w:hAnsi="楷体" w:eastAsia="楷体" w:cs="楷体"/>
          <w:bCs/>
          <w:color w:val="000000"/>
          <w:sz w:val="24"/>
        </w:rPr>
      </w:pPr>
      <w:r>
        <w:rPr>
          <w:rFonts w:ascii="楷体" w:hAnsi="楷体" w:eastAsia="楷体" w:cs="楷体"/>
          <w:bCs/>
          <w:color w:val="000000"/>
          <w:sz w:val="24"/>
        </w:rPr>
        <w:t>【条文说明】</w:t>
      </w:r>
      <w:r>
        <w:rPr>
          <w:rFonts w:hint="eastAsia" w:ascii="楷体" w:hAnsi="楷体" w:eastAsia="楷体" w:cs="楷体"/>
          <w:bCs/>
          <w:color w:val="000000"/>
          <w:sz w:val="24"/>
        </w:rPr>
        <w:t>低强度充填材料能够自密实填充回填空间，流动度是其工作性能的重要评价指标之一。早期实验中，使用</w:t>
      </w:r>
      <w:r>
        <w:rPr>
          <w:rFonts w:hint="eastAsia" w:ascii="楷体" w:hAnsi="楷体" w:eastAsia="楷体" w:cs="楷体"/>
          <w:sz w:val="24"/>
          <w:szCs w:val="32"/>
        </w:rPr>
        <w:t>富勒</w:t>
      </w:r>
      <w:r>
        <w:rPr>
          <w:rFonts w:hint="eastAsia" w:ascii="楷体" w:hAnsi="楷体" w:eastAsia="楷体" w:cs="楷体"/>
          <w:bCs/>
          <w:color w:val="000000"/>
          <w:sz w:val="24"/>
        </w:rPr>
        <w:t>指数（指数减小，细骨料所占体积百分数增加）对低强度充填材料的流动性进行调控。实验发现，随着</w:t>
      </w:r>
      <w:r>
        <w:rPr>
          <w:rFonts w:ascii="楷体" w:hAnsi="楷体" w:eastAsia="楷体" w:cs="楷体"/>
          <w:bCs/>
          <w:color w:val="000000"/>
          <w:sz w:val="24"/>
        </w:rPr>
        <w:t>细</w:t>
      </w:r>
      <w:r>
        <w:rPr>
          <w:rFonts w:hint="eastAsia" w:ascii="楷体" w:hAnsi="楷体" w:eastAsia="楷体" w:cs="楷体"/>
          <w:bCs/>
          <w:color w:val="000000"/>
          <w:sz w:val="24"/>
        </w:rPr>
        <w:t>骨料绝对体积用量</w:t>
      </w:r>
      <w:r>
        <w:rPr>
          <w:rFonts w:ascii="楷体" w:hAnsi="楷体" w:eastAsia="楷体" w:cs="楷体"/>
          <w:bCs/>
          <w:color w:val="000000"/>
          <w:sz w:val="24"/>
        </w:rPr>
        <w:t>下降，浆体流动度增大，但稳定性下降，离析、泌水风险增加</w:t>
      </w:r>
      <w:r>
        <w:rPr>
          <w:rFonts w:hint="eastAsia" w:ascii="楷体" w:hAnsi="楷体" w:eastAsia="楷体" w:cs="楷体"/>
          <w:bCs/>
          <w:color w:val="000000"/>
          <w:sz w:val="24"/>
        </w:rPr>
        <w:t>。另一方面，</w:t>
      </w:r>
      <w:r>
        <w:rPr>
          <w:rFonts w:ascii="楷体" w:hAnsi="楷体" w:eastAsia="楷体" w:cs="楷体"/>
          <w:bCs/>
          <w:color w:val="000000"/>
          <w:sz w:val="24"/>
        </w:rPr>
        <w:t>过小的</w:t>
      </w:r>
      <w:r>
        <w:rPr>
          <w:rFonts w:hint="eastAsia"/>
          <w:sz w:val="24"/>
          <w:szCs w:val="32"/>
        </w:rPr>
        <w:t>Fuller</w:t>
      </w:r>
      <w:r>
        <w:rPr>
          <w:rFonts w:ascii="楷体" w:hAnsi="楷体" w:eastAsia="楷体" w:cs="楷体"/>
          <w:bCs/>
          <w:color w:val="000000"/>
          <w:sz w:val="24"/>
        </w:rPr>
        <w:t>指数会导致可控低强回填材料流动性过低</w:t>
      </w:r>
      <w:r>
        <w:rPr>
          <w:rFonts w:hint="eastAsia" w:ascii="楷体" w:hAnsi="楷体" w:eastAsia="楷体" w:cs="楷体"/>
          <w:bCs/>
          <w:color w:val="000000"/>
          <w:sz w:val="24"/>
        </w:rPr>
        <w:t>。结果表明，</w:t>
      </w:r>
      <w:r>
        <w:rPr>
          <w:rFonts w:ascii="楷体" w:hAnsi="楷体" w:eastAsia="楷体" w:cs="楷体"/>
          <w:bCs/>
          <w:color w:val="000000"/>
          <w:sz w:val="24"/>
        </w:rPr>
        <w:t>细骨料绝对体积用</w:t>
      </w:r>
      <w:r>
        <w:rPr>
          <w:rFonts w:hint="eastAsia" w:ascii="楷体" w:hAnsi="楷体" w:eastAsia="楷体" w:cs="楷体"/>
          <w:bCs/>
          <w:color w:val="000000"/>
          <w:sz w:val="24"/>
        </w:rPr>
        <w:t>量在</w:t>
      </w:r>
      <w:r>
        <w:rPr>
          <w:rFonts w:hint="eastAsia"/>
          <w:sz w:val="24"/>
          <w:szCs w:val="32"/>
        </w:rPr>
        <w:t>0.47~0.50</w:t>
      </w:r>
      <w:r>
        <w:rPr>
          <w:rFonts w:hint="eastAsia" w:ascii="楷体" w:hAnsi="楷体" w:eastAsia="楷体" w:cs="楷体"/>
          <w:bCs/>
          <w:color w:val="000000"/>
          <w:sz w:val="24"/>
        </w:rPr>
        <w:t>之间时，流动度大于</w:t>
      </w:r>
      <w:r>
        <w:rPr>
          <w:rFonts w:hint="eastAsia"/>
          <w:sz w:val="24"/>
          <w:szCs w:val="32"/>
        </w:rPr>
        <w:t>200mm</w:t>
      </w:r>
      <w:r>
        <w:rPr>
          <w:rFonts w:hint="eastAsia" w:ascii="楷体" w:hAnsi="楷体" w:eastAsia="楷体" w:cs="楷体"/>
          <w:bCs/>
          <w:color w:val="000000"/>
          <w:sz w:val="24"/>
        </w:rPr>
        <w:t>，并且保证其稳定性等其它指标符合要求。</w:t>
      </w:r>
      <w:r>
        <w:rPr>
          <w:rFonts w:ascii="楷体" w:hAnsi="楷体" w:eastAsia="楷体" w:cs="楷体"/>
          <w:bCs/>
          <w:color w:val="000000"/>
          <w:sz w:val="24"/>
        </w:rPr>
        <w:t>细骨料绝对体积用</w:t>
      </w:r>
      <w:r>
        <w:rPr>
          <w:rFonts w:hint="eastAsia" w:ascii="楷体" w:hAnsi="楷体" w:eastAsia="楷体" w:cs="楷体"/>
          <w:bCs/>
          <w:color w:val="000000"/>
          <w:sz w:val="24"/>
        </w:rPr>
        <w:t>量在</w:t>
      </w:r>
      <w:r>
        <w:rPr>
          <w:rFonts w:hint="eastAsia"/>
          <w:sz w:val="24"/>
          <w:szCs w:val="32"/>
        </w:rPr>
        <w:t>0.51~0.54</w:t>
      </w:r>
      <w:r>
        <w:rPr>
          <w:rFonts w:hint="eastAsia" w:ascii="楷体" w:hAnsi="楷体" w:eastAsia="楷体" w:cs="楷体"/>
          <w:bCs/>
          <w:color w:val="000000"/>
          <w:sz w:val="24"/>
        </w:rPr>
        <w:t>之间时，流动度小于</w:t>
      </w:r>
      <w:r>
        <w:rPr>
          <w:rFonts w:hint="eastAsia"/>
          <w:sz w:val="24"/>
          <w:szCs w:val="32"/>
        </w:rPr>
        <w:t>150mm</w:t>
      </w:r>
      <w:r>
        <w:rPr>
          <w:rFonts w:hint="eastAsia" w:ascii="楷体" w:hAnsi="楷体" w:eastAsia="楷体" w:cs="楷体"/>
          <w:bCs/>
          <w:color w:val="000000"/>
          <w:sz w:val="24"/>
        </w:rPr>
        <w:t>。</w:t>
      </w:r>
      <w:r>
        <w:rPr>
          <w:rFonts w:ascii="楷体" w:hAnsi="楷体" w:eastAsia="楷体" w:cs="楷体"/>
          <w:bCs/>
          <w:color w:val="000000"/>
          <w:sz w:val="24"/>
        </w:rPr>
        <w:t>细骨料绝对体积用</w:t>
      </w:r>
      <w:r>
        <w:rPr>
          <w:rFonts w:hint="eastAsia" w:ascii="楷体" w:hAnsi="楷体" w:eastAsia="楷体" w:cs="楷体"/>
          <w:bCs/>
          <w:color w:val="000000"/>
          <w:sz w:val="24"/>
        </w:rPr>
        <w:t>量在</w:t>
      </w:r>
      <w:r>
        <w:rPr>
          <w:rFonts w:hint="eastAsia"/>
          <w:sz w:val="24"/>
          <w:szCs w:val="32"/>
        </w:rPr>
        <w:t>0.49~0.52</w:t>
      </w:r>
      <w:r>
        <w:rPr>
          <w:rFonts w:hint="eastAsia" w:ascii="楷体" w:hAnsi="楷体" w:eastAsia="楷体" w:cs="楷体"/>
          <w:bCs/>
          <w:color w:val="000000"/>
          <w:sz w:val="24"/>
        </w:rPr>
        <w:t>之间时，流动性可控制在</w:t>
      </w:r>
      <w:r>
        <w:rPr>
          <w:rFonts w:hint="eastAsia"/>
          <w:sz w:val="24"/>
          <w:szCs w:val="32"/>
        </w:rPr>
        <w:t>150mm~200mm</w:t>
      </w:r>
      <w:r>
        <w:rPr>
          <w:rFonts w:hint="eastAsia" w:ascii="楷体" w:hAnsi="楷体" w:eastAsia="楷体" w:cs="楷体"/>
          <w:bCs/>
          <w:color w:val="000000"/>
          <w:sz w:val="24"/>
        </w:rPr>
        <w:t>之间。</w:t>
      </w:r>
    </w:p>
    <w:p w14:paraId="3B294506">
      <w:pPr>
        <w:pStyle w:val="4"/>
        <w:keepNext w:val="0"/>
        <w:keepLines w:val="0"/>
        <w:numPr>
          <w:ilvl w:val="0"/>
          <w:numId w:val="30"/>
        </w:numPr>
        <w:spacing w:before="78" w:beforeLines="25" w:after="0" w:line="440" w:lineRule="exact"/>
        <w:rPr>
          <w:rStyle w:val="190"/>
          <w:rFonts w:hint="default"/>
          <w:b w:val="0"/>
        </w:rPr>
      </w:pPr>
      <w:bookmarkStart w:id="186" w:name="_Toc13529"/>
      <w:bookmarkStart w:id="187" w:name="_Toc7673"/>
      <w:bookmarkStart w:id="188" w:name="_Toc25575"/>
      <w:r>
        <w:rPr>
          <w:rStyle w:val="190"/>
          <w:b w:val="0"/>
        </w:rPr>
        <w:t xml:space="preserve"> 净浆</w:t>
      </w:r>
      <w:r>
        <w:rPr>
          <w:rStyle w:val="190"/>
          <w:rFonts w:hint="default" w:ascii="Times New Roman" w:hAnsi="Times New Roman" w:cs="Times New Roman"/>
          <w:b w:val="0"/>
        </w:rPr>
        <w:t>体积（</w:t>
      </w:r>
      <m:oMath>
        <m:sSub>
          <m:sSubPr>
            <m:ctrlPr>
              <w:rPr>
                <w:rFonts w:ascii="Cambria Math" w:hAnsi="Cambria Math"/>
                <w:i/>
                <w:iCs/>
                <w:sz w:val="24"/>
              </w:rPr>
            </m:ctrlPr>
          </m:sSubPr>
          <m:e>
            <m:r>
              <m:rPr>
                <m:sty m:val="bi"/>
              </m:rPr>
              <w:rPr>
                <w:rFonts w:ascii="Cambria Math" w:hAnsi="Cambria Math"/>
                <w:sz w:val="24"/>
              </w:rPr>
              <m:t>V</m:t>
            </m:r>
            <m:ctrlPr>
              <w:rPr>
                <w:rFonts w:ascii="Cambria Math" w:hAnsi="Cambria Math"/>
                <w:i/>
                <w:iCs/>
                <w:sz w:val="24"/>
              </w:rPr>
            </m:ctrlPr>
          </m:e>
          <m:sub>
            <m:r>
              <m:rPr>
                <m:sty m:val="bi"/>
              </m:rPr>
              <w:rPr>
                <w:rFonts w:ascii="Cambria Math" w:hAnsi="Cambria Math"/>
                <w:sz w:val="24"/>
              </w:rPr>
              <m:t>P</m:t>
            </m:r>
            <m:ctrlPr>
              <w:rPr>
                <w:rFonts w:ascii="Cambria Math" w:hAnsi="Cambria Math"/>
                <w:i/>
                <w:iCs/>
                <w:sz w:val="24"/>
              </w:rPr>
            </m:ctrlPr>
          </m:sub>
        </m:sSub>
      </m:oMath>
      <w:r>
        <w:rPr>
          <w:rStyle w:val="190"/>
          <w:rFonts w:hint="default" w:ascii="Times New Roman" w:hAnsi="Times New Roman" w:cs="Times New Roman"/>
          <w:b w:val="0"/>
        </w:rPr>
        <w:t>），可按式5.2.4计算</w:t>
      </w:r>
      <w:r>
        <w:rPr>
          <w:rStyle w:val="190"/>
          <w:b w:val="0"/>
        </w:rPr>
        <w:t>。</w:t>
      </w:r>
      <w:bookmarkEnd w:id="186"/>
      <w:bookmarkEnd w:id="187"/>
      <w:bookmarkEnd w:id="188"/>
    </w:p>
    <w:p w14:paraId="0E6ECC79">
      <w:pPr>
        <w:spacing w:before="78" w:beforeLines="25" w:line="440" w:lineRule="exact"/>
        <w:jc w:val="center"/>
        <w:rPr>
          <w:sz w:val="24"/>
        </w:rPr>
      </w:pPr>
      <w:r>
        <w:rPr>
          <w:rFonts w:hint="eastAsia"/>
          <w:sz w:val="24"/>
        </w:rPr>
        <w:t xml:space="preserve">                        </w:t>
      </w:r>
      <w:r>
        <w:rPr>
          <w:rFonts w:hint="eastAsia"/>
          <w:i/>
          <w:iCs/>
          <w:sz w:val="24"/>
        </w:rPr>
        <w:t xml:space="preserve"> </w:t>
      </w:r>
      <m:oMath>
        <m:sSub>
          <m:sSubPr>
            <m:ctrlPr>
              <w:rPr>
                <w:rFonts w:hint="eastAsia" w:ascii="Cambria Math" w:hAnsi="Cambria Math"/>
                <w:i/>
                <w:iCs/>
                <w:sz w:val="24"/>
              </w:rPr>
            </m:ctrlPr>
          </m:sSubPr>
          <m:e>
            <m:r>
              <m:rPr/>
              <w:rPr>
                <w:rFonts w:ascii="Cambria Math"/>
                <w:sz w:val="24"/>
              </w:rPr>
              <m:t>V</m:t>
            </m:r>
            <m:ctrlPr>
              <w:rPr>
                <w:rFonts w:hint="eastAsia" w:ascii="Cambria Math" w:hAnsi="Cambria Math"/>
                <w:i/>
                <w:iCs/>
                <w:sz w:val="24"/>
              </w:rPr>
            </m:ctrlPr>
          </m:e>
          <m:sub>
            <m:r>
              <m:rPr/>
              <w:rPr>
                <w:rFonts w:ascii="Cambria Math"/>
                <w:sz w:val="24"/>
              </w:rPr>
              <m:t>P</m:t>
            </m:r>
            <m:ctrlPr>
              <w:rPr>
                <w:rFonts w:hint="eastAsia" w:ascii="Cambria Math" w:hAnsi="Cambria Math"/>
                <w:i/>
                <w:iCs/>
                <w:sz w:val="24"/>
              </w:rPr>
            </m:ctrlPr>
          </m:sub>
        </m:sSub>
        <m:r>
          <m:rPr>
            <m:sty m:val="p"/>
          </m:rPr>
          <w:rPr>
            <w:rFonts w:ascii="Cambria Math" w:hAnsi="Cambria Math"/>
            <w:sz w:val="24"/>
          </w:rPr>
          <m:t>=1</m:t>
        </m:r>
        <m:r>
          <m:rPr>
            <m:sty m:val="p"/>
          </m:rPr>
          <w:rPr>
            <w:rFonts w:hint="eastAsia" w:ascii="Cambria Math" w:hAnsi="Cambria Math"/>
            <w:sz w:val="24"/>
          </w:rPr>
          <m:t>—</m:t>
        </m:r>
        <m:r>
          <m:rPr>
            <m:sty m:val="p"/>
          </m:rPr>
          <w:rPr>
            <w:rFonts w:ascii="Cambria Math" w:hAnsi="Cambria Math"/>
            <w:sz w:val="24"/>
          </w:rPr>
          <m:t xml:space="preserve"> </m:t>
        </m:r>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f</m:t>
            </m:r>
            <m:ctrlPr>
              <w:rPr>
                <w:rFonts w:ascii="Cambria Math" w:hAnsi="Cambria Math"/>
                <w:i/>
                <w:sz w:val="24"/>
              </w:rPr>
            </m:ctrlPr>
          </m:sub>
        </m:sSub>
        <m:r>
          <m:rPr>
            <m:sty m:val="p"/>
          </m:rPr>
          <w:rPr>
            <w:rFonts w:ascii="Cambria Math" w:hAnsi="Cambria Math"/>
            <w:sz w:val="24"/>
            <w:vertAlign w:val="subscript"/>
          </w:rPr>
          <m:t xml:space="preserve"> </m:t>
        </m:r>
      </m:oMath>
      <w:r>
        <w:rPr>
          <w:i/>
          <w:iCs/>
          <w:sz w:val="24"/>
          <w:vertAlign w:val="subscript"/>
        </w:rPr>
        <w:t xml:space="preserve"> </w:t>
      </w:r>
      <w:r>
        <w:rPr>
          <w:sz w:val="24"/>
          <w:vertAlign w:val="subscript"/>
        </w:rPr>
        <w:t xml:space="preserve">                         </w:t>
      </w:r>
      <w:r>
        <w:rPr>
          <w:rFonts w:hint="eastAsia"/>
          <w:sz w:val="24"/>
          <w:vertAlign w:val="subscript"/>
        </w:rPr>
        <w:t xml:space="preserve">              </w:t>
      </w:r>
      <w:r>
        <w:rPr>
          <w:sz w:val="24"/>
        </w:rPr>
        <w:t>（</w:t>
      </w:r>
      <w:r>
        <w:rPr>
          <w:rFonts w:hint="eastAsia"/>
          <w:sz w:val="24"/>
        </w:rPr>
        <w:t>5</w:t>
      </w:r>
      <w:r>
        <w:rPr>
          <w:sz w:val="24"/>
        </w:rPr>
        <w:t>.2.</w:t>
      </w:r>
      <w:r>
        <w:rPr>
          <w:rFonts w:hint="eastAsia"/>
          <w:sz w:val="24"/>
        </w:rPr>
        <w:t>4</w:t>
      </w:r>
      <w:r>
        <w:rPr>
          <w:sz w:val="24"/>
        </w:rPr>
        <w:t>）</w:t>
      </w:r>
    </w:p>
    <w:p w14:paraId="3540E8D2">
      <w:pPr>
        <w:pStyle w:val="4"/>
        <w:keepNext w:val="0"/>
        <w:keepLines w:val="0"/>
        <w:numPr>
          <w:ilvl w:val="0"/>
          <w:numId w:val="30"/>
        </w:numPr>
        <w:spacing w:before="78" w:beforeLines="25" w:after="0" w:line="440" w:lineRule="exact"/>
        <w:ind w:left="0" w:firstLine="0"/>
        <w:jc w:val="left"/>
        <w:rPr>
          <w:rStyle w:val="190"/>
          <w:rFonts w:hint="default"/>
          <w:b w:val="0"/>
        </w:rPr>
      </w:pPr>
      <w:bookmarkStart w:id="189" w:name="_Toc1369"/>
      <w:bookmarkStart w:id="190" w:name="_Toc7970"/>
      <w:bookmarkStart w:id="191" w:name="_Toc22281"/>
      <w:r>
        <w:rPr>
          <w:rStyle w:val="190"/>
          <w:b w:val="0"/>
        </w:rPr>
        <w:t xml:space="preserve"> 根据工程所用原材料，通过经试验建立的水胶比与低强度充填材料无</w:t>
      </w:r>
      <w:bookmarkEnd w:id="189"/>
      <w:bookmarkEnd w:id="190"/>
      <w:bookmarkStart w:id="192" w:name="_Toc520"/>
      <w:bookmarkStart w:id="193" w:name="_Toc6379"/>
      <w:r>
        <w:rPr>
          <w:rStyle w:val="190"/>
          <w:b w:val="0"/>
        </w:rPr>
        <w:t>侧限抗压强度的关系式确定</w:t>
      </w:r>
      <w:r>
        <w:rPr>
          <w:rStyle w:val="190"/>
          <w:rFonts w:hint="default" w:ascii="Times New Roman" w:hAnsi="Times New Roman" w:cs="Times New Roman"/>
          <w:b w:val="0"/>
        </w:rPr>
        <w:t>水胶比(W/B)。</w:t>
      </w:r>
      <w:bookmarkEnd w:id="191"/>
      <w:bookmarkEnd w:id="192"/>
      <w:bookmarkEnd w:id="193"/>
    </w:p>
    <w:p w14:paraId="053867F6">
      <w:pPr>
        <w:pStyle w:val="4"/>
        <w:keepNext w:val="0"/>
        <w:keepLines w:val="0"/>
        <w:numPr>
          <w:ilvl w:val="0"/>
          <w:numId w:val="32"/>
        </w:numPr>
        <w:spacing w:before="78" w:beforeLines="25" w:after="0" w:line="440" w:lineRule="exact"/>
        <w:rPr>
          <w:sz w:val="24"/>
        </w:rPr>
      </w:pPr>
      <w:bookmarkStart w:id="194" w:name="_Toc16899"/>
      <w:bookmarkStart w:id="195" w:name="_Toc25267"/>
      <w:bookmarkStart w:id="196" w:name="_Toc15531"/>
      <w:r>
        <w:rPr>
          <w:rStyle w:val="190"/>
          <w:b w:val="0"/>
        </w:rPr>
        <w:t xml:space="preserve"> 根据</w:t>
      </w:r>
      <w:r>
        <w:rPr>
          <w:rStyle w:val="190"/>
          <w:rFonts w:hint="default" w:ascii="Times New Roman" w:hAnsi="Times New Roman" w:cs="Times New Roman"/>
          <w:b w:val="0"/>
        </w:rPr>
        <w:t>水胶比（W/B）、净浆体积（</w:t>
      </w:r>
      <m:oMath>
        <m:sSub>
          <m:sSubPr>
            <m:ctrlPr>
              <w:rPr>
                <w:rFonts w:ascii="Cambria Math" w:hAnsi="Cambria Math"/>
                <w:i/>
                <w:sz w:val="24"/>
              </w:rPr>
            </m:ctrlPr>
          </m:sSubPr>
          <m:e>
            <m:r>
              <m:rPr>
                <m:sty m:val="bi"/>
              </m:rPr>
              <w:rPr>
                <w:rFonts w:ascii="Cambria Math" w:hAnsi="Cambria Math"/>
                <w:sz w:val="24"/>
              </w:rPr>
              <m:t>V</m:t>
            </m:r>
            <m:ctrlPr>
              <w:rPr>
                <w:rFonts w:ascii="Cambria Math" w:hAnsi="Cambria Math"/>
                <w:i/>
                <w:sz w:val="24"/>
              </w:rPr>
            </m:ctrlPr>
          </m:e>
          <m:sub>
            <m:r>
              <m:rPr>
                <m:sty m:val="bi"/>
              </m:rPr>
              <w:rPr>
                <w:rFonts w:ascii="Cambria Math" w:hAnsi="Cambria Math"/>
                <w:sz w:val="24"/>
              </w:rPr>
              <m:t>P</m:t>
            </m:r>
            <m:ctrlPr>
              <w:rPr>
                <w:rFonts w:ascii="Cambria Math" w:hAnsi="Cambria Math"/>
                <w:i/>
                <w:sz w:val="24"/>
              </w:rPr>
            </m:ctrlPr>
          </m:sub>
        </m:sSub>
      </m:oMath>
      <w:r>
        <w:rPr>
          <w:rStyle w:val="190"/>
          <w:rFonts w:hint="default" w:ascii="Times New Roman" w:hAnsi="Times New Roman" w:cs="Times New Roman"/>
          <w:b w:val="0"/>
        </w:rPr>
        <w:t>）、胶凝材料平均密度（</w:t>
      </w:r>
      <m:oMath>
        <m:sSub>
          <m:sSubPr>
            <m:ctrlPr>
              <w:rPr>
                <w:rFonts w:ascii="Cambria Math" w:hAnsi="Cambria Math"/>
                <w:i/>
                <w:sz w:val="24"/>
              </w:rPr>
            </m:ctrlPr>
          </m:sSubPr>
          <m:e>
            <m:r>
              <m:rPr>
                <m:sty m:val="bi"/>
              </m:rPr>
              <w:rPr>
                <w:rFonts w:ascii="Cambria Math" w:hAnsi="Cambria Math"/>
                <w:sz w:val="24"/>
              </w:rPr>
              <m:t>ρ</m:t>
            </m:r>
            <m:ctrlPr>
              <w:rPr>
                <w:rFonts w:ascii="Cambria Math" w:hAnsi="Cambria Math"/>
                <w:i/>
                <w:sz w:val="24"/>
              </w:rPr>
            </m:ctrlPr>
          </m:e>
          <m:sub>
            <m:r>
              <m:rPr>
                <m:sty m:val="bi"/>
              </m:rPr>
              <w:rPr>
                <w:rFonts w:ascii="Cambria Math" w:hAnsi="Cambria Math"/>
                <w:sz w:val="24"/>
              </w:rPr>
              <m:t>A</m:t>
            </m:r>
            <m:ctrlPr>
              <w:rPr>
                <w:rFonts w:ascii="Cambria Math" w:hAnsi="Cambria Math"/>
                <w:i/>
                <w:sz w:val="24"/>
              </w:rPr>
            </m:ctrlPr>
          </m:sub>
        </m:sSub>
      </m:oMath>
      <w:r>
        <w:rPr>
          <w:rStyle w:val="190"/>
          <w:rFonts w:hint="default" w:ascii="Times New Roman" w:hAnsi="Times New Roman" w:cs="Times New Roman"/>
          <w:b w:val="0"/>
        </w:rPr>
        <w:t>）与水的</w:t>
      </w:r>
      <w:bookmarkEnd w:id="194"/>
      <w:bookmarkEnd w:id="195"/>
      <w:bookmarkStart w:id="197" w:name="_Toc31958"/>
      <w:bookmarkStart w:id="198" w:name="_Toc5312"/>
      <w:r>
        <w:rPr>
          <w:rStyle w:val="190"/>
          <w:rFonts w:hint="default" w:ascii="Times New Roman" w:hAnsi="Times New Roman" w:cs="Times New Roman"/>
          <w:b w:val="0"/>
        </w:rPr>
        <w:t>密度（</w:t>
      </w:r>
      <m:oMath>
        <m:sSub>
          <m:sSubPr>
            <m:ctrlPr>
              <w:rPr>
                <w:rFonts w:ascii="Cambria Math" w:hAnsi="Cambria Math"/>
                <w:i/>
                <w:sz w:val="24"/>
              </w:rPr>
            </m:ctrlPr>
          </m:sSubPr>
          <m:e>
            <m:r>
              <m:rPr>
                <m:sty m:val="bi"/>
              </m:rPr>
              <w:rPr>
                <w:rFonts w:ascii="Cambria Math" w:hAnsi="Cambria Math"/>
                <w:sz w:val="24"/>
              </w:rPr>
              <m:t>ρ</m:t>
            </m:r>
            <m:ctrlPr>
              <w:rPr>
                <w:rFonts w:ascii="Cambria Math" w:hAnsi="Cambria Math"/>
                <w:i/>
                <w:sz w:val="24"/>
              </w:rPr>
            </m:ctrlPr>
          </m:e>
          <m:sub>
            <m:r>
              <m:rPr>
                <m:sty m:val="bi"/>
              </m:rPr>
              <w:rPr>
                <w:rFonts w:ascii="Cambria Math" w:hAnsi="Cambria Math"/>
                <w:sz w:val="24"/>
              </w:rPr>
              <m:t>w</m:t>
            </m:r>
            <m:ctrlPr>
              <w:rPr>
                <w:rFonts w:ascii="Cambria Math" w:hAnsi="Cambria Math"/>
                <w:i/>
                <w:sz w:val="24"/>
              </w:rPr>
            </m:ctrlPr>
          </m:sub>
        </m:sSub>
      </m:oMath>
      <w:r>
        <w:rPr>
          <w:rStyle w:val="190"/>
          <w:rFonts w:hint="default" w:ascii="Times New Roman" w:hAnsi="Times New Roman" w:cs="Times New Roman"/>
          <w:b w:val="0"/>
        </w:rPr>
        <w:t>）可确定用水量</w:t>
      </w:r>
      <w:r>
        <w:rPr>
          <w:rStyle w:val="190"/>
          <w:rFonts w:ascii="Times New Roman" w:hAnsi="Times New Roman" w:cs="Times New Roman"/>
          <w:b w:val="0"/>
        </w:rPr>
        <w:t>（</w:t>
      </w:r>
      <m:oMath>
        <m:sSub>
          <m:sSubPr>
            <m:ctrlPr>
              <w:rPr>
                <w:rFonts w:ascii="Cambria Math" w:hAnsi="Cambria Math"/>
                <w:i/>
                <w:sz w:val="24"/>
              </w:rPr>
            </m:ctrlPr>
          </m:sSubPr>
          <m:e>
            <m:r>
              <m:rPr>
                <m:sty m:val="bi"/>
              </m:rPr>
              <w:rPr>
                <w:rFonts w:ascii="Cambria Math" w:hAnsi="Cambria Math"/>
                <w:sz w:val="24"/>
              </w:rPr>
              <m:t>m</m:t>
            </m:r>
            <m:ctrlPr>
              <w:rPr>
                <w:rFonts w:ascii="Cambria Math" w:hAnsi="Cambria Math"/>
                <w:i/>
                <w:sz w:val="24"/>
              </w:rPr>
            </m:ctrlPr>
          </m:e>
          <m:sub>
            <m:r>
              <m:rPr>
                <m:sty m:val="bi"/>
              </m:rPr>
              <w:rPr>
                <w:rFonts w:ascii="Cambria Math" w:hAnsi="Cambria Math"/>
                <w:sz w:val="24"/>
              </w:rPr>
              <m:t>w</m:t>
            </m:r>
            <m:ctrlPr>
              <w:rPr>
                <w:rFonts w:ascii="Cambria Math" w:hAnsi="Cambria Math"/>
                <w:i/>
                <w:sz w:val="24"/>
              </w:rPr>
            </m:ctrlPr>
          </m:sub>
        </m:sSub>
      </m:oMath>
      <w:r>
        <w:rPr>
          <w:rStyle w:val="190"/>
          <w:rFonts w:ascii="Times New Roman" w:hAnsi="Times New Roman" w:cs="Times New Roman"/>
          <w:b w:val="0"/>
        </w:rPr>
        <w:t>）</w:t>
      </w:r>
      <w:r>
        <w:rPr>
          <w:rStyle w:val="190"/>
          <w:rFonts w:hint="default" w:ascii="Times New Roman" w:hAnsi="Times New Roman" w:cs="Times New Roman"/>
          <w:b w:val="0"/>
        </w:rPr>
        <w:t>，胶凝材料用量</w:t>
      </w:r>
      <w:r>
        <w:rPr>
          <w:rStyle w:val="190"/>
          <w:rFonts w:ascii="Times New Roman" w:hAnsi="Times New Roman" w:cs="Times New Roman"/>
          <w:b w:val="0"/>
        </w:rPr>
        <w:t>（</w:t>
      </w:r>
      <m:oMath>
        <m:sSub>
          <m:sSubPr>
            <m:ctrlPr>
              <w:rPr>
                <w:rFonts w:ascii="Cambria Math" w:hAnsi="Cambria Math"/>
                <w:i/>
                <w:sz w:val="24"/>
              </w:rPr>
            </m:ctrlPr>
          </m:sSubPr>
          <m:e>
            <m:r>
              <m:rPr>
                <m:sty m:val="bi"/>
              </m:rPr>
              <w:rPr>
                <w:rFonts w:ascii="Cambria Math" w:hAnsi="Cambria Math"/>
                <w:sz w:val="24"/>
              </w:rPr>
              <m:t>m</m:t>
            </m:r>
            <m:ctrlPr>
              <w:rPr>
                <w:rFonts w:ascii="Cambria Math" w:hAnsi="Cambria Math"/>
                <w:i/>
                <w:sz w:val="24"/>
              </w:rPr>
            </m:ctrlPr>
          </m:e>
          <m:sub>
            <m:r>
              <m:rPr>
                <m:sty m:val="bi"/>
              </m:rPr>
              <w:rPr>
                <w:rFonts w:ascii="Cambria Math" w:hAnsi="Cambria Math"/>
                <w:sz w:val="24"/>
              </w:rPr>
              <m:t>b</m:t>
            </m:r>
            <m:ctrlPr>
              <w:rPr>
                <w:rFonts w:ascii="Cambria Math" w:hAnsi="Cambria Math"/>
                <w:i/>
                <w:sz w:val="24"/>
              </w:rPr>
            </m:ctrlPr>
          </m:sub>
        </m:sSub>
      </m:oMath>
      <w:r>
        <w:rPr>
          <w:rStyle w:val="190"/>
          <w:rFonts w:ascii="Times New Roman" w:hAnsi="Times New Roman" w:cs="Times New Roman"/>
          <w:b w:val="0"/>
        </w:rPr>
        <w:t>）</w:t>
      </w:r>
      <w:r>
        <w:rPr>
          <w:rStyle w:val="190"/>
          <w:rFonts w:hint="default" w:ascii="Times New Roman" w:hAnsi="Times New Roman" w:cs="Times New Roman"/>
          <w:b w:val="0"/>
        </w:rPr>
        <w:t>，按式5.2.6-1</w:t>
      </w:r>
      <w:r>
        <w:rPr>
          <w:rStyle w:val="190"/>
          <w:rFonts w:hint="eastAsia" w:cs="Times New Roman"/>
          <w:b w:val="0"/>
          <w:lang w:val="en-US"/>
        </w:rPr>
        <w:t>、</w:t>
      </w:r>
      <w:r>
        <w:rPr>
          <w:rStyle w:val="190"/>
          <w:rFonts w:hint="default" w:ascii="Times New Roman" w:hAnsi="Times New Roman" w:cs="Times New Roman"/>
          <w:b w:val="0"/>
        </w:rPr>
        <w:t>5.2.6-2</w:t>
      </w:r>
      <w:r>
        <w:rPr>
          <w:rStyle w:val="190"/>
          <w:rFonts w:hint="eastAsia" w:cs="Times New Roman"/>
          <w:b w:val="0"/>
          <w:lang w:val="en-US"/>
        </w:rPr>
        <w:t>和</w:t>
      </w:r>
      <w:r>
        <w:rPr>
          <w:rStyle w:val="190"/>
          <w:rFonts w:hint="default" w:ascii="Times New Roman" w:hAnsi="Times New Roman" w:cs="Times New Roman"/>
          <w:b w:val="0"/>
          <w:lang w:val="en-US"/>
        </w:rPr>
        <w:t>5.2.6-3</w:t>
      </w:r>
      <w:r>
        <w:rPr>
          <w:rStyle w:val="190"/>
          <w:rFonts w:hint="default" w:ascii="Times New Roman" w:hAnsi="Times New Roman" w:cs="Times New Roman"/>
          <w:b w:val="0"/>
        </w:rPr>
        <w:t>计算。</w:t>
      </w:r>
      <w:bookmarkEnd w:id="196"/>
      <w:bookmarkEnd w:id="197"/>
      <w:bookmarkEnd w:id="198"/>
    </w:p>
    <w:p w14:paraId="4B066C28">
      <w:pPr>
        <w:spacing w:line="360" w:lineRule="auto"/>
        <w:jc w:val="right"/>
        <w:rPr>
          <w:b/>
          <w:bCs/>
          <w:iCs/>
          <w:sz w:val="24"/>
        </w:rPr>
      </w:pPr>
      <w:r>
        <w:rPr>
          <w:i/>
          <w:iCs/>
          <w:sz w:val="24"/>
        </w:rPr>
        <w:t xml:space="preserve"> </w:t>
      </w:r>
      <m:oMath>
        <m:sSub>
          <m:sSubPr>
            <m:ctrlPr>
              <w:rPr>
                <w:rFonts w:ascii="Cambria Math" w:hAnsi="Cambria Math"/>
                <w:i/>
                <w:sz w:val="24"/>
              </w:rPr>
            </m:ctrlPr>
          </m:sSubPr>
          <m:e>
            <m:r>
              <m:rPr/>
              <w:rPr>
                <w:rFonts w:ascii="Cambria Math" w:hAnsi="Cambria Math"/>
                <w:sz w:val="24"/>
              </w:rPr>
              <m:t>ρ</m:t>
            </m:r>
            <m:ctrlPr>
              <w:rPr>
                <w:rFonts w:ascii="Cambria Math" w:hAnsi="Cambria Math"/>
                <w:i/>
                <w:sz w:val="24"/>
              </w:rPr>
            </m:ctrlPr>
          </m:e>
          <m:sub>
            <m:r>
              <m:rPr/>
              <w:rPr>
                <w:rFonts w:ascii="Cambria Math" w:hAnsi="Cambria Math"/>
                <w:sz w:val="24"/>
              </w:rPr>
              <m:t>A</m:t>
            </m:r>
            <m:ctrlPr>
              <w:rPr>
                <w:rFonts w:ascii="Cambria Math" w:hAnsi="Cambria Math"/>
                <w:i/>
                <w:sz w:val="24"/>
              </w:rPr>
            </m:ctrlPr>
          </m:sub>
        </m:sSub>
        <m:r>
          <m:rPr/>
          <w:rPr>
            <w:rFonts w:ascii="Cambria Math" w:hAnsi="Cambria Math"/>
            <w:sz w:val="24"/>
          </w:rPr>
          <m:t>=</m:t>
        </m:r>
        <m:sSub>
          <m:sSubPr>
            <m:ctrlPr>
              <w:rPr>
                <w:rFonts w:ascii="Cambria Math" w:hAnsi="Cambria Math"/>
                <w:i/>
                <w:sz w:val="24"/>
              </w:rPr>
            </m:ctrlPr>
          </m:sSubPr>
          <m:e>
            <m:r>
              <m:rPr/>
              <w:rPr>
                <w:rFonts w:ascii="Cambria Math" w:hAnsi="Cambria Math"/>
                <w:sz w:val="24"/>
              </w:rPr>
              <m:t>ρ</m:t>
            </m:r>
            <m:ctrlPr>
              <w:rPr>
                <w:rFonts w:ascii="Cambria Math" w:hAnsi="Cambria Math"/>
                <w:i/>
                <w:sz w:val="24"/>
              </w:rPr>
            </m:ctrlPr>
          </m:e>
          <m:sub>
            <m:r>
              <m:rPr/>
              <w:rPr>
                <w:rFonts w:ascii="Cambria Math" w:hAnsi="Cambria Math"/>
                <w:sz w:val="24"/>
              </w:rPr>
              <m:t>wb</m:t>
            </m:r>
            <m:ctrlPr>
              <w:rPr>
                <w:rFonts w:ascii="Cambria Math" w:hAnsi="Cambria Math"/>
                <w:i/>
                <w:sz w:val="24"/>
              </w:rPr>
            </m:ctrlPr>
          </m:sub>
        </m:sSub>
        <m:r>
          <m:rPr/>
          <w:rPr>
            <w:rFonts w:ascii="Cambria Math" w:hAnsi="Cambria Math"/>
            <w:sz w:val="24"/>
          </w:rPr>
          <m:t>×α</m:t>
        </m:r>
        <m:r>
          <m:rPr>
            <m:sty m:val="bi"/>
          </m:rPr>
          <w:rPr>
            <w:rFonts w:ascii="Cambria Math" w:hAnsi="Cambria Math"/>
            <w:sz w:val="24"/>
          </w:rPr>
          <m:t xml:space="preserve">+ </m:t>
        </m:r>
        <m:sSub>
          <m:sSubPr>
            <m:ctrlPr>
              <w:rPr>
                <w:rFonts w:ascii="Cambria Math" w:hAnsi="Cambria Math"/>
                <w:i/>
                <w:sz w:val="24"/>
              </w:rPr>
            </m:ctrlPr>
          </m:sSubPr>
          <m:e>
            <m:r>
              <m:rPr/>
              <w:rPr>
                <w:rFonts w:ascii="Cambria Math" w:hAnsi="Cambria Math"/>
                <w:sz w:val="24"/>
              </w:rPr>
              <m:t>ρ</m:t>
            </m:r>
            <m:ctrlPr>
              <w:rPr>
                <w:rFonts w:ascii="Cambria Math" w:hAnsi="Cambria Math"/>
                <w:i/>
                <w:sz w:val="24"/>
              </w:rPr>
            </m:ctrlPr>
          </m:e>
          <m:sub>
            <m:r>
              <m:rPr/>
              <w:rPr>
                <w:rFonts w:ascii="Cambria Math" w:hAnsi="Cambria Math"/>
                <w:sz w:val="24"/>
              </w:rPr>
              <m:t>nb</m:t>
            </m:r>
            <m:ctrlPr>
              <w:rPr>
                <w:rFonts w:ascii="Cambria Math" w:hAnsi="Cambria Math"/>
                <w:i/>
                <w:sz w:val="24"/>
              </w:rPr>
            </m:ctrlPr>
          </m:sub>
        </m:sSub>
        <m:r>
          <m:rPr/>
          <w:rPr>
            <w:rFonts w:ascii="Cambria Math" w:hAnsi="Cambria Math"/>
            <w:sz w:val="24"/>
          </w:rPr>
          <m:t>×(1−α)</m:t>
        </m:r>
      </m:oMath>
      <w:r>
        <w:rPr>
          <w:iCs/>
          <w:sz w:val="24"/>
        </w:rPr>
        <w:t xml:space="preserve">              </w:t>
      </w:r>
      <w:r>
        <w:rPr>
          <w:sz w:val="24"/>
        </w:rPr>
        <w:t>（</w:t>
      </w:r>
      <w:r>
        <w:rPr>
          <w:rFonts w:hint="eastAsia"/>
          <w:sz w:val="24"/>
        </w:rPr>
        <w:t>5</w:t>
      </w:r>
      <w:r>
        <w:rPr>
          <w:sz w:val="24"/>
        </w:rPr>
        <w:t>.2.</w:t>
      </w:r>
      <w:r>
        <w:rPr>
          <w:rFonts w:hint="eastAsia"/>
          <w:sz w:val="24"/>
        </w:rPr>
        <w:t>6</w:t>
      </w:r>
      <w:r>
        <w:rPr>
          <w:sz w:val="24"/>
        </w:rPr>
        <w:t>-</w:t>
      </w:r>
      <w:r>
        <w:rPr>
          <w:rFonts w:hint="eastAsia"/>
          <w:sz w:val="24"/>
        </w:rPr>
        <w:t>1</w:t>
      </w:r>
      <w:r>
        <w:rPr>
          <w:sz w:val="24"/>
        </w:rPr>
        <w:t>）</w:t>
      </w:r>
    </w:p>
    <w:p w14:paraId="31D1EA23">
      <w:pPr>
        <w:spacing w:line="360" w:lineRule="auto"/>
        <w:jc w:val="right"/>
        <w:rPr>
          <w:sz w:val="24"/>
        </w:rPr>
      </w:pPr>
      <m:oMath>
        <m:f>
          <m:fPr>
            <m:ctrlPr>
              <w:rPr>
                <w:rFonts w:ascii="Cambria Math" w:hAnsi="Cambria Math"/>
                <w:i/>
                <w:iCs/>
                <w:sz w:val="24"/>
              </w:rPr>
            </m:ctrlPr>
          </m:fPr>
          <m:num>
            <m:sSub>
              <m:sSubPr>
                <m:ctrlPr>
                  <w:rPr>
                    <w:rFonts w:ascii="Cambria Math" w:hAnsi="Cambria Math"/>
                    <w:i/>
                    <w:iCs/>
                    <w:sz w:val="24"/>
                  </w:rPr>
                </m:ctrlPr>
              </m:sSubPr>
              <m:e>
                <m:r>
                  <m:rPr/>
                  <w:rPr>
                    <w:rFonts w:ascii="Cambria Math" w:hAnsi="Cambria Math"/>
                    <w:sz w:val="24"/>
                  </w:rPr>
                  <m:t>m</m:t>
                </m:r>
                <m:ctrlPr>
                  <w:rPr>
                    <w:rFonts w:ascii="Cambria Math" w:hAnsi="Cambria Math"/>
                    <w:i/>
                    <w:iCs/>
                    <w:sz w:val="24"/>
                  </w:rPr>
                </m:ctrlPr>
              </m:e>
              <m:sub>
                <m:r>
                  <m:rPr/>
                  <w:rPr>
                    <w:rFonts w:ascii="Cambria Math" w:hAnsi="Cambria Math"/>
                    <w:sz w:val="24"/>
                  </w:rPr>
                  <m:t>w</m:t>
                </m:r>
                <m:ctrlPr>
                  <w:rPr>
                    <w:rFonts w:ascii="Cambria Math" w:hAnsi="Cambria Math"/>
                    <w:i/>
                    <w:iCs/>
                    <w:sz w:val="24"/>
                  </w:rPr>
                </m:ctrlPr>
              </m:sub>
            </m:sSub>
            <m:ctrlPr>
              <w:rPr>
                <w:rFonts w:ascii="Cambria Math" w:hAnsi="Cambria Math"/>
                <w:i/>
                <w:iCs/>
                <w:sz w:val="24"/>
              </w:rPr>
            </m:ctrlPr>
          </m:num>
          <m:den>
            <m:sSub>
              <m:sSubPr>
                <m:ctrlPr>
                  <w:rPr>
                    <w:rFonts w:ascii="Cambria Math" w:hAnsi="Cambria Math"/>
                    <w:i/>
                    <w:iCs/>
                    <w:sz w:val="24"/>
                  </w:rPr>
                </m:ctrlPr>
              </m:sSubPr>
              <m:e>
                <m:r>
                  <m:rPr/>
                  <w:rPr>
                    <w:rFonts w:ascii="Cambria Math" w:hAnsi="Cambria Math"/>
                    <w:sz w:val="24"/>
                  </w:rPr>
                  <m:t>m</m:t>
                </m:r>
                <m:ctrlPr>
                  <w:rPr>
                    <w:rFonts w:ascii="Cambria Math" w:hAnsi="Cambria Math"/>
                    <w:i/>
                    <w:iCs/>
                    <w:sz w:val="24"/>
                  </w:rPr>
                </m:ctrlPr>
              </m:e>
              <m:sub>
                <m:r>
                  <m:rPr/>
                  <w:rPr>
                    <w:rFonts w:ascii="Cambria Math" w:hAnsi="Cambria Math"/>
                    <w:sz w:val="24"/>
                  </w:rPr>
                  <m:t>b</m:t>
                </m:r>
                <m:ctrlPr>
                  <w:rPr>
                    <w:rFonts w:ascii="Cambria Math" w:hAnsi="Cambria Math"/>
                    <w:i/>
                    <w:iCs/>
                    <w:sz w:val="24"/>
                  </w:rPr>
                </m:ctrlPr>
              </m:sub>
            </m:sSub>
            <m:ctrlPr>
              <w:rPr>
                <w:rFonts w:ascii="Cambria Math" w:hAnsi="Cambria Math"/>
                <w:i/>
                <w:iCs/>
                <w:sz w:val="24"/>
              </w:rPr>
            </m:ctrlPr>
          </m:den>
        </m:f>
        <m:r>
          <m:rPr/>
          <w:rPr>
            <w:rFonts w:ascii="Cambria Math" w:hAnsi="Cambria Math"/>
            <w:sz w:val="24"/>
          </w:rPr>
          <m:t>=</m:t>
        </m:r>
        <m:r>
          <m:rPr>
            <m:sty m:val="p"/>
          </m:rPr>
          <w:rPr>
            <w:rFonts w:ascii="Cambria Math" w:hAnsi="Cambria Math"/>
            <w:sz w:val="24"/>
          </w:rPr>
          <m:t>W/B</m:t>
        </m:r>
      </m:oMath>
      <w:r>
        <w:rPr>
          <w:i/>
          <w:iCs/>
          <w:sz w:val="24"/>
        </w:rPr>
        <w:t xml:space="preserve">      </w:t>
      </w:r>
      <w:r>
        <w:rPr>
          <w:sz w:val="24"/>
        </w:rPr>
        <w:t xml:space="preserve">                 </w:t>
      </w:r>
      <w:r>
        <w:rPr>
          <w:rFonts w:hint="eastAsia"/>
          <w:sz w:val="24"/>
        </w:rPr>
        <w:t xml:space="preserve"> </w:t>
      </w:r>
      <w:r>
        <w:rPr>
          <w:sz w:val="24"/>
        </w:rPr>
        <w:t>（</w:t>
      </w:r>
      <w:r>
        <w:rPr>
          <w:rFonts w:hint="eastAsia"/>
          <w:sz w:val="24"/>
        </w:rPr>
        <w:t>5</w:t>
      </w:r>
      <w:r>
        <w:rPr>
          <w:sz w:val="24"/>
        </w:rPr>
        <w:t>.2.</w:t>
      </w:r>
      <w:r>
        <w:rPr>
          <w:rFonts w:hint="eastAsia"/>
          <w:sz w:val="24"/>
        </w:rPr>
        <w:t>6</w:t>
      </w:r>
      <w:r>
        <w:rPr>
          <w:sz w:val="24"/>
        </w:rPr>
        <w:t>-</w:t>
      </w:r>
      <w:r>
        <w:rPr>
          <w:rFonts w:hint="eastAsia"/>
          <w:sz w:val="24"/>
        </w:rPr>
        <w:t>2</w:t>
      </w:r>
      <w:r>
        <w:rPr>
          <w:sz w:val="24"/>
        </w:rPr>
        <w:t>）</w:t>
      </w:r>
    </w:p>
    <w:p w14:paraId="7F50700F">
      <w:pPr>
        <w:spacing w:line="360" w:lineRule="auto"/>
        <w:jc w:val="right"/>
        <w:rPr>
          <w:sz w:val="24"/>
        </w:rPr>
      </w:pPr>
      <m:oMath>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w</m:t>
                </m:r>
                <m:ctrlPr>
                  <w:rPr>
                    <w:rFonts w:ascii="Cambria Math" w:hAnsi="Cambria Math"/>
                    <w:i/>
                    <w:sz w:val="24"/>
                  </w:rPr>
                </m:ctrlPr>
              </m:sub>
            </m:sSub>
            <m:ctrlPr>
              <w:rPr>
                <w:rFonts w:ascii="Cambria Math" w:hAnsi="Cambria Math"/>
                <w:i/>
                <w:sz w:val="24"/>
              </w:rPr>
            </m:ctrlPr>
          </m:num>
          <m:den>
            <m:sSub>
              <m:sSubPr>
                <m:ctrlPr>
                  <w:rPr>
                    <w:rFonts w:ascii="Cambria Math" w:hAnsi="Cambria Math"/>
                    <w:i/>
                    <w:sz w:val="24"/>
                  </w:rPr>
                </m:ctrlPr>
              </m:sSubPr>
              <m:e>
                <m:r>
                  <m:rPr/>
                  <w:rPr>
                    <w:rFonts w:ascii="Cambria Math" w:hAnsi="Cambria Math"/>
                    <w:sz w:val="24"/>
                  </w:rPr>
                  <m:t>ρ</m:t>
                </m:r>
                <m:ctrlPr>
                  <w:rPr>
                    <w:rFonts w:ascii="Cambria Math" w:hAnsi="Cambria Math"/>
                    <w:i/>
                    <w:sz w:val="24"/>
                  </w:rPr>
                </m:ctrlPr>
              </m:e>
              <m:sub>
                <m:r>
                  <m:rPr/>
                  <w:rPr>
                    <w:rFonts w:ascii="Cambria Math" w:hAnsi="Cambria Math"/>
                    <w:sz w:val="24"/>
                  </w:rPr>
                  <m:t>w</m:t>
                </m:r>
                <m:ctrlPr>
                  <w:rPr>
                    <w:rFonts w:ascii="Cambria Math" w:hAnsi="Cambria Math"/>
                    <w:i/>
                    <w:sz w:val="24"/>
                  </w:rPr>
                </m:ctrlPr>
              </m:sub>
            </m:sSub>
            <m:ctrlPr>
              <w:rPr>
                <w:rFonts w:ascii="Cambria Math" w:hAnsi="Cambria Math"/>
                <w:i/>
                <w:sz w:val="24"/>
              </w:rPr>
            </m:ctrlPr>
          </m:den>
        </m:f>
        <m:r>
          <m:rPr/>
          <w:rPr>
            <w:rFonts w:ascii="Cambria Math" w:hAnsi="Cambria Math"/>
            <w:sz w:val="24"/>
          </w:rPr>
          <m:t xml:space="preserve"> + </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b</m:t>
                </m:r>
                <m:ctrlPr>
                  <w:rPr>
                    <w:rFonts w:ascii="Cambria Math" w:hAnsi="Cambria Math"/>
                    <w:i/>
                    <w:sz w:val="24"/>
                  </w:rPr>
                </m:ctrlPr>
              </m:sub>
            </m:sSub>
            <m:ctrlPr>
              <w:rPr>
                <w:rFonts w:ascii="Cambria Math" w:hAnsi="Cambria Math"/>
                <w:i/>
                <w:sz w:val="24"/>
              </w:rPr>
            </m:ctrlPr>
          </m:num>
          <m:den>
            <m:sSub>
              <m:sSubPr>
                <m:ctrlPr>
                  <w:rPr>
                    <w:rFonts w:ascii="Cambria Math" w:hAnsi="Cambria Math"/>
                    <w:i/>
                    <w:sz w:val="24"/>
                  </w:rPr>
                </m:ctrlPr>
              </m:sSubPr>
              <m:e>
                <m:r>
                  <m:rPr/>
                  <w:rPr>
                    <w:rFonts w:ascii="Cambria Math" w:hAnsi="Cambria Math"/>
                    <w:sz w:val="28"/>
                    <w:szCs w:val="28"/>
                  </w:rPr>
                  <m:t>ρ</m:t>
                </m:r>
                <m:ctrlPr>
                  <w:rPr>
                    <w:rFonts w:ascii="Cambria Math" w:hAnsi="Cambria Math"/>
                    <w:i/>
                    <w:sz w:val="24"/>
                  </w:rPr>
                </m:ctrlPr>
              </m:e>
              <m:sub>
                <m:r>
                  <m:rPr/>
                  <w:rPr>
                    <w:rFonts w:ascii="Cambria Math" w:hAnsi="Cambria Math"/>
                    <w:sz w:val="24"/>
                  </w:rPr>
                  <m:t>A</m:t>
                </m:r>
                <m:ctrlPr>
                  <w:rPr>
                    <w:rFonts w:ascii="Cambria Math" w:hAnsi="Cambria Math"/>
                    <w:i/>
                    <w:sz w:val="24"/>
                  </w:rPr>
                </m:ctrlPr>
              </m:sub>
            </m:sSub>
            <m:ctrlPr>
              <w:rPr>
                <w:rFonts w:ascii="Cambria Math" w:hAnsi="Cambria Math"/>
                <w:i/>
                <w:sz w:val="24"/>
              </w:rPr>
            </m:ctrlPr>
          </m:den>
        </m:f>
        <m:r>
          <m:rPr/>
          <w:rPr>
            <w:rFonts w:ascii="Cambria Math" w:hAnsi="Cambria Math"/>
            <w:sz w:val="24"/>
          </w:rPr>
          <m:t>=</m:t>
        </m:r>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P</m:t>
            </m:r>
            <m:ctrlPr>
              <w:rPr>
                <w:rFonts w:ascii="Cambria Math" w:hAnsi="Cambria Math"/>
                <w:i/>
                <w:sz w:val="24"/>
              </w:rPr>
            </m:ctrlPr>
          </m:sub>
        </m:sSub>
        <m:r>
          <m:rPr/>
          <w:rPr>
            <w:rFonts w:ascii="Cambria Math" w:hAnsi="Cambria Math"/>
            <w:sz w:val="24"/>
          </w:rPr>
          <m:t xml:space="preserve"> </m:t>
        </m:r>
      </m:oMath>
      <w:r>
        <w:rPr>
          <w:i/>
          <w:sz w:val="24"/>
        </w:rPr>
        <w:t xml:space="preserve">   </w:t>
      </w:r>
      <w:r>
        <w:rPr>
          <w:rFonts w:hint="eastAsia"/>
          <w:i/>
          <w:sz w:val="24"/>
        </w:rPr>
        <w:t xml:space="preserve"> </w:t>
      </w:r>
      <w:r>
        <w:rPr>
          <w:rFonts w:hint="eastAsia"/>
          <w:sz w:val="24"/>
        </w:rPr>
        <w:t xml:space="preserve">                </w:t>
      </w:r>
      <w:r>
        <w:rPr>
          <w:sz w:val="24"/>
        </w:rPr>
        <w:t>（</w:t>
      </w:r>
      <w:r>
        <w:rPr>
          <w:rFonts w:hint="eastAsia"/>
          <w:sz w:val="24"/>
        </w:rPr>
        <w:t>5</w:t>
      </w:r>
      <w:r>
        <w:rPr>
          <w:sz w:val="24"/>
        </w:rPr>
        <w:t>.2.</w:t>
      </w:r>
      <w:r>
        <w:rPr>
          <w:rFonts w:hint="eastAsia"/>
          <w:sz w:val="24"/>
        </w:rPr>
        <w:t>6</w:t>
      </w:r>
      <w:r>
        <w:rPr>
          <w:sz w:val="24"/>
        </w:rPr>
        <w:t>-</w:t>
      </w:r>
      <w:r>
        <w:rPr>
          <w:rFonts w:hint="eastAsia"/>
          <w:sz w:val="24"/>
        </w:rPr>
        <w:t>3</w:t>
      </w:r>
      <w:r>
        <w:rPr>
          <w:sz w:val="24"/>
        </w:rPr>
        <w:t>）</w:t>
      </w:r>
    </w:p>
    <w:p w14:paraId="1544948C">
      <w:pPr>
        <w:spacing w:before="78" w:beforeLines="25" w:line="440" w:lineRule="exact"/>
        <w:jc w:val="left"/>
        <w:rPr>
          <w:iCs/>
          <w:sz w:val="24"/>
        </w:rPr>
      </w:pPr>
      <w:r>
        <w:rPr>
          <w:sz w:val="24"/>
        </w:rPr>
        <w:t>式中：</w:t>
      </w:r>
      <m:oMath>
        <m:r>
          <m:rPr/>
          <w:rPr>
            <w:rFonts w:ascii="Cambria Math" w:hAnsi="Cambria Math"/>
            <w:sz w:val="24"/>
          </w:rPr>
          <m:t>α</m:t>
        </m:r>
      </m:oMath>
      <w:r>
        <w:rPr>
          <w:rFonts w:hint="eastAsia"/>
          <w:sz w:val="24"/>
        </w:rPr>
        <w:t>——</w:t>
      </w:r>
      <w:r>
        <w:rPr>
          <w:sz w:val="24"/>
        </w:rPr>
        <w:t>建筑废弃物</w:t>
      </w:r>
      <w:r>
        <w:rPr>
          <w:rFonts w:hint="eastAsia"/>
          <w:sz w:val="24"/>
        </w:rPr>
        <w:t>再生粉占总</w:t>
      </w:r>
      <w:r>
        <w:rPr>
          <w:sz w:val="24"/>
        </w:rPr>
        <w:t>胶凝材料</w:t>
      </w:r>
      <w:r>
        <w:rPr>
          <w:rFonts w:hint="eastAsia"/>
          <w:sz w:val="24"/>
        </w:rPr>
        <w:t>质量</w:t>
      </w:r>
      <w:r>
        <w:rPr>
          <w:sz w:val="24"/>
        </w:rPr>
        <w:t>百分数（%）</w:t>
      </w:r>
      <w:r>
        <w:rPr>
          <w:rFonts w:hint="eastAsia"/>
          <w:sz w:val="24"/>
        </w:rPr>
        <w:t>；</w:t>
      </w:r>
    </w:p>
    <w:p w14:paraId="73639BA7">
      <w:pPr>
        <w:spacing w:before="78" w:beforeLines="25" w:line="440" w:lineRule="exact"/>
        <w:ind w:firstLine="720" w:firstLineChars="300"/>
        <w:jc w:val="left"/>
        <w:rPr>
          <w:sz w:val="24"/>
        </w:rPr>
      </w:pPr>
      <m:oMath>
        <m:sSub>
          <m:sSubPr>
            <m:ctrlPr>
              <w:rPr>
                <w:rFonts w:ascii="Cambria Math" w:hAnsi="Cambria Math"/>
                <w:iCs/>
                <w:sz w:val="24"/>
              </w:rPr>
            </m:ctrlPr>
          </m:sSubPr>
          <m:e>
            <m:r>
              <m:rPr/>
              <w:rPr>
                <w:rFonts w:ascii="Cambria Math" w:hAnsi="Cambria Math"/>
                <w:sz w:val="24"/>
              </w:rPr>
              <m:t>ρ</m:t>
            </m:r>
            <m:ctrlPr>
              <w:rPr>
                <w:rFonts w:ascii="Cambria Math" w:hAnsi="Cambria Math"/>
                <w:iCs/>
                <w:sz w:val="24"/>
              </w:rPr>
            </m:ctrlPr>
          </m:e>
          <m:sub>
            <m:r>
              <m:rPr>
                <m:sty m:val="p"/>
              </m:rPr>
              <w:rPr>
                <w:rFonts w:ascii="Cambria Math" w:hAnsi="Cambria Math"/>
                <w:sz w:val="24"/>
              </w:rPr>
              <m:t>wb</m:t>
            </m:r>
            <m:ctrlPr>
              <w:rPr>
                <w:rFonts w:ascii="Cambria Math" w:hAnsi="Cambria Math"/>
                <w:iCs/>
                <w:sz w:val="24"/>
              </w:rPr>
            </m:ctrlPr>
          </m:sub>
        </m:sSub>
      </m:oMath>
      <w:r>
        <w:rPr>
          <w:rFonts w:hint="eastAsia"/>
          <w:sz w:val="24"/>
        </w:rPr>
        <w:t>——作为</w:t>
      </w:r>
      <w:r>
        <w:rPr>
          <w:sz w:val="24"/>
        </w:rPr>
        <w:t>胶凝材料</w:t>
      </w:r>
      <w:r>
        <w:rPr>
          <w:rFonts w:hint="eastAsia"/>
          <w:sz w:val="24"/>
        </w:rPr>
        <w:t>的</w:t>
      </w:r>
      <w:r>
        <w:rPr>
          <w:sz w:val="24"/>
        </w:rPr>
        <w:t>建筑废弃物密度（kg/</w:t>
      </w:r>
      <w:r>
        <w:rPr>
          <w:rFonts w:hint="eastAsia"/>
          <w:sz w:val="24"/>
          <w:lang w:eastAsia="zh-CN"/>
        </w:rPr>
        <w:t>m³</w:t>
      </w:r>
      <w:r>
        <w:rPr>
          <w:sz w:val="24"/>
        </w:rPr>
        <w:t>）</w:t>
      </w:r>
      <w:r>
        <w:rPr>
          <w:rFonts w:hint="eastAsia"/>
          <w:sz w:val="24"/>
        </w:rPr>
        <w:t>；</w:t>
      </w:r>
    </w:p>
    <w:p w14:paraId="4AB05BF0">
      <w:pPr>
        <w:spacing w:before="78" w:beforeLines="25" w:line="440" w:lineRule="exact"/>
        <w:ind w:firstLine="720" w:firstLineChars="300"/>
        <w:jc w:val="left"/>
        <w:rPr>
          <w:b/>
          <w:bCs/>
          <w:iCs/>
        </w:rPr>
      </w:pPr>
      <m:oMath>
        <m:sSub>
          <m:sSubPr>
            <m:ctrlPr>
              <w:rPr>
                <w:rFonts w:ascii="Cambria Math" w:hAnsi="Cambria Math"/>
                <w:iCs/>
                <w:sz w:val="24"/>
              </w:rPr>
            </m:ctrlPr>
          </m:sSubPr>
          <m:e>
            <m:r>
              <m:rPr/>
              <w:rPr>
                <w:rFonts w:ascii="Cambria Math" w:hAnsi="Cambria Math"/>
                <w:sz w:val="24"/>
              </w:rPr>
              <m:t>ρ</m:t>
            </m:r>
            <m:ctrlPr>
              <w:rPr>
                <w:rFonts w:ascii="Cambria Math" w:hAnsi="Cambria Math"/>
                <w:iCs/>
                <w:sz w:val="24"/>
              </w:rPr>
            </m:ctrlPr>
          </m:e>
          <m:sub>
            <m:r>
              <m:rPr>
                <m:sty m:val="p"/>
              </m:rPr>
              <w:rPr>
                <w:rFonts w:ascii="Cambria Math" w:hAnsi="Cambria Math"/>
                <w:sz w:val="24"/>
              </w:rPr>
              <m:t>nb</m:t>
            </m:r>
            <m:ctrlPr>
              <w:rPr>
                <w:rFonts w:ascii="Cambria Math" w:hAnsi="Cambria Math"/>
                <w:iCs/>
                <w:sz w:val="24"/>
              </w:rPr>
            </m:ctrlPr>
          </m:sub>
        </m:sSub>
      </m:oMath>
      <w:r>
        <w:rPr>
          <w:rFonts w:hint="eastAsia"/>
          <w:sz w:val="24"/>
        </w:rPr>
        <w:t>——不含</w:t>
      </w:r>
      <w:r>
        <w:rPr>
          <w:sz w:val="24"/>
        </w:rPr>
        <w:t>建筑废弃物</w:t>
      </w:r>
      <w:r>
        <w:rPr>
          <w:rFonts w:hint="eastAsia"/>
          <w:sz w:val="24"/>
        </w:rPr>
        <w:t>再生粉的</w:t>
      </w:r>
      <w:r>
        <w:rPr>
          <w:sz w:val="24"/>
        </w:rPr>
        <w:t>胶凝材料密度（kg/</w:t>
      </w:r>
      <w:r>
        <w:rPr>
          <w:rFonts w:hint="eastAsia"/>
          <w:sz w:val="24"/>
          <w:lang w:eastAsia="zh-CN"/>
        </w:rPr>
        <w:t>m³</w:t>
      </w:r>
      <w:r>
        <w:rPr>
          <w:sz w:val="24"/>
        </w:rPr>
        <w:t>）</w:t>
      </w:r>
      <w:r>
        <w:rPr>
          <w:rFonts w:hint="eastAsia"/>
          <w:sz w:val="24"/>
        </w:rPr>
        <w:t>；</w:t>
      </w:r>
    </w:p>
    <w:p w14:paraId="3358CABD">
      <w:pPr>
        <w:spacing w:before="78" w:beforeLines="25" w:line="440" w:lineRule="exact"/>
        <w:ind w:firstLine="720" w:firstLineChars="300"/>
        <w:jc w:val="left"/>
        <w:rPr>
          <w:sz w:val="24"/>
        </w:rPr>
      </w:pPr>
      <m:oMath>
        <m:sSub>
          <m:sSubPr>
            <m:ctrlPr>
              <w:rPr>
                <w:rFonts w:ascii="Cambria Math" w:hAnsi="Cambria Math"/>
                <w:i/>
                <w:sz w:val="24"/>
              </w:rPr>
            </m:ctrlPr>
          </m:sSubPr>
          <m:e>
            <m:r>
              <m:rPr/>
              <w:rPr>
                <w:rFonts w:ascii="Cambria Math" w:hAnsi="Cambria Math"/>
                <w:sz w:val="24"/>
              </w:rPr>
              <m:t>ρ</m:t>
            </m:r>
            <m:ctrlPr>
              <w:rPr>
                <w:rFonts w:ascii="Cambria Math" w:hAnsi="Cambria Math"/>
                <w:i/>
                <w:sz w:val="24"/>
              </w:rPr>
            </m:ctrlPr>
          </m:e>
          <m:sub>
            <m:r>
              <m:rPr>
                <m:sty m:val="p"/>
              </m:rPr>
              <w:rPr>
                <w:rFonts w:ascii="Cambria Math" w:hAnsi="Cambria Math"/>
                <w:sz w:val="24"/>
              </w:rPr>
              <m:t>A</m:t>
            </m:r>
            <m:ctrlPr>
              <w:rPr>
                <w:rFonts w:ascii="Cambria Math" w:hAnsi="Cambria Math"/>
                <w:i/>
                <w:sz w:val="24"/>
              </w:rPr>
            </m:ctrlPr>
          </m:sub>
        </m:sSub>
      </m:oMath>
      <w:r>
        <w:rPr>
          <w:rFonts w:hint="eastAsia"/>
          <w:sz w:val="24"/>
        </w:rPr>
        <w:t>——</w:t>
      </w:r>
      <w:r>
        <w:rPr>
          <w:sz w:val="24"/>
        </w:rPr>
        <w:t>胶凝材料平均密度（kg/</w:t>
      </w:r>
      <w:bookmarkStart w:id="469" w:name="_GoBack"/>
      <w:bookmarkEnd w:id="469"/>
      <w:r>
        <w:rPr>
          <w:rFonts w:hint="eastAsia"/>
          <w:sz w:val="24"/>
          <w:lang w:eastAsia="zh-CN"/>
        </w:rPr>
        <w:t>m³</w:t>
      </w:r>
      <w:r>
        <w:rPr>
          <w:sz w:val="24"/>
        </w:rPr>
        <w:t>）</w:t>
      </w:r>
      <w:r>
        <w:rPr>
          <w:rFonts w:hint="eastAsia"/>
          <w:sz w:val="24"/>
        </w:rPr>
        <w:t>；</w:t>
      </w:r>
    </w:p>
    <w:p w14:paraId="7439CC5D">
      <w:pPr>
        <w:spacing w:before="78" w:beforeLines="25" w:line="440" w:lineRule="exact"/>
        <w:ind w:firstLine="720" w:firstLineChars="300"/>
        <w:jc w:val="left"/>
        <w:rPr>
          <w:sz w:val="24"/>
        </w:rPr>
      </w:pPr>
      <m:oMath>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b</m:t>
            </m:r>
            <m:ctrlPr>
              <w:rPr>
                <w:rFonts w:ascii="Cambria Math" w:hAnsi="Cambria Math"/>
                <w:i/>
                <w:sz w:val="24"/>
              </w:rPr>
            </m:ctrlPr>
          </m:sub>
        </m:sSub>
      </m:oMath>
      <w:r>
        <w:rPr>
          <w:rFonts w:hint="eastAsia"/>
          <w:sz w:val="24"/>
        </w:rPr>
        <w:t>——</w:t>
      </w:r>
      <w:r>
        <w:rPr>
          <w:sz w:val="24"/>
        </w:rPr>
        <w:t>胶凝材料总质量（kg）</w:t>
      </w:r>
      <w:r>
        <w:rPr>
          <w:rFonts w:hint="eastAsia"/>
          <w:sz w:val="24"/>
        </w:rPr>
        <w:t>。</w:t>
      </w:r>
    </w:p>
    <w:p w14:paraId="3173D8E5">
      <w:pPr>
        <w:pStyle w:val="4"/>
        <w:keepNext w:val="0"/>
        <w:keepLines w:val="0"/>
        <w:numPr>
          <w:ilvl w:val="0"/>
          <w:numId w:val="32"/>
        </w:numPr>
        <w:spacing w:before="78" w:beforeLines="25" w:after="0" w:line="440" w:lineRule="exact"/>
        <w:rPr>
          <w:rStyle w:val="190"/>
          <w:rFonts w:hint="default"/>
          <w:b w:val="0"/>
        </w:rPr>
      </w:pPr>
      <w:bookmarkStart w:id="199" w:name="_Toc15984"/>
      <w:bookmarkStart w:id="200" w:name="_Toc31020"/>
      <w:bookmarkStart w:id="201" w:name="_Toc15671"/>
      <w:r>
        <w:rPr>
          <w:rStyle w:val="190"/>
          <w:b w:val="0"/>
        </w:rPr>
        <w:t xml:space="preserve"> 同时掺加多种建筑废弃物时，上述配合比设计方法仍然适用，需根据不同建</w:t>
      </w:r>
      <w:bookmarkEnd w:id="199"/>
      <w:bookmarkEnd w:id="200"/>
      <w:bookmarkStart w:id="202" w:name="_Toc3547"/>
      <w:bookmarkStart w:id="203" w:name="_Toc20570"/>
      <w:r>
        <w:rPr>
          <w:rStyle w:val="190"/>
          <w:b w:val="0"/>
        </w:rPr>
        <w:t>筑废弃物质量替代百分数和密度进行相应的公式计算。</w:t>
      </w:r>
      <w:bookmarkEnd w:id="201"/>
      <w:bookmarkEnd w:id="202"/>
      <w:bookmarkEnd w:id="203"/>
    </w:p>
    <w:p w14:paraId="03E43372">
      <w:pPr>
        <w:spacing w:before="78" w:beforeLines="25" w:line="440" w:lineRule="exact"/>
        <w:rPr>
          <w:rFonts w:eastAsia="楷体"/>
          <w:bCs/>
          <w:color w:val="0000FF"/>
          <w:sz w:val="24"/>
        </w:rPr>
      </w:pPr>
      <w:r>
        <w:rPr>
          <w:rFonts w:eastAsia="楷体"/>
          <w:bCs/>
          <w:color w:val="000000"/>
          <w:sz w:val="24"/>
        </w:rPr>
        <w:t>【条文说明】</w:t>
      </w:r>
      <w:r>
        <w:rPr>
          <w:rFonts w:hint="eastAsia" w:eastAsia="楷体"/>
          <w:bCs/>
          <w:color w:val="000000"/>
          <w:sz w:val="24"/>
        </w:rPr>
        <w:t>同时掺加多种废弃物造成的主要影响在于各组废弃物密度的差异导致掺入后胶凝材料的密度发生改变，影响了最终各组分配合比与设计的差异。需要根据计算重新确定配合比。</w:t>
      </w:r>
    </w:p>
    <w:p w14:paraId="3D1B3A97"/>
    <w:p w14:paraId="3D1574CC">
      <w:pPr>
        <w:pStyle w:val="3"/>
        <w:keepNext w:val="0"/>
        <w:keepLines w:val="0"/>
        <w:numPr>
          <w:ilvl w:val="0"/>
          <w:numId w:val="27"/>
        </w:numPr>
        <w:tabs>
          <w:tab w:val="clear" w:pos="420"/>
          <w:tab w:val="clear" w:pos="576"/>
        </w:tabs>
        <w:spacing w:before="78" w:beforeLines="25" w:after="0" w:line="440" w:lineRule="exact"/>
        <w:ind w:left="435" w:hanging="435"/>
        <w:rPr>
          <w:rFonts w:hint="eastAsia" w:ascii="微软雅黑" w:hAnsi="微软雅黑" w:eastAsia="微软雅黑" w:cs="微软雅黑"/>
          <w:bCs w:val="0"/>
          <w:kern w:val="0"/>
          <w:sz w:val="28"/>
          <w:szCs w:val="24"/>
          <w:lang w:bidi="ar"/>
        </w:rPr>
      </w:pPr>
      <w:r>
        <w:rPr>
          <w:rFonts w:hint="eastAsia" w:ascii="微软雅黑" w:hAnsi="微软雅黑" w:eastAsia="微软雅黑" w:cs="微软雅黑"/>
          <w:bCs w:val="0"/>
          <w:kern w:val="0"/>
          <w:sz w:val="28"/>
          <w:szCs w:val="24"/>
          <w:lang w:bidi="ar"/>
        </w:rPr>
        <w:t xml:space="preserve"> </w:t>
      </w:r>
      <w:bookmarkStart w:id="204" w:name="_Toc25496"/>
      <w:bookmarkStart w:id="205" w:name="_Toc23064"/>
      <w:bookmarkStart w:id="206" w:name="_Toc8434"/>
      <w:r>
        <w:rPr>
          <w:rFonts w:hint="eastAsia" w:ascii="微软雅黑" w:hAnsi="微软雅黑" w:eastAsia="微软雅黑" w:cs="微软雅黑"/>
          <w:bCs w:val="0"/>
          <w:kern w:val="0"/>
          <w:sz w:val="28"/>
          <w:szCs w:val="24"/>
          <w:lang w:bidi="ar"/>
        </w:rPr>
        <w:t>试配与调整</w:t>
      </w:r>
      <w:bookmarkEnd w:id="204"/>
      <w:bookmarkEnd w:id="205"/>
      <w:bookmarkEnd w:id="206"/>
    </w:p>
    <w:p w14:paraId="58931600">
      <w:pPr>
        <w:pStyle w:val="4"/>
        <w:keepNext w:val="0"/>
        <w:keepLines w:val="0"/>
        <w:numPr>
          <w:ilvl w:val="0"/>
          <w:numId w:val="33"/>
        </w:numPr>
        <w:tabs>
          <w:tab w:val="clear" w:pos="720"/>
        </w:tabs>
        <w:spacing w:before="78" w:beforeLines="25" w:after="0" w:line="440" w:lineRule="exact"/>
        <w:ind w:left="0" w:firstLine="0"/>
        <w:jc w:val="left"/>
        <w:rPr>
          <w:b w:val="0"/>
          <w:bCs w:val="0"/>
          <w:sz w:val="24"/>
        </w:rPr>
      </w:pPr>
      <w:bookmarkStart w:id="207" w:name="_Toc15536"/>
      <w:bookmarkStart w:id="208" w:name="_Toc1893"/>
      <w:bookmarkStart w:id="209" w:name="_Toc23065"/>
      <w:r>
        <w:rPr>
          <w:b w:val="0"/>
          <w:bCs w:val="0"/>
          <w:sz w:val="24"/>
        </w:rPr>
        <w:t>按</w:t>
      </w:r>
      <w:r>
        <w:rPr>
          <w:rFonts w:hint="eastAsia"/>
          <w:b w:val="0"/>
          <w:bCs w:val="0"/>
          <w:sz w:val="24"/>
        </w:rPr>
        <w:t>本标准第5.2节</w:t>
      </w:r>
      <w:r>
        <w:rPr>
          <w:b w:val="0"/>
          <w:bCs w:val="0"/>
          <w:sz w:val="24"/>
        </w:rPr>
        <w:t>进行</w:t>
      </w:r>
      <w:r>
        <w:rPr>
          <w:rFonts w:hint="eastAsia"/>
          <w:b w:val="0"/>
          <w:bCs w:val="0"/>
          <w:sz w:val="24"/>
        </w:rPr>
        <w:t>低强度充填材料</w:t>
      </w:r>
      <w:r>
        <w:rPr>
          <w:b w:val="0"/>
          <w:bCs w:val="0"/>
          <w:sz w:val="24"/>
        </w:rPr>
        <w:t>配</w:t>
      </w:r>
      <w:r>
        <w:rPr>
          <w:rFonts w:hint="eastAsia"/>
          <w:b w:val="0"/>
          <w:bCs w:val="0"/>
          <w:sz w:val="24"/>
        </w:rPr>
        <w:t>合</w:t>
      </w:r>
      <w:r>
        <w:rPr>
          <w:b w:val="0"/>
          <w:bCs w:val="0"/>
          <w:sz w:val="24"/>
        </w:rPr>
        <w:t>比设计，并进行试配，拌合物搅拌量不宜少于</w:t>
      </w:r>
      <w:r>
        <w:rPr>
          <w:rFonts w:hint="eastAsia"/>
          <w:b w:val="0"/>
          <w:bCs w:val="0"/>
          <w:sz w:val="24"/>
        </w:rPr>
        <w:t>25L</w:t>
      </w:r>
      <w:r>
        <w:rPr>
          <w:b w:val="0"/>
          <w:bCs w:val="0"/>
          <w:sz w:val="24"/>
        </w:rPr>
        <w:t>。</w:t>
      </w:r>
      <w:bookmarkEnd w:id="207"/>
      <w:bookmarkEnd w:id="208"/>
      <w:bookmarkEnd w:id="209"/>
    </w:p>
    <w:p w14:paraId="0B42FD85">
      <w:pPr>
        <w:pStyle w:val="4"/>
        <w:keepNext w:val="0"/>
        <w:keepLines w:val="0"/>
        <w:numPr>
          <w:ilvl w:val="0"/>
          <w:numId w:val="33"/>
        </w:numPr>
        <w:tabs>
          <w:tab w:val="clear" w:pos="720"/>
        </w:tabs>
        <w:spacing w:before="78" w:beforeLines="25" w:after="0" w:line="440" w:lineRule="exact"/>
        <w:ind w:left="0" w:firstLine="0"/>
        <w:jc w:val="left"/>
        <w:rPr>
          <w:b w:val="0"/>
          <w:bCs w:val="0"/>
          <w:sz w:val="24"/>
        </w:rPr>
      </w:pPr>
      <w:bookmarkStart w:id="210" w:name="_Toc1117"/>
      <w:bookmarkStart w:id="211" w:name="_Toc20756"/>
      <w:r>
        <w:rPr>
          <w:rFonts w:hint="eastAsia"/>
          <w:b w:val="0"/>
          <w:bCs w:val="0"/>
          <w:sz w:val="24"/>
        </w:rPr>
        <w:t>试配低强度充填材料拌合物性能应满足本标准第4.1节的要求。</w:t>
      </w:r>
      <w:bookmarkEnd w:id="210"/>
      <w:bookmarkEnd w:id="211"/>
    </w:p>
    <w:p w14:paraId="3D080CBB">
      <w:pPr>
        <w:pStyle w:val="4"/>
        <w:keepNext w:val="0"/>
        <w:keepLines w:val="0"/>
        <w:numPr>
          <w:ilvl w:val="0"/>
          <w:numId w:val="33"/>
        </w:numPr>
        <w:tabs>
          <w:tab w:val="clear" w:pos="720"/>
        </w:tabs>
        <w:spacing w:before="78" w:beforeLines="25" w:after="0" w:line="440" w:lineRule="exact"/>
        <w:ind w:left="0" w:firstLine="0"/>
        <w:jc w:val="left"/>
        <w:rPr>
          <w:b w:val="0"/>
          <w:bCs w:val="0"/>
          <w:sz w:val="24"/>
        </w:rPr>
      </w:pPr>
      <w:bookmarkStart w:id="212" w:name="_Toc27776"/>
      <w:bookmarkStart w:id="213" w:name="_Toc15725"/>
      <w:r>
        <w:rPr>
          <w:rFonts w:hint="eastAsia"/>
          <w:b w:val="0"/>
          <w:bCs w:val="0"/>
          <w:sz w:val="24"/>
        </w:rPr>
        <w:t>试配低强度充填材料硬化性能应满足本标准第4.2节的要求。</w:t>
      </w:r>
      <w:bookmarkEnd w:id="212"/>
      <w:bookmarkEnd w:id="213"/>
    </w:p>
    <w:p w14:paraId="38438761">
      <w:pPr>
        <w:pStyle w:val="4"/>
        <w:keepNext w:val="0"/>
        <w:keepLines w:val="0"/>
        <w:numPr>
          <w:ilvl w:val="0"/>
          <w:numId w:val="33"/>
        </w:numPr>
        <w:tabs>
          <w:tab w:val="clear" w:pos="720"/>
        </w:tabs>
        <w:spacing w:before="78" w:beforeLines="25" w:after="0" w:line="440" w:lineRule="exact"/>
        <w:ind w:left="0" w:firstLine="0"/>
        <w:jc w:val="left"/>
        <w:rPr>
          <w:b w:val="0"/>
          <w:bCs w:val="0"/>
          <w:sz w:val="24"/>
        </w:rPr>
      </w:pPr>
      <w:bookmarkStart w:id="214" w:name="_Toc1816"/>
      <w:bookmarkStart w:id="215" w:name="_Toc8737"/>
      <w:bookmarkStart w:id="216" w:name="_Toc11872"/>
      <w:r>
        <w:rPr>
          <w:b w:val="0"/>
          <w:bCs w:val="0"/>
          <w:sz w:val="24"/>
        </w:rPr>
        <w:t>根据实际</w:t>
      </w:r>
      <w:r>
        <w:rPr>
          <w:rFonts w:hint="eastAsia"/>
          <w:b w:val="0"/>
          <w:bCs w:val="0"/>
          <w:sz w:val="24"/>
        </w:rPr>
        <w:t>低强度充填材料</w:t>
      </w:r>
      <w:r>
        <w:rPr>
          <w:b w:val="0"/>
          <w:bCs w:val="0"/>
          <w:sz w:val="24"/>
        </w:rPr>
        <w:t>拌合情况与性能测试结果进行配</w:t>
      </w:r>
      <w:r>
        <w:rPr>
          <w:rFonts w:hint="eastAsia"/>
          <w:b w:val="0"/>
          <w:bCs w:val="0"/>
          <w:sz w:val="24"/>
        </w:rPr>
        <w:t>合</w:t>
      </w:r>
      <w:r>
        <w:rPr>
          <w:b w:val="0"/>
          <w:bCs w:val="0"/>
          <w:sz w:val="24"/>
        </w:rPr>
        <w:t>比调整，工作性能</w:t>
      </w:r>
      <w:r>
        <w:rPr>
          <w:rFonts w:hint="eastAsia"/>
          <w:b w:val="0"/>
          <w:bCs w:val="0"/>
          <w:sz w:val="24"/>
        </w:rPr>
        <w:t>宜</w:t>
      </w:r>
      <w:r>
        <w:rPr>
          <w:b w:val="0"/>
          <w:bCs w:val="0"/>
          <w:sz w:val="24"/>
        </w:rPr>
        <w:t>通过改变</w:t>
      </w:r>
      <w:r>
        <w:rPr>
          <w:rFonts w:hint="eastAsia"/>
          <w:b w:val="0"/>
          <w:bCs w:val="0"/>
          <w:sz w:val="24"/>
        </w:rPr>
        <w:t>浆骨比</w:t>
      </w:r>
      <w:r>
        <w:rPr>
          <w:b w:val="0"/>
          <w:bCs w:val="0"/>
          <w:sz w:val="24"/>
        </w:rPr>
        <w:t>、水胶比与加入外加剂进行调控，力学性能调整</w:t>
      </w:r>
      <w:r>
        <w:rPr>
          <w:rFonts w:hint="eastAsia"/>
          <w:b w:val="0"/>
          <w:bCs w:val="0"/>
          <w:sz w:val="24"/>
        </w:rPr>
        <w:t>宜</w:t>
      </w:r>
      <w:r>
        <w:rPr>
          <w:b w:val="0"/>
          <w:bCs w:val="0"/>
          <w:sz w:val="24"/>
        </w:rPr>
        <w:t>通过调整水胶比、胶凝材料用量，建筑废弃物</w:t>
      </w:r>
      <w:r>
        <w:rPr>
          <w:rFonts w:hint="eastAsia"/>
          <w:b w:val="0"/>
          <w:bCs w:val="0"/>
          <w:sz w:val="24"/>
        </w:rPr>
        <w:t>质量百分数</w:t>
      </w:r>
      <w:r>
        <w:rPr>
          <w:b w:val="0"/>
          <w:bCs w:val="0"/>
          <w:sz w:val="24"/>
        </w:rPr>
        <w:t>实现。</w:t>
      </w:r>
      <w:bookmarkEnd w:id="214"/>
      <w:bookmarkEnd w:id="215"/>
      <w:bookmarkEnd w:id="216"/>
    </w:p>
    <w:p w14:paraId="58730D79">
      <w:pPr>
        <w:spacing w:before="78" w:beforeLines="25" w:line="440" w:lineRule="exact"/>
        <w:rPr>
          <w:rFonts w:hint="eastAsia" w:ascii="楷体" w:hAnsi="楷体" w:eastAsia="楷体" w:cs="楷体"/>
          <w:bCs/>
          <w:color w:val="000000"/>
          <w:sz w:val="24"/>
        </w:rPr>
      </w:pPr>
      <w:r>
        <w:rPr>
          <w:rFonts w:ascii="楷体" w:hAnsi="楷体" w:eastAsia="楷体" w:cs="楷体"/>
          <w:bCs/>
          <w:color w:val="000000"/>
          <w:sz w:val="24"/>
        </w:rPr>
        <w:t>【条文说明】</w:t>
      </w:r>
      <w:r>
        <w:rPr>
          <w:rFonts w:hint="eastAsia" w:ascii="楷体" w:hAnsi="楷体" w:eastAsia="楷体" w:cs="楷体"/>
          <w:bCs/>
          <w:color w:val="000000"/>
          <w:sz w:val="24"/>
        </w:rPr>
        <w:t>与本标准第</w:t>
      </w:r>
      <w:r>
        <w:rPr>
          <w:rFonts w:eastAsia="楷体"/>
          <w:bCs/>
          <w:color w:val="000000"/>
          <w:sz w:val="24"/>
        </w:rPr>
        <w:t>5.1.3条</w:t>
      </w:r>
      <w:r>
        <w:rPr>
          <w:rFonts w:hint="eastAsia" w:ascii="楷体" w:hAnsi="楷体" w:eastAsia="楷体" w:cs="楷体"/>
          <w:bCs/>
          <w:color w:val="000000"/>
          <w:sz w:val="24"/>
        </w:rPr>
        <w:t>的规定一致。</w:t>
      </w:r>
    </w:p>
    <w:p w14:paraId="6877B5BB">
      <w:pPr>
        <w:pStyle w:val="4"/>
        <w:keepNext w:val="0"/>
        <w:keepLines w:val="0"/>
        <w:numPr>
          <w:ilvl w:val="0"/>
          <w:numId w:val="33"/>
        </w:numPr>
        <w:tabs>
          <w:tab w:val="clear" w:pos="720"/>
        </w:tabs>
        <w:spacing w:before="78" w:beforeLines="25" w:after="0" w:line="440" w:lineRule="exact"/>
        <w:ind w:left="0" w:firstLine="0"/>
        <w:jc w:val="left"/>
        <w:rPr>
          <w:b w:val="0"/>
          <w:bCs w:val="0"/>
          <w:sz w:val="24"/>
        </w:rPr>
      </w:pPr>
      <w:bookmarkStart w:id="217" w:name="_Toc29821"/>
      <w:bookmarkStart w:id="218" w:name="_Toc15542"/>
      <w:bookmarkStart w:id="219" w:name="_Toc13877"/>
      <w:r>
        <w:rPr>
          <w:rFonts w:hint="eastAsia"/>
          <w:b w:val="0"/>
          <w:bCs w:val="0"/>
          <w:sz w:val="24"/>
        </w:rPr>
        <w:t>经试配和调整后的低强度充填材料配合比宜开展工程试拌试验，并应根据实际工程情况进行调整</w:t>
      </w:r>
      <w:r>
        <w:rPr>
          <w:b w:val="0"/>
          <w:bCs w:val="0"/>
          <w:sz w:val="24"/>
        </w:rPr>
        <w:t>。</w:t>
      </w:r>
      <w:bookmarkEnd w:id="217"/>
      <w:bookmarkEnd w:id="218"/>
      <w:bookmarkEnd w:id="219"/>
    </w:p>
    <w:p w14:paraId="254C019A">
      <w:pPr>
        <w:tabs>
          <w:tab w:val="left" w:pos="720"/>
        </w:tabs>
        <w:spacing w:before="78" w:beforeLines="25" w:line="440" w:lineRule="exact"/>
        <w:sectPr>
          <w:pgSz w:w="11905" w:h="16838"/>
          <w:pgMar w:top="1582" w:right="1440" w:bottom="1162" w:left="1582" w:header="0" w:footer="969" w:gutter="283"/>
          <w:cols w:space="0" w:num="1"/>
          <w:titlePg/>
          <w:docGrid w:type="linesAndChars" w:linePitch="312" w:charSpace="0"/>
        </w:sectPr>
      </w:pPr>
      <w:r>
        <w:rPr>
          <w:rFonts w:ascii="楷体" w:hAnsi="楷体" w:eastAsia="楷体" w:cs="楷体"/>
          <w:bCs/>
          <w:color w:val="000000"/>
          <w:sz w:val="24"/>
        </w:rPr>
        <w:t>【条文说明】</w:t>
      </w:r>
      <w:r>
        <w:rPr>
          <w:rFonts w:hint="eastAsia" w:ascii="楷体" w:hAnsi="楷体" w:eastAsia="楷体" w:cs="楷体"/>
          <w:bCs/>
          <w:color w:val="000000"/>
          <w:sz w:val="24"/>
        </w:rPr>
        <w:t>在实际施工条件下，受施工环境、施工设备等因素的影响，低强度充填材料性能与设计性能可能存在一定差异，因此需要在适当的范围内进行调整。</w:t>
      </w:r>
    </w:p>
    <w:p w14:paraId="6A2F63C7">
      <w:pPr>
        <w:pStyle w:val="2"/>
        <w:numPr>
          <w:ilvl w:val="0"/>
          <w:numId w:val="13"/>
        </w:numPr>
        <w:spacing w:before="78" w:beforeLines="25" w:after="0" w:line="440" w:lineRule="exact"/>
        <w:ind w:left="0" w:firstLine="0"/>
        <w:rPr>
          <w:rFonts w:hint="eastAsia" w:ascii="微软雅黑" w:hAnsi="微软雅黑" w:eastAsia="微软雅黑" w:cs="微软雅黑"/>
          <w:b/>
          <w:sz w:val="32"/>
          <w:szCs w:val="32"/>
        </w:rPr>
      </w:pPr>
      <w:bookmarkStart w:id="220" w:name="_Toc6160"/>
      <w:bookmarkStart w:id="221" w:name="_Toc29367"/>
      <w:bookmarkStart w:id="222" w:name="_Toc17119"/>
      <w:bookmarkStart w:id="223" w:name="_Toc1138"/>
      <w:r>
        <w:rPr>
          <w:rFonts w:hint="eastAsia" w:ascii="微软雅黑" w:hAnsi="微软雅黑" w:eastAsia="微软雅黑" w:cs="微软雅黑"/>
          <w:b/>
          <w:sz w:val="32"/>
          <w:szCs w:val="32"/>
        </w:rPr>
        <w:t>生产运输与施工</w:t>
      </w:r>
      <w:bookmarkEnd w:id="220"/>
      <w:bookmarkEnd w:id="221"/>
      <w:bookmarkEnd w:id="222"/>
      <w:bookmarkEnd w:id="223"/>
    </w:p>
    <w:p w14:paraId="53FE8EE5"/>
    <w:p w14:paraId="6A8E5D56">
      <w:pPr>
        <w:pStyle w:val="3"/>
        <w:keepNext w:val="0"/>
        <w:keepLines w:val="0"/>
        <w:widowControl/>
        <w:numPr>
          <w:ilvl w:val="1"/>
          <w:numId w:val="34"/>
        </w:numPr>
        <w:tabs>
          <w:tab w:val="clear" w:pos="0"/>
          <w:tab w:val="clear" w:pos="576"/>
        </w:tabs>
        <w:spacing w:before="0" w:after="0" w:line="440" w:lineRule="exact"/>
        <w:rPr>
          <w:rFonts w:hint="eastAsia" w:ascii="宋体" w:hAnsi="宋体" w:eastAsia="微软雅黑" w:cs="宋体"/>
          <w:bCs w:val="0"/>
          <w:color w:val="000000"/>
          <w:kern w:val="0"/>
          <w:sz w:val="28"/>
          <w:szCs w:val="24"/>
          <w:lang w:bidi="ar"/>
        </w:rPr>
      </w:pPr>
      <w:bookmarkStart w:id="224" w:name="_Toc603"/>
      <w:bookmarkStart w:id="225" w:name="_Toc15426"/>
      <w:bookmarkStart w:id="226" w:name="_Toc18227"/>
      <w:bookmarkStart w:id="227" w:name="_Toc27078"/>
      <w:r>
        <w:rPr>
          <w:rFonts w:hint="eastAsia" w:ascii="宋体" w:hAnsi="宋体" w:eastAsia="微软雅黑" w:cs="宋体"/>
          <w:bCs w:val="0"/>
          <w:color w:val="000000"/>
          <w:kern w:val="0"/>
          <w:sz w:val="28"/>
          <w:szCs w:val="24"/>
          <w:lang w:bidi="ar"/>
        </w:rPr>
        <w:t>一般规定</w:t>
      </w:r>
      <w:bookmarkEnd w:id="224"/>
      <w:bookmarkEnd w:id="225"/>
      <w:bookmarkEnd w:id="226"/>
      <w:bookmarkEnd w:id="227"/>
    </w:p>
    <w:p w14:paraId="6107DD8E"/>
    <w:p w14:paraId="0B5A1C94">
      <w:pPr>
        <w:pStyle w:val="4"/>
        <w:keepNext w:val="0"/>
        <w:keepLines w:val="0"/>
        <w:numPr>
          <w:ilvl w:val="0"/>
          <w:numId w:val="35"/>
        </w:numPr>
        <w:tabs>
          <w:tab w:val="clear" w:pos="420"/>
          <w:tab w:val="clear" w:pos="720"/>
        </w:tabs>
        <w:spacing w:before="78" w:beforeLines="25" w:after="0" w:line="440" w:lineRule="exact"/>
        <w:ind w:left="0" w:firstLine="0"/>
        <w:jc w:val="left"/>
        <w:rPr>
          <w:rFonts w:hint="eastAsia" w:ascii="宋体" w:hAnsi="宋体" w:cs="宋体"/>
          <w:b w:val="0"/>
          <w:color w:val="000000"/>
          <w:kern w:val="0"/>
          <w:sz w:val="24"/>
          <w:szCs w:val="24"/>
          <w:lang w:val="zh-CN" w:bidi="ar"/>
        </w:rPr>
      </w:pPr>
      <w:bookmarkStart w:id="228" w:name="_Toc24609"/>
      <w:bookmarkStart w:id="229" w:name="_Toc30197"/>
      <w:bookmarkStart w:id="230" w:name="_Toc22422"/>
      <w:r>
        <w:rPr>
          <w:rFonts w:hint="eastAsia" w:ascii="宋体" w:hAnsi="宋体" w:cs="宋体"/>
          <w:b w:val="0"/>
          <w:color w:val="000000"/>
          <w:kern w:val="0"/>
          <w:sz w:val="24"/>
          <w:szCs w:val="24"/>
          <w:lang w:val="zh-CN" w:bidi="ar"/>
        </w:rPr>
        <w:t>低强度充填材料生产前应确定详细的生产方案。</w:t>
      </w:r>
      <w:bookmarkEnd w:id="228"/>
      <w:bookmarkEnd w:id="229"/>
      <w:bookmarkEnd w:id="230"/>
    </w:p>
    <w:p w14:paraId="32E54415">
      <w:pPr>
        <w:pStyle w:val="4"/>
        <w:keepNext w:val="0"/>
        <w:keepLines w:val="0"/>
        <w:numPr>
          <w:ilvl w:val="0"/>
          <w:numId w:val="35"/>
        </w:numPr>
        <w:tabs>
          <w:tab w:val="clear" w:pos="420"/>
          <w:tab w:val="clear" w:pos="720"/>
        </w:tabs>
        <w:spacing w:before="78" w:beforeLines="25" w:after="0" w:line="440" w:lineRule="exact"/>
        <w:ind w:left="0" w:firstLine="0"/>
        <w:jc w:val="left"/>
        <w:rPr>
          <w:rFonts w:hint="eastAsia" w:ascii="宋体" w:hAnsi="宋体" w:cs="宋体"/>
          <w:b w:val="0"/>
          <w:color w:val="000000"/>
          <w:kern w:val="0"/>
          <w:sz w:val="24"/>
          <w:szCs w:val="24"/>
          <w:lang w:val="zh-CN" w:bidi="ar"/>
        </w:rPr>
      </w:pPr>
      <w:bookmarkStart w:id="231" w:name="_Toc18000"/>
      <w:bookmarkStart w:id="232" w:name="_Toc31693"/>
      <w:bookmarkStart w:id="233" w:name="_Toc23689"/>
      <w:r>
        <w:rPr>
          <w:rFonts w:hint="eastAsia" w:ascii="宋体" w:hAnsi="宋体" w:cs="宋体"/>
          <w:b w:val="0"/>
          <w:color w:val="000000"/>
          <w:kern w:val="0"/>
          <w:sz w:val="24"/>
          <w:szCs w:val="24"/>
          <w:lang w:val="zh-CN" w:bidi="ar"/>
        </w:rPr>
        <w:t>低强度充填材料的生产与运输应</w:t>
      </w:r>
      <w:r>
        <w:rPr>
          <w:rFonts w:hint="eastAsia" w:ascii="宋体" w:hAnsi="宋体" w:cs="宋体"/>
          <w:b w:val="0"/>
          <w:color w:val="000000"/>
          <w:kern w:val="0"/>
          <w:sz w:val="24"/>
          <w:szCs w:val="24"/>
          <w:lang w:bidi="ar"/>
        </w:rPr>
        <w:t>确</w:t>
      </w:r>
      <w:r>
        <w:rPr>
          <w:rFonts w:hint="eastAsia" w:ascii="宋体" w:hAnsi="宋体" w:cs="宋体"/>
          <w:b w:val="0"/>
          <w:color w:val="000000"/>
          <w:kern w:val="0"/>
          <w:sz w:val="24"/>
          <w:szCs w:val="24"/>
          <w:lang w:val="zh-CN" w:bidi="ar"/>
        </w:rPr>
        <w:t>保施工连续性。</w:t>
      </w:r>
      <w:bookmarkEnd w:id="231"/>
      <w:bookmarkEnd w:id="232"/>
      <w:bookmarkEnd w:id="233"/>
    </w:p>
    <w:p w14:paraId="780F5DC0">
      <w:pPr>
        <w:spacing w:before="78" w:beforeLines="25" w:line="440" w:lineRule="exact"/>
        <w:rPr>
          <w:rFonts w:hint="eastAsia" w:ascii="楷体" w:hAnsi="楷体" w:eastAsia="楷体" w:cs="楷体"/>
          <w:bCs/>
          <w:color w:val="000000"/>
          <w:sz w:val="24"/>
        </w:rPr>
      </w:pPr>
      <w:r>
        <w:rPr>
          <w:rFonts w:ascii="楷体" w:hAnsi="楷体" w:eastAsia="楷体" w:cs="楷体"/>
          <w:bCs/>
          <w:color w:val="000000"/>
          <w:sz w:val="24"/>
        </w:rPr>
        <w:t>【条文说明】</w:t>
      </w:r>
      <w:r>
        <w:rPr>
          <w:rFonts w:hint="eastAsia" w:ascii="楷体" w:hAnsi="楷体" w:eastAsia="楷体" w:cs="楷体"/>
          <w:bCs/>
          <w:color w:val="000000"/>
          <w:sz w:val="24"/>
        </w:rPr>
        <w:t>与水泥基材料相似，若施工不连续，会造成搅拌时间过长、原材料吸水变潮等情况的出现，这些情况直接导致低强度充填材料的实际性能与设计性能出现偏差，影响施工的整体质量。为保证工程质量与材料安全性原则，作出本条规定。</w:t>
      </w:r>
    </w:p>
    <w:p w14:paraId="0066C56A">
      <w:pPr>
        <w:pStyle w:val="4"/>
        <w:keepNext w:val="0"/>
        <w:keepLines w:val="0"/>
        <w:numPr>
          <w:ilvl w:val="0"/>
          <w:numId w:val="35"/>
        </w:numPr>
        <w:tabs>
          <w:tab w:val="clear" w:pos="420"/>
          <w:tab w:val="clear" w:pos="720"/>
        </w:tabs>
        <w:spacing w:before="78" w:beforeLines="25" w:after="0" w:line="440" w:lineRule="exact"/>
        <w:ind w:left="0" w:firstLine="0"/>
        <w:jc w:val="left"/>
        <w:rPr>
          <w:rFonts w:hint="eastAsia" w:ascii="宋体" w:hAnsi="宋体" w:cs="宋体"/>
          <w:b w:val="0"/>
          <w:color w:val="000000"/>
          <w:kern w:val="0"/>
          <w:sz w:val="24"/>
          <w:szCs w:val="24"/>
          <w:lang w:val="zh-CN" w:bidi="ar"/>
        </w:rPr>
      </w:pPr>
      <w:bookmarkStart w:id="234" w:name="_Toc10496"/>
      <w:bookmarkStart w:id="235" w:name="_Toc14922"/>
      <w:bookmarkStart w:id="236" w:name="_Toc16571"/>
      <w:r>
        <w:rPr>
          <w:rFonts w:hint="eastAsia" w:ascii="宋体" w:hAnsi="宋体" w:cs="宋体"/>
          <w:b w:val="0"/>
          <w:color w:val="000000"/>
          <w:kern w:val="0"/>
          <w:sz w:val="24"/>
          <w:szCs w:val="24"/>
          <w:lang w:val="zh-CN" w:bidi="ar"/>
        </w:rPr>
        <w:t>低强度充填材料施工前应明确实施试验段的要求，根据工程类型和特点、工程量、材料供应情况、施工条件和进度计划等确定施工方案，并</w:t>
      </w:r>
      <w:r>
        <w:rPr>
          <w:rFonts w:ascii="宋体" w:hAnsi="宋体" w:cs="宋体"/>
          <w:b w:val="0"/>
          <w:color w:val="000000"/>
          <w:kern w:val="0"/>
          <w:sz w:val="24"/>
          <w:szCs w:val="24"/>
          <w:lang w:bidi="ar"/>
        </w:rPr>
        <w:t>与施工作业人员进行针对性</w:t>
      </w:r>
      <w:r>
        <w:rPr>
          <w:rFonts w:hint="eastAsia" w:ascii="宋体" w:hAnsi="宋体" w:cs="宋体"/>
          <w:b w:val="0"/>
          <w:color w:val="000000"/>
          <w:kern w:val="0"/>
          <w:sz w:val="24"/>
          <w:szCs w:val="24"/>
          <w:lang w:bidi="ar"/>
        </w:rPr>
        <w:t>技术交底</w:t>
      </w:r>
      <w:r>
        <w:rPr>
          <w:rFonts w:hint="eastAsia" w:ascii="宋体" w:hAnsi="宋体" w:cs="宋体"/>
          <w:b w:val="0"/>
          <w:color w:val="000000"/>
          <w:kern w:val="0"/>
          <w:sz w:val="24"/>
          <w:szCs w:val="24"/>
          <w:lang w:val="zh-CN" w:bidi="ar"/>
        </w:rPr>
        <w:t>。</w:t>
      </w:r>
      <w:bookmarkEnd w:id="234"/>
      <w:bookmarkEnd w:id="235"/>
      <w:bookmarkEnd w:id="236"/>
    </w:p>
    <w:p w14:paraId="58409088">
      <w:pPr>
        <w:spacing w:before="78" w:beforeLines="25" w:line="440" w:lineRule="exact"/>
        <w:rPr>
          <w:rFonts w:hint="eastAsia" w:ascii="楷体" w:hAnsi="楷体" w:eastAsia="楷体" w:cs="楷体"/>
          <w:bCs/>
          <w:color w:val="000000"/>
          <w:sz w:val="24"/>
        </w:rPr>
      </w:pPr>
      <w:r>
        <w:rPr>
          <w:rFonts w:hint="eastAsia" w:ascii="楷体" w:hAnsi="楷体" w:eastAsia="楷体" w:cs="楷体"/>
          <w:bCs/>
          <w:color w:val="000000"/>
          <w:sz w:val="24"/>
        </w:rPr>
        <w:t>【条文说明】目前，国内可借鉴的低强度充填材料的实际施工经验较少，如果施工前没有与相关人员进行针对性交流，可能会影响低强度充填材料质量并造成工程实施障碍。例如，在确定工程结构类型时若需要将低强度充填材料应用于承重结构部位，便需要提前评估低强度充填材料的力学性能以确定是否满足施工要求。此外，确定工程量与材料供应情况是设计低强度充填材料配合比、保证其性能的重要步骤。而施工条件与进度计划影响原材料的批次、采购等问题，若工期较长，则需多次抽检低强度充填材料的性能指标，确保低强度充填材料性能的稳定性。</w:t>
      </w:r>
    </w:p>
    <w:p w14:paraId="5E0774A7">
      <w:pPr>
        <w:pStyle w:val="4"/>
        <w:keepNext w:val="0"/>
        <w:keepLines w:val="0"/>
        <w:numPr>
          <w:ilvl w:val="0"/>
          <w:numId w:val="35"/>
        </w:numPr>
        <w:tabs>
          <w:tab w:val="clear" w:pos="420"/>
          <w:tab w:val="clear" w:pos="720"/>
        </w:tabs>
        <w:spacing w:before="78" w:beforeLines="25" w:after="0" w:line="440" w:lineRule="exact"/>
        <w:ind w:left="0" w:firstLine="0"/>
        <w:jc w:val="left"/>
        <w:rPr>
          <w:rFonts w:hint="eastAsia" w:ascii="宋体" w:hAnsi="宋体" w:cs="宋体"/>
          <w:b w:val="0"/>
          <w:color w:val="000000"/>
          <w:kern w:val="0"/>
          <w:sz w:val="24"/>
          <w:szCs w:val="24"/>
          <w:lang w:val="zh-CN" w:bidi="ar"/>
        </w:rPr>
      </w:pPr>
      <w:bookmarkStart w:id="237" w:name="_Toc32366"/>
      <w:bookmarkStart w:id="238" w:name="_Toc24692"/>
      <w:bookmarkStart w:id="239" w:name="_Toc820"/>
      <w:r>
        <w:rPr>
          <w:rFonts w:hint="eastAsia" w:ascii="宋体" w:hAnsi="宋体" w:cs="宋体"/>
          <w:b w:val="0"/>
          <w:color w:val="000000"/>
          <w:kern w:val="0"/>
          <w:sz w:val="24"/>
          <w:szCs w:val="24"/>
          <w:lang w:val="zh-CN" w:bidi="ar"/>
        </w:rPr>
        <w:t>低强度充填材料施工应进行过程监控，并应根据监控结果调整施工措施。</w:t>
      </w:r>
      <w:bookmarkEnd w:id="237"/>
      <w:bookmarkEnd w:id="238"/>
      <w:bookmarkEnd w:id="239"/>
    </w:p>
    <w:p w14:paraId="3594BE1B">
      <w:pPr>
        <w:rPr>
          <w:lang w:val="zh-CN"/>
        </w:rPr>
      </w:pPr>
    </w:p>
    <w:p w14:paraId="34C44028">
      <w:pPr>
        <w:pStyle w:val="3"/>
        <w:keepNext w:val="0"/>
        <w:keepLines w:val="0"/>
        <w:widowControl/>
        <w:numPr>
          <w:ilvl w:val="1"/>
          <w:numId w:val="34"/>
        </w:numPr>
        <w:tabs>
          <w:tab w:val="clear" w:pos="0"/>
          <w:tab w:val="clear" w:pos="576"/>
        </w:tabs>
        <w:spacing w:before="0" w:after="0" w:line="440" w:lineRule="exact"/>
      </w:pPr>
      <w:bookmarkStart w:id="240" w:name="_Toc12278"/>
      <w:bookmarkStart w:id="241" w:name="_Toc9275"/>
      <w:bookmarkStart w:id="242" w:name="_Toc27658"/>
      <w:bookmarkStart w:id="243" w:name="_Toc26588"/>
      <w:r>
        <w:rPr>
          <w:rFonts w:hint="eastAsia" w:ascii="宋体" w:hAnsi="宋体" w:eastAsia="微软雅黑" w:cs="宋体"/>
          <w:bCs w:val="0"/>
          <w:color w:val="000000"/>
          <w:kern w:val="0"/>
          <w:sz w:val="28"/>
          <w:szCs w:val="24"/>
          <w:lang w:bidi="ar"/>
        </w:rPr>
        <w:t>原材料贮存</w:t>
      </w:r>
      <w:bookmarkEnd w:id="240"/>
      <w:bookmarkEnd w:id="241"/>
      <w:bookmarkEnd w:id="242"/>
      <w:bookmarkEnd w:id="243"/>
    </w:p>
    <w:p w14:paraId="79C99CB6">
      <w:pPr>
        <w:pStyle w:val="4"/>
        <w:keepNext w:val="0"/>
        <w:keepLines w:val="0"/>
        <w:numPr>
          <w:ilvl w:val="0"/>
          <w:numId w:val="36"/>
        </w:numPr>
        <w:tabs>
          <w:tab w:val="clear" w:pos="720"/>
        </w:tabs>
        <w:spacing w:before="78" w:beforeLines="25" w:after="0" w:line="440" w:lineRule="exact"/>
        <w:jc w:val="left"/>
        <w:rPr>
          <w:rFonts w:hint="eastAsia" w:ascii="宋体" w:hAnsi="宋体" w:cs="宋体"/>
          <w:b w:val="0"/>
          <w:color w:val="000000"/>
          <w:kern w:val="0"/>
          <w:sz w:val="24"/>
          <w:szCs w:val="24"/>
          <w:lang w:val="zh-CN" w:bidi="ar"/>
        </w:rPr>
      </w:pPr>
      <w:bookmarkStart w:id="244" w:name="_Toc22022"/>
      <w:bookmarkStart w:id="245" w:name="_Toc9430"/>
      <w:bookmarkStart w:id="246" w:name="_Toc23032"/>
      <w:r>
        <w:rPr>
          <w:rFonts w:hint="eastAsia" w:ascii="宋体" w:hAnsi="宋体" w:cs="宋体"/>
          <w:b w:val="0"/>
          <w:color w:val="000000"/>
          <w:kern w:val="0"/>
          <w:sz w:val="24"/>
          <w:szCs w:val="24"/>
          <w:lang w:val="zh-CN" w:bidi="ar"/>
        </w:rPr>
        <w:t>原材料进场时，供方应按批次向需方提供质量证明文件。</w:t>
      </w:r>
      <w:bookmarkEnd w:id="244"/>
      <w:bookmarkEnd w:id="245"/>
      <w:bookmarkEnd w:id="246"/>
    </w:p>
    <w:p w14:paraId="5DC3E70A">
      <w:pPr>
        <w:pStyle w:val="4"/>
        <w:keepNext w:val="0"/>
        <w:keepLines w:val="0"/>
        <w:numPr>
          <w:ilvl w:val="0"/>
          <w:numId w:val="36"/>
        </w:numPr>
        <w:tabs>
          <w:tab w:val="clear" w:pos="720"/>
        </w:tabs>
        <w:spacing w:before="78" w:beforeLines="25" w:after="0" w:line="440" w:lineRule="exact"/>
        <w:rPr>
          <w:rFonts w:hint="eastAsia" w:ascii="宋体" w:hAnsi="宋体" w:cs="宋体"/>
          <w:b w:val="0"/>
          <w:color w:val="000000"/>
          <w:kern w:val="0"/>
          <w:sz w:val="24"/>
          <w:szCs w:val="24"/>
          <w:lang w:val="zh-CN" w:bidi="ar"/>
        </w:rPr>
      </w:pPr>
      <w:bookmarkStart w:id="247" w:name="_Toc13043"/>
      <w:bookmarkStart w:id="248" w:name="_Toc11082"/>
      <w:bookmarkStart w:id="249" w:name="_Toc5460"/>
      <w:r>
        <w:rPr>
          <w:rFonts w:hint="eastAsia" w:ascii="宋体" w:hAnsi="宋体" w:cs="宋体"/>
          <w:b w:val="0"/>
          <w:color w:val="000000"/>
          <w:kern w:val="0"/>
          <w:sz w:val="24"/>
          <w:szCs w:val="24"/>
          <w:lang w:val="zh-CN" w:bidi="ar"/>
        </w:rPr>
        <w:t>水泥应按品种、强度等级及生产厂家分别贮存，防止受潮和污染。</w:t>
      </w:r>
      <w:bookmarkEnd w:id="247"/>
      <w:bookmarkEnd w:id="248"/>
    </w:p>
    <w:p w14:paraId="7642759C">
      <w:pPr>
        <w:pStyle w:val="4"/>
        <w:keepNext w:val="0"/>
        <w:keepLines w:val="0"/>
        <w:numPr>
          <w:ilvl w:val="0"/>
          <w:numId w:val="36"/>
        </w:numPr>
        <w:tabs>
          <w:tab w:val="clear" w:pos="720"/>
        </w:tabs>
        <w:spacing w:before="78" w:beforeLines="25" w:after="0" w:line="440" w:lineRule="exact"/>
        <w:rPr>
          <w:rFonts w:hint="eastAsia" w:ascii="宋体" w:hAnsi="宋体" w:cs="宋体"/>
          <w:b w:val="0"/>
          <w:color w:val="000000"/>
          <w:kern w:val="0"/>
          <w:sz w:val="24"/>
          <w:szCs w:val="24"/>
          <w:lang w:val="zh-CN" w:bidi="ar"/>
        </w:rPr>
      </w:pPr>
      <w:bookmarkStart w:id="250" w:name="_Toc26369"/>
      <w:bookmarkStart w:id="251" w:name="_Toc15987"/>
      <w:r>
        <w:rPr>
          <w:rFonts w:hint="eastAsia" w:ascii="宋体" w:hAnsi="宋体" w:cs="宋体"/>
          <w:b w:val="0"/>
          <w:color w:val="000000"/>
          <w:kern w:val="0"/>
          <w:sz w:val="24"/>
          <w:szCs w:val="24"/>
          <w:lang w:val="zh-CN" w:bidi="ar"/>
        </w:rPr>
        <w:t>掺</w:t>
      </w:r>
      <w:bookmarkEnd w:id="249"/>
      <w:bookmarkStart w:id="252" w:name="_Toc24441"/>
      <w:r>
        <w:rPr>
          <w:rFonts w:hint="eastAsia" w:ascii="宋体" w:hAnsi="宋体" w:cs="宋体"/>
          <w:b w:val="0"/>
          <w:color w:val="000000"/>
          <w:kern w:val="0"/>
          <w:sz w:val="24"/>
          <w:szCs w:val="24"/>
          <w:lang w:val="zh-CN" w:bidi="ar"/>
        </w:rPr>
        <w:t>合料应按品种、质量等级及生产厂家分别贮存，防止受潮和污染。</w:t>
      </w:r>
      <w:bookmarkEnd w:id="250"/>
      <w:bookmarkEnd w:id="251"/>
    </w:p>
    <w:p w14:paraId="2C3940BE">
      <w:pPr>
        <w:pStyle w:val="4"/>
        <w:keepNext w:val="0"/>
        <w:keepLines w:val="0"/>
        <w:numPr>
          <w:ilvl w:val="0"/>
          <w:numId w:val="36"/>
        </w:numPr>
        <w:tabs>
          <w:tab w:val="clear" w:pos="720"/>
        </w:tabs>
        <w:spacing w:before="78" w:beforeLines="25" w:after="0" w:line="440" w:lineRule="exact"/>
        <w:rPr>
          <w:rFonts w:hint="eastAsia" w:ascii="宋体" w:hAnsi="宋体" w:cs="宋体"/>
          <w:b w:val="0"/>
          <w:color w:val="000000"/>
          <w:kern w:val="0"/>
          <w:sz w:val="24"/>
          <w:szCs w:val="24"/>
          <w:lang w:val="zh-CN" w:bidi="ar"/>
        </w:rPr>
      </w:pPr>
      <w:bookmarkStart w:id="253" w:name="_Toc17685"/>
      <w:bookmarkStart w:id="254" w:name="_Toc9805"/>
      <w:r>
        <w:rPr>
          <w:rFonts w:hint="eastAsia" w:ascii="宋体" w:hAnsi="宋体" w:cs="宋体"/>
          <w:b w:val="0"/>
          <w:color w:val="000000"/>
          <w:kern w:val="0"/>
          <w:sz w:val="24"/>
          <w:szCs w:val="24"/>
          <w:lang w:val="zh-CN" w:bidi="ar"/>
        </w:rPr>
        <w:t>外加剂应按品种和生产厂家分别贮存，采取遮阳、防水等措施。</w:t>
      </w:r>
      <w:bookmarkEnd w:id="253"/>
      <w:bookmarkEnd w:id="254"/>
    </w:p>
    <w:p w14:paraId="5E7E916A">
      <w:pPr>
        <w:pStyle w:val="4"/>
        <w:keepNext w:val="0"/>
        <w:keepLines w:val="0"/>
        <w:numPr>
          <w:ilvl w:val="0"/>
          <w:numId w:val="36"/>
        </w:numPr>
        <w:tabs>
          <w:tab w:val="clear" w:pos="720"/>
        </w:tabs>
        <w:spacing w:before="78" w:beforeLines="25" w:after="0" w:line="440" w:lineRule="exact"/>
        <w:rPr>
          <w:rFonts w:hint="eastAsia" w:ascii="宋体" w:hAnsi="宋体" w:cs="宋体"/>
          <w:b w:val="0"/>
          <w:color w:val="000000"/>
          <w:kern w:val="0"/>
          <w:sz w:val="24"/>
          <w:szCs w:val="24"/>
          <w:lang w:val="zh-CN" w:bidi="ar"/>
        </w:rPr>
      </w:pPr>
      <w:bookmarkStart w:id="255" w:name="_Toc15315"/>
      <w:bookmarkStart w:id="256" w:name="_Toc9901"/>
      <w:r>
        <w:rPr>
          <w:rFonts w:hint="eastAsia" w:ascii="宋体" w:hAnsi="宋体" w:cs="宋体"/>
          <w:b w:val="0"/>
          <w:color w:val="000000"/>
          <w:kern w:val="0"/>
          <w:sz w:val="24"/>
          <w:szCs w:val="24"/>
          <w:lang w:val="zh-CN" w:bidi="ar"/>
        </w:rPr>
        <w:t>粉状外加剂应防止受潮结块，如有结块现象，经性能检验合格的，应粉碎</w:t>
      </w:r>
      <w:bookmarkEnd w:id="255"/>
      <w:bookmarkEnd w:id="256"/>
    </w:p>
    <w:p w14:paraId="2FF6D85C">
      <w:pPr>
        <w:pStyle w:val="4"/>
        <w:keepNext w:val="0"/>
        <w:keepLines w:val="0"/>
        <w:numPr>
          <w:ilvl w:val="255"/>
          <w:numId w:val="0"/>
        </w:numPr>
        <w:spacing w:before="78" w:beforeLines="25" w:after="0" w:line="440" w:lineRule="exact"/>
        <w:rPr>
          <w:rFonts w:hint="eastAsia" w:ascii="宋体" w:hAnsi="宋体" w:cs="宋体"/>
          <w:b w:val="0"/>
          <w:color w:val="000000"/>
          <w:kern w:val="0"/>
          <w:sz w:val="24"/>
          <w:szCs w:val="24"/>
          <w:lang w:val="zh-CN" w:bidi="ar"/>
        </w:rPr>
      </w:pPr>
      <w:bookmarkStart w:id="257" w:name="_Toc26008"/>
      <w:bookmarkStart w:id="258" w:name="_Toc27124"/>
      <w:r>
        <w:rPr>
          <w:rFonts w:hint="eastAsia" w:ascii="宋体" w:hAnsi="宋体" w:cs="宋体"/>
          <w:b w:val="0"/>
          <w:color w:val="000000"/>
          <w:kern w:val="0"/>
          <w:sz w:val="24"/>
          <w:szCs w:val="24"/>
          <w:lang w:val="zh-CN" w:bidi="ar"/>
        </w:rPr>
        <w:t>至全部通过</w:t>
      </w:r>
      <w:r>
        <w:rPr>
          <w:b w:val="0"/>
          <w:bCs w:val="0"/>
          <w:sz w:val="24"/>
        </w:rPr>
        <w:t>0.3mm</w:t>
      </w:r>
      <w:r>
        <w:rPr>
          <w:rFonts w:hint="eastAsia" w:ascii="宋体" w:hAnsi="宋体" w:cs="宋体"/>
          <w:b w:val="0"/>
          <w:color w:val="000000"/>
          <w:kern w:val="0"/>
          <w:sz w:val="24"/>
          <w:szCs w:val="24"/>
          <w:lang w:val="zh-CN" w:bidi="ar"/>
        </w:rPr>
        <w:t>方孔筛，方可使用。</w:t>
      </w:r>
      <w:bookmarkEnd w:id="257"/>
      <w:bookmarkEnd w:id="258"/>
    </w:p>
    <w:p w14:paraId="7A325B4D">
      <w:pPr>
        <w:pStyle w:val="4"/>
        <w:keepNext w:val="0"/>
        <w:keepLines w:val="0"/>
        <w:numPr>
          <w:ilvl w:val="0"/>
          <w:numId w:val="36"/>
        </w:numPr>
        <w:tabs>
          <w:tab w:val="clear" w:pos="720"/>
        </w:tabs>
        <w:spacing w:before="78" w:beforeLines="25" w:after="0" w:line="440" w:lineRule="exact"/>
        <w:rPr>
          <w:rFonts w:hint="eastAsia" w:ascii="宋体" w:hAnsi="宋体" w:cs="宋体"/>
          <w:b w:val="0"/>
          <w:color w:val="000000"/>
          <w:kern w:val="0"/>
          <w:sz w:val="24"/>
          <w:szCs w:val="24"/>
          <w:lang w:val="zh-CN" w:bidi="ar"/>
        </w:rPr>
      </w:pPr>
      <w:bookmarkStart w:id="259" w:name="_Toc15231"/>
      <w:bookmarkStart w:id="260" w:name="_Toc20055"/>
      <w:r>
        <w:rPr>
          <w:rFonts w:hint="eastAsia" w:ascii="宋体" w:hAnsi="宋体" w:cs="宋体"/>
          <w:b w:val="0"/>
          <w:color w:val="000000"/>
          <w:kern w:val="0"/>
          <w:sz w:val="24"/>
          <w:szCs w:val="24"/>
          <w:lang w:val="zh-CN" w:bidi="ar"/>
        </w:rPr>
        <w:t>液态外加剂应贮存在不会发生化学反应的密闭容器内，并应防晒和防冻，</w:t>
      </w:r>
      <w:bookmarkEnd w:id="259"/>
      <w:bookmarkEnd w:id="260"/>
    </w:p>
    <w:p w14:paraId="05C09987">
      <w:pPr>
        <w:pStyle w:val="4"/>
        <w:keepNext w:val="0"/>
        <w:keepLines w:val="0"/>
        <w:numPr>
          <w:ilvl w:val="255"/>
          <w:numId w:val="0"/>
        </w:numPr>
        <w:spacing w:before="78" w:beforeLines="25" w:after="0" w:line="440" w:lineRule="exact"/>
        <w:rPr>
          <w:rFonts w:hint="eastAsia" w:ascii="宋体" w:hAnsi="宋体" w:cs="宋体"/>
          <w:b w:val="0"/>
          <w:color w:val="000000"/>
          <w:kern w:val="0"/>
          <w:sz w:val="24"/>
          <w:szCs w:val="24"/>
          <w:lang w:val="zh-CN" w:bidi="ar"/>
        </w:rPr>
      </w:pPr>
      <w:bookmarkStart w:id="261" w:name="_Toc7082"/>
      <w:bookmarkStart w:id="262" w:name="_Toc25655"/>
      <w:r>
        <w:rPr>
          <w:rFonts w:hint="eastAsia" w:ascii="宋体" w:hAnsi="宋体" w:cs="宋体"/>
          <w:b w:val="0"/>
          <w:color w:val="000000"/>
          <w:kern w:val="0"/>
          <w:sz w:val="24"/>
          <w:szCs w:val="24"/>
          <w:lang w:val="zh-CN" w:bidi="ar"/>
        </w:rPr>
        <w:t>使用前应搅拌均匀，如有沉淀等异常现象，应检验合格后方可使用。</w:t>
      </w:r>
      <w:bookmarkEnd w:id="252"/>
      <w:bookmarkEnd w:id="261"/>
      <w:bookmarkEnd w:id="262"/>
    </w:p>
    <w:p w14:paraId="3B79C06F">
      <w:pPr>
        <w:rPr>
          <w:lang w:val="zh-CN"/>
        </w:rPr>
      </w:pPr>
    </w:p>
    <w:p w14:paraId="7DCA2989">
      <w:pPr>
        <w:pStyle w:val="3"/>
        <w:keepNext w:val="0"/>
        <w:keepLines w:val="0"/>
        <w:widowControl/>
        <w:numPr>
          <w:ilvl w:val="1"/>
          <w:numId w:val="34"/>
        </w:numPr>
        <w:tabs>
          <w:tab w:val="clear" w:pos="0"/>
          <w:tab w:val="clear" w:pos="576"/>
        </w:tabs>
        <w:spacing w:before="0" w:after="0" w:line="440" w:lineRule="exact"/>
        <w:rPr>
          <w:rFonts w:hint="eastAsia" w:ascii="宋体" w:hAnsi="宋体" w:eastAsia="微软雅黑" w:cs="宋体"/>
          <w:bCs w:val="0"/>
          <w:color w:val="000000"/>
          <w:kern w:val="0"/>
          <w:sz w:val="28"/>
          <w:szCs w:val="24"/>
          <w:lang w:bidi="ar"/>
        </w:rPr>
      </w:pPr>
      <w:bookmarkStart w:id="263" w:name="_Toc12395"/>
      <w:bookmarkStart w:id="264" w:name="_Toc32605"/>
      <w:bookmarkStart w:id="265" w:name="_Toc588"/>
      <w:bookmarkStart w:id="266" w:name="_Toc14475"/>
      <w:r>
        <w:rPr>
          <w:rFonts w:hint="eastAsia" w:ascii="宋体" w:hAnsi="宋体" w:eastAsia="微软雅黑" w:cs="宋体"/>
          <w:bCs w:val="0"/>
          <w:color w:val="000000"/>
          <w:kern w:val="0"/>
          <w:sz w:val="28"/>
          <w:szCs w:val="24"/>
          <w:lang w:bidi="ar"/>
        </w:rPr>
        <w:t>计量与搅拌</w:t>
      </w:r>
      <w:bookmarkEnd w:id="263"/>
      <w:bookmarkEnd w:id="264"/>
      <w:bookmarkEnd w:id="265"/>
      <w:bookmarkEnd w:id="266"/>
    </w:p>
    <w:p w14:paraId="2C63C0C1">
      <w:pPr>
        <w:pStyle w:val="4"/>
        <w:keepNext w:val="0"/>
        <w:keepLines w:val="0"/>
        <w:numPr>
          <w:ilvl w:val="0"/>
          <w:numId w:val="37"/>
        </w:numPr>
        <w:tabs>
          <w:tab w:val="clear" w:pos="720"/>
        </w:tabs>
        <w:spacing w:before="78" w:beforeLines="25" w:after="0" w:line="440" w:lineRule="exact"/>
        <w:ind w:left="0" w:firstLine="0"/>
      </w:pPr>
      <w:bookmarkStart w:id="267" w:name="_Toc22470"/>
      <w:bookmarkStart w:id="268" w:name="_Toc6537"/>
      <w:bookmarkStart w:id="269" w:name="_Toc23937"/>
      <w:r>
        <w:rPr>
          <w:b w:val="0"/>
          <w:color w:val="000000"/>
          <w:kern w:val="0"/>
          <w:sz w:val="24"/>
          <w:szCs w:val="24"/>
          <w:lang w:val="zh-CN" w:bidi="ar"/>
        </w:rPr>
        <w:t>计量设备应符合现行国家标准《建筑施工机械与设备 混凝土搅拌站（楼）》GB/T 10171的</w:t>
      </w:r>
      <w:bookmarkEnd w:id="267"/>
      <w:bookmarkStart w:id="270" w:name="_Toc18415"/>
      <w:r>
        <w:rPr>
          <w:b w:val="0"/>
          <w:color w:val="000000"/>
          <w:kern w:val="0"/>
          <w:sz w:val="24"/>
          <w:szCs w:val="24"/>
          <w:lang w:val="zh-CN" w:bidi="ar"/>
        </w:rPr>
        <w:t>有关规定，原材料的计量应按质量计，且计量允许偏差应符合表</w:t>
      </w:r>
      <w:r>
        <w:rPr>
          <w:b w:val="0"/>
          <w:bCs w:val="0"/>
          <w:sz w:val="24"/>
        </w:rPr>
        <w:t>6</w:t>
      </w:r>
      <w:r>
        <w:rPr>
          <w:b w:val="0"/>
          <w:bCs w:val="0"/>
          <w:sz w:val="24"/>
          <w:lang w:val="zh-CN"/>
        </w:rPr>
        <w:t>.3.1</w:t>
      </w:r>
      <w:r>
        <w:rPr>
          <w:b w:val="0"/>
          <w:color w:val="000000"/>
          <w:kern w:val="0"/>
          <w:sz w:val="24"/>
          <w:szCs w:val="24"/>
          <w:lang w:val="zh-CN" w:bidi="ar"/>
        </w:rPr>
        <w:t>的规定。</w:t>
      </w:r>
      <w:bookmarkEnd w:id="268"/>
      <w:bookmarkEnd w:id="269"/>
      <w:bookmarkEnd w:id="270"/>
    </w:p>
    <w:p w14:paraId="6F16B387">
      <w:pPr>
        <w:spacing w:before="78" w:beforeLines="25" w:line="440" w:lineRule="exact"/>
        <w:jc w:val="center"/>
        <w:rPr>
          <w:rFonts w:hint="eastAsia" w:ascii="微软雅黑" w:hAnsi="微软雅黑" w:eastAsia="微软雅黑" w:cs="微软雅黑"/>
          <w:b/>
          <w:bCs/>
          <w:sz w:val="24"/>
        </w:rPr>
      </w:pPr>
      <w:r>
        <w:rPr>
          <w:rFonts w:eastAsia="微软雅黑"/>
          <w:b/>
          <w:bCs/>
          <w:sz w:val="24"/>
        </w:rPr>
        <w:t xml:space="preserve">表6.3.1 </w:t>
      </w:r>
      <w:r>
        <w:rPr>
          <w:rFonts w:hint="eastAsia" w:ascii="微软雅黑" w:hAnsi="微软雅黑" w:eastAsia="微软雅黑" w:cs="微软雅黑"/>
          <w:b/>
          <w:bCs/>
          <w:sz w:val="24"/>
        </w:rPr>
        <w:t>原材料计量允许偏差</w:t>
      </w:r>
    </w:p>
    <w:tbl>
      <w:tblPr>
        <w:tblStyle w:val="7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682"/>
        <w:gridCol w:w="1387"/>
        <w:gridCol w:w="1387"/>
        <w:gridCol w:w="1387"/>
        <w:gridCol w:w="1256"/>
      </w:tblGrid>
      <w:tr w14:paraId="5531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07" w:type="pct"/>
            <w:shd w:val="clear" w:color="auto" w:fill="auto"/>
            <w:vAlign w:val="center"/>
          </w:tcPr>
          <w:p w14:paraId="2C41706D">
            <w:pPr>
              <w:spacing w:line="360" w:lineRule="auto"/>
              <w:jc w:val="center"/>
              <w:rPr>
                <w:sz w:val="24"/>
              </w:rPr>
            </w:pPr>
            <w:r>
              <w:rPr>
                <w:sz w:val="24"/>
              </w:rPr>
              <w:t>序号</w:t>
            </w:r>
          </w:p>
        </w:tc>
        <w:tc>
          <w:tcPr>
            <w:tcW w:w="1521" w:type="pct"/>
            <w:shd w:val="clear" w:color="auto" w:fill="auto"/>
            <w:vAlign w:val="center"/>
          </w:tcPr>
          <w:p w14:paraId="390CDEEB">
            <w:pPr>
              <w:spacing w:line="360" w:lineRule="auto"/>
              <w:jc w:val="center"/>
              <w:rPr>
                <w:sz w:val="24"/>
              </w:rPr>
            </w:pPr>
            <w:r>
              <w:rPr>
                <w:sz w:val="24"/>
              </w:rPr>
              <w:t>原材料品种</w:t>
            </w:r>
          </w:p>
        </w:tc>
        <w:tc>
          <w:tcPr>
            <w:tcW w:w="786" w:type="pct"/>
            <w:shd w:val="clear" w:color="auto" w:fill="auto"/>
            <w:vAlign w:val="center"/>
          </w:tcPr>
          <w:p w14:paraId="7E65AC23">
            <w:pPr>
              <w:spacing w:line="360" w:lineRule="auto"/>
              <w:jc w:val="center"/>
              <w:rPr>
                <w:sz w:val="24"/>
              </w:rPr>
            </w:pPr>
            <w:r>
              <w:rPr>
                <w:sz w:val="24"/>
              </w:rPr>
              <w:t>胶凝材料</w:t>
            </w:r>
          </w:p>
        </w:tc>
        <w:tc>
          <w:tcPr>
            <w:tcW w:w="786" w:type="pct"/>
            <w:shd w:val="clear" w:color="auto" w:fill="auto"/>
            <w:vAlign w:val="center"/>
          </w:tcPr>
          <w:p w14:paraId="27F03578">
            <w:pPr>
              <w:spacing w:line="360" w:lineRule="auto"/>
              <w:jc w:val="center"/>
              <w:rPr>
                <w:sz w:val="24"/>
              </w:rPr>
            </w:pPr>
            <w:r>
              <w:rPr>
                <w:sz w:val="24"/>
              </w:rPr>
              <w:t>骨料</w:t>
            </w:r>
          </w:p>
        </w:tc>
        <w:tc>
          <w:tcPr>
            <w:tcW w:w="786" w:type="pct"/>
            <w:shd w:val="clear" w:color="auto" w:fill="auto"/>
            <w:vAlign w:val="center"/>
          </w:tcPr>
          <w:p w14:paraId="161B5364">
            <w:pPr>
              <w:spacing w:line="360" w:lineRule="auto"/>
              <w:jc w:val="center"/>
              <w:rPr>
                <w:sz w:val="24"/>
              </w:rPr>
            </w:pPr>
            <w:r>
              <w:rPr>
                <w:sz w:val="24"/>
              </w:rPr>
              <w:t>水</w:t>
            </w:r>
          </w:p>
        </w:tc>
        <w:tc>
          <w:tcPr>
            <w:tcW w:w="712" w:type="pct"/>
            <w:shd w:val="clear" w:color="auto" w:fill="auto"/>
            <w:vAlign w:val="center"/>
          </w:tcPr>
          <w:p w14:paraId="2CAC42F4">
            <w:pPr>
              <w:spacing w:line="360" w:lineRule="auto"/>
              <w:jc w:val="center"/>
              <w:rPr>
                <w:sz w:val="24"/>
              </w:rPr>
            </w:pPr>
            <w:r>
              <w:rPr>
                <w:sz w:val="24"/>
              </w:rPr>
              <w:t>外加剂</w:t>
            </w:r>
          </w:p>
        </w:tc>
      </w:tr>
      <w:tr w14:paraId="1FE2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7" w:type="pct"/>
            <w:shd w:val="clear" w:color="auto" w:fill="auto"/>
            <w:vAlign w:val="center"/>
          </w:tcPr>
          <w:p w14:paraId="6E910987">
            <w:pPr>
              <w:spacing w:line="360" w:lineRule="auto"/>
              <w:jc w:val="center"/>
              <w:rPr>
                <w:sz w:val="24"/>
              </w:rPr>
            </w:pPr>
            <w:r>
              <w:rPr>
                <w:sz w:val="24"/>
              </w:rPr>
              <w:t>1</w:t>
            </w:r>
          </w:p>
        </w:tc>
        <w:tc>
          <w:tcPr>
            <w:tcW w:w="1521" w:type="pct"/>
            <w:shd w:val="clear" w:color="auto" w:fill="auto"/>
            <w:vAlign w:val="center"/>
          </w:tcPr>
          <w:p w14:paraId="1E06A603">
            <w:pPr>
              <w:spacing w:line="360" w:lineRule="auto"/>
              <w:jc w:val="center"/>
              <w:rPr>
                <w:sz w:val="24"/>
              </w:rPr>
            </w:pPr>
            <w:r>
              <w:rPr>
                <w:sz w:val="24"/>
              </w:rPr>
              <w:t>每盘计量允许偏</w:t>
            </w:r>
            <w:r>
              <w:rPr>
                <w:rFonts w:hint="eastAsia"/>
                <w:sz w:val="24"/>
              </w:rPr>
              <w:t>差</w:t>
            </w:r>
            <w:r>
              <w:rPr>
                <w:rFonts w:hint="eastAsia"/>
                <w:sz w:val="24"/>
                <w:szCs w:val="32"/>
                <w:lang w:val="zh-CN"/>
              </w:rPr>
              <w:t>（%）</w:t>
            </w:r>
          </w:p>
        </w:tc>
        <w:tc>
          <w:tcPr>
            <w:tcW w:w="786" w:type="pct"/>
            <w:shd w:val="clear" w:color="auto" w:fill="auto"/>
            <w:vAlign w:val="center"/>
          </w:tcPr>
          <w:p w14:paraId="78E81185">
            <w:pPr>
              <w:spacing w:line="360" w:lineRule="auto"/>
              <w:jc w:val="center"/>
              <w:rPr>
                <w:sz w:val="24"/>
              </w:rPr>
            </w:pPr>
            <w:r>
              <w:rPr>
                <w:sz w:val="24"/>
              </w:rPr>
              <w:t>±2</w:t>
            </w:r>
          </w:p>
        </w:tc>
        <w:tc>
          <w:tcPr>
            <w:tcW w:w="786" w:type="pct"/>
            <w:shd w:val="clear" w:color="auto" w:fill="auto"/>
            <w:vAlign w:val="center"/>
          </w:tcPr>
          <w:p w14:paraId="04086111">
            <w:pPr>
              <w:spacing w:line="360" w:lineRule="auto"/>
              <w:jc w:val="center"/>
              <w:rPr>
                <w:sz w:val="24"/>
              </w:rPr>
            </w:pPr>
            <w:r>
              <w:rPr>
                <w:sz w:val="24"/>
              </w:rPr>
              <w:t>±3</w:t>
            </w:r>
          </w:p>
        </w:tc>
        <w:tc>
          <w:tcPr>
            <w:tcW w:w="786" w:type="pct"/>
            <w:shd w:val="clear" w:color="auto" w:fill="auto"/>
            <w:vAlign w:val="center"/>
          </w:tcPr>
          <w:p w14:paraId="39085D25">
            <w:pPr>
              <w:spacing w:line="360" w:lineRule="auto"/>
              <w:jc w:val="center"/>
              <w:rPr>
                <w:sz w:val="24"/>
              </w:rPr>
            </w:pPr>
            <w:r>
              <w:rPr>
                <w:sz w:val="24"/>
              </w:rPr>
              <w:t>±1</w:t>
            </w:r>
          </w:p>
        </w:tc>
        <w:tc>
          <w:tcPr>
            <w:tcW w:w="712" w:type="pct"/>
            <w:shd w:val="clear" w:color="auto" w:fill="auto"/>
            <w:vAlign w:val="center"/>
          </w:tcPr>
          <w:p w14:paraId="7FC501C1">
            <w:pPr>
              <w:spacing w:line="360" w:lineRule="auto"/>
              <w:jc w:val="center"/>
              <w:rPr>
                <w:sz w:val="24"/>
              </w:rPr>
            </w:pPr>
            <w:r>
              <w:rPr>
                <w:sz w:val="24"/>
              </w:rPr>
              <w:t>±1</w:t>
            </w:r>
          </w:p>
        </w:tc>
      </w:tr>
      <w:tr w14:paraId="758F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shd w:val="clear" w:color="auto" w:fill="auto"/>
            <w:vAlign w:val="center"/>
          </w:tcPr>
          <w:p w14:paraId="5B31A52A">
            <w:pPr>
              <w:spacing w:line="360" w:lineRule="auto"/>
              <w:jc w:val="center"/>
              <w:rPr>
                <w:sz w:val="24"/>
              </w:rPr>
            </w:pPr>
            <w:r>
              <w:rPr>
                <w:sz w:val="24"/>
              </w:rPr>
              <w:t>2</w:t>
            </w:r>
          </w:p>
        </w:tc>
        <w:tc>
          <w:tcPr>
            <w:tcW w:w="1521" w:type="pct"/>
            <w:shd w:val="clear" w:color="auto" w:fill="auto"/>
            <w:vAlign w:val="center"/>
          </w:tcPr>
          <w:p w14:paraId="0784A64F">
            <w:pPr>
              <w:spacing w:line="360" w:lineRule="auto"/>
              <w:jc w:val="center"/>
              <w:rPr>
                <w:sz w:val="24"/>
              </w:rPr>
            </w:pPr>
            <w:r>
              <w:rPr>
                <w:sz w:val="24"/>
              </w:rPr>
              <w:t>累计计量允许偏</w:t>
            </w:r>
            <w:r>
              <w:rPr>
                <w:rFonts w:hint="eastAsia"/>
                <w:sz w:val="24"/>
              </w:rPr>
              <w:t>差</w:t>
            </w:r>
            <w:r>
              <w:rPr>
                <w:sz w:val="24"/>
              </w:rPr>
              <w:t>（%）</w:t>
            </w:r>
          </w:p>
        </w:tc>
        <w:tc>
          <w:tcPr>
            <w:tcW w:w="786" w:type="pct"/>
            <w:shd w:val="clear" w:color="auto" w:fill="auto"/>
            <w:vAlign w:val="center"/>
          </w:tcPr>
          <w:p w14:paraId="70D7EC27">
            <w:pPr>
              <w:spacing w:line="360" w:lineRule="auto"/>
              <w:jc w:val="center"/>
              <w:rPr>
                <w:sz w:val="24"/>
              </w:rPr>
            </w:pPr>
            <w:r>
              <w:rPr>
                <w:sz w:val="24"/>
              </w:rPr>
              <w:t>±1</w:t>
            </w:r>
          </w:p>
        </w:tc>
        <w:tc>
          <w:tcPr>
            <w:tcW w:w="786" w:type="pct"/>
            <w:shd w:val="clear" w:color="auto" w:fill="auto"/>
            <w:vAlign w:val="center"/>
          </w:tcPr>
          <w:p w14:paraId="4B98B54B">
            <w:pPr>
              <w:spacing w:line="360" w:lineRule="auto"/>
              <w:jc w:val="center"/>
              <w:rPr>
                <w:sz w:val="24"/>
              </w:rPr>
            </w:pPr>
            <w:r>
              <w:rPr>
                <w:sz w:val="24"/>
              </w:rPr>
              <w:t>±2</w:t>
            </w:r>
          </w:p>
        </w:tc>
        <w:tc>
          <w:tcPr>
            <w:tcW w:w="786" w:type="pct"/>
            <w:shd w:val="clear" w:color="auto" w:fill="auto"/>
            <w:vAlign w:val="center"/>
          </w:tcPr>
          <w:p w14:paraId="1AB3E793">
            <w:pPr>
              <w:spacing w:line="360" w:lineRule="auto"/>
              <w:jc w:val="center"/>
              <w:rPr>
                <w:sz w:val="24"/>
              </w:rPr>
            </w:pPr>
            <w:r>
              <w:rPr>
                <w:sz w:val="24"/>
              </w:rPr>
              <w:t>±1</w:t>
            </w:r>
          </w:p>
        </w:tc>
        <w:tc>
          <w:tcPr>
            <w:tcW w:w="712" w:type="pct"/>
            <w:shd w:val="clear" w:color="auto" w:fill="auto"/>
            <w:vAlign w:val="center"/>
          </w:tcPr>
          <w:p w14:paraId="33A9116E">
            <w:pPr>
              <w:spacing w:line="360" w:lineRule="auto"/>
              <w:jc w:val="center"/>
              <w:rPr>
                <w:sz w:val="24"/>
              </w:rPr>
            </w:pPr>
            <w:r>
              <w:rPr>
                <w:sz w:val="24"/>
              </w:rPr>
              <w:t>±1</w:t>
            </w:r>
          </w:p>
        </w:tc>
      </w:tr>
    </w:tbl>
    <w:p w14:paraId="31AFBE87">
      <w:pPr>
        <w:pStyle w:val="4"/>
        <w:keepNext w:val="0"/>
        <w:keepLines w:val="0"/>
        <w:numPr>
          <w:ilvl w:val="0"/>
          <w:numId w:val="37"/>
        </w:numPr>
        <w:tabs>
          <w:tab w:val="clear" w:pos="720"/>
        </w:tabs>
        <w:spacing w:before="78" w:beforeLines="25" w:after="0" w:line="440" w:lineRule="exact"/>
        <w:rPr>
          <w:rFonts w:hint="eastAsia" w:ascii="宋体" w:hAnsi="宋体" w:cs="宋体"/>
          <w:b w:val="0"/>
          <w:color w:val="000000"/>
          <w:kern w:val="0"/>
          <w:sz w:val="24"/>
          <w:szCs w:val="24"/>
          <w:lang w:val="zh-CN" w:bidi="ar"/>
        </w:rPr>
      </w:pPr>
      <w:bookmarkStart w:id="271" w:name="_Toc26282"/>
      <w:bookmarkStart w:id="272" w:name="_Toc12189"/>
      <w:bookmarkStart w:id="273" w:name="_Toc26196"/>
      <w:r>
        <w:rPr>
          <w:rFonts w:hint="eastAsia" w:ascii="宋体" w:hAnsi="宋体" w:cs="宋体"/>
          <w:b w:val="0"/>
          <w:color w:val="000000"/>
          <w:kern w:val="0"/>
          <w:sz w:val="24"/>
          <w:szCs w:val="24"/>
          <w:lang w:val="zh-CN" w:bidi="ar"/>
        </w:rPr>
        <w:t>低强度充填材料宜采用集中搅拌方式生产，生产过程应符合现行国家标准</w:t>
      </w:r>
      <w:bookmarkEnd w:id="271"/>
      <w:bookmarkEnd w:id="272"/>
      <w:bookmarkEnd w:id="273"/>
    </w:p>
    <w:p w14:paraId="29B1B4C2">
      <w:pPr>
        <w:pStyle w:val="4"/>
        <w:keepNext w:val="0"/>
        <w:keepLines w:val="0"/>
        <w:spacing w:before="78" w:beforeLines="25" w:after="0" w:line="440" w:lineRule="exact"/>
        <w:ind w:left="0" w:firstLine="0"/>
        <w:rPr>
          <w:rFonts w:hint="eastAsia" w:ascii="宋体" w:hAnsi="宋体" w:cs="宋体"/>
          <w:b w:val="0"/>
          <w:color w:val="000000"/>
          <w:kern w:val="0"/>
          <w:sz w:val="24"/>
          <w:szCs w:val="24"/>
          <w:lang w:val="zh-CN" w:bidi="ar"/>
        </w:rPr>
      </w:pPr>
      <w:bookmarkStart w:id="274" w:name="_Toc30012"/>
      <w:bookmarkStart w:id="275" w:name="_Toc16866"/>
      <w:bookmarkStart w:id="276" w:name="_Toc10763"/>
      <w:r>
        <w:rPr>
          <w:rFonts w:hint="eastAsia" w:ascii="宋体" w:hAnsi="宋体" w:cs="宋体"/>
          <w:b w:val="0"/>
          <w:color w:val="000000"/>
          <w:kern w:val="0"/>
          <w:sz w:val="24"/>
          <w:szCs w:val="24"/>
          <w:lang w:val="zh-CN" w:bidi="ar"/>
        </w:rPr>
        <w:t>《预拌混凝土》</w:t>
      </w:r>
      <w:r>
        <w:rPr>
          <w:rFonts w:hint="eastAsia"/>
          <w:b w:val="0"/>
          <w:bCs w:val="0"/>
          <w:sz w:val="24"/>
          <w:lang w:val="zh-CN"/>
        </w:rPr>
        <w:t>GB/T 14902</w:t>
      </w:r>
      <w:r>
        <w:rPr>
          <w:rFonts w:hint="eastAsia" w:ascii="宋体" w:hAnsi="宋体" w:cs="宋体"/>
          <w:b w:val="0"/>
          <w:color w:val="000000"/>
          <w:kern w:val="0"/>
          <w:sz w:val="24"/>
          <w:szCs w:val="24"/>
          <w:lang w:val="zh-CN" w:bidi="ar"/>
        </w:rPr>
        <w:t>的规定。</w:t>
      </w:r>
      <w:bookmarkEnd w:id="274"/>
      <w:bookmarkEnd w:id="275"/>
      <w:bookmarkEnd w:id="276"/>
    </w:p>
    <w:p w14:paraId="50EEAEA8">
      <w:pPr>
        <w:pStyle w:val="4"/>
        <w:keepNext w:val="0"/>
        <w:keepLines w:val="0"/>
        <w:numPr>
          <w:ilvl w:val="0"/>
          <w:numId w:val="37"/>
        </w:numPr>
        <w:tabs>
          <w:tab w:val="clear" w:pos="720"/>
        </w:tabs>
        <w:spacing w:before="78" w:beforeLines="25" w:after="0" w:line="440" w:lineRule="exact"/>
        <w:rPr>
          <w:rFonts w:hint="eastAsia" w:ascii="宋体" w:hAnsi="宋体" w:cs="宋体"/>
          <w:b w:val="0"/>
          <w:color w:val="000000"/>
          <w:kern w:val="0"/>
          <w:sz w:val="24"/>
          <w:szCs w:val="24"/>
          <w:lang w:val="zh-CN" w:bidi="ar"/>
        </w:rPr>
      </w:pPr>
      <w:bookmarkStart w:id="277" w:name="_Toc9777"/>
      <w:bookmarkStart w:id="278" w:name="_Toc29498"/>
      <w:bookmarkStart w:id="279" w:name="_Toc9867"/>
      <w:r>
        <w:rPr>
          <w:rFonts w:hint="eastAsia" w:ascii="宋体" w:hAnsi="宋体" w:cs="宋体"/>
          <w:b w:val="0"/>
          <w:color w:val="000000"/>
          <w:kern w:val="0"/>
          <w:sz w:val="24"/>
          <w:szCs w:val="24"/>
          <w:lang w:val="zh-CN" w:bidi="ar"/>
        </w:rPr>
        <w:t>在试验室搅拌时，拌合时间不宜少于</w:t>
      </w:r>
      <w:r>
        <w:rPr>
          <w:rFonts w:hint="eastAsia"/>
          <w:b w:val="0"/>
          <w:bCs w:val="0"/>
          <w:sz w:val="24"/>
          <w:lang w:val="zh-CN"/>
        </w:rPr>
        <w:t>180s</w:t>
      </w:r>
      <w:r>
        <w:rPr>
          <w:rFonts w:hint="eastAsia" w:ascii="宋体" w:hAnsi="宋体" w:cs="宋体"/>
          <w:b w:val="0"/>
          <w:color w:val="000000"/>
          <w:kern w:val="0"/>
          <w:sz w:val="24"/>
          <w:szCs w:val="24"/>
          <w:lang w:val="zh-CN" w:bidi="ar"/>
        </w:rPr>
        <w:t>，搅拌站（楼）搅拌时，拌合</w:t>
      </w:r>
      <w:bookmarkEnd w:id="277"/>
      <w:bookmarkEnd w:id="278"/>
      <w:bookmarkEnd w:id="279"/>
    </w:p>
    <w:p w14:paraId="617AE754">
      <w:pPr>
        <w:pStyle w:val="4"/>
        <w:keepNext w:val="0"/>
        <w:keepLines w:val="0"/>
        <w:spacing w:before="78" w:beforeLines="25" w:after="0" w:line="440" w:lineRule="exact"/>
        <w:ind w:left="0" w:firstLine="0"/>
        <w:rPr>
          <w:rFonts w:hint="eastAsia" w:ascii="宋体" w:hAnsi="宋体" w:cs="宋体"/>
          <w:b w:val="0"/>
          <w:color w:val="000000"/>
          <w:kern w:val="0"/>
          <w:sz w:val="24"/>
          <w:szCs w:val="24"/>
          <w:lang w:val="zh-CN" w:bidi="ar"/>
        </w:rPr>
      </w:pPr>
      <w:bookmarkStart w:id="280" w:name="_Toc24807"/>
      <w:bookmarkStart w:id="281" w:name="_Toc18519"/>
      <w:bookmarkStart w:id="282" w:name="_Toc26234"/>
      <w:r>
        <w:rPr>
          <w:rFonts w:hint="eastAsia" w:ascii="宋体" w:hAnsi="宋体" w:cs="宋体"/>
          <w:b w:val="0"/>
          <w:color w:val="000000"/>
          <w:kern w:val="0"/>
          <w:sz w:val="24"/>
          <w:szCs w:val="24"/>
          <w:lang w:val="zh-CN" w:bidi="ar"/>
        </w:rPr>
        <w:t>时间不应少于</w:t>
      </w:r>
      <w:r>
        <w:rPr>
          <w:rFonts w:hint="eastAsia"/>
          <w:b w:val="0"/>
          <w:bCs w:val="0"/>
          <w:sz w:val="24"/>
          <w:lang w:val="zh-CN"/>
        </w:rPr>
        <w:t>90s</w:t>
      </w:r>
      <w:r>
        <w:rPr>
          <w:rFonts w:hint="eastAsia" w:ascii="宋体" w:hAnsi="宋体" w:cs="宋体"/>
          <w:b w:val="0"/>
          <w:color w:val="000000"/>
          <w:kern w:val="0"/>
          <w:sz w:val="24"/>
          <w:szCs w:val="24"/>
          <w:lang w:val="zh-CN" w:bidi="ar"/>
        </w:rPr>
        <w:t>，并根据实际拌合情况调整。</w:t>
      </w:r>
      <w:bookmarkEnd w:id="280"/>
      <w:bookmarkEnd w:id="281"/>
      <w:bookmarkEnd w:id="282"/>
    </w:p>
    <w:p w14:paraId="180076D7">
      <w:pPr>
        <w:spacing w:before="78" w:beforeLines="25" w:line="440" w:lineRule="exact"/>
        <w:rPr>
          <w:rFonts w:hint="eastAsia" w:ascii="楷体" w:hAnsi="楷体" w:eastAsia="楷体" w:cs="楷体"/>
          <w:bCs/>
          <w:color w:val="000000"/>
          <w:sz w:val="24"/>
        </w:rPr>
      </w:pPr>
      <w:r>
        <w:rPr>
          <w:rFonts w:hint="eastAsia" w:ascii="楷体" w:hAnsi="楷体" w:eastAsia="楷体" w:cs="楷体"/>
          <w:bCs/>
          <w:color w:val="000000"/>
          <w:sz w:val="24"/>
        </w:rPr>
        <w:t>【条文说明】实验室搅拌时，为保证体系均匀，应适当增加拌合时间。在搅拌站拌合时，由于搅拌机功率与效率的提升，可适当缩短拌合时间，也可根据实际进行调整。</w:t>
      </w:r>
    </w:p>
    <w:p w14:paraId="6B8F2003"/>
    <w:p w14:paraId="136DCD5D">
      <w:pPr>
        <w:pStyle w:val="3"/>
        <w:keepNext w:val="0"/>
        <w:keepLines w:val="0"/>
        <w:widowControl/>
        <w:numPr>
          <w:ilvl w:val="1"/>
          <w:numId w:val="34"/>
        </w:numPr>
        <w:tabs>
          <w:tab w:val="clear" w:pos="0"/>
          <w:tab w:val="clear" w:pos="576"/>
        </w:tabs>
        <w:spacing w:before="0" w:after="0" w:line="440" w:lineRule="exact"/>
      </w:pPr>
      <w:bookmarkStart w:id="283" w:name="_Toc26535"/>
      <w:bookmarkStart w:id="284" w:name="_Toc7037"/>
      <w:bookmarkStart w:id="285" w:name="_Toc9264"/>
      <w:bookmarkStart w:id="286" w:name="_Toc10135"/>
      <w:r>
        <w:rPr>
          <w:rFonts w:hint="eastAsia" w:ascii="宋体" w:hAnsi="宋体" w:eastAsia="微软雅黑" w:cs="宋体"/>
          <w:bCs w:val="0"/>
          <w:color w:val="000000"/>
          <w:kern w:val="0"/>
          <w:sz w:val="28"/>
          <w:szCs w:val="24"/>
          <w:lang w:bidi="ar"/>
        </w:rPr>
        <w:t>运输</w:t>
      </w:r>
      <w:bookmarkEnd w:id="283"/>
      <w:bookmarkEnd w:id="284"/>
      <w:bookmarkEnd w:id="285"/>
      <w:bookmarkEnd w:id="286"/>
    </w:p>
    <w:p w14:paraId="37FC32C5">
      <w:pPr>
        <w:pStyle w:val="4"/>
        <w:keepNext w:val="0"/>
        <w:keepLines w:val="0"/>
        <w:numPr>
          <w:ilvl w:val="0"/>
          <w:numId w:val="38"/>
        </w:numPr>
        <w:tabs>
          <w:tab w:val="clear" w:pos="720"/>
        </w:tabs>
        <w:spacing w:before="78" w:beforeLines="25" w:after="0" w:line="440" w:lineRule="exact"/>
        <w:ind w:left="0" w:firstLine="0"/>
        <w:jc w:val="left"/>
        <w:rPr>
          <w:rFonts w:hint="eastAsia" w:ascii="宋体" w:hAnsi="宋体" w:cs="宋体"/>
          <w:b w:val="0"/>
          <w:bCs w:val="0"/>
          <w:color w:val="000000"/>
          <w:kern w:val="0"/>
          <w:sz w:val="24"/>
          <w:szCs w:val="24"/>
          <w:lang w:bidi="ar"/>
        </w:rPr>
      </w:pPr>
      <w:bookmarkStart w:id="287" w:name="_Toc15647"/>
      <w:bookmarkStart w:id="288" w:name="_Toc16662"/>
      <w:bookmarkStart w:id="289" w:name="_Toc11273"/>
      <w:r>
        <w:rPr>
          <w:rFonts w:hint="eastAsia" w:ascii="宋体" w:hAnsi="宋体" w:cs="宋体"/>
          <w:b w:val="0"/>
          <w:bCs w:val="0"/>
          <w:color w:val="000000"/>
          <w:kern w:val="0"/>
          <w:sz w:val="24"/>
          <w:szCs w:val="24"/>
          <w:lang w:bidi="ar"/>
        </w:rPr>
        <w:t>低强度充填材料运输宜采用混凝土搅拌运输车，混凝土搅拌运输车应符合现行国家标准《混凝土搅拌运输车》</w:t>
      </w:r>
      <w:r>
        <w:rPr>
          <w:rFonts w:hint="eastAsia"/>
          <w:b w:val="0"/>
          <w:bCs w:val="0"/>
          <w:sz w:val="24"/>
          <w:lang w:val="zh-CN"/>
        </w:rPr>
        <w:t>GB/T 26408</w:t>
      </w:r>
      <w:r>
        <w:rPr>
          <w:rFonts w:hint="eastAsia" w:ascii="宋体" w:hAnsi="宋体" w:cs="宋体"/>
          <w:b w:val="0"/>
          <w:bCs w:val="0"/>
          <w:color w:val="000000"/>
          <w:kern w:val="0"/>
          <w:sz w:val="24"/>
          <w:szCs w:val="24"/>
          <w:lang w:bidi="ar"/>
        </w:rPr>
        <w:t>的规定，并宜采取防晒、保温、隔热、防撒漏等措施。</w:t>
      </w:r>
      <w:bookmarkEnd w:id="287"/>
      <w:bookmarkEnd w:id="288"/>
      <w:bookmarkEnd w:id="289"/>
    </w:p>
    <w:p w14:paraId="648F0B3E">
      <w:pPr>
        <w:pStyle w:val="4"/>
        <w:keepNext w:val="0"/>
        <w:keepLines w:val="0"/>
        <w:numPr>
          <w:ilvl w:val="0"/>
          <w:numId w:val="38"/>
        </w:numPr>
        <w:tabs>
          <w:tab w:val="clear" w:pos="720"/>
        </w:tabs>
        <w:spacing w:before="78" w:beforeLines="25" w:after="0" w:line="440" w:lineRule="exact"/>
        <w:ind w:left="0" w:firstLine="0"/>
        <w:jc w:val="left"/>
        <w:rPr>
          <w:rFonts w:hint="eastAsia" w:ascii="宋体" w:hAnsi="宋体" w:cs="宋体"/>
          <w:b w:val="0"/>
          <w:bCs w:val="0"/>
          <w:color w:val="000000"/>
          <w:kern w:val="0"/>
          <w:sz w:val="24"/>
          <w:szCs w:val="24"/>
          <w:lang w:bidi="ar"/>
        </w:rPr>
      </w:pPr>
      <w:bookmarkStart w:id="290" w:name="_Toc21261"/>
      <w:bookmarkStart w:id="291" w:name="_Toc30957"/>
      <w:bookmarkStart w:id="292" w:name="_Toc7752"/>
      <w:r>
        <w:rPr>
          <w:rFonts w:hint="eastAsia" w:ascii="宋体" w:hAnsi="宋体" w:cs="宋体"/>
          <w:b w:val="0"/>
          <w:bCs w:val="0"/>
          <w:color w:val="000000"/>
          <w:kern w:val="0"/>
          <w:sz w:val="24"/>
          <w:szCs w:val="24"/>
          <w:lang w:bidi="ar"/>
        </w:rPr>
        <w:t>运输车在首次接料前应将车内积水排尽，浇筑完毕后应将搅拌车罐内残留的低强度充填材料清洗干净。</w:t>
      </w:r>
      <w:bookmarkEnd w:id="290"/>
      <w:bookmarkEnd w:id="291"/>
      <w:bookmarkEnd w:id="292"/>
    </w:p>
    <w:p w14:paraId="4A621EBE">
      <w:pPr>
        <w:spacing w:before="78" w:beforeLines="25" w:line="440" w:lineRule="exact"/>
        <w:rPr>
          <w:rFonts w:hint="eastAsia" w:ascii="楷体" w:hAnsi="楷体" w:eastAsia="楷体" w:cs="楷体"/>
          <w:bCs/>
          <w:color w:val="000000"/>
          <w:sz w:val="24"/>
        </w:rPr>
      </w:pPr>
      <w:r>
        <w:rPr>
          <w:rFonts w:hint="eastAsia" w:ascii="楷体" w:hAnsi="楷体" w:eastAsia="楷体" w:cs="楷体"/>
          <w:bCs/>
          <w:color w:val="000000"/>
          <w:sz w:val="24"/>
        </w:rPr>
        <w:t>【条文说明】调整水胶比与废弃物掺量是低强度充填材料性能调控的主要手段之一，已在生产前根据规定进行精确计算与试配，在整个施工过程中均应避免外界因素对性能的影响。</w:t>
      </w:r>
    </w:p>
    <w:p w14:paraId="2829F226">
      <w:pPr>
        <w:pStyle w:val="4"/>
        <w:keepNext w:val="0"/>
        <w:keepLines w:val="0"/>
        <w:numPr>
          <w:ilvl w:val="0"/>
          <w:numId w:val="38"/>
        </w:numPr>
        <w:tabs>
          <w:tab w:val="clear" w:pos="720"/>
        </w:tabs>
        <w:spacing w:before="78" w:beforeLines="25" w:after="0" w:line="440" w:lineRule="exact"/>
        <w:ind w:left="0" w:firstLine="0"/>
        <w:jc w:val="left"/>
        <w:rPr>
          <w:rFonts w:hint="eastAsia" w:ascii="宋体" w:hAnsi="宋体" w:cs="宋体"/>
          <w:b w:val="0"/>
          <w:bCs w:val="0"/>
          <w:color w:val="000000"/>
          <w:kern w:val="0"/>
          <w:sz w:val="24"/>
          <w:szCs w:val="24"/>
          <w:lang w:bidi="ar"/>
        </w:rPr>
      </w:pPr>
      <w:bookmarkStart w:id="293" w:name="_Toc19552"/>
      <w:bookmarkStart w:id="294" w:name="_Toc19860"/>
      <w:bookmarkStart w:id="295" w:name="_Toc1019"/>
      <w:r>
        <w:rPr>
          <w:rFonts w:hint="eastAsia" w:ascii="宋体" w:hAnsi="宋体" w:cs="宋体"/>
          <w:b w:val="0"/>
          <w:bCs w:val="0"/>
          <w:color w:val="000000"/>
          <w:kern w:val="0"/>
          <w:sz w:val="24"/>
          <w:szCs w:val="24"/>
          <w:lang w:bidi="ar"/>
        </w:rPr>
        <w:t>低强度充填材料运输过程中，搅拌运输车的滚筒应保持匀速转动，速度应控制在</w:t>
      </w:r>
      <w:r>
        <w:rPr>
          <w:rFonts w:hint="eastAsia"/>
          <w:b w:val="0"/>
          <w:bCs w:val="0"/>
          <w:sz w:val="24"/>
          <w:lang w:val="zh-CN"/>
        </w:rPr>
        <w:t>3r/min～5r/min</w:t>
      </w:r>
      <w:r>
        <w:rPr>
          <w:rFonts w:hint="eastAsia" w:ascii="宋体" w:hAnsi="宋体" w:cs="宋体"/>
          <w:b w:val="0"/>
          <w:bCs w:val="0"/>
          <w:color w:val="000000"/>
          <w:kern w:val="0"/>
          <w:sz w:val="24"/>
          <w:szCs w:val="24"/>
          <w:lang w:bidi="ar"/>
        </w:rPr>
        <w:t>，严禁向车内加水。</w:t>
      </w:r>
      <w:bookmarkEnd w:id="293"/>
      <w:bookmarkEnd w:id="294"/>
      <w:bookmarkEnd w:id="295"/>
    </w:p>
    <w:p w14:paraId="54B98B2B">
      <w:pPr>
        <w:spacing w:before="78" w:beforeLines="25" w:line="440" w:lineRule="exact"/>
        <w:rPr>
          <w:rFonts w:hint="eastAsia" w:ascii="楷体" w:hAnsi="楷体" w:eastAsia="楷体" w:cs="楷体"/>
          <w:bCs/>
          <w:color w:val="000000"/>
          <w:sz w:val="24"/>
        </w:rPr>
      </w:pPr>
      <w:r>
        <w:rPr>
          <w:rFonts w:hint="eastAsia" w:ascii="楷体" w:hAnsi="楷体" w:eastAsia="楷体" w:cs="楷体"/>
          <w:bCs/>
          <w:color w:val="000000"/>
          <w:sz w:val="24"/>
        </w:rPr>
        <w:t>【条文说明】搅拌运输车滚筒的转速决定了材料的拌合程度。转速过慢会造成在规定时间内低强度充填材料不均匀；转速过快会导致骨料与浆体分离，对低强度充填材料性能造成影响。</w:t>
      </w:r>
    </w:p>
    <w:p w14:paraId="21222AB3">
      <w:pPr>
        <w:pStyle w:val="4"/>
        <w:keepNext w:val="0"/>
        <w:keepLines w:val="0"/>
        <w:numPr>
          <w:ilvl w:val="0"/>
          <w:numId w:val="38"/>
        </w:numPr>
        <w:tabs>
          <w:tab w:val="clear" w:pos="720"/>
        </w:tabs>
        <w:spacing w:before="78" w:beforeLines="25" w:after="0" w:line="440" w:lineRule="exact"/>
        <w:ind w:left="0" w:firstLine="0"/>
        <w:jc w:val="left"/>
        <w:rPr>
          <w:rFonts w:hint="eastAsia" w:ascii="宋体" w:hAnsi="宋体" w:cs="宋体"/>
          <w:b w:val="0"/>
          <w:bCs w:val="0"/>
          <w:color w:val="000000"/>
          <w:kern w:val="0"/>
          <w:sz w:val="24"/>
          <w:szCs w:val="24"/>
          <w:lang w:bidi="ar"/>
        </w:rPr>
      </w:pPr>
      <w:bookmarkStart w:id="296" w:name="_Toc11263"/>
      <w:bookmarkStart w:id="297" w:name="_Toc14554"/>
      <w:bookmarkStart w:id="298" w:name="_Toc22322"/>
      <w:r>
        <w:rPr>
          <w:rFonts w:hint="eastAsia" w:ascii="宋体" w:hAnsi="宋体" w:cs="宋体"/>
          <w:b w:val="0"/>
          <w:bCs w:val="0"/>
          <w:color w:val="000000"/>
          <w:kern w:val="0"/>
          <w:sz w:val="24"/>
          <w:szCs w:val="24"/>
          <w:lang w:bidi="ar"/>
        </w:rPr>
        <w:t>运输车从开始接料至卸料完成的时间不宜大于</w:t>
      </w:r>
      <w:r>
        <w:rPr>
          <w:rFonts w:hint="eastAsia"/>
          <w:b w:val="0"/>
          <w:bCs w:val="0"/>
          <w:sz w:val="24"/>
          <w:lang w:val="zh-CN"/>
        </w:rPr>
        <w:t>120min</w:t>
      </w:r>
      <w:r>
        <w:rPr>
          <w:rFonts w:hint="eastAsia" w:ascii="宋体" w:hAnsi="宋体" w:cs="宋体"/>
          <w:b w:val="0"/>
          <w:bCs w:val="0"/>
          <w:color w:val="000000"/>
          <w:kern w:val="0"/>
          <w:sz w:val="24"/>
          <w:szCs w:val="24"/>
          <w:lang w:bidi="ar"/>
        </w:rPr>
        <w:t>。</w:t>
      </w:r>
      <w:bookmarkEnd w:id="296"/>
      <w:r>
        <w:rPr>
          <w:rFonts w:hint="eastAsia" w:cs="仿宋"/>
          <w:b w:val="0"/>
          <w:bCs w:val="0"/>
          <w:sz w:val="24"/>
          <w:szCs w:val="24"/>
          <w:lang w:bidi="ar"/>
        </w:rPr>
        <w:t>如果大于120min，应采取缓凝措施。</w:t>
      </w:r>
      <w:bookmarkEnd w:id="297"/>
      <w:bookmarkEnd w:id="298"/>
    </w:p>
    <w:p w14:paraId="34FBF693">
      <w:pPr>
        <w:spacing w:before="78" w:beforeLines="25" w:line="440" w:lineRule="exact"/>
        <w:rPr>
          <w:rFonts w:hint="eastAsia" w:ascii="楷体" w:hAnsi="楷体" w:eastAsia="楷体" w:cs="楷体"/>
          <w:bCs/>
          <w:color w:val="000000"/>
          <w:sz w:val="24"/>
        </w:rPr>
      </w:pPr>
      <w:r>
        <w:rPr>
          <w:rFonts w:hint="eastAsia" w:ascii="楷体" w:hAnsi="楷体" w:eastAsia="楷体" w:cs="楷体"/>
          <w:bCs/>
          <w:color w:val="000000"/>
          <w:sz w:val="24"/>
        </w:rPr>
        <w:t>【条文说明】运输车从开始接料至卸料完成的时间不宜超过低强度充填材料的初凝时间。前期实验表明，低强度充填材料</w:t>
      </w:r>
      <w:r>
        <w:rPr>
          <w:rFonts w:eastAsia="楷体"/>
          <w:bCs/>
          <w:color w:val="000000"/>
          <w:sz w:val="24"/>
        </w:rPr>
        <w:t>60min经时流动度不降低，120min仍可保证可施工性能</w:t>
      </w:r>
      <w:r>
        <w:rPr>
          <w:rFonts w:hint="eastAsia" w:ascii="楷体" w:hAnsi="楷体" w:eastAsia="楷体" w:cs="楷体"/>
          <w:bCs/>
          <w:color w:val="000000"/>
          <w:sz w:val="24"/>
        </w:rPr>
        <w:t>。</w:t>
      </w:r>
    </w:p>
    <w:p w14:paraId="2586EF79">
      <w:pPr>
        <w:pStyle w:val="28"/>
        <w:spacing w:before="78" w:beforeLines="25" w:line="440" w:lineRule="exact"/>
        <w:rPr>
          <w:rFonts w:ascii="Times New Roman"/>
          <w:sz w:val="24"/>
          <w:szCs w:val="24"/>
        </w:rPr>
      </w:pPr>
    </w:p>
    <w:p w14:paraId="451D8C80">
      <w:pPr>
        <w:pStyle w:val="3"/>
        <w:keepNext w:val="0"/>
        <w:keepLines w:val="0"/>
        <w:widowControl/>
        <w:numPr>
          <w:ilvl w:val="1"/>
          <w:numId w:val="34"/>
        </w:numPr>
        <w:tabs>
          <w:tab w:val="clear" w:pos="0"/>
          <w:tab w:val="clear" w:pos="576"/>
        </w:tabs>
        <w:spacing w:before="0" w:after="0" w:line="440" w:lineRule="exact"/>
        <w:rPr>
          <w:rFonts w:hint="eastAsia" w:ascii="宋体" w:hAnsi="宋体" w:eastAsia="微软雅黑" w:cs="宋体"/>
          <w:bCs w:val="0"/>
          <w:color w:val="000000"/>
          <w:kern w:val="0"/>
          <w:sz w:val="28"/>
          <w:szCs w:val="24"/>
          <w:lang w:bidi="ar"/>
        </w:rPr>
      </w:pPr>
      <w:bookmarkStart w:id="299" w:name="_Toc30469"/>
      <w:bookmarkStart w:id="300" w:name="_Toc15689"/>
      <w:bookmarkStart w:id="301" w:name="_Toc1285"/>
      <w:bookmarkStart w:id="302" w:name="_Toc13426"/>
      <w:r>
        <w:rPr>
          <w:rFonts w:hint="eastAsia" w:ascii="宋体" w:hAnsi="宋体" w:eastAsia="微软雅黑" w:cs="宋体"/>
          <w:bCs w:val="0"/>
          <w:color w:val="000000"/>
          <w:kern w:val="0"/>
          <w:sz w:val="28"/>
          <w:szCs w:val="24"/>
          <w:lang w:bidi="ar"/>
        </w:rPr>
        <w:t>浇筑与养护</w:t>
      </w:r>
      <w:bookmarkEnd w:id="299"/>
      <w:bookmarkEnd w:id="300"/>
      <w:bookmarkEnd w:id="301"/>
      <w:bookmarkEnd w:id="302"/>
    </w:p>
    <w:p w14:paraId="0E951E46"/>
    <w:p w14:paraId="551C9F6C">
      <w:pPr>
        <w:pStyle w:val="4"/>
        <w:keepNext w:val="0"/>
        <w:keepLines w:val="0"/>
        <w:numPr>
          <w:ilvl w:val="0"/>
          <w:numId w:val="39"/>
        </w:numPr>
        <w:tabs>
          <w:tab w:val="clear" w:pos="720"/>
        </w:tabs>
        <w:spacing w:before="78" w:beforeLines="25" w:after="0" w:line="440" w:lineRule="exact"/>
        <w:ind w:left="0" w:firstLine="0"/>
        <w:jc w:val="left"/>
        <w:rPr>
          <w:rFonts w:hint="eastAsia" w:ascii="宋体" w:hAnsi="宋体" w:cs="宋体"/>
          <w:b w:val="0"/>
          <w:color w:val="000000"/>
          <w:kern w:val="0"/>
          <w:sz w:val="24"/>
          <w:szCs w:val="24"/>
          <w:lang w:bidi="ar"/>
        </w:rPr>
      </w:pPr>
      <w:bookmarkStart w:id="303" w:name="_Toc14497"/>
      <w:bookmarkStart w:id="304" w:name="_Toc28500"/>
      <w:bookmarkStart w:id="305" w:name="_Toc18810"/>
      <w:r>
        <w:rPr>
          <w:rFonts w:hint="eastAsia" w:ascii="宋体" w:hAnsi="宋体" w:cs="宋体"/>
          <w:b w:val="0"/>
          <w:color w:val="000000"/>
          <w:kern w:val="0"/>
          <w:sz w:val="24"/>
          <w:szCs w:val="24"/>
          <w:lang w:bidi="ar"/>
        </w:rPr>
        <w:t>浇筑低强度充填材料时，应根据浇筑部位的结构特点及拌合物性能选择机具与浇筑方法。</w:t>
      </w:r>
      <w:bookmarkEnd w:id="303"/>
      <w:bookmarkEnd w:id="304"/>
      <w:bookmarkEnd w:id="305"/>
    </w:p>
    <w:p w14:paraId="60894094">
      <w:pPr>
        <w:pStyle w:val="4"/>
        <w:keepNext w:val="0"/>
        <w:keepLines w:val="0"/>
        <w:numPr>
          <w:ilvl w:val="0"/>
          <w:numId w:val="39"/>
        </w:numPr>
        <w:tabs>
          <w:tab w:val="clear" w:pos="720"/>
        </w:tabs>
        <w:spacing w:before="78" w:beforeLines="25" w:after="0" w:line="440" w:lineRule="exact"/>
        <w:ind w:left="0" w:firstLine="0"/>
        <w:jc w:val="left"/>
        <w:rPr>
          <w:rFonts w:hint="eastAsia" w:ascii="宋体" w:hAnsi="宋体" w:cs="宋体"/>
          <w:b w:val="0"/>
          <w:color w:val="000000"/>
          <w:kern w:val="0"/>
          <w:sz w:val="24"/>
          <w:szCs w:val="24"/>
          <w:lang w:bidi="ar"/>
        </w:rPr>
      </w:pPr>
      <w:bookmarkStart w:id="306" w:name="_Toc11968"/>
      <w:bookmarkStart w:id="307" w:name="_Toc17519"/>
      <w:bookmarkStart w:id="308" w:name="_Toc25001"/>
      <w:r>
        <w:rPr>
          <w:rFonts w:hint="eastAsia" w:ascii="宋体" w:hAnsi="宋体" w:cs="宋体"/>
          <w:b w:val="0"/>
          <w:color w:val="000000"/>
          <w:kern w:val="0"/>
          <w:sz w:val="24"/>
          <w:szCs w:val="24"/>
          <w:lang w:bidi="ar"/>
        </w:rPr>
        <w:t>低强度充填材料泵送施工应符合现行行业标准</w:t>
      </w:r>
      <w:bookmarkStart w:id="309" w:name="_Hlk73541678"/>
      <w:r>
        <w:rPr>
          <w:rFonts w:hint="eastAsia" w:ascii="宋体" w:hAnsi="宋体" w:cs="宋体"/>
          <w:b w:val="0"/>
          <w:color w:val="000000"/>
          <w:kern w:val="0"/>
          <w:sz w:val="24"/>
          <w:szCs w:val="24"/>
          <w:lang w:bidi="ar"/>
        </w:rPr>
        <w:t>《混凝土泵送施工技术规程》</w:t>
      </w:r>
      <w:r>
        <w:rPr>
          <w:rFonts w:hint="eastAsia"/>
          <w:b w:val="0"/>
          <w:bCs w:val="0"/>
          <w:sz w:val="24"/>
          <w:lang w:val="zh-CN"/>
        </w:rPr>
        <w:t>JGJ/T 10</w:t>
      </w:r>
      <w:bookmarkEnd w:id="309"/>
      <w:r>
        <w:rPr>
          <w:rFonts w:hint="eastAsia" w:ascii="宋体" w:hAnsi="宋体" w:cs="宋体"/>
          <w:b w:val="0"/>
          <w:color w:val="000000"/>
          <w:kern w:val="0"/>
          <w:sz w:val="24"/>
          <w:szCs w:val="24"/>
          <w:lang w:bidi="ar"/>
        </w:rPr>
        <w:t>的规定，泵送应连续进行。</w:t>
      </w:r>
      <w:bookmarkEnd w:id="306"/>
      <w:bookmarkEnd w:id="307"/>
      <w:bookmarkEnd w:id="308"/>
    </w:p>
    <w:p w14:paraId="2363A06E">
      <w:pPr>
        <w:pStyle w:val="4"/>
        <w:keepNext w:val="0"/>
        <w:keepLines w:val="0"/>
        <w:numPr>
          <w:ilvl w:val="0"/>
          <w:numId w:val="39"/>
        </w:numPr>
        <w:tabs>
          <w:tab w:val="clear" w:pos="720"/>
        </w:tabs>
        <w:spacing w:before="78" w:beforeLines="25" w:after="0" w:line="440" w:lineRule="exact"/>
        <w:ind w:left="0" w:firstLine="0"/>
        <w:jc w:val="left"/>
        <w:rPr>
          <w:rFonts w:hint="eastAsia" w:ascii="宋体" w:hAnsi="宋体" w:cs="宋体"/>
          <w:b w:val="0"/>
          <w:color w:val="000000"/>
          <w:kern w:val="0"/>
          <w:sz w:val="24"/>
          <w:szCs w:val="24"/>
          <w:lang w:bidi="ar"/>
        </w:rPr>
      </w:pPr>
      <w:bookmarkStart w:id="310" w:name="_Toc28936"/>
      <w:bookmarkStart w:id="311" w:name="_Toc699"/>
      <w:bookmarkStart w:id="312" w:name="_Toc250"/>
      <w:r>
        <w:rPr>
          <w:rFonts w:hint="eastAsia" w:ascii="宋体" w:hAnsi="宋体" w:cs="宋体"/>
          <w:b w:val="0"/>
          <w:color w:val="000000"/>
          <w:kern w:val="0"/>
          <w:sz w:val="24"/>
          <w:szCs w:val="24"/>
          <w:lang w:bidi="ar"/>
        </w:rPr>
        <w:t>制定养护方案时，应综合考虑低强度充填材料拌合物性能、现场条件、环境温湿度、结构特点、技术要求、施工操作等因素。</w:t>
      </w:r>
      <w:bookmarkEnd w:id="310"/>
      <w:bookmarkEnd w:id="311"/>
      <w:bookmarkEnd w:id="312"/>
    </w:p>
    <w:p w14:paraId="6DA4148D">
      <w:pPr>
        <w:pStyle w:val="4"/>
        <w:keepNext w:val="0"/>
        <w:keepLines w:val="0"/>
        <w:numPr>
          <w:ilvl w:val="0"/>
          <w:numId w:val="39"/>
        </w:numPr>
        <w:tabs>
          <w:tab w:val="clear" w:pos="720"/>
        </w:tabs>
        <w:spacing w:before="78" w:beforeLines="25" w:after="0" w:line="440" w:lineRule="exact"/>
        <w:ind w:left="0" w:firstLine="0"/>
        <w:jc w:val="left"/>
        <w:rPr>
          <w:rFonts w:hint="eastAsia" w:ascii="宋体" w:hAnsi="宋体" w:cs="宋体"/>
          <w:b w:val="0"/>
          <w:color w:val="000000"/>
          <w:kern w:val="0"/>
          <w:sz w:val="24"/>
          <w:szCs w:val="24"/>
          <w:lang w:bidi="ar"/>
        </w:rPr>
      </w:pPr>
      <w:bookmarkStart w:id="313" w:name="_Toc30082"/>
      <w:bookmarkStart w:id="314" w:name="_Toc30265"/>
      <w:bookmarkStart w:id="315" w:name="_Toc17160"/>
      <w:r>
        <w:rPr>
          <w:rFonts w:hint="eastAsia" w:ascii="宋体" w:hAnsi="宋体" w:cs="宋体"/>
          <w:b w:val="0"/>
          <w:color w:val="000000"/>
          <w:kern w:val="0"/>
          <w:sz w:val="24"/>
          <w:szCs w:val="24"/>
          <w:lang w:bidi="ar"/>
        </w:rPr>
        <w:t>低强度充填材料浇筑完毕，应及时采用覆盖或蓄水或薄膜保湿等养护措施，养护时间不宜小于</w:t>
      </w:r>
      <w:r>
        <w:rPr>
          <w:b w:val="0"/>
          <w:color w:val="000000"/>
          <w:kern w:val="0"/>
          <w:sz w:val="24"/>
          <w:szCs w:val="24"/>
          <w:lang w:bidi="ar"/>
        </w:rPr>
        <w:t>1</w:t>
      </w:r>
      <w:r>
        <w:rPr>
          <w:rFonts w:hint="eastAsia" w:ascii="宋体" w:hAnsi="宋体" w:cs="宋体"/>
          <w:b w:val="0"/>
          <w:color w:val="000000"/>
          <w:kern w:val="0"/>
          <w:sz w:val="24"/>
          <w:szCs w:val="24"/>
          <w:lang w:bidi="ar"/>
        </w:rPr>
        <w:t>天。</w:t>
      </w:r>
      <w:bookmarkEnd w:id="313"/>
      <w:bookmarkEnd w:id="314"/>
      <w:bookmarkEnd w:id="315"/>
    </w:p>
    <w:p w14:paraId="2636B1AE">
      <w:pPr>
        <w:pStyle w:val="4"/>
        <w:keepNext w:val="0"/>
        <w:keepLines w:val="0"/>
        <w:numPr>
          <w:ilvl w:val="0"/>
          <w:numId w:val="39"/>
        </w:numPr>
        <w:tabs>
          <w:tab w:val="clear" w:pos="720"/>
        </w:tabs>
        <w:spacing w:before="78" w:beforeLines="25" w:after="0" w:line="440" w:lineRule="exact"/>
        <w:ind w:left="0" w:firstLine="0"/>
        <w:jc w:val="left"/>
        <w:rPr>
          <w:rFonts w:hint="eastAsia" w:ascii="宋体" w:hAnsi="宋体" w:cs="宋体"/>
          <w:b w:val="0"/>
          <w:color w:val="000000"/>
          <w:kern w:val="0"/>
          <w:sz w:val="24"/>
          <w:szCs w:val="24"/>
          <w:lang w:bidi="ar"/>
        </w:rPr>
      </w:pPr>
      <w:bookmarkStart w:id="316" w:name="_Toc24883"/>
      <w:bookmarkStart w:id="317" w:name="_Toc13448"/>
      <w:bookmarkStart w:id="318" w:name="_Toc30120"/>
      <w:r>
        <w:rPr>
          <w:rFonts w:hint="eastAsia" w:ascii="宋体" w:hAnsi="宋体" w:cs="宋体"/>
          <w:b w:val="0"/>
          <w:color w:val="000000"/>
          <w:kern w:val="0"/>
          <w:sz w:val="24"/>
          <w:szCs w:val="24"/>
          <w:lang w:bidi="ar"/>
        </w:rPr>
        <w:t>低强度充填材料初凝后，如不继续浇筑，应及时采用塑料薄膜覆盖。</w:t>
      </w:r>
      <w:bookmarkEnd w:id="316"/>
      <w:bookmarkEnd w:id="317"/>
      <w:bookmarkEnd w:id="318"/>
    </w:p>
    <w:p w14:paraId="13F0261B">
      <w:pPr>
        <w:sectPr>
          <w:pgSz w:w="11905" w:h="16838"/>
          <w:pgMar w:top="1582" w:right="1440" w:bottom="1162" w:left="1582" w:header="0" w:footer="969" w:gutter="283"/>
          <w:cols w:space="0" w:num="1"/>
          <w:titlePg/>
          <w:docGrid w:type="linesAndChars" w:linePitch="312" w:charSpace="0"/>
        </w:sectPr>
      </w:pPr>
    </w:p>
    <w:p w14:paraId="6510183C">
      <w:pPr>
        <w:pStyle w:val="2"/>
        <w:numPr>
          <w:ilvl w:val="0"/>
          <w:numId w:val="13"/>
        </w:numPr>
        <w:spacing w:before="78" w:beforeLines="25" w:after="0" w:line="440" w:lineRule="exact"/>
        <w:ind w:left="0" w:firstLine="0"/>
        <w:rPr>
          <w:rFonts w:hint="eastAsia" w:ascii="微软雅黑" w:hAnsi="微软雅黑" w:eastAsia="微软雅黑" w:cs="微软雅黑"/>
          <w:b/>
          <w:sz w:val="32"/>
          <w:szCs w:val="32"/>
        </w:rPr>
      </w:pPr>
      <w:bookmarkStart w:id="319" w:name="_Toc12799"/>
      <w:bookmarkStart w:id="320" w:name="_Toc25002"/>
      <w:bookmarkStart w:id="321" w:name="_Toc12550"/>
      <w:bookmarkStart w:id="322" w:name="_Toc10991"/>
      <w:r>
        <w:rPr>
          <w:rFonts w:hint="eastAsia" w:ascii="微软雅黑" w:hAnsi="微软雅黑" w:eastAsia="微软雅黑" w:cs="微软雅黑"/>
          <w:b/>
          <w:sz w:val="32"/>
          <w:szCs w:val="32"/>
        </w:rPr>
        <w:t>质量检验</w:t>
      </w:r>
      <w:bookmarkEnd w:id="319"/>
      <w:bookmarkEnd w:id="320"/>
      <w:r>
        <w:rPr>
          <w:rFonts w:hint="eastAsia" w:ascii="微软雅黑" w:hAnsi="微软雅黑" w:eastAsia="微软雅黑" w:cs="微软雅黑"/>
          <w:b/>
          <w:sz w:val="32"/>
          <w:szCs w:val="32"/>
        </w:rPr>
        <w:t>与评定</w:t>
      </w:r>
      <w:bookmarkEnd w:id="321"/>
      <w:bookmarkEnd w:id="322"/>
    </w:p>
    <w:p w14:paraId="5FB6AC59"/>
    <w:p w14:paraId="6053EF86">
      <w:pPr>
        <w:pStyle w:val="3"/>
        <w:keepNext w:val="0"/>
        <w:keepLines w:val="0"/>
        <w:widowControl/>
        <w:numPr>
          <w:ilvl w:val="1"/>
          <w:numId w:val="40"/>
        </w:numPr>
        <w:tabs>
          <w:tab w:val="clear" w:pos="0"/>
          <w:tab w:val="clear" w:pos="576"/>
        </w:tabs>
        <w:spacing w:before="78" w:beforeLines="25" w:after="0" w:line="440" w:lineRule="exact"/>
      </w:pPr>
      <w:bookmarkStart w:id="323" w:name="_Toc422781495"/>
      <w:bookmarkStart w:id="324" w:name="_Toc421810828"/>
      <w:bookmarkStart w:id="325" w:name="_Toc422782541"/>
      <w:bookmarkStart w:id="326" w:name="_Toc444850222"/>
      <w:bookmarkStart w:id="327" w:name="_Toc440983255"/>
      <w:bookmarkStart w:id="328" w:name="_Toc18472"/>
      <w:bookmarkStart w:id="329" w:name="_Toc422782473"/>
      <w:bookmarkStart w:id="330" w:name="_Toc32448"/>
      <w:bookmarkStart w:id="331" w:name="_Toc396988867"/>
      <w:bookmarkStart w:id="332" w:name="_Toc16551"/>
      <w:bookmarkStart w:id="333" w:name="_Toc3161"/>
      <w:bookmarkStart w:id="334" w:name="_Toc29899"/>
      <w:r>
        <w:rPr>
          <w:rFonts w:hint="eastAsia" w:ascii="宋体" w:hAnsi="宋体" w:eastAsia="微软雅黑" w:cs="宋体"/>
          <w:bCs w:val="0"/>
          <w:color w:val="000000"/>
          <w:kern w:val="0"/>
          <w:sz w:val="28"/>
          <w:szCs w:val="24"/>
          <w:lang w:bidi="ar"/>
        </w:rPr>
        <w:t>低强度充填材料拌合物性能检验</w:t>
      </w:r>
      <w:bookmarkEnd w:id="323"/>
      <w:bookmarkEnd w:id="324"/>
      <w:bookmarkEnd w:id="325"/>
      <w:bookmarkEnd w:id="326"/>
      <w:bookmarkEnd w:id="327"/>
      <w:bookmarkEnd w:id="328"/>
      <w:bookmarkEnd w:id="329"/>
      <w:bookmarkEnd w:id="330"/>
      <w:bookmarkEnd w:id="331"/>
      <w:bookmarkEnd w:id="332"/>
      <w:bookmarkEnd w:id="333"/>
      <w:bookmarkEnd w:id="334"/>
    </w:p>
    <w:p w14:paraId="3759A192">
      <w:pPr>
        <w:pStyle w:val="4"/>
        <w:keepNext w:val="0"/>
        <w:keepLines w:val="0"/>
        <w:numPr>
          <w:ilvl w:val="0"/>
          <w:numId w:val="41"/>
        </w:numPr>
        <w:spacing w:before="78" w:beforeLines="25" w:after="0" w:line="440" w:lineRule="exact"/>
        <w:jc w:val="left"/>
      </w:pPr>
      <w:r>
        <w:rPr>
          <w:rFonts w:hint="eastAsia" w:ascii="宋体" w:hAnsi="宋体" w:cs="宋体"/>
          <w:b w:val="0"/>
          <w:color w:val="000000"/>
          <w:kern w:val="0"/>
          <w:sz w:val="24"/>
          <w:szCs w:val="24"/>
          <w:lang w:bidi="ar"/>
        </w:rPr>
        <w:t xml:space="preserve"> </w:t>
      </w:r>
      <w:bookmarkStart w:id="335" w:name="_Toc3253"/>
      <w:bookmarkStart w:id="336" w:name="_Toc25290"/>
      <w:bookmarkStart w:id="337" w:name="_Toc10740"/>
      <w:r>
        <w:rPr>
          <w:rFonts w:hint="eastAsia" w:ascii="宋体" w:hAnsi="宋体" w:cs="宋体"/>
          <w:b w:val="0"/>
          <w:color w:val="000000"/>
          <w:kern w:val="0"/>
          <w:sz w:val="24"/>
          <w:szCs w:val="24"/>
          <w:lang w:bidi="ar"/>
        </w:rPr>
        <w:t>低强度充填材料原材料计量系统应经检定合格后才可使用，且生产</w:t>
      </w:r>
      <w:bookmarkEnd w:id="335"/>
      <w:bookmarkStart w:id="338" w:name="_Toc20962"/>
      <w:r>
        <w:rPr>
          <w:rFonts w:hint="eastAsia" w:ascii="宋体" w:hAnsi="宋体" w:cs="宋体"/>
          <w:b w:val="0"/>
          <w:color w:val="000000"/>
          <w:kern w:val="0"/>
          <w:sz w:val="24"/>
          <w:szCs w:val="24"/>
          <w:lang w:bidi="ar"/>
        </w:rPr>
        <w:t>单位每</w:t>
      </w:r>
      <w:bookmarkEnd w:id="336"/>
      <w:bookmarkEnd w:id="337"/>
    </w:p>
    <w:p w14:paraId="7ECA7D59">
      <w:pPr>
        <w:pStyle w:val="4"/>
        <w:keepNext w:val="0"/>
        <w:keepLines w:val="0"/>
        <w:numPr>
          <w:ilvl w:val="255"/>
          <w:numId w:val="0"/>
        </w:numPr>
        <w:spacing w:before="78" w:beforeLines="25" w:after="0" w:line="440" w:lineRule="exact"/>
        <w:jc w:val="left"/>
      </w:pPr>
      <w:bookmarkStart w:id="339" w:name="_Toc13351"/>
      <w:bookmarkStart w:id="340" w:name="_Toc18255"/>
      <w:r>
        <w:rPr>
          <w:rFonts w:hint="eastAsia" w:ascii="宋体" w:hAnsi="宋体" w:cs="宋体"/>
          <w:b w:val="0"/>
          <w:color w:val="000000"/>
          <w:kern w:val="0"/>
          <w:sz w:val="24"/>
          <w:szCs w:val="24"/>
          <w:lang w:bidi="ar"/>
        </w:rPr>
        <w:t>月应自</w:t>
      </w:r>
      <w:r>
        <w:rPr>
          <w:b w:val="0"/>
          <w:color w:val="000000"/>
          <w:kern w:val="0"/>
          <w:sz w:val="24"/>
          <w:szCs w:val="24"/>
          <w:lang w:bidi="ar"/>
        </w:rPr>
        <w:t>检1次，原材料计量偏差应每班检查</w:t>
      </w:r>
      <w:r>
        <w:rPr>
          <w:b w:val="0"/>
          <w:bCs w:val="0"/>
          <w:sz w:val="24"/>
        </w:rPr>
        <w:t>1</w:t>
      </w:r>
      <w:r>
        <w:rPr>
          <w:b w:val="0"/>
          <w:color w:val="000000"/>
          <w:kern w:val="0"/>
          <w:sz w:val="24"/>
          <w:szCs w:val="24"/>
          <w:lang w:bidi="ar"/>
        </w:rPr>
        <w:t>次</w:t>
      </w:r>
      <w:r>
        <w:rPr>
          <w:rFonts w:hint="eastAsia" w:ascii="宋体" w:hAnsi="宋体" w:cs="宋体"/>
          <w:b w:val="0"/>
          <w:color w:val="000000"/>
          <w:kern w:val="0"/>
          <w:sz w:val="24"/>
          <w:szCs w:val="24"/>
          <w:lang w:bidi="ar"/>
        </w:rPr>
        <w:t>。</w:t>
      </w:r>
      <w:bookmarkEnd w:id="338"/>
      <w:bookmarkEnd w:id="339"/>
      <w:bookmarkEnd w:id="340"/>
    </w:p>
    <w:p w14:paraId="270E37E6">
      <w:pPr>
        <w:pStyle w:val="4"/>
        <w:keepNext w:val="0"/>
        <w:keepLines w:val="0"/>
        <w:numPr>
          <w:ilvl w:val="0"/>
          <w:numId w:val="41"/>
        </w:numPr>
        <w:spacing w:before="78" w:beforeLines="25" w:after="0" w:line="440" w:lineRule="exact"/>
        <w:jc w:val="left"/>
        <w:rPr>
          <w:rFonts w:hint="eastAsia" w:ascii="宋体" w:hAnsi="宋体" w:cs="宋体"/>
          <w:b w:val="0"/>
          <w:color w:val="000000"/>
          <w:kern w:val="0"/>
          <w:sz w:val="24"/>
          <w:szCs w:val="24"/>
          <w:lang w:bidi="ar"/>
        </w:rPr>
      </w:pPr>
      <w:r>
        <w:rPr>
          <w:rFonts w:hint="eastAsia" w:ascii="宋体" w:hAnsi="宋体" w:cs="宋体"/>
          <w:b w:val="0"/>
          <w:color w:val="000000"/>
          <w:kern w:val="0"/>
          <w:sz w:val="24"/>
          <w:szCs w:val="24"/>
          <w:lang w:bidi="ar"/>
        </w:rPr>
        <w:t xml:space="preserve"> </w:t>
      </w:r>
      <w:bookmarkStart w:id="341" w:name="_Toc4623"/>
      <w:bookmarkStart w:id="342" w:name="_Toc22577"/>
      <w:bookmarkStart w:id="343" w:name="_Toc6534"/>
      <w:r>
        <w:rPr>
          <w:rFonts w:hint="eastAsia" w:ascii="宋体" w:hAnsi="宋体" w:cs="宋体"/>
          <w:b w:val="0"/>
          <w:color w:val="000000"/>
          <w:kern w:val="0"/>
          <w:sz w:val="24"/>
          <w:szCs w:val="24"/>
          <w:lang w:bidi="ar"/>
        </w:rPr>
        <w:t>浇筑前，应对低强度充填材料拌合物性能进行抽样检验</w:t>
      </w:r>
      <w:bookmarkEnd w:id="341"/>
      <w:bookmarkStart w:id="344" w:name="_Toc2527"/>
      <w:r>
        <w:rPr>
          <w:rFonts w:hint="eastAsia" w:ascii="宋体" w:hAnsi="宋体" w:cs="宋体"/>
          <w:b w:val="0"/>
          <w:color w:val="000000"/>
          <w:kern w:val="0"/>
          <w:sz w:val="24"/>
          <w:szCs w:val="24"/>
          <w:lang w:bidi="ar"/>
        </w:rPr>
        <w:t>。</w:t>
      </w:r>
      <w:bookmarkEnd w:id="342"/>
      <w:bookmarkEnd w:id="343"/>
      <w:bookmarkEnd w:id="344"/>
    </w:p>
    <w:p w14:paraId="4F00D89C">
      <w:pPr>
        <w:pStyle w:val="4"/>
        <w:keepNext w:val="0"/>
        <w:keepLines w:val="0"/>
        <w:numPr>
          <w:ilvl w:val="0"/>
          <w:numId w:val="41"/>
        </w:numPr>
        <w:spacing w:before="78" w:beforeLines="25" w:after="0" w:line="440" w:lineRule="exact"/>
        <w:jc w:val="left"/>
        <w:rPr>
          <w:rFonts w:hint="eastAsia" w:ascii="宋体" w:hAnsi="宋体" w:cs="宋体"/>
          <w:b w:val="0"/>
          <w:color w:val="000000"/>
          <w:kern w:val="0"/>
          <w:sz w:val="24"/>
          <w:szCs w:val="24"/>
          <w:lang w:bidi="ar"/>
        </w:rPr>
      </w:pPr>
      <w:r>
        <w:rPr>
          <w:rFonts w:hint="eastAsia" w:ascii="宋体" w:hAnsi="宋体" w:cs="宋体"/>
          <w:b w:val="0"/>
          <w:color w:val="000000"/>
          <w:kern w:val="0"/>
          <w:sz w:val="24"/>
          <w:szCs w:val="24"/>
          <w:lang w:bidi="ar"/>
        </w:rPr>
        <w:t xml:space="preserve"> </w:t>
      </w:r>
      <w:bookmarkStart w:id="345" w:name="_Toc20089"/>
      <w:bookmarkStart w:id="346" w:name="_Toc8482"/>
      <w:r>
        <w:rPr>
          <w:rFonts w:ascii="宋体" w:hAnsi="宋体" w:cs="宋体"/>
          <w:b w:val="0"/>
          <w:color w:val="000000"/>
          <w:kern w:val="0"/>
          <w:sz w:val="24"/>
          <w:szCs w:val="24"/>
          <w:lang w:bidi="ar"/>
        </w:rPr>
        <w:t>低强度充填材料拌合物泌水率和分层度检验应在搅拌地点取样，流动度应</w:t>
      </w:r>
      <w:bookmarkEnd w:id="345"/>
      <w:bookmarkEnd w:id="346"/>
    </w:p>
    <w:p w14:paraId="3D0D186C">
      <w:pPr>
        <w:pStyle w:val="4"/>
        <w:keepNext w:val="0"/>
        <w:keepLines w:val="0"/>
        <w:spacing w:before="78" w:beforeLines="25" w:after="0" w:line="440" w:lineRule="exact"/>
        <w:ind w:left="0" w:firstLine="0"/>
        <w:jc w:val="left"/>
        <w:rPr>
          <w:rFonts w:hint="eastAsia" w:ascii="宋体" w:hAnsi="宋体" w:cs="宋体"/>
          <w:b w:val="0"/>
          <w:color w:val="000000"/>
          <w:kern w:val="0"/>
          <w:sz w:val="24"/>
          <w:szCs w:val="24"/>
          <w:lang w:bidi="ar"/>
        </w:rPr>
      </w:pPr>
      <w:bookmarkStart w:id="347" w:name="_Toc28040"/>
      <w:bookmarkStart w:id="348" w:name="_Toc28372"/>
      <w:r>
        <w:rPr>
          <w:rFonts w:ascii="宋体" w:hAnsi="宋体" w:cs="宋体"/>
          <w:b w:val="0"/>
          <w:color w:val="000000"/>
          <w:kern w:val="0"/>
          <w:sz w:val="24"/>
          <w:szCs w:val="24"/>
          <w:lang w:bidi="ar"/>
        </w:rPr>
        <w:t>在浇筑现场取样。</w:t>
      </w:r>
      <w:bookmarkEnd w:id="347"/>
      <w:bookmarkEnd w:id="348"/>
    </w:p>
    <w:p w14:paraId="60B0E34F">
      <w:pPr>
        <w:pStyle w:val="4"/>
        <w:keepNext w:val="0"/>
        <w:keepLines w:val="0"/>
        <w:numPr>
          <w:ilvl w:val="0"/>
          <w:numId w:val="41"/>
        </w:numPr>
        <w:spacing w:before="78" w:beforeLines="25" w:after="0" w:line="440" w:lineRule="exact"/>
        <w:jc w:val="left"/>
        <w:rPr>
          <w:rFonts w:hint="eastAsia" w:ascii="宋体" w:hAnsi="宋体" w:cs="宋体"/>
          <w:b w:val="0"/>
          <w:color w:val="000000"/>
          <w:kern w:val="0"/>
          <w:sz w:val="24"/>
          <w:szCs w:val="24"/>
          <w:lang w:bidi="ar"/>
        </w:rPr>
      </w:pPr>
      <w:r>
        <w:rPr>
          <w:rFonts w:hint="eastAsia" w:ascii="宋体" w:hAnsi="宋体" w:cs="宋体"/>
          <w:b w:val="0"/>
          <w:color w:val="000000"/>
          <w:kern w:val="0"/>
          <w:sz w:val="24"/>
          <w:szCs w:val="24"/>
          <w:lang w:bidi="ar"/>
        </w:rPr>
        <w:t xml:space="preserve"> </w:t>
      </w:r>
      <w:bookmarkStart w:id="349" w:name="_Toc21654"/>
      <w:bookmarkStart w:id="350" w:name="_Toc29981"/>
      <w:r>
        <w:rPr>
          <w:rFonts w:ascii="宋体" w:hAnsi="宋体" w:cs="宋体"/>
          <w:b w:val="0"/>
          <w:color w:val="000000"/>
          <w:kern w:val="0"/>
          <w:sz w:val="24"/>
          <w:szCs w:val="24"/>
          <w:lang w:bidi="ar"/>
        </w:rPr>
        <w:t>检验样品应随机从同一运输车中抽取，浇筑现场取样应在卸料过程中卸料</w:t>
      </w:r>
      <w:bookmarkEnd w:id="349"/>
      <w:bookmarkEnd w:id="350"/>
    </w:p>
    <w:p w14:paraId="31307690">
      <w:pPr>
        <w:pStyle w:val="4"/>
        <w:keepNext w:val="0"/>
        <w:keepLines w:val="0"/>
        <w:spacing w:before="78" w:beforeLines="25" w:after="0" w:line="440" w:lineRule="exact"/>
        <w:ind w:left="0" w:firstLine="0"/>
        <w:jc w:val="left"/>
        <w:rPr>
          <w:rFonts w:hint="eastAsia" w:ascii="宋体" w:hAnsi="宋体" w:cs="宋体"/>
          <w:b w:val="0"/>
          <w:color w:val="000000"/>
          <w:kern w:val="0"/>
          <w:sz w:val="24"/>
          <w:szCs w:val="24"/>
          <w:lang w:bidi="ar"/>
        </w:rPr>
      </w:pPr>
      <w:bookmarkStart w:id="351" w:name="_Toc6485"/>
      <w:bookmarkStart w:id="352" w:name="_Toc6378"/>
      <w:r>
        <w:rPr>
          <w:rFonts w:ascii="宋体" w:hAnsi="宋体" w:cs="宋体"/>
          <w:b w:val="0"/>
          <w:color w:val="000000"/>
          <w:kern w:val="0"/>
          <w:sz w:val="24"/>
          <w:szCs w:val="24"/>
          <w:lang w:bidi="ar"/>
        </w:rPr>
        <w:t>量的</w:t>
      </w:r>
      <w:r>
        <w:rPr>
          <w:b w:val="0"/>
          <w:color w:val="000000"/>
          <w:kern w:val="0"/>
          <w:sz w:val="24"/>
          <w:szCs w:val="24"/>
          <w:lang w:bidi="ar"/>
        </w:rPr>
        <w:t>1/4至3/4</w:t>
      </w:r>
      <w:r>
        <w:rPr>
          <w:rFonts w:ascii="宋体" w:hAnsi="宋体" w:cs="宋体"/>
          <w:b w:val="0"/>
          <w:color w:val="000000"/>
          <w:kern w:val="0"/>
          <w:sz w:val="24"/>
          <w:szCs w:val="24"/>
          <w:lang w:bidi="ar"/>
        </w:rPr>
        <w:t>之间抽取。</w:t>
      </w:r>
      <w:bookmarkEnd w:id="351"/>
      <w:bookmarkEnd w:id="352"/>
    </w:p>
    <w:p w14:paraId="2FE80FDD">
      <w:pPr>
        <w:pStyle w:val="4"/>
        <w:keepNext w:val="0"/>
        <w:keepLines w:val="0"/>
        <w:numPr>
          <w:ilvl w:val="0"/>
          <w:numId w:val="41"/>
        </w:numPr>
        <w:spacing w:before="78" w:beforeLines="25" w:after="0" w:line="440" w:lineRule="exact"/>
        <w:jc w:val="left"/>
        <w:rPr>
          <w:rFonts w:hint="eastAsia" w:ascii="宋体" w:hAnsi="宋体" w:cs="宋体"/>
          <w:b w:val="0"/>
          <w:color w:val="000000"/>
          <w:kern w:val="0"/>
          <w:sz w:val="24"/>
          <w:szCs w:val="24"/>
          <w:lang w:bidi="ar"/>
        </w:rPr>
      </w:pPr>
      <w:r>
        <w:rPr>
          <w:rFonts w:hint="eastAsia" w:ascii="宋体" w:hAnsi="宋体" w:cs="宋体"/>
          <w:b w:val="0"/>
          <w:color w:val="000000"/>
          <w:kern w:val="0"/>
          <w:sz w:val="24"/>
          <w:szCs w:val="24"/>
          <w:lang w:bidi="ar"/>
        </w:rPr>
        <w:t xml:space="preserve"> </w:t>
      </w:r>
      <w:bookmarkStart w:id="353" w:name="_Toc795"/>
      <w:bookmarkStart w:id="354" w:name="_Toc19689"/>
      <w:bookmarkStart w:id="355" w:name="_Toc14313"/>
      <w:r>
        <w:rPr>
          <w:rFonts w:hint="eastAsia" w:ascii="宋体" w:hAnsi="宋体" w:cs="宋体"/>
          <w:b w:val="0"/>
          <w:color w:val="000000"/>
          <w:kern w:val="0"/>
          <w:sz w:val="24"/>
          <w:szCs w:val="24"/>
          <w:lang w:bidi="ar"/>
        </w:rPr>
        <w:t>对于低强度充填材料拌合物流动度，每工作班应至少检验</w:t>
      </w:r>
      <w:r>
        <w:rPr>
          <w:rFonts w:hint="eastAsia"/>
          <w:b w:val="0"/>
          <w:bCs w:val="0"/>
          <w:sz w:val="24"/>
        </w:rPr>
        <w:t>1</w:t>
      </w:r>
      <w:r>
        <w:rPr>
          <w:rFonts w:hint="eastAsia" w:ascii="宋体" w:hAnsi="宋体" w:cs="宋体"/>
          <w:b w:val="0"/>
          <w:color w:val="000000"/>
          <w:kern w:val="0"/>
          <w:sz w:val="24"/>
          <w:szCs w:val="24"/>
          <w:lang w:bidi="ar"/>
        </w:rPr>
        <w:t>次。</w:t>
      </w:r>
      <w:bookmarkEnd w:id="353"/>
      <w:bookmarkEnd w:id="354"/>
      <w:bookmarkEnd w:id="355"/>
    </w:p>
    <w:p w14:paraId="6B6EDC3B">
      <w:pPr>
        <w:pStyle w:val="4"/>
        <w:keepNext w:val="0"/>
        <w:keepLines w:val="0"/>
        <w:numPr>
          <w:ilvl w:val="0"/>
          <w:numId w:val="41"/>
        </w:numPr>
        <w:spacing w:before="78" w:beforeLines="25" w:after="0" w:line="440" w:lineRule="exact"/>
        <w:jc w:val="left"/>
        <w:rPr>
          <w:b w:val="0"/>
          <w:color w:val="000000"/>
          <w:kern w:val="0"/>
          <w:sz w:val="24"/>
          <w:szCs w:val="24"/>
          <w:lang w:bidi="ar"/>
        </w:rPr>
      </w:pPr>
      <w:r>
        <w:rPr>
          <w:rFonts w:hint="eastAsia" w:ascii="宋体" w:hAnsi="宋体" w:cs="宋体"/>
          <w:b w:val="0"/>
          <w:color w:val="000000"/>
          <w:kern w:val="0"/>
          <w:sz w:val="24"/>
          <w:szCs w:val="24"/>
          <w:lang w:bidi="ar"/>
        </w:rPr>
        <w:t xml:space="preserve"> </w:t>
      </w:r>
      <w:bookmarkStart w:id="356" w:name="_Toc9645"/>
      <w:bookmarkStart w:id="357" w:name="_Toc26920"/>
      <w:r>
        <w:rPr>
          <w:rFonts w:hint="eastAsia" w:ascii="宋体" w:hAnsi="宋体" w:cs="宋体"/>
          <w:b w:val="0"/>
          <w:color w:val="000000"/>
          <w:kern w:val="0"/>
          <w:sz w:val="24"/>
          <w:szCs w:val="24"/>
          <w:lang w:bidi="ar"/>
        </w:rPr>
        <w:t>对于低强度充填材料拌合物泌水率，每工作班应至少</w:t>
      </w:r>
      <w:r>
        <w:rPr>
          <w:b w:val="0"/>
          <w:color w:val="000000"/>
          <w:kern w:val="0"/>
          <w:sz w:val="24"/>
          <w:szCs w:val="24"/>
          <w:lang w:bidi="ar"/>
        </w:rPr>
        <w:t>检验1次。</w:t>
      </w:r>
      <w:bookmarkEnd w:id="356"/>
      <w:bookmarkEnd w:id="357"/>
    </w:p>
    <w:p w14:paraId="7FE4567A">
      <w:pPr>
        <w:pStyle w:val="4"/>
        <w:keepNext w:val="0"/>
        <w:keepLines w:val="0"/>
        <w:numPr>
          <w:ilvl w:val="0"/>
          <w:numId w:val="41"/>
        </w:numPr>
        <w:spacing w:before="78" w:beforeLines="25" w:after="0" w:line="440" w:lineRule="exact"/>
        <w:jc w:val="left"/>
        <w:rPr>
          <w:b w:val="0"/>
          <w:color w:val="000000"/>
          <w:kern w:val="0"/>
          <w:sz w:val="24"/>
          <w:szCs w:val="24"/>
          <w:lang w:bidi="ar"/>
        </w:rPr>
      </w:pPr>
      <w:r>
        <w:rPr>
          <w:b w:val="0"/>
          <w:color w:val="000000"/>
          <w:kern w:val="0"/>
          <w:sz w:val="24"/>
          <w:szCs w:val="24"/>
          <w:lang w:bidi="ar"/>
        </w:rPr>
        <w:t xml:space="preserve"> </w:t>
      </w:r>
      <w:bookmarkStart w:id="358" w:name="_Toc5643"/>
      <w:bookmarkStart w:id="359" w:name="_Toc25189"/>
      <w:r>
        <w:rPr>
          <w:b w:val="0"/>
          <w:color w:val="000000"/>
          <w:kern w:val="0"/>
          <w:sz w:val="24"/>
          <w:szCs w:val="24"/>
          <w:lang w:bidi="ar"/>
        </w:rPr>
        <w:t>对于低强度充填材料拌合物分层度，每工作班应至少检验1次。</w:t>
      </w:r>
      <w:bookmarkEnd w:id="358"/>
      <w:bookmarkEnd w:id="359"/>
    </w:p>
    <w:p w14:paraId="10B2EEC4"/>
    <w:p w14:paraId="161E6855">
      <w:pPr>
        <w:pStyle w:val="3"/>
        <w:keepNext w:val="0"/>
        <w:keepLines w:val="0"/>
        <w:widowControl/>
        <w:numPr>
          <w:ilvl w:val="1"/>
          <w:numId w:val="40"/>
        </w:numPr>
        <w:tabs>
          <w:tab w:val="clear" w:pos="0"/>
          <w:tab w:val="clear" w:pos="576"/>
        </w:tabs>
        <w:spacing w:before="78" w:beforeLines="25" w:after="0" w:line="440" w:lineRule="exact"/>
        <w:rPr>
          <w:rFonts w:hint="eastAsia" w:ascii="宋体" w:hAnsi="宋体" w:eastAsia="微软雅黑" w:cs="宋体"/>
          <w:bCs w:val="0"/>
          <w:color w:val="000000"/>
          <w:kern w:val="0"/>
          <w:sz w:val="28"/>
          <w:szCs w:val="24"/>
          <w:lang w:bidi="ar"/>
        </w:rPr>
      </w:pPr>
      <w:bookmarkStart w:id="360" w:name="_Toc396988868"/>
      <w:bookmarkStart w:id="361" w:name="_Toc29677"/>
      <w:bookmarkStart w:id="362" w:name="_Toc422781496"/>
      <w:bookmarkStart w:id="363" w:name="_Toc19316"/>
      <w:bookmarkStart w:id="364" w:name="_Toc11545"/>
      <w:bookmarkStart w:id="365" w:name="_Toc12656"/>
      <w:bookmarkStart w:id="366" w:name="_Toc421810829"/>
      <w:bookmarkStart w:id="367" w:name="_Toc422782474"/>
      <w:bookmarkStart w:id="368" w:name="_Toc422782542"/>
      <w:bookmarkStart w:id="369" w:name="_Toc299717889"/>
      <w:bookmarkStart w:id="370" w:name="_Toc440983256"/>
      <w:bookmarkStart w:id="371" w:name="_Toc299638656"/>
      <w:bookmarkStart w:id="372" w:name="_Toc444850223"/>
      <w:bookmarkStart w:id="373" w:name="_Toc2592"/>
      <w:r>
        <w:rPr>
          <w:rFonts w:hint="eastAsia" w:ascii="宋体" w:hAnsi="宋体" w:eastAsia="微软雅黑" w:cs="宋体"/>
          <w:bCs w:val="0"/>
          <w:color w:val="000000"/>
          <w:kern w:val="0"/>
          <w:sz w:val="28"/>
          <w:szCs w:val="24"/>
          <w:lang w:bidi="ar"/>
        </w:rPr>
        <w:t>低强度充填材料硬化性能检验</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0D34A517">
      <w:pPr>
        <w:pStyle w:val="4"/>
        <w:keepNext w:val="0"/>
        <w:keepLines w:val="0"/>
        <w:numPr>
          <w:ilvl w:val="0"/>
          <w:numId w:val="42"/>
        </w:numPr>
        <w:spacing w:before="78" w:beforeLines="25" w:after="0" w:line="440" w:lineRule="exact"/>
        <w:jc w:val="left"/>
        <w:rPr>
          <w:b w:val="0"/>
          <w:color w:val="000000"/>
          <w:kern w:val="0"/>
          <w:sz w:val="24"/>
          <w:szCs w:val="24"/>
          <w:lang w:bidi="ar"/>
        </w:rPr>
      </w:pPr>
      <w:r>
        <w:rPr>
          <w:rFonts w:hint="eastAsia"/>
          <w:b w:val="0"/>
          <w:color w:val="000000"/>
          <w:kern w:val="0"/>
          <w:sz w:val="24"/>
          <w:szCs w:val="24"/>
          <w:lang w:bidi="ar"/>
        </w:rPr>
        <w:t xml:space="preserve"> </w:t>
      </w:r>
      <w:bookmarkStart w:id="374" w:name="_Toc6922"/>
      <w:bookmarkStart w:id="375" w:name="_Toc32456"/>
      <w:bookmarkStart w:id="376" w:name="_Toc2195"/>
      <w:r>
        <w:rPr>
          <w:b w:val="0"/>
          <w:color w:val="000000"/>
          <w:kern w:val="0"/>
          <w:sz w:val="24"/>
          <w:szCs w:val="24"/>
          <w:lang w:bidi="ar"/>
        </w:rPr>
        <w:t>硬化低强度充填材料力学性能、长期性能和耐久性能应满足设计要求。</w:t>
      </w:r>
      <w:bookmarkEnd w:id="374"/>
      <w:bookmarkEnd w:id="375"/>
      <w:bookmarkEnd w:id="376"/>
    </w:p>
    <w:p w14:paraId="35D90329">
      <w:pPr>
        <w:pStyle w:val="4"/>
        <w:keepNext w:val="0"/>
        <w:keepLines w:val="0"/>
        <w:numPr>
          <w:ilvl w:val="0"/>
          <w:numId w:val="42"/>
        </w:numPr>
        <w:spacing w:before="78" w:beforeLines="25" w:after="0" w:line="440" w:lineRule="exact"/>
        <w:rPr>
          <w:b w:val="0"/>
          <w:color w:val="000000"/>
          <w:kern w:val="0"/>
          <w:sz w:val="24"/>
          <w:szCs w:val="24"/>
          <w:lang w:bidi="ar"/>
        </w:rPr>
      </w:pPr>
      <w:bookmarkStart w:id="377" w:name="_Toc22594"/>
      <w:bookmarkStart w:id="378" w:name="_Toc3273"/>
      <w:r>
        <w:rPr>
          <w:rFonts w:hint="eastAsia"/>
          <w:b w:val="0"/>
          <w:color w:val="000000"/>
          <w:kern w:val="0"/>
          <w:sz w:val="24"/>
          <w:szCs w:val="24"/>
          <w:lang w:bidi="ar"/>
        </w:rPr>
        <w:t xml:space="preserve"> </w:t>
      </w:r>
      <w:r>
        <w:rPr>
          <w:b w:val="0"/>
          <w:color w:val="000000"/>
          <w:kern w:val="0"/>
          <w:sz w:val="24"/>
          <w:szCs w:val="24"/>
          <w:lang w:bidi="ar"/>
        </w:rPr>
        <w:t>硬化后，临时回填工程和非结构回填工程用低强度充填材料无需进行力</w:t>
      </w:r>
      <w:bookmarkEnd w:id="377"/>
      <w:bookmarkEnd w:id="378"/>
      <w:bookmarkStart w:id="379" w:name="_Toc30685"/>
      <w:bookmarkStart w:id="380" w:name="_Toc17101"/>
      <w:r>
        <w:rPr>
          <w:b w:val="0"/>
          <w:color w:val="000000"/>
          <w:kern w:val="0"/>
          <w:sz w:val="24"/>
          <w:szCs w:val="24"/>
          <w:lang w:bidi="ar"/>
        </w:rPr>
        <w:t>学</w:t>
      </w:r>
      <w:bookmarkEnd w:id="379"/>
      <w:bookmarkEnd w:id="380"/>
    </w:p>
    <w:p w14:paraId="5E2ABCAF">
      <w:pPr>
        <w:pStyle w:val="4"/>
        <w:keepNext w:val="0"/>
        <w:keepLines w:val="0"/>
        <w:numPr>
          <w:ilvl w:val="255"/>
          <w:numId w:val="0"/>
        </w:numPr>
        <w:spacing w:before="78" w:beforeLines="25" w:after="0" w:line="440" w:lineRule="exact"/>
        <w:rPr>
          <w:b w:val="0"/>
          <w:color w:val="000000"/>
          <w:kern w:val="0"/>
          <w:sz w:val="24"/>
          <w:szCs w:val="24"/>
          <w:lang w:bidi="ar"/>
        </w:rPr>
      </w:pPr>
      <w:bookmarkStart w:id="381" w:name="_Toc21721"/>
      <w:bookmarkStart w:id="382" w:name="_Toc1651"/>
      <w:r>
        <w:rPr>
          <w:b w:val="0"/>
          <w:color w:val="000000"/>
          <w:kern w:val="0"/>
          <w:sz w:val="24"/>
          <w:szCs w:val="24"/>
          <w:lang w:bidi="ar"/>
        </w:rPr>
        <w:t>性能检验，结构回填工程用低强度充填材料应进行力学性能检验。</w:t>
      </w:r>
      <w:bookmarkEnd w:id="381"/>
      <w:bookmarkEnd w:id="382"/>
    </w:p>
    <w:p w14:paraId="0F1BDF3B">
      <w:pPr>
        <w:pStyle w:val="4"/>
        <w:keepNext w:val="0"/>
        <w:keepLines w:val="0"/>
        <w:numPr>
          <w:ilvl w:val="0"/>
          <w:numId w:val="42"/>
        </w:numPr>
        <w:spacing w:before="78" w:beforeLines="25" w:after="0" w:line="440" w:lineRule="exact"/>
        <w:jc w:val="left"/>
        <w:rPr>
          <w:b w:val="0"/>
          <w:color w:val="000000"/>
          <w:kern w:val="0"/>
          <w:sz w:val="24"/>
          <w:szCs w:val="24"/>
          <w:lang w:bidi="ar"/>
        </w:rPr>
      </w:pPr>
      <w:r>
        <w:rPr>
          <w:b w:val="0"/>
          <w:color w:val="000000"/>
          <w:kern w:val="0"/>
          <w:sz w:val="24"/>
          <w:szCs w:val="24"/>
          <w:lang w:bidi="ar"/>
        </w:rPr>
        <w:t xml:space="preserve"> </w:t>
      </w:r>
      <w:bookmarkStart w:id="383" w:name="_Toc17879"/>
      <w:bookmarkStart w:id="384" w:name="_Toc30958"/>
      <w:r>
        <w:rPr>
          <w:b w:val="0"/>
          <w:color w:val="000000"/>
          <w:kern w:val="0"/>
          <w:sz w:val="24"/>
          <w:szCs w:val="24"/>
          <w:lang w:bidi="ar"/>
        </w:rPr>
        <w:t>对于结构回填工程用低强度充填材料无侧限抗压强度，宜采用钻芯取样方式，</w:t>
      </w:r>
      <w:bookmarkEnd w:id="383"/>
      <w:bookmarkEnd w:id="384"/>
      <w:bookmarkStart w:id="385" w:name="_Toc29482"/>
      <w:bookmarkStart w:id="386" w:name="_Toc21372"/>
      <w:r>
        <w:rPr>
          <w:b w:val="0"/>
          <w:color w:val="000000"/>
          <w:kern w:val="0"/>
          <w:sz w:val="24"/>
          <w:szCs w:val="24"/>
          <w:lang w:bidi="ar"/>
        </w:rPr>
        <w:t>每个结构部位应至少取样3块。</w:t>
      </w:r>
      <w:bookmarkEnd w:id="385"/>
      <w:bookmarkEnd w:id="386"/>
    </w:p>
    <w:p w14:paraId="73A7EC5F">
      <w:pPr>
        <w:pStyle w:val="4"/>
        <w:keepNext w:val="0"/>
        <w:keepLines w:val="0"/>
        <w:numPr>
          <w:ilvl w:val="0"/>
          <w:numId w:val="42"/>
        </w:numPr>
        <w:spacing w:before="78" w:beforeLines="25" w:after="0" w:line="440" w:lineRule="exact"/>
        <w:jc w:val="left"/>
        <w:rPr>
          <w:b w:val="0"/>
          <w:color w:val="000000"/>
          <w:kern w:val="0"/>
          <w:sz w:val="24"/>
          <w:szCs w:val="24"/>
          <w:lang w:bidi="ar"/>
        </w:rPr>
      </w:pPr>
      <w:r>
        <w:rPr>
          <w:b w:val="0"/>
          <w:color w:val="000000"/>
          <w:kern w:val="0"/>
          <w:sz w:val="24"/>
          <w:szCs w:val="24"/>
          <w:lang w:bidi="ar"/>
        </w:rPr>
        <w:t xml:space="preserve"> </w:t>
      </w:r>
      <w:bookmarkStart w:id="387" w:name="_Toc18751"/>
      <w:bookmarkStart w:id="388" w:name="_Toc18376"/>
      <w:r>
        <w:rPr>
          <w:b w:val="0"/>
          <w:color w:val="000000"/>
          <w:kern w:val="0"/>
          <w:sz w:val="24"/>
          <w:szCs w:val="24"/>
          <w:lang w:bidi="ar"/>
        </w:rPr>
        <w:t>对于结构回填工程用低强度充填材料劈裂强度，</w:t>
      </w:r>
      <w:r>
        <w:rPr>
          <w:rFonts w:hint="eastAsia"/>
          <w:b w:val="0"/>
          <w:color w:val="000000"/>
          <w:kern w:val="0"/>
          <w:sz w:val="24"/>
          <w:szCs w:val="24"/>
          <w:lang w:bidi="ar"/>
        </w:rPr>
        <w:t>宜</w:t>
      </w:r>
      <w:r>
        <w:rPr>
          <w:b w:val="0"/>
          <w:color w:val="000000"/>
          <w:kern w:val="0"/>
          <w:sz w:val="24"/>
          <w:szCs w:val="24"/>
          <w:lang w:bidi="ar"/>
        </w:rPr>
        <w:t>采用钻芯取样方式，每个</w:t>
      </w:r>
      <w:bookmarkEnd w:id="387"/>
      <w:bookmarkEnd w:id="388"/>
      <w:bookmarkStart w:id="389" w:name="_Toc20482"/>
      <w:bookmarkStart w:id="390" w:name="_Toc20782"/>
      <w:r>
        <w:rPr>
          <w:b w:val="0"/>
          <w:color w:val="000000"/>
          <w:kern w:val="0"/>
          <w:sz w:val="24"/>
          <w:szCs w:val="24"/>
          <w:lang w:bidi="ar"/>
        </w:rPr>
        <w:t>结构部位</w:t>
      </w:r>
      <w:r>
        <w:rPr>
          <w:rFonts w:hint="eastAsia"/>
          <w:b w:val="0"/>
          <w:color w:val="000000"/>
          <w:kern w:val="0"/>
          <w:sz w:val="24"/>
          <w:szCs w:val="24"/>
          <w:lang w:bidi="ar"/>
        </w:rPr>
        <w:t>应</w:t>
      </w:r>
      <w:r>
        <w:rPr>
          <w:b w:val="0"/>
          <w:color w:val="000000"/>
          <w:kern w:val="0"/>
          <w:sz w:val="24"/>
          <w:szCs w:val="24"/>
          <w:lang w:bidi="ar"/>
        </w:rPr>
        <w:t>至少取样3块。</w:t>
      </w:r>
      <w:bookmarkEnd w:id="389"/>
      <w:bookmarkEnd w:id="390"/>
    </w:p>
    <w:p w14:paraId="160CB977">
      <w:pPr>
        <w:pStyle w:val="4"/>
        <w:keepNext w:val="0"/>
        <w:keepLines w:val="0"/>
        <w:numPr>
          <w:ilvl w:val="0"/>
          <w:numId w:val="42"/>
        </w:numPr>
        <w:spacing w:before="78" w:beforeLines="25" w:after="0" w:line="440" w:lineRule="exact"/>
        <w:jc w:val="left"/>
        <w:rPr>
          <w:b w:val="0"/>
          <w:color w:val="000000"/>
          <w:kern w:val="0"/>
          <w:sz w:val="24"/>
          <w:szCs w:val="24"/>
          <w:lang w:bidi="ar"/>
        </w:rPr>
      </w:pPr>
      <w:r>
        <w:rPr>
          <w:rFonts w:hint="eastAsia"/>
          <w:b w:val="0"/>
          <w:color w:val="000000"/>
          <w:kern w:val="0"/>
          <w:sz w:val="24"/>
          <w:szCs w:val="24"/>
          <w:lang w:bidi="ar"/>
        </w:rPr>
        <w:t xml:space="preserve"> </w:t>
      </w:r>
      <w:bookmarkStart w:id="391" w:name="_Toc15964"/>
      <w:bookmarkStart w:id="392" w:name="_Toc30497"/>
      <w:bookmarkStart w:id="393" w:name="_Toc27529"/>
      <w:r>
        <w:rPr>
          <w:b w:val="0"/>
          <w:color w:val="000000"/>
          <w:kern w:val="0"/>
          <w:sz w:val="24"/>
          <w:szCs w:val="24"/>
          <w:lang w:bidi="ar"/>
        </w:rPr>
        <w:t>实际工程应用中低强度充填材料抗渗性能、抗冻融性能、抗硫酸盐侵蚀性能和干缩性能视工程要求进行检验，应按照现行的相关规</w:t>
      </w:r>
      <w:bookmarkEnd w:id="391"/>
      <w:bookmarkStart w:id="394" w:name="_Toc13169"/>
      <w:r>
        <w:rPr>
          <w:b w:val="0"/>
          <w:color w:val="000000"/>
          <w:kern w:val="0"/>
          <w:sz w:val="24"/>
          <w:szCs w:val="24"/>
          <w:lang w:bidi="ar"/>
        </w:rPr>
        <w:t>定进行检验。</w:t>
      </w:r>
      <w:bookmarkEnd w:id="392"/>
      <w:bookmarkEnd w:id="393"/>
      <w:bookmarkEnd w:id="394"/>
    </w:p>
    <w:p w14:paraId="594DCB03">
      <w:pPr>
        <w:numPr>
          <w:ilvl w:val="255"/>
          <w:numId w:val="0"/>
        </w:numPr>
        <w:rPr>
          <w:bCs/>
          <w:color w:val="000000"/>
          <w:kern w:val="0"/>
          <w:sz w:val="24"/>
          <w:lang w:bidi="ar"/>
        </w:rPr>
      </w:pPr>
    </w:p>
    <w:p w14:paraId="4CF84659">
      <w:pPr>
        <w:pStyle w:val="3"/>
        <w:keepNext w:val="0"/>
        <w:keepLines w:val="0"/>
        <w:widowControl/>
        <w:numPr>
          <w:ilvl w:val="1"/>
          <w:numId w:val="40"/>
        </w:numPr>
        <w:tabs>
          <w:tab w:val="clear" w:pos="0"/>
          <w:tab w:val="clear" w:pos="576"/>
        </w:tabs>
        <w:spacing w:before="78" w:beforeLines="25" w:after="0" w:line="440" w:lineRule="exact"/>
        <w:rPr>
          <w:rFonts w:hint="eastAsia" w:ascii="宋体" w:hAnsi="宋体" w:eastAsia="微软雅黑" w:cs="宋体"/>
          <w:bCs w:val="0"/>
          <w:color w:val="000000"/>
          <w:kern w:val="0"/>
          <w:sz w:val="28"/>
          <w:szCs w:val="24"/>
          <w:lang w:bidi="ar"/>
        </w:rPr>
      </w:pPr>
      <w:bookmarkStart w:id="395" w:name="_Toc3135"/>
      <w:bookmarkStart w:id="396" w:name="_Toc31873"/>
      <w:r>
        <w:rPr>
          <w:rFonts w:hint="eastAsia" w:ascii="宋体" w:hAnsi="宋体" w:eastAsia="微软雅黑" w:cs="宋体"/>
          <w:bCs w:val="0"/>
          <w:color w:val="000000"/>
          <w:kern w:val="0"/>
          <w:sz w:val="28"/>
          <w:szCs w:val="24"/>
          <w:lang w:bidi="ar"/>
        </w:rPr>
        <w:t>低强度充填材料质量评定</w:t>
      </w:r>
      <w:bookmarkEnd w:id="395"/>
      <w:bookmarkEnd w:id="396"/>
    </w:p>
    <w:p w14:paraId="67485D9D">
      <w:pPr>
        <w:pStyle w:val="4"/>
        <w:keepNext w:val="0"/>
        <w:keepLines w:val="0"/>
        <w:spacing w:before="78" w:beforeLines="25" w:after="0" w:line="440" w:lineRule="exact"/>
        <w:ind w:left="0" w:firstLine="0"/>
        <w:jc w:val="left"/>
        <w:rPr>
          <w:rFonts w:hint="eastAsia" w:ascii="宋体" w:hAnsi="宋体" w:cs="宋体"/>
          <w:b w:val="0"/>
          <w:color w:val="000000"/>
          <w:kern w:val="0"/>
          <w:sz w:val="24"/>
          <w:szCs w:val="24"/>
          <w:lang w:bidi="ar"/>
        </w:rPr>
      </w:pPr>
      <w:bookmarkStart w:id="397" w:name="_Toc14183"/>
      <w:bookmarkStart w:id="398" w:name="_Toc24177"/>
      <w:r>
        <w:rPr>
          <w:rFonts w:ascii="宋体" w:hAnsi="宋体" w:cs="宋体"/>
          <w:color w:val="000000"/>
          <w:kern w:val="0"/>
          <w:sz w:val="24"/>
          <w:szCs w:val="24"/>
          <w:lang w:bidi="ar"/>
        </w:rPr>
        <w:t>7.</w:t>
      </w:r>
      <w:r>
        <w:rPr>
          <w:rFonts w:hint="eastAsia" w:ascii="宋体" w:hAnsi="宋体" w:cs="宋体"/>
          <w:color w:val="000000"/>
          <w:kern w:val="0"/>
          <w:sz w:val="24"/>
          <w:szCs w:val="24"/>
          <w:lang w:bidi="ar"/>
        </w:rPr>
        <w:t>3</w:t>
      </w:r>
      <w:r>
        <w:rPr>
          <w:rFonts w:ascii="宋体" w:hAnsi="宋体" w:cs="宋体"/>
          <w:color w:val="000000"/>
          <w:kern w:val="0"/>
          <w:sz w:val="24"/>
          <w:szCs w:val="24"/>
          <w:lang w:bidi="ar"/>
        </w:rPr>
        <w:t>.1</w:t>
      </w:r>
      <w:r>
        <w:rPr>
          <w:rFonts w:hint="eastAsia" w:ascii="宋体" w:hAnsi="宋体" w:cs="宋体"/>
          <w:b w:val="0"/>
          <w:color w:val="000000"/>
          <w:kern w:val="0"/>
          <w:sz w:val="24"/>
          <w:szCs w:val="24"/>
          <w:lang w:bidi="ar"/>
        </w:rPr>
        <w:t xml:space="preserve">  当</w:t>
      </w:r>
      <w:r>
        <w:rPr>
          <w:b w:val="0"/>
          <w:color w:val="000000"/>
          <w:kern w:val="0"/>
          <w:sz w:val="24"/>
          <w:szCs w:val="24"/>
          <w:lang w:bidi="ar"/>
        </w:rPr>
        <w:t>低强度充填材料拌合物</w:t>
      </w:r>
      <w:r>
        <w:rPr>
          <w:rFonts w:hint="eastAsia"/>
          <w:b w:val="0"/>
          <w:color w:val="000000"/>
          <w:kern w:val="0"/>
          <w:sz w:val="24"/>
          <w:szCs w:val="24"/>
          <w:lang w:bidi="ar"/>
        </w:rPr>
        <w:t>流动度、泌水率、分层度、落球凝结时间、沉降率均</w:t>
      </w:r>
      <w:r>
        <w:rPr>
          <w:b w:val="0"/>
          <w:color w:val="000000"/>
          <w:kern w:val="0"/>
          <w:sz w:val="24"/>
          <w:szCs w:val="24"/>
          <w:lang w:bidi="ar"/>
        </w:rPr>
        <w:t>符合</w:t>
      </w:r>
      <w:r>
        <w:rPr>
          <w:rFonts w:hint="eastAsia"/>
          <w:b w:val="0"/>
          <w:color w:val="000000"/>
          <w:kern w:val="0"/>
          <w:sz w:val="24"/>
          <w:szCs w:val="24"/>
          <w:lang w:bidi="ar"/>
        </w:rPr>
        <w:t>本标准第</w:t>
      </w:r>
      <w:r>
        <w:rPr>
          <w:b w:val="0"/>
          <w:bCs w:val="0"/>
          <w:sz w:val="24"/>
        </w:rPr>
        <w:t>4.1</w:t>
      </w:r>
      <w:r>
        <w:rPr>
          <w:rFonts w:hint="eastAsia"/>
          <w:b w:val="0"/>
          <w:bCs w:val="0"/>
          <w:sz w:val="24"/>
        </w:rPr>
        <w:t>节</w:t>
      </w:r>
      <w:r>
        <w:rPr>
          <w:b w:val="0"/>
          <w:color w:val="000000"/>
          <w:kern w:val="0"/>
          <w:sz w:val="24"/>
          <w:szCs w:val="24"/>
          <w:lang w:bidi="ar"/>
        </w:rPr>
        <w:t>规定</w:t>
      </w:r>
      <w:r>
        <w:rPr>
          <w:rFonts w:hint="eastAsia"/>
          <w:b w:val="0"/>
          <w:color w:val="000000"/>
          <w:kern w:val="0"/>
          <w:sz w:val="24"/>
          <w:szCs w:val="24"/>
          <w:lang w:bidi="ar"/>
        </w:rPr>
        <w:t>时</w:t>
      </w:r>
      <w:r>
        <w:rPr>
          <w:b w:val="0"/>
          <w:color w:val="000000"/>
          <w:kern w:val="0"/>
          <w:sz w:val="24"/>
          <w:szCs w:val="24"/>
          <w:lang w:bidi="ar"/>
        </w:rPr>
        <w:t>，</w:t>
      </w:r>
      <w:r>
        <w:rPr>
          <w:rFonts w:hint="eastAsia"/>
          <w:b w:val="0"/>
          <w:color w:val="000000"/>
          <w:kern w:val="0"/>
          <w:sz w:val="24"/>
          <w:szCs w:val="24"/>
          <w:lang w:bidi="ar"/>
        </w:rPr>
        <w:t>应评定</w:t>
      </w:r>
      <w:r>
        <w:rPr>
          <w:b w:val="0"/>
          <w:color w:val="000000"/>
          <w:kern w:val="0"/>
          <w:sz w:val="24"/>
          <w:szCs w:val="24"/>
          <w:lang w:bidi="ar"/>
        </w:rPr>
        <w:t>为合格。</w:t>
      </w:r>
      <w:r>
        <w:rPr>
          <w:rFonts w:hint="eastAsia"/>
          <w:b w:val="0"/>
          <w:color w:val="000000"/>
          <w:kern w:val="0"/>
          <w:sz w:val="24"/>
          <w:szCs w:val="24"/>
          <w:lang w:bidi="ar"/>
        </w:rPr>
        <w:t>若有一项性能不符合第4.1节规定，应立即用试样余下部分或重新取样进行复检，当复检结果符合第4.1节规定时，评定为合格。</w:t>
      </w:r>
      <w:bookmarkEnd w:id="397"/>
      <w:bookmarkEnd w:id="398"/>
    </w:p>
    <w:p w14:paraId="27694FD1">
      <w:pPr>
        <w:pStyle w:val="4"/>
        <w:keepNext w:val="0"/>
        <w:keepLines w:val="0"/>
        <w:spacing w:before="78" w:beforeLines="25" w:after="0" w:line="440" w:lineRule="exact"/>
        <w:ind w:left="0" w:firstLine="0"/>
        <w:jc w:val="left"/>
        <w:rPr>
          <w:rFonts w:hint="eastAsia" w:ascii="宋体" w:hAnsi="宋体" w:cs="宋体"/>
          <w:b w:val="0"/>
          <w:color w:val="000000"/>
          <w:kern w:val="0"/>
          <w:sz w:val="24"/>
          <w:szCs w:val="24"/>
          <w:lang w:bidi="ar"/>
        </w:rPr>
      </w:pPr>
      <w:bookmarkStart w:id="399" w:name="_Toc6988"/>
      <w:bookmarkStart w:id="400" w:name="_Toc6295"/>
      <w:r>
        <w:rPr>
          <w:rFonts w:ascii="宋体" w:hAnsi="宋体" w:cs="宋体"/>
          <w:color w:val="000000"/>
          <w:kern w:val="0"/>
          <w:sz w:val="24"/>
          <w:szCs w:val="24"/>
          <w:lang w:bidi="ar"/>
        </w:rPr>
        <w:t>7.</w:t>
      </w:r>
      <w:r>
        <w:rPr>
          <w:rFonts w:hint="eastAsia" w:ascii="宋体" w:hAnsi="宋体" w:cs="宋体"/>
          <w:color w:val="000000"/>
          <w:kern w:val="0"/>
          <w:sz w:val="24"/>
          <w:szCs w:val="24"/>
          <w:lang w:bidi="ar"/>
        </w:rPr>
        <w:t>3</w:t>
      </w:r>
      <w:r>
        <w:rPr>
          <w:rFonts w:ascii="宋体" w:hAnsi="宋体" w:cs="宋体"/>
          <w:color w:val="000000"/>
          <w:kern w:val="0"/>
          <w:sz w:val="24"/>
          <w:szCs w:val="24"/>
          <w:lang w:bidi="ar"/>
        </w:rPr>
        <w:t>.2</w:t>
      </w:r>
      <w:r>
        <w:rPr>
          <w:rFonts w:hint="eastAsia" w:ascii="宋体" w:hAnsi="宋体" w:cs="宋体"/>
          <w:b w:val="0"/>
          <w:color w:val="000000"/>
          <w:kern w:val="0"/>
          <w:sz w:val="24"/>
          <w:szCs w:val="24"/>
          <w:lang w:bidi="ar"/>
        </w:rPr>
        <w:t xml:space="preserve">  当低强度充填材料无侧限抗压强度、加州承载比、劈裂强度符合本标准第</w:t>
      </w:r>
      <w:r>
        <w:rPr>
          <w:rFonts w:hint="eastAsia"/>
          <w:b w:val="0"/>
          <w:bCs w:val="0"/>
          <w:sz w:val="24"/>
        </w:rPr>
        <w:t>4.2节</w:t>
      </w:r>
      <w:r>
        <w:rPr>
          <w:rFonts w:hint="eastAsia" w:ascii="宋体" w:hAnsi="宋体" w:cs="宋体"/>
          <w:b w:val="0"/>
          <w:color w:val="000000"/>
          <w:kern w:val="0"/>
          <w:sz w:val="24"/>
          <w:szCs w:val="24"/>
          <w:lang w:bidi="ar"/>
        </w:rPr>
        <w:t>规定时，</w:t>
      </w:r>
      <w:r>
        <w:rPr>
          <w:rFonts w:hint="eastAsia"/>
          <w:b w:val="0"/>
          <w:color w:val="000000"/>
          <w:kern w:val="0"/>
          <w:sz w:val="24"/>
          <w:szCs w:val="24"/>
          <w:lang w:bidi="ar"/>
        </w:rPr>
        <w:t>应</w:t>
      </w:r>
      <w:r>
        <w:rPr>
          <w:rFonts w:hint="eastAsia" w:ascii="宋体" w:hAnsi="宋体" w:cs="宋体"/>
          <w:b w:val="0"/>
          <w:color w:val="000000"/>
          <w:kern w:val="0"/>
          <w:sz w:val="24"/>
          <w:szCs w:val="24"/>
          <w:lang w:bidi="ar"/>
        </w:rPr>
        <w:t>评定为合格。</w:t>
      </w:r>
      <w:r>
        <w:rPr>
          <w:rFonts w:hint="eastAsia"/>
          <w:b w:val="0"/>
          <w:color w:val="000000"/>
          <w:kern w:val="0"/>
          <w:sz w:val="24"/>
          <w:szCs w:val="24"/>
          <w:lang w:bidi="ar"/>
        </w:rPr>
        <w:t>若有一项性能不符合第4.2节规定，应立即重新取样复检，当复检结果符合第4.2节规定时，评定为合格。</w:t>
      </w:r>
      <w:bookmarkEnd w:id="399"/>
      <w:bookmarkEnd w:id="400"/>
    </w:p>
    <w:p w14:paraId="10C8D642">
      <w:pPr>
        <w:spacing w:before="78" w:beforeLines="25" w:line="440" w:lineRule="exact"/>
        <w:rPr>
          <w:bCs/>
          <w:color w:val="000000"/>
          <w:kern w:val="0"/>
          <w:sz w:val="24"/>
          <w:lang w:bidi="ar"/>
        </w:rPr>
      </w:pPr>
    </w:p>
    <w:p w14:paraId="7F4D0749">
      <w:pPr>
        <w:pStyle w:val="4"/>
        <w:sectPr>
          <w:pgSz w:w="11905" w:h="16838"/>
          <w:pgMar w:top="1582" w:right="1440" w:bottom="1162" w:left="1582" w:header="0" w:footer="969" w:gutter="283"/>
          <w:cols w:space="0" w:num="1"/>
          <w:titlePg/>
          <w:docGrid w:type="linesAndChars" w:linePitch="312" w:charSpace="0"/>
        </w:sectPr>
      </w:pPr>
    </w:p>
    <w:p w14:paraId="0F12D071">
      <w:pPr>
        <w:pStyle w:val="2"/>
        <w:numPr>
          <w:ilvl w:val="0"/>
          <w:numId w:val="13"/>
        </w:numPr>
        <w:spacing w:before="78" w:beforeLines="25" w:after="0" w:line="440" w:lineRule="exact"/>
        <w:ind w:left="0" w:firstLine="0"/>
        <w:rPr>
          <w:rFonts w:hint="eastAsia" w:ascii="微软雅黑" w:hAnsi="微软雅黑" w:eastAsia="微软雅黑" w:cs="微软雅黑"/>
          <w:b/>
          <w:sz w:val="32"/>
          <w:szCs w:val="32"/>
        </w:rPr>
      </w:pPr>
      <w:bookmarkStart w:id="401" w:name="_Toc6439"/>
      <w:bookmarkStart w:id="402" w:name="_Toc9856"/>
      <w:bookmarkStart w:id="403" w:name="_Toc24746"/>
      <w:bookmarkStart w:id="404" w:name="_Toc10615"/>
      <w:bookmarkStart w:id="405" w:name="_Toc79227319"/>
      <w:r>
        <w:rPr>
          <w:rFonts w:hint="eastAsia" w:ascii="微软雅黑" w:hAnsi="微软雅黑" w:eastAsia="微软雅黑" w:cs="微软雅黑"/>
          <w:b/>
          <w:sz w:val="32"/>
          <w:szCs w:val="32"/>
        </w:rPr>
        <w:t>实验室要求</w:t>
      </w:r>
      <w:bookmarkEnd w:id="401"/>
      <w:bookmarkEnd w:id="402"/>
      <w:bookmarkEnd w:id="403"/>
      <w:bookmarkEnd w:id="404"/>
      <w:bookmarkEnd w:id="405"/>
    </w:p>
    <w:p w14:paraId="10A2E993"/>
    <w:p w14:paraId="2B4AA15D">
      <w:pPr>
        <w:pStyle w:val="187"/>
        <w:numPr>
          <w:ilvl w:val="2"/>
          <w:numId w:val="43"/>
        </w:numPr>
        <w:spacing w:before="78" w:beforeLines="25" w:line="440" w:lineRule="exact"/>
        <w:ind w:firstLineChars="0"/>
        <w:jc w:val="left"/>
        <w:rPr>
          <w:rFonts w:ascii="Calibri" w:hAnsi="Calibri"/>
          <w:sz w:val="24"/>
        </w:rPr>
      </w:pPr>
      <w:r>
        <w:rPr>
          <w:rFonts w:hint="eastAsia" w:ascii="Calibri" w:hAnsi="Calibri"/>
          <w:sz w:val="24"/>
        </w:rPr>
        <w:t>所需实验设备应齐全，其性能应满足有关规定的要求，常用易损的仪器设</w:t>
      </w:r>
    </w:p>
    <w:p w14:paraId="5794AE8D">
      <w:pPr>
        <w:pStyle w:val="187"/>
        <w:spacing w:before="78" w:beforeLines="25" w:line="440" w:lineRule="exact"/>
        <w:ind w:left="9" w:firstLine="0" w:firstLineChars="0"/>
        <w:jc w:val="left"/>
        <w:rPr>
          <w:rFonts w:ascii="Calibri" w:hAnsi="Calibri"/>
          <w:sz w:val="24"/>
        </w:rPr>
      </w:pPr>
      <w:r>
        <w:rPr>
          <w:rFonts w:hint="eastAsia" w:ascii="Calibri" w:hAnsi="Calibri"/>
          <w:sz w:val="24"/>
        </w:rPr>
        <w:t>备应有备品备件。</w:t>
      </w:r>
    </w:p>
    <w:p w14:paraId="1711D21B">
      <w:pPr>
        <w:pStyle w:val="187"/>
        <w:numPr>
          <w:ilvl w:val="2"/>
          <w:numId w:val="43"/>
        </w:numPr>
        <w:spacing w:before="78" w:beforeLines="25" w:line="440" w:lineRule="exact"/>
        <w:ind w:firstLineChars="0"/>
        <w:jc w:val="left"/>
        <w:rPr>
          <w:rFonts w:ascii="Calibri" w:hAnsi="Calibri"/>
          <w:sz w:val="24"/>
        </w:rPr>
      </w:pPr>
      <w:r>
        <w:rPr>
          <w:rFonts w:hint="eastAsia" w:ascii="Calibri" w:hAnsi="Calibri"/>
          <w:sz w:val="24"/>
        </w:rPr>
        <w:t>实验室仪器设备应满足表</w:t>
      </w:r>
      <w:r>
        <w:rPr>
          <w:rFonts w:hint="eastAsia"/>
          <w:sz w:val="24"/>
          <w:szCs w:val="32"/>
        </w:rPr>
        <w:t>8.0.2</w:t>
      </w:r>
      <w:r>
        <w:rPr>
          <w:rFonts w:hint="eastAsia" w:ascii="Calibri" w:hAnsi="Calibri"/>
          <w:sz w:val="24"/>
        </w:rPr>
        <w:t>的规定。</w:t>
      </w:r>
    </w:p>
    <w:p w14:paraId="6785635A">
      <w:pPr>
        <w:spacing w:before="78" w:beforeLines="25" w:line="440" w:lineRule="exact"/>
        <w:jc w:val="center"/>
      </w:pPr>
      <w:r>
        <w:rPr>
          <w:rFonts w:eastAsia="黑体"/>
          <w:b/>
          <w:bCs/>
          <w:sz w:val="24"/>
        </w:rPr>
        <w:t xml:space="preserve">表8.0.2 </w:t>
      </w:r>
      <w:r>
        <w:rPr>
          <w:rFonts w:hint="eastAsia" w:ascii="黑体" w:hAnsi="黑体" w:eastAsia="黑体" w:cs="黑体"/>
          <w:b/>
          <w:bCs/>
          <w:sz w:val="24"/>
        </w:rPr>
        <w:t>实验项目仪器设备要求</w:t>
      </w:r>
    </w:p>
    <w:tbl>
      <w:tblPr>
        <w:tblStyle w:val="7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613"/>
        <w:gridCol w:w="6410"/>
      </w:tblGrid>
      <w:tr w14:paraId="4799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0" w:type="pct"/>
            <w:vAlign w:val="center"/>
          </w:tcPr>
          <w:p w14:paraId="74AEEDC1">
            <w:pPr>
              <w:spacing w:line="300" w:lineRule="auto"/>
              <w:jc w:val="center"/>
              <w:rPr>
                <w:szCs w:val="21"/>
              </w:rPr>
            </w:pPr>
            <w:r>
              <w:rPr>
                <w:szCs w:val="21"/>
              </w:rPr>
              <w:t>序号</w:t>
            </w:r>
          </w:p>
        </w:tc>
        <w:tc>
          <w:tcPr>
            <w:tcW w:w="915" w:type="pct"/>
            <w:vAlign w:val="center"/>
          </w:tcPr>
          <w:p w14:paraId="381B47D5">
            <w:pPr>
              <w:spacing w:line="300" w:lineRule="auto"/>
              <w:jc w:val="center"/>
              <w:rPr>
                <w:szCs w:val="21"/>
              </w:rPr>
            </w:pPr>
            <w:r>
              <w:rPr>
                <w:szCs w:val="21"/>
              </w:rPr>
              <w:t>实验项目</w:t>
            </w:r>
          </w:p>
        </w:tc>
        <w:tc>
          <w:tcPr>
            <w:tcW w:w="3635" w:type="pct"/>
            <w:vAlign w:val="center"/>
          </w:tcPr>
          <w:p w14:paraId="12370388">
            <w:pPr>
              <w:spacing w:line="300" w:lineRule="auto"/>
              <w:jc w:val="center"/>
              <w:rPr>
                <w:szCs w:val="21"/>
              </w:rPr>
            </w:pPr>
            <w:r>
              <w:rPr>
                <w:szCs w:val="21"/>
              </w:rPr>
              <w:t>仪器设备</w:t>
            </w:r>
          </w:p>
        </w:tc>
      </w:tr>
      <w:tr w14:paraId="0D64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12A1FA9">
            <w:pPr>
              <w:spacing w:line="300" w:lineRule="auto"/>
              <w:jc w:val="center"/>
              <w:rPr>
                <w:szCs w:val="21"/>
              </w:rPr>
            </w:pPr>
            <w:r>
              <w:rPr>
                <w:szCs w:val="21"/>
              </w:rPr>
              <w:t>1</w:t>
            </w:r>
          </w:p>
        </w:tc>
        <w:tc>
          <w:tcPr>
            <w:tcW w:w="915" w:type="pct"/>
            <w:vAlign w:val="center"/>
          </w:tcPr>
          <w:p w14:paraId="75E3199E">
            <w:pPr>
              <w:spacing w:line="300" w:lineRule="auto"/>
              <w:jc w:val="center"/>
              <w:rPr>
                <w:szCs w:val="21"/>
              </w:rPr>
            </w:pPr>
            <w:r>
              <w:rPr>
                <w:rFonts w:hint="eastAsia"/>
                <w:szCs w:val="21"/>
              </w:rPr>
              <w:t>低强度充填材料</w:t>
            </w:r>
            <w:r>
              <w:rPr>
                <w:szCs w:val="21"/>
              </w:rPr>
              <w:t>试样制备和养护</w:t>
            </w:r>
          </w:p>
        </w:tc>
        <w:tc>
          <w:tcPr>
            <w:tcW w:w="3635" w:type="pct"/>
            <w:vAlign w:val="center"/>
          </w:tcPr>
          <w:p w14:paraId="31A40B9C">
            <w:pPr>
              <w:numPr>
                <w:ilvl w:val="0"/>
                <w:numId w:val="44"/>
              </w:numPr>
              <w:spacing w:line="300" w:lineRule="auto"/>
              <w:ind w:firstLine="0"/>
              <w:jc w:val="left"/>
              <w:rPr>
                <w:szCs w:val="21"/>
              </w:rPr>
            </w:pPr>
            <w:r>
              <w:rPr>
                <w:szCs w:val="21"/>
              </w:rPr>
              <w:t>搅拌机：应符合《建筑施工机械与设备</w:t>
            </w:r>
            <w:r>
              <w:rPr>
                <w:rFonts w:hint="eastAsia"/>
                <w:szCs w:val="21"/>
              </w:rPr>
              <w:t xml:space="preserve"> </w:t>
            </w:r>
            <w:r>
              <w:rPr>
                <w:szCs w:val="21"/>
              </w:rPr>
              <w:t>混凝土搅拌机》GB/T 9142的规定；</w:t>
            </w:r>
          </w:p>
          <w:p w14:paraId="09085514">
            <w:pPr>
              <w:numPr>
                <w:ilvl w:val="0"/>
                <w:numId w:val="44"/>
              </w:numPr>
              <w:spacing w:line="300" w:lineRule="auto"/>
              <w:ind w:firstLine="0"/>
              <w:jc w:val="left"/>
              <w:rPr>
                <w:szCs w:val="21"/>
              </w:rPr>
            </w:pPr>
            <w:r>
              <w:rPr>
                <w:szCs w:val="21"/>
              </w:rPr>
              <w:t>Φ150mm×300mm</w:t>
            </w:r>
            <w:r>
              <w:rPr>
                <w:rFonts w:hint="eastAsia"/>
                <w:szCs w:val="21"/>
              </w:rPr>
              <w:t>或</w:t>
            </w:r>
            <w:r>
              <w:rPr>
                <w:szCs w:val="21"/>
              </w:rPr>
              <w:t>Φ50mm×</w:t>
            </w:r>
            <w:r>
              <w:rPr>
                <w:rFonts w:hint="eastAsia"/>
                <w:szCs w:val="21"/>
              </w:rPr>
              <w:t>1</w:t>
            </w:r>
            <w:r>
              <w:rPr>
                <w:szCs w:val="21"/>
              </w:rPr>
              <w:t>00mm圆柱模具；</w:t>
            </w:r>
          </w:p>
          <w:p w14:paraId="04778498">
            <w:pPr>
              <w:numPr>
                <w:ilvl w:val="0"/>
                <w:numId w:val="44"/>
              </w:numPr>
              <w:spacing w:line="300" w:lineRule="auto"/>
              <w:ind w:firstLine="0"/>
              <w:jc w:val="left"/>
              <w:rPr>
                <w:szCs w:val="21"/>
              </w:rPr>
            </w:pPr>
            <w:r>
              <w:rPr>
                <w:szCs w:val="21"/>
              </w:rPr>
              <w:t>混凝土标准养护室：温度（20±2）℃、相对湿度95%以上。</w:t>
            </w:r>
          </w:p>
        </w:tc>
      </w:tr>
      <w:tr w14:paraId="0113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84B5BCC">
            <w:pPr>
              <w:spacing w:line="300" w:lineRule="auto"/>
              <w:jc w:val="center"/>
              <w:rPr>
                <w:szCs w:val="21"/>
              </w:rPr>
            </w:pPr>
            <w:r>
              <w:rPr>
                <w:szCs w:val="21"/>
              </w:rPr>
              <w:t>2</w:t>
            </w:r>
          </w:p>
        </w:tc>
        <w:tc>
          <w:tcPr>
            <w:tcW w:w="915" w:type="pct"/>
            <w:vAlign w:val="center"/>
          </w:tcPr>
          <w:p w14:paraId="58DF1B55">
            <w:pPr>
              <w:spacing w:line="300" w:lineRule="auto"/>
              <w:jc w:val="center"/>
              <w:rPr>
                <w:szCs w:val="21"/>
              </w:rPr>
            </w:pPr>
            <w:r>
              <w:rPr>
                <w:szCs w:val="21"/>
              </w:rPr>
              <w:t>流动度测试</w:t>
            </w:r>
          </w:p>
        </w:tc>
        <w:tc>
          <w:tcPr>
            <w:tcW w:w="3635" w:type="pct"/>
            <w:vAlign w:val="center"/>
          </w:tcPr>
          <w:p w14:paraId="131ED6E5">
            <w:pPr>
              <w:numPr>
                <w:ilvl w:val="0"/>
                <w:numId w:val="45"/>
              </w:numPr>
              <w:spacing w:line="300" w:lineRule="auto"/>
              <w:ind w:firstLine="0"/>
              <w:jc w:val="left"/>
              <w:rPr>
                <w:szCs w:val="21"/>
              </w:rPr>
            </w:pPr>
            <w:r>
              <w:rPr>
                <w:szCs w:val="21"/>
              </w:rPr>
              <w:t>Φ75mm×150mm上下开口的圆柱</w:t>
            </w:r>
            <w:r>
              <w:rPr>
                <w:rFonts w:hint="eastAsia"/>
                <w:szCs w:val="21"/>
              </w:rPr>
              <w:t>筒</w:t>
            </w:r>
            <w:r>
              <w:rPr>
                <w:szCs w:val="21"/>
              </w:rPr>
              <w:t>；</w:t>
            </w:r>
          </w:p>
          <w:p w14:paraId="03CA62DF">
            <w:pPr>
              <w:numPr>
                <w:ilvl w:val="0"/>
                <w:numId w:val="45"/>
              </w:numPr>
              <w:spacing w:line="300" w:lineRule="auto"/>
              <w:ind w:firstLine="0"/>
              <w:jc w:val="left"/>
              <w:rPr>
                <w:szCs w:val="21"/>
              </w:rPr>
            </w:pPr>
            <w:r>
              <w:rPr>
                <w:szCs w:val="21"/>
              </w:rPr>
              <w:t>钢尺：量程不小于300mm，分度值不大于1mm；</w:t>
            </w:r>
          </w:p>
          <w:p w14:paraId="1E3BB976">
            <w:pPr>
              <w:numPr>
                <w:ilvl w:val="0"/>
                <w:numId w:val="45"/>
              </w:numPr>
              <w:spacing w:line="300" w:lineRule="auto"/>
              <w:ind w:firstLine="0"/>
              <w:jc w:val="left"/>
              <w:rPr>
                <w:szCs w:val="21"/>
              </w:rPr>
            </w:pPr>
            <w:r>
              <w:rPr>
                <w:szCs w:val="21"/>
              </w:rPr>
              <w:t>底板：平面尺寸不小于500mm×500mm、厚度不小于3mm的玻璃板</w:t>
            </w:r>
            <w:r>
              <w:rPr>
                <w:rFonts w:hint="eastAsia"/>
                <w:szCs w:val="21"/>
              </w:rPr>
              <w:t>或钢板</w:t>
            </w:r>
            <w:r>
              <w:rPr>
                <w:szCs w:val="21"/>
              </w:rPr>
              <w:t>。</w:t>
            </w:r>
          </w:p>
        </w:tc>
      </w:tr>
      <w:tr w14:paraId="6810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E3A9FA7">
            <w:pPr>
              <w:spacing w:line="300" w:lineRule="auto"/>
              <w:jc w:val="center"/>
              <w:rPr>
                <w:szCs w:val="21"/>
              </w:rPr>
            </w:pPr>
            <w:r>
              <w:rPr>
                <w:szCs w:val="21"/>
              </w:rPr>
              <w:t>3</w:t>
            </w:r>
          </w:p>
        </w:tc>
        <w:tc>
          <w:tcPr>
            <w:tcW w:w="915" w:type="pct"/>
            <w:vAlign w:val="center"/>
          </w:tcPr>
          <w:p w14:paraId="7E3DBCAA">
            <w:pPr>
              <w:spacing w:line="300" w:lineRule="auto"/>
              <w:jc w:val="center"/>
              <w:rPr>
                <w:szCs w:val="21"/>
              </w:rPr>
            </w:pPr>
            <w:r>
              <w:rPr>
                <w:szCs w:val="21"/>
              </w:rPr>
              <w:t>泌水率测试</w:t>
            </w:r>
          </w:p>
        </w:tc>
        <w:tc>
          <w:tcPr>
            <w:tcW w:w="3635" w:type="pct"/>
            <w:vAlign w:val="center"/>
          </w:tcPr>
          <w:p w14:paraId="153472D7">
            <w:pPr>
              <w:pStyle w:val="187"/>
              <w:numPr>
                <w:ilvl w:val="0"/>
                <w:numId w:val="46"/>
              </w:numPr>
              <w:ind w:firstLine="0" w:firstLineChars="0"/>
              <w:jc w:val="left"/>
              <w:rPr>
                <w:szCs w:val="21"/>
              </w:rPr>
            </w:pPr>
            <w:r>
              <w:rPr>
                <w:szCs w:val="21"/>
              </w:rPr>
              <w:t>圆筒容器：</w:t>
            </w:r>
            <w:r>
              <w:rPr>
                <w:rFonts w:hint="eastAsia"/>
                <w:szCs w:val="21"/>
              </w:rPr>
              <w:t>1000mL量筒，25mL量筒</w:t>
            </w:r>
            <w:r>
              <w:rPr>
                <w:szCs w:val="21"/>
              </w:rPr>
              <w:t>；</w:t>
            </w:r>
          </w:p>
          <w:p w14:paraId="6432835D">
            <w:pPr>
              <w:pStyle w:val="187"/>
              <w:numPr>
                <w:ilvl w:val="0"/>
                <w:numId w:val="46"/>
              </w:numPr>
              <w:ind w:firstLine="0" w:firstLineChars="0"/>
              <w:jc w:val="left"/>
              <w:rPr>
                <w:szCs w:val="21"/>
              </w:rPr>
            </w:pPr>
            <w:r>
              <w:rPr>
                <w:szCs w:val="21"/>
              </w:rPr>
              <w:t>天平：量程1000g，感量0.1g；</w:t>
            </w:r>
          </w:p>
          <w:p w14:paraId="5D5214D8">
            <w:pPr>
              <w:pStyle w:val="187"/>
              <w:numPr>
                <w:ilvl w:val="0"/>
                <w:numId w:val="46"/>
              </w:numPr>
              <w:ind w:firstLine="0" w:firstLineChars="0"/>
              <w:jc w:val="left"/>
              <w:rPr>
                <w:szCs w:val="21"/>
              </w:rPr>
            </w:pPr>
            <w:r>
              <w:rPr>
                <w:szCs w:val="21"/>
              </w:rPr>
              <w:t>5ml滴管</w:t>
            </w:r>
            <w:r>
              <w:rPr>
                <w:rFonts w:hint="eastAsia"/>
                <w:szCs w:val="21"/>
              </w:rPr>
              <w:t>。</w:t>
            </w:r>
          </w:p>
        </w:tc>
      </w:tr>
      <w:tr w14:paraId="2754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BCA26C2">
            <w:pPr>
              <w:spacing w:line="300" w:lineRule="auto"/>
              <w:jc w:val="center"/>
              <w:rPr>
                <w:szCs w:val="21"/>
              </w:rPr>
            </w:pPr>
            <w:r>
              <w:rPr>
                <w:szCs w:val="21"/>
              </w:rPr>
              <w:t>4</w:t>
            </w:r>
          </w:p>
        </w:tc>
        <w:tc>
          <w:tcPr>
            <w:tcW w:w="915" w:type="pct"/>
            <w:vAlign w:val="center"/>
          </w:tcPr>
          <w:p w14:paraId="56AF96BA">
            <w:pPr>
              <w:spacing w:line="300" w:lineRule="auto"/>
              <w:jc w:val="center"/>
              <w:rPr>
                <w:szCs w:val="21"/>
              </w:rPr>
            </w:pPr>
            <w:r>
              <w:rPr>
                <w:szCs w:val="21"/>
              </w:rPr>
              <w:t>落球凝结时间测试</w:t>
            </w:r>
          </w:p>
        </w:tc>
        <w:tc>
          <w:tcPr>
            <w:tcW w:w="3635" w:type="pct"/>
            <w:vAlign w:val="center"/>
          </w:tcPr>
          <w:p w14:paraId="3C877952">
            <w:pPr>
              <w:numPr>
                <w:ilvl w:val="0"/>
                <w:numId w:val="47"/>
              </w:numPr>
              <w:spacing w:line="300" w:lineRule="auto"/>
              <w:ind w:firstLine="0"/>
              <w:jc w:val="left"/>
              <w:rPr>
                <w:szCs w:val="21"/>
              </w:rPr>
            </w:pPr>
            <w:r>
              <w:rPr>
                <w:szCs w:val="21"/>
              </w:rPr>
              <w:t>落球：质量</w:t>
            </w:r>
            <w:r>
              <w:rPr>
                <w:rFonts w:hint="eastAsia"/>
                <w:szCs w:val="21"/>
              </w:rPr>
              <w:t>14.5±0.5</w:t>
            </w:r>
            <w:r>
              <w:rPr>
                <w:szCs w:val="21"/>
              </w:rPr>
              <w:t xml:space="preserve"> kg，落球直径</w:t>
            </w:r>
            <w:r>
              <w:rPr>
                <w:rFonts w:hint="eastAsia"/>
                <w:szCs w:val="21"/>
              </w:rPr>
              <w:t>76±3</w:t>
            </w:r>
            <w:r>
              <w:rPr>
                <w:szCs w:val="21"/>
              </w:rPr>
              <w:t xml:space="preserve"> mm；</w:t>
            </w:r>
          </w:p>
          <w:p w14:paraId="2C2D7147">
            <w:pPr>
              <w:numPr>
                <w:ilvl w:val="0"/>
                <w:numId w:val="47"/>
              </w:numPr>
              <w:spacing w:line="300" w:lineRule="auto"/>
              <w:ind w:firstLine="0"/>
              <w:jc w:val="left"/>
              <w:rPr>
                <w:szCs w:val="21"/>
              </w:rPr>
            </w:pPr>
            <w:r>
              <w:rPr>
                <w:szCs w:val="21"/>
              </w:rPr>
              <w:t>其他试验装置符合</w:t>
            </w:r>
            <w:r>
              <w:rPr>
                <w:rFonts w:hint="eastAsia"/>
                <w:szCs w:val="21"/>
              </w:rPr>
              <w:t>本标准附录C规定。</w:t>
            </w:r>
          </w:p>
        </w:tc>
      </w:tr>
      <w:tr w14:paraId="6EAB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5E0DBE6">
            <w:pPr>
              <w:spacing w:line="300" w:lineRule="auto"/>
              <w:jc w:val="center"/>
              <w:rPr>
                <w:szCs w:val="21"/>
              </w:rPr>
            </w:pPr>
            <w:r>
              <w:rPr>
                <w:szCs w:val="21"/>
              </w:rPr>
              <w:t>5</w:t>
            </w:r>
          </w:p>
        </w:tc>
        <w:tc>
          <w:tcPr>
            <w:tcW w:w="915" w:type="pct"/>
            <w:vAlign w:val="center"/>
          </w:tcPr>
          <w:p w14:paraId="13BD9B55">
            <w:pPr>
              <w:spacing w:line="300" w:lineRule="auto"/>
              <w:jc w:val="center"/>
              <w:rPr>
                <w:szCs w:val="21"/>
              </w:rPr>
            </w:pPr>
            <w:r>
              <w:rPr>
                <w:szCs w:val="21"/>
              </w:rPr>
              <w:t>沉降率测试</w:t>
            </w:r>
          </w:p>
        </w:tc>
        <w:tc>
          <w:tcPr>
            <w:tcW w:w="3635" w:type="pct"/>
            <w:vAlign w:val="center"/>
          </w:tcPr>
          <w:p w14:paraId="1F2A4213">
            <w:pPr>
              <w:pStyle w:val="187"/>
              <w:numPr>
                <w:ilvl w:val="0"/>
                <w:numId w:val="48"/>
              </w:numPr>
              <w:spacing w:line="300" w:lineRule="auto"/>
              <w:ind w:firstLine="0" w:firstLineChars="0"/>
              <w:jc w:val="left"/>
              <w:rPr>
                <w:szCs w:val="21"/>
              </w:rPr>
            </w:pPr>
            <w:r>
              <w:rPr>
                <w:szCs w:val="21"/>
              </w:rPr>
              <w:t>沉降筒：Φ150mm×300mm</w:t>
            </w:r>
            <w:r>
              <w:rPr>
                <w:rFonts w:hint="eastAsia"/>
                <w:szCs w:val="21"/>
              </w:rPr>
              <w:t>；</w:t>
            </w:r>
          </w:p>
          <w:p w14:paraId="32AF9498">
            <w:pPr>
              <w:pStyle w:val="187"/>
              <w:numPr>
                <w:ilvl w:val="0"/>
                <w:numId w:val="48"/>
              </w:numPr>
              <w:spacing w:line="300" w:lineRule="auto"/>
              <w:ind w:firstLine="0" w:firstLineChars="0"/>
              <w:jc w:val="left"/>
              <w:rPr>
                <w:szCs w:val="21"/>
              </w:rPr>
            </w:pPr>
            <w:r>
              <w:rPr>
                <w:szCs w:val="21"/>
              </w:rPr>
              <w:t>钢尺：量程不小于300mm，分度值不大于1mm</w:t>
            </w:r>
            <w:r>
              <w:rPr>
                <w:rFonts w:hint="eastAsia"/>
                <w:szCs w:val="21"/>
              </w:rPr>
              <w:t>。</w:t>
            </w:r>
          </w:p>
        </w:tc>
      </w:tr>
      <w:tr w14:paraId="144B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0208587">
            <w:pPr>
              <w:spacing w:line="300" w:lineRule="auto"/>
              <w:jc w:val="center"/>
              <w:rPr>
                <w:szCs w:val="21"/>
              </w:rPr>
            </w:pPr>
            <w:r>
              <w:rPr>
                <w:szCs w:val="21"/>
              </w:rPr>
              <w:t>6</w:t>
            </w:r>
          </w:p>
        </w:tc>
        <w:tc>
          <w:tcPr>
            <w:tcW w:w="915" w:type="pct"/>
            <w:vAlign w:val="center"/>
          </w:tcPr>
          <w:p w14:paraId="01E19A0C">
            <w:pPr>
              <w:spacing w:line="300" w:lineRule="auto"/>
              <w:jc w:val="center"/>
              <w:rPr>
                <w:szCs w:val="21"/>
              </w:rPr>
            </w:pPr>
            <w:r>
              <w:rPr>
                <w:szCs w:val="21"/>
              </w:rPr>
              <w:t>无侧限抗压强度测试</w:t>
            </w:r>
          </w:p>
        </w:tc>
        <w:tc>
          <w:tcPr>
            <w:tcW w:w="3635" w:type="pct"/>
            <w:vAlign w:val="center"/>
          </w:tcPr>
          <w:p w14:paraId="3112EC18">
            <w:pPr>
              <w:numPr>
                <w:ilvl w:val="0"/>
                <w:numId w:val="49"/>
              </w:numPr>
              <w:spacing w:line="300" w:lineRule="auto"/>
              <w:ind w:firstLine="0"/>
              <w:jc w:val="left"/>
              <w:rPr>
                <w:szCs w:val="21"/>
              </w:rPr>
            </w:pPr>
            <w:r>
              <w:rPr>
                <w:szCs w:val="21"/>
              </w:rPr>
              <w:t>压力试验机：</w:t>
            </w:r>
            <w:r>
              <w:rPr>
                <w:rFonts w:hint="eastAsia"/>
                <w:szCs w:val="21"/>
              </w:rPr>
              <w:t>应</w:t>
            </w:r>
            <w:r>
              <w:rPr>
                <w:szCs w:val="21"/>
              </w:rPr>
              <w:t>符合《液压式万能试验机》GB/T 3159及《试验机</w:t>
            </w:r>
            <w:r>
              <w:rPr>
                <w:rFonts w:hint="eastAsia"/>
                <w:szCs w:val="21"/>
              </w:rPr>
              <w:t xml:space="preserve"> </w:t>
            </w:r>
            <w:r>
              <w:rPr>
                <w:szCs w:val="21"/>
              </w:rPr>
              <w:t>通用技术要求》GB/T 2611中的技术要求，且测量精度为±1%，试件破坏荷载应大于压力机全量程的20%且小于压力机全量程的80%；</w:t>
            </w:r>
          </w:p>
          <w:p w14:paraId="2018C9FE">
            <w:pPr>
              <w:numPr>
                <w:ilvl w:val="0"/>
                <w:numId w:val="49"/>
              </w:numPr>
              <w:spacing w:line="300" w:lineRule="auto"/>
              <w:ind w:firstLine="0"/>
              <w:jc w:val="left"/>
              <w:rPr>
                <w:szCs w:val="21"/>
              </w:rPr>
            </w:pPr>
            <w:r>
              <w:rPr>
                <w:szCs w:val="21"/>
              </w:rPr>
              <w:t>控制装置：具有加荷速度指示装置或加荷速度控制装置，能均匀、连续地加载。</w:t>
            </w:r>
          </w:p>
        </w:tc>
      </w:tr>
    </w:tbl>
    <w:p w14:paraId="71BB093B">
      <w:pPr>
        <w:pStyle w:val="187"/>
        <w:numPr>
          <w:ilvl w:val="2"/>
          <w:numId w:val="43"/>
        </w:numPr>
        <w:spacing w:before="78" w:beforeLines="25" w:line="440" w:lineRule="exact"/>
        <w:ind w:firstLineChars="0"/>
        <w:jc w:val="left"/>
        <w:rPr>
          <w:rFonts w:ascii="Calibri" w:hAnsi="Calibri"/>
          <w:sz w:val="24"/>
        </w:rPr>
      </w:pPr>
      <w:r>
        <w:rPr>
          <w:rFonts w:hint="eastAsia" w:ascii="Calibri" w:hAnsi="Calibri"/>
          <w:sz w:val="24"/>
        </w:rPr>
        <w:t>实验室应有仪器设备清单和计量检定（校准）周期表并建立管理档案，应</w:t>
      </w:r>
    </w:p>
    <w:p w14:paraId="3A11A44D">
      <w:pPr>
        <w:pStyle w:val="187"/>
        <w:spacing w:before="78" w:beforeLines="25" w:line="440" w:lineRule="exact"/>
        <w:ind w:left="9" w:firstLine="0" w:firstLineChars="0"/>
        <w:jc w:val="left"/>
        <w:rPr>
          <w:rFonts w:ascii="Calibri" w:hAnsi="Calibri"/>
          <w:sz w:val="24"/>
        </w:rPr>
      </w:pPr>
      <w:r>
        <w:rPr>
          <w:rFonts w:hint="eastAsia" w:ascii="Calibri" w:hAnsi="Calibri"/>
          <w:sz w:val="24"/>
        </w:rPr>
        <w:t>设立仪器设备使用、维修和计量检定（校准）管理制度。</w:t>
      </w:r>
    </w:p>
    <w:p w14:paraId="7E88337D">
      <w:pPr>
        <w:spacing w:before="78" w:beforeLines="25" w:line="440" w:lineRule="exact"/>
        <w:rPr>
          <w:rFonts w:hint="eastAsia" w:ascii="楷体" w:hAnsi="楷体" w:eastAsia="楷体" w:cs="楷体"/>
          <w:bCs/>
          <w:color w:val="000000"/>
          <w:sz w:val="24"/>
        </w:rPr>
      </w:pPr>
      <w:r>
        <w:rPr>
          <w:rFonts w:hint="eastAsia" w:ascii="楷体" w:hAnsi="楷体" w:eastAsia="楷体" w:cs="楷体"/>
          <w:bCs/>
          <w:color w:val="000000"/>
          <w:sz w:val="24"/>
        </w:rPr>
        <w:t>【条文说明】实验室设备管理应符合《检验和校准实验室能力的通用要求》</w:t>
      </w:r>
      <w:r>
        <w:rPr>
          <w:rFonts w:eastAsia="楷体"/>
          <w:bCs/>
          <w:color w:val="000000"/>
          <w:sz w:val="24"/>
        </w:rPr>
        <w:t>GB/T27025规定</w:t>
      </w:r>
      <w:r>
        <w:rPr>
          <w:rFonts w:hint="eastAsia" w:ascii="楷体" w:hAnsi="楷体" w:eastAsia="楷体" w:cs="楷体"/>
          <w:bCs/>
          <w:color w:val="000000"/>
          <w:sz w:val="24"/>
        </w:rPr>
        <w:t>。</w:t>
      </w:r>
    </w:p>
    <w:p w14:paraId="2EB01D83">
      <w:pPr>
        <w:pStyle w:val="187"/>
        <w:numPr>
          <w:ilvl w:val="2"/>
          <w:numId w:val="43"/>
        </w:numPr>
        <w:spacing w:before="78" w:beforeLines="25" w:line="440" w:lineRule="exact"/>
        <w:ind w:firstLineChars="0"/>
        <w:jc w:val="left"/>
        <w:rPr>
          <w:rFonts w:ascii="Calibri" w:hAnsi="Calibri"/>
          <w:sz w:val="24"/>
        </w:rPr>
      </w:pPr>
      <w:r>
        <w:rPr>
          <w:rFonts w:ascii="Calibri" w:hAnsi="Calibri"/>
          <w:sz w:val="24"/>
        </w:rPr>
        <w:t>实验室应制定仪器设备维护计划，压力试验机等关键设备应每三个月或每</w:t>
      </w:r>
    </w:p>
    <w:p w14:paraId="14DB2CFB">
      <w:pPr>
        <w:pStyle w:val="187"/>
        <w:spacing w:before="78" w:beforeLines="25" w:line="440" w:lineRule="exact"/>
        <w:ind w:left="9" w:firstLine="0" w:firstLineChars="0"/>
        <w:jc w:val="left"/>
        <w:rPr>
          <w:rFonts w:ascii="Calibri" w:hAnsi="Calibri"/>
          <w:sz w:val="24"/>
        </w:rPr>
      </w:pPr>
      <w:r>
        <w:rPr>
          <w:rFonts w:ascii="Calibri" w:hAnsi="Calibri"/>
          <w:sz w:val="24"/>
        </w:rPr>
        <w:t>年进行一次精度校准和机械部件检查，搅拌机应在每次使用后进行清洁和关键部件润滑，确保仪器设备始终处于良好的运行状态，维护记录应妥善保存，以备查阅。</w:t>
      </w:r>
    </w:p>
    <w:p w14:paraId="1C722ACB">
      <w:pPr>
        <w:pStyle w:val="187"/>
        <w:numPr>
          <w:ilvl w:val="2"/>
          <w:numId w:val="43"/>
        </w:numPr>
        <w:spacing w:before="78" w:beforeLines="25" w:line="440" w:lineRule="exact"/>
        <w:ind w:firstLineChars="0"/>
        <w:jc w:val="left"/>
        <w:rPr>
          <w:rFonts w:ascii="Calibri" w:hAnsi="Calibri"/>
          <w:sz w:val="24"/>
        </w:rPr>
      </w:pPr>
      <w:r>
        <w:rPr>
          <w:rFonts w:ascii="Calibri" w:hAnsi="Calibri"/>
          <w:sz w:val="24"/>
        </w:rPr>
        <w:t>实验人员应具备相应的专业知识和操作技能，能够熟练地进行各项实验操</w:t>
      </w:r>
    </w:p>
    <w:p w14:paraId="2A6B2C14">
      <w:pPr>
        <w:pStyle w:val="187"/>
        <w:spacing w:before="78" w:beforeLines="25" w:line="440" w:lineRule="exact"/>
        <w:ind w:left="9" w:firstLine="0" w:firstLineChars="0"/>
        <w:jc w:val="left"/>
        <w:rPr>
          <w:rFonts w:ascii="Calibri" w:hAnsi="Calibri"/>
          <w:sz w:val="24"/>
        </w:rPr>
      </w:pPr>
      <w:r>
        <w:rPr>
          <w:rFonts w:ascii="Calibri" w:hAnsi="Calibri"/>
          <w:sz w:val="24"/>
        </w:rPr>
        <w:t>作，并准确地记录和分析实验结果。</w:t>
      </w:r>
    </w:p>
    <w:p w14:paraId="3E0FB062">
      <w:pPr>
        <w:rPr>
          <w:b/>
          <w:bCs/>
          <w:sz w:val="24"/>
        </w:rPr>
      </w:pPr>
    </w:p>
    <w:p w14:paraId="7D7A9793">
      <w:pPr>
        <w:rPr>
          <w:b/>
          <w:bCs/>
          <w:sz w:val="24"/>
        </w:rPr>
      </w:pPr>
    </w:p>
    <w:p w14:paraId="44F1C217">
      <w:pPr>
        <w:widowControl/>
        <w:jc w:val="left"/>
        <w:rPr>
          <w:b/>
          <w:bCs/>
          <w:sz w:val="24"/>
        </w:rPr>
        <w:sectPr>
          <w:pgSz w:w="11905" w:h="16838"/>
          <w:pgMar w:top="1582" w:right="1440" w:bottom="1162" w:left="1582" w:header="0" w:footer="969" w:gutter="283"/>
          <w:cols w:space="0" w:num="1"/>
          <w:titlePg/>
          <w:docGrid w:type="linesAndChars" w:linePitch="312" w:charSpace="0"/>
        </w:sectPr>
      </w:pPr>
    </w:p>
    <w:p w14:paraId="4D9B8D51">
      <w:pPr>
        <w:pStyle w:val="2"/>
        <w:spacing w:before="78" w:beforeLines="25" w:after="0" w:line="500" w:lineRule="exact"/>
        <w:rPr>
          <w:rFonts w:hint="eastAsia" w:ascii="微软雅黑" w:hAnsi="微软雅黑" w:eastAsia="微软雅黑" w:cs="微软雅黑"/>
          <w:b/>
          <w:sz w:val="32"/>
          <w:szCs w:val="32"/>
        </w:rPr>
      </w:pPr>
      <w:bookmarkStart w:id="406" w:name="_Toc11523"/>
      <w:bookmarkStart w:id="407" w:name="_Toc7176"/>
      <w:bookmarkStart w:id="408" w:name="_Toc25900"/>
      <w:r>
        <w:rPr>
          <w:rFonts w:hint="eastAsia" w:ascii="微软雅黑" w:hAnsi="微软雅黑" w:eastAsia="微软雅黑" w:cs="微软雅黑"/>
          <w:b/>
          <w:sz w:val="32"/>
          <w:szCs w:val="32"/>
        </w:rPr>
        <w:t>附录A 低强度充填材料拌合物流动度的标准试验方法</w:t>
      </w:r>
      <w:bookmarkEnd w:id="406"/>
      <w:bookmarkEnd w:id="407"/>
      <w:bookmarkEnd w:id="408"/>
    </w:p>
    <w:p w14:paraId="23D0B6DF">
      <w:pPr>
        <w:keepNext w:val="0"/>
        <w:keepLines w:val="0"/>
        <w:pageBreakBefore w:val="0"/>
        <w:widowControl w:val="0"/>
        <w:kinsoku/>
        <w:wordWrap/>
        <w:overflowPunct/>
        <w:topLinePunct w:val="0"/>
        <w:autoSpaceDE/>
        <w:autoSpaceDN/>
        <w:bidi w:val="0"/>
        <w:adjustRightInd/>
        <w:snapToGrid/>
        <w:textAlignment w:val="auto"/>
        <w:rPr>
          <w:rFonts w:hint="eastAsia"/>
        </w:rPr>
      </w:pPr>
    </w:p>
    <w:p w14:paraId="4B6DF32E">
      <w:pPr>
        <w:keepNext w:val="0"/>
        <w:keepLines w:val="0"/>
        <w:pageBreakBefore w:val="0"/>
        <w:widowControl w:val="0"/>
        <w:numPr>
          <w:ilvl w:val="0"/>
          <w:numId w:val="50"/>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本试验方法适用于最大粒径为</w:t>
      </w:r>
      <w:r>
        <w:rPr>
          <w:rFonts w:hint="eastAsia" w:ascii="Times New Roman" w:hAnsi="Times New Roman" w:eastAsia="宋体" w:cs="Times New Roman"/>
          <w:kern w:val="2"/>
          <w:sz w:val="24"/>
          <w:szCs w:val="24"/>
          <w:lang w:val="en-US" w:eastAsia="zh-CN" w:bidi="ar-SA"/>
        </w:rPr>
        <w:t>19.0mm</w:t>
      </w:r>
      <w:r>
        <w:rPr>
          <w:rFonts w:hint="eastAsia" w:ascii="宋体" w:hAnsi="宋体" w:eastAsia="宋体" w:cs="宋体"/>
          <w:sz w:val="24"/>
          <w:szCs w:val="24"/>
        </w:rPr>
        <w:t>的低强度充填材料流动度测定。</w:t>
      </w:r>
    </w:p>
    <w:p w14:paraId="65762AC0">
      <w:pPr>
        <w:keepNext w:val="0"/>
        <w:keepLines w:val="0"/>
        <w:pageBreakBefore w:val="0"/>
        <w:widowControl w:val="0"/>
        <w:numPr>
          <w:ilvl w:val="0"/>
          <w:numId w:val="50"/>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低强度充填材料拌合物流动度试验应采用下列仪器：</w:t>
      </w:r>
    </w:p>
    <w:p w14:paraId="17BDC057">
      <w:pPr>
        <w:numPr>
          <w:ilvl w:val="0"/>
          <w:numId w:val="51"/>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测试筒：高为</w:t>
      </w:r>
      <w:r>
        <w:rPr>
          <w:rFonts w:hint="eastAsia" w:ascii="Times New Roman" w:hAnsi="Times New Roman" w:eastAsia="宋体" w:cs="Times New Roman"/>
          <w:kern w:val="2"/>
          <w:sz w:val="24"/>
          <w:szCs w:val="24"/>
          <w:lang w:val="en-US" w:eastAsia="zh-CN" w:bidi="ar-SA"/>
        </w:rPr>
        <w:t>150mm±3.0mm</w:t>
      </w:r>
      <w:r>
        <w:rPr>
          <w:rFonts w:hint="eastAsia" w:ascii="宋体" w:hAnsi="宋体" w:eastAsia="宋体" w:cs="宋体"/>
          <w:color w:val="000000"/>
          <w:sz w:val="24"/>
        </w:rPr>
        <w:t>、内径为</w:t>
      </w:r>
      <w:r>
        <w:rPr>
          <w:rFonts w:hint="eastAsia" w:ascii="Times New Roman" w:hAnsi="Times New Roman" w:eastAsia="宋体" w:cs="Times New Roman"/>
          <w:kern w:val="2"/>
          <w:sz w:val="24"/>
          <w:szCs w:val="24"/>
          <w:lang w:val="en-US" w:eastAsia="zh-CN" w:bidi="ar-SA"/>
        </w:rPr>
        <w:t>75mm±2.0mm</w:t>
      </w:r>
      <w:r>
        <w:rPr>
          <w:rFonts w:hint="eastAsia" w:ascii="宋体" w:hAnsi="宋体" w:eastAsia="宋体" w:cs="宋体"/>
          <w:color w:val="000000"/>
          <w:sz w:val="24"/>
        </w:rPr>
        <w:t>的圆柱筒，壁厚不应小于</w:t>
      </w:r>
      <w:r>
        <w:rPr>
          <w:rFonts w:hint="eastAsia" w:ascii="Times New Roman" w:hAnsi="Times New Roman" w:eastAsia="宋体" w:cs="Times New Roman"/>
          <w:kern w:val="2"/>
          <w:sz w:val="24"/>
          <w:szCs w:val="24"/>
          <w:lang w:val="en-US" w:eastAsia="zh-CN" w:bidi="ar-SA"/>
        </w:rPr>
        <w:t>5mm</w:t>
      </w:r>
      <w:r>
        <w:rPr>
          <w:rFonts w:hint="eastAsia" w:ascii="宋体" w:hAnsi="宋体" w:eastAsia="宋体" w:cs="宋体"/>
          <w:color w:val="000000"/>
          <w:sz w:val="24"/>
        </w:rPr>
        <w:t>；由钢铁或高分子塑料或其他非吸收性材料制成，与含硅酸盐水泥、粉煤灰或其他辅助胶凝材料或外加剂的低强度充填材料无反应；两端的平面应相互平行并垂直于筒体的纵轴，内部光滑，两端开口，形状坚硬，能够在严酷的使用条件下保持其尺寸。</w:t>
      </w:r>
    </w:p>
    <w:p w14:paraId="4D6D1DD9">
      <w:pPr>
        <w:numPr>
          <w:ilvl w:val="0"/>
          <w:numId w:val="51"/>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取样和混合的容器：有足够的容量</w:t>
      </w:r>
      <w:r>
        <w:rPr>
          <w:rFonts w:hint="eastAsia" w:ascii="宋体" w:hAnsi="宋体" w:cs="宋体"/>
          <w:color w:val="000000"/>
          <w:sz w:val="24"/>
          <w:lang w:eastAsia="zh-CN"/>
        </w:rPr>
        <w:t>，</w:t>
      </w:r>
      <w:r>
        <w:rPr>
          <w:rFonts w:hint="eastAsia" w:ascii="宋体" w:hAnsi="宋体" w:eastAsia="宋体" w:cs="宋体"/>
          <w:color w:val="000000"/>
          <w:sz w:val="24"/>
        </w:rPr>
        <w:t>方便取样和混合新拌低强度充填材料。</w:t>
      </w:r>
    </w:p>
    <w:p w14:paraId="4BB17CE1">
      <w:pPr>
        <w:numPr>
          <w:ilvl w:val="0"/>
          <w:numId w:val="51"/>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灌装设备：铲斗或有足够容量的筒，以便于快速、高效地将新拌可控低强</w:t>
      </w:r>
    </w:p>
    <w:p w14:paraId="72A8D5C7">
      <w:pPr>
        <w:numPr>
          <w:ilvl w:val="-1"/>
          <w:numId w:val="0"/>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度材料灌装到测试筒。</w:t>
      </w:r>
    </w:p>
    <w:p w14:paraId="3BBADCEA">
      <w:pPr>
        <w:numPr>
          <w:ilvl w:val="0"/>
          <w:numId w:val="51"/>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无孔平面：边长不小于</w:t>
      </w:r>
      <w:r>
        <w:rPr>
          <w:rFonts w:hint="eastAsia" w:ascii="Times New Roman" w:hAnsi="Times New Roman" w:eastAsia="宋体" w:cs="Times New Roman"/>
          <w:kern w:val="2"/>
          <w:sz w:val="24"/>
          <w:szCs w:val="24"/>
          <w:lang w:val="en-US" w:eastAsia="zh-CN" w:bidi="ar-SA"/>
        </w:rPr>
        <w:t>500mm</w:t>
      </w:r>
      <w:r>
        <w:rPr>
          <w:rFonts w:hint="eastAsia" w:ascii="宋体" w:hAnsi="宋体" w:eastAsia="宋体" w:cs="宋体"/>
          <w:color w:val="000000"/>
          <w:sz w:val="24"/>
        </w:rPr>
        <w:t>，面积应不小于</w:t>
      </w:r>
      <w:r>
        <w:rPr>
          <w:rFonts w:hint="eastAsia" w:ascii="Times New Roman" w:hAnsi="Times New Roman" w:eastAsia="宋体" w:cs="Times New Roman"/>
          <w:kern w:val="2"/>
          <w:sz w:val="24"/>
          <w:szCs w:val="24"/>
          <w:lang w:val="en-US" w:eastAsia="zh-CN" w:bidi="ar-SA"/>
        </w:rPr>
        <w:t>0.6</w:t>
      </w:r>
      <w:r>
        <w:rPr>
          <w:rFonts w:hint="eastAsia"/>
          <w:sz w:val="24"/>
          <w:szCs w:val="32"/>
        </w:rPr>
        <w:t>m</w:t>
      </w:r>
      <w:r>
        <w:rPr>
          <w:rFonts w:hint="eastAsia"/>
          <w:sz w:val="24"/>
          <w:szCs w:val="32"/>
          <w:vertAlign w:val="superscript"/>
        </w:rPr>
        <w:t>2</w:t>
      </w:r>
      <w:r>
        <w:rPr>
          <w:rFonts w:hint="eastAsia" w:ascii="宋体" w:hAnsi="宋体" w:eastAsia="宋体" w:cs="宋体"/>
          <w:color w:val="000000"/>
          <w:sz w:val="24"/>
        </w:rPr>
        <w:t>，由无孔材料制成</w:t>
      </w:r>
      <w:r>
        <w:rPr>
          <w:rFonts w:hint="eastAsia" w:ascii="宋体" w:hAnsi="宋体" w:cs="宋体"/>
          <w:color w:val="000000"/>
          <w:sz w:val="24"/>
          <w:lang w:eastAsia="zh-CN"/>
        </w:rPr>
        <w:t>，</w:t>
      </w:r>
    </w:p>
    <w:p w14:paraId="772211A1">
      <w:pPr>
        <w:numPr>
          <w:ilvl w:val="-1"/>
          <w:numId w:val="0"/>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表面应耐腐蚀、光滑、无缺陷、坚硬，宜选用玻璃平板。</w:t>
      </w:r>
    </w:p>
    <w:p w14:paraId="3BE19588">
      <w:pPr>
        <w:numPr>
          <w:ilvl w:val="0"/>
          <w:numId w:val="51"/>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直尺：量程为</w:t>
      </w:r>
      <w:r>
        <w:rPr>
          <w:rFonts w:hint="eastAsia" w:ascii="Times New Roman" w:hAnsi="Times New Roman" w:eastAsia="宋体" w:cs="Times New Roman"/>
          <w:kern w:val="2"/>
          <w:sz w:val="24"/>
          <w:szCs w:val="24"/>
          <w:lang w:val="en-US" w:eastAsia="zh-CN" w:bidi="ar-SA"/>
        </w:rPr>
        <w:t>500mm</w:t>
      </w:r>
      <w:r>
        <w:rPr>
          <w:rFonts w:hint="eastAsia" w:ascii="宋体" w:hAnsi="宋体" w:eastAsia="宋体" w:cs="宋体"/>
          <w:color w:val="000000"/>
          <w:sz w:val="24"/>
        </w:rPr>
        <w:t>，精度为</w:t>
      </w:r>
      <w:r>
        <w:rPr>
          <w:rFonts w:hint="eastAsia" w:ascii="Times New Roman" w:hAnsi="Times New Roman" w:eastAsia="宋体" w:cs="Times New Roman"/>
          <w:kern w:val="2"/>
          <w:sz w:val="24"/>
          <w:szCs w:val="24"/>
          <w:lang w:val="en-US" w:eastAsia="zh-CN" w:bidi="ar-SA"/>
        </w:rPr>
        <w:t>1mm</w:t>
      </w:r>
      <w:r>
        <w:rPr>
          <w:rFonts w:hint="eastAsia" w:ascii="宋体" w:hAnsi="宋体" w:eastAsia="宋体" w:cs="宋体"/>
          <w:color w:val="000000"/>
          <w:sz w:val="24"/>
        </w:rPr>
        <w:t>。</w:t>
      </w:r>
    </w:p>
    <w:p w14:paraId="4005D08F">
      <w:pPr>
        <w:numPr>
          <w:ilvl w:val="0"/>
          <w:numId w:val="51"/>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其他：计时器等。</w:t>
      </w:r>
    </w:p>
    <w:p w14:paraId="4A69ABC8">
      <w:pPr>
        <w:numPr>
          <w:ilvl w:val="0"/>
          <w:numId w:val="52"/>
        </w:numPr>
        <w:spacing w:before="79" w:line="44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低强度充填材料拌合物流动度试验应按下列步骤进行：</w:t>
      </w:r>
    </w:p>
    <w:p w14:paraId="7EF102D9">
      <w:pPr>
        <w:numPr>
          <w:ilvl w:val="0"/>
          <w:numId w:val="53"/>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应将玻璃平板放置于水平桌面或地面上，采用水准仪测试并调整玻璃平板，</w:t>
      </w:r>
    </w:p>
    <w:p w14:paraId="76013DE4">
      <w:pPr>
        <w:numPr>
          <w:ilvl w:val="-1"/>
          <w:numId w:val="0"/>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使其在两个垂直方向上均保持水平。</w:t>
      </w:r>
    </w:p>
    <w:p w14:paraId="2C74636C">
      <w:pPr>
        <w:numPr>
          <w:ilvl w:val="0"/>
          <w:numId w:val="53"/>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应用湿毛巾擦拭玻璃平板，使其保持润湿状态。</w:t>
      </w:r>
    </w:p>
    <w:p w14:paraId="0E40C20B">
      <w:pPr>
        <w:numPr>
          <w:ilvl w:val="0"/>
          <w:numId w:val="53"/>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应将测试筒的一端竖直放置在玻璃平板中心位置处，让圆柱筒的一个断面</w:t>
      </w:r>
    </w:p>
    <w:p w14:paraId="20E5F450">
      <w:pPr>
        <w:numPr>
          <w:ilvl w:val="-1"/>
          <w:numId w:val="0"/>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与玻璃板紧密接触。</w:t>
      </w:r>
    </w:p>
    <w:p w14:paraId="650E45F0">
      <w:pPr>
        <w:numPr>
          <w:ilvl w:val="0"/>
          <w:numId w:val="53"/>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应将低强度充填材料拌合物分两次装入圆柱筒中，每装入一次，应采用捣</w:t>
      </w:r>
    </w:p>
    <w:p w14:paraId="79BEA1C0">
      <w:pPr>
        <w:numPr>
          <w:ilvl w:val="-1"/>
          <w:numId w:val="0"/>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棒均匀插捣</w:t>
      </w:r>
      <w:r>
        <w:rPr>
          <w:rFonts w:hint="eastAsia" w:ascii="Times New Roman" w:hAnsi="Times New Roman" w:eastAsia="宋体" w:cs="Times New Roman"/>
          <w:kern w:val="2"/>
          <w:sz w:val="24"/>
          <w:szCs w:val="24"/>
          <w:lang w:val="en-US" w:eastAsia="zh-CN" w:bidi="ar-SA"/>
        </w:rPr>
        <w:t>5</w:t>
      </w:r>
      <w:r>
        <w:rPr>
          <w:rFonts w:hint="eastAsia" w:ascii="宋体" w:hAnsi="宋体" w:eastAsia="宋体" w:cs="宋体"/>
          <w:color w:val="000000"/>
          <w:sz w:val="24"/>
        </w:rPr>
        <w:t>次。</w:t>
      </w:r>
    </w:p>
    <w:p w14:paraId="7C28A620">
      <w:pPr>
        <w:numPr>
          <w:ilvl w:val="0"/>
          <w:numId w:val="53"/>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最后应在圆柱筒上端面用抹刀将拌合物沿上端刮平，擦去圆柱筒外壁和平板玻璃上的粘留物。</w:t>
      </w:r>
    </w:p>
    <w:p w14:paraId="4F772DC6">
      <w:pPr>
        <w:numPr>
          <w:ilvl w:val="0"/>
          <w:numId w:val="53"/>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应将圆柱筒垂直向上一次拔起，拌合物坍落后在玻璃平板上形成饼状物。</w:t>
      </w:r>
    </w:p>
    <w:p w14:paraId="66A036AE">
      <w:pPr>
        <w:numPr>
          <w:ilvl w:val="-1"/>
          <w:numId w:val="0"/>
        </w:numPr>
        <w:tabs>
          <w:tab w:val="left" w:pos="840"/>
        </w:tabs>
        <w:spacing w:before="79" w:line="440" w:lineRule="exact"/>
        <w:contextualSpacing/>
        <w:rPr>
          <w:rFonts w:hint="eastAsia" w:ascii="宋体" w:hAnsi="宋体" w:eastAsia="宋体" w:cs="宋体"/>
          <w:color w:val="000000"/>
          <w:sz w:val="24"/>
        </w:rPr>
        <w:sectPr>
          <w:pgSz w:w="11905" w:h="16838"/>
          <w:pgMar w:top="1582" w:right="1440" w:bottom="1162" w:left="1582" w:header="0" w:footer="969" w:gutter="283"/>
          <w:cols w:space="0" w:num="1"/>
          <w:titlePg/>
          <w:docGrid w:type="linesAndChars" w:linePitch="312" w:charSpace="0"/>
        </w:sectPr>
      </w:pPr>
      <w:r>
        <w:rPr>
          <w:rFonts w:hint="eastAsia" w:ascii="宋体" w:hAnsi="宋体" w:eastAsia="宋体" w:cs="宋体"/>
          <w:color w:val="000000"/>
          <w:sz w:val="24"/>
        </w:rPr>
        <w:t>用直尺在最大直径方向及其垂直方向上分别测量饼状物的直径，二者平均值作为低强度充填材料拌合物的流动度，精确到</w:t>
      </w:r>
      <w:r>
        <w:rPr>
          <w:rFonts w:hint="eastAsia" w:ascii="Times New Roman" w:hAnsi="Times New Roman" w:eastAsia="宋体" w:cs="Times New Roman"/>
          <w:kern w:val="2"/>
          <w:sz w:val="24"/>
          <w:szCs w:val="24"/>
          <w:lang w:val="en-US" w:eastAsia="zh-CN" w:bidi="ar-SA"/>
        </w:rPr>
        <w:t>5mm</w:t>
      </w:r>
      <w:r>
        <w:rPr>
          <w:rFonts w:hint="eastAsia" w:ascii="宋体" w:hAnsi="宋体" w:eastAsia="宋体" w:cs="宋体"/>
          <w:color w:val="000000"/>
          <w:sz w:val="24"/>
        </w:rPr>
        <w:t>。</w:t>
      </w:r>
    </w:p>
    <w:p w14:paraId="7AD5641A">
      <w:pPr>
        <w:pStyle w:val="2"/>
        <w:spacing w:before="78" w:beforeLines="25" w:after="0" w:line="500" w:lineRule="exact"/>
        <w:rPr>
          <w:rFonts w:hint="eastAsia" w:ascii="微软雅黑" w:hAnsi="微软雅黑" w:eastAsia="微软雅黑" w:cs="微软雅黑"/>
          <w:b/>
          <w:sz w:val="32"/>
          <w:szCs w:val="32"/>
        </w:rPr>
      </w:pPr>
      <w:bookmarkStart w:id="409" w:name="_Toc22396"/>
      <w:bookmarkStart w:id="410" w:name="_Toc6347"/>
      <w:bookmarkStart w:id="411" w:name="_Toc32581"/>
      <w:bookmarkStart w:id="412" w:name="_Toc1011"/>
      <w:r>
        <w:rPr>
          <w:rFonts w:hint="eastAsia" w:ascii="微软雅黑" w:hAnsi="微软雅黑" w:eastAsia="微软雅黑" w:cs="微软雅黑"/>
          <w:b/>
          <w:sz w:val="32"/>
          <w:szCs w:val="32"/>
        </w:rPr>
        <w:t>附录B</w:t>
      </w:r>
      <w:bookmarkEnd w:id="409"/>
      <w:r>
        <w:rPr>
          <w:rFonts w:hint="eastAsia" w:ascii="微软雅黑" w:hAnsi="微软雅黑" w:eastAsia="微软雅黑" w:cs="微软雅黑"/>
          <w:b/>
          <w:sz w:val="32"/>
          <w:szCs w:val="32"/>
        </w:rPr>
        <w:t xml:space="preserve"> 低强度充填材料拌合物泌水率的标准试验方法</w:t>
      </w:r>
      <w:bookmarkEnd w:id="410"/>
      <w:bookmarkEnd w:id="411"/>
      <w:bookmarkEnd w:id="412"/>
    </w:p>
    <w:p w14:paraId="2A034777"/>
    <w:p w14:paraId="2104E5BE">
      <w:pPr>
        <w:keepNext w:val="0"/>
        <w:keepLines w:val="0"/>
        <w:pageBreakBefore w:val="0"/>
        <w:widowControl w:val="0"/>
        <w:numPr>
          <w:ilvl w:val="0"/>
          <w:numId w:val="54"/>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本试验方法适用于低强度充填材料拌合物的泌水率测定。</w:t>
      </w:r>
    </w:p>
    <w:p w14:paraId="1D45FEA2">
      <w:pPr>
        <w:keepNext w:val="0"/>
        <w:keepLines w:val="0"/>
        <w:pageBreakBefore w:val="0"/>
        <w:widowControl w:val="0"/>
        <w:numPr>
          <w:ilvl w:val="0"/>
          <w:numId w:val="54"/>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低强度充填材料拌合物泌水率试验应采用下列仪器：</w:t>
      </w:r>
    </w:p>
    <w:p w14:paraId="0F4E7F23">
      <w:pPr>
        <w:pStyle w:val="187"/>
        <w:numPr>
          <w:ilvl w:val="0"/>
          <w:numId w:val="55"/>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玻璃容器</w:t>
      </w:r>
      <w:r>
        <w:rPr>
          <w:rFonts w:hint="eastAsia" w:ascii="Times New Roman" w:hAnsi="Times New Roman" w:eastAsia="宋体" w:cs="Times New Roman"/>
          <w:kern w:val="2"/>
          <w:sz w:val="24"/>
          <w:szCs w:val="24"/>
          <w:lang w:val="en-US" w:eastAsia="zh-CN" w:bidi="ar-SA"/>
        </w:rPr>
        <w:t>：1000mL</w:t>
      </w:r>
      <w:r>
        <w:rPr>
          <w:rFonts w:hint="eastAsia" w:ascii="宋体" w:hAnsi="宋体" w:eastAsia="宋体" w:cs="宋体"/>
          <w:sz w:val="24"/>
        </w:rPr>
        <w:t>，</w:t>
      </w:r>
      <w:r>
        <w:rPr>
          <w:rFonts w:hint="eastAsia" w:ascii="Times New Roman" w:hAnsi="Times New Roman" w:eastAsia="宋体" w:cs="Times New Roman"/>
          <w:kern w:val="2"/>
          <w:sz w:val="24"/>
          <w:szCs w:val="24"/>
          <w:lang w:val="en-US" w:eastAsia="zh-CN" w:bidi="ar-SA"/>
        </w:rPr>
        <w:t>25mL</w:t>
      </w:r>
      <w:r>
        <w:rPr>
          <w:rFonts w:hint="eastAsia" w:ascii="宋体" w:hAnsi="宋体" w:eastAsia="宋体" w:cs="宋体"/>
          <w:sz w:val="24"/>
        </w:rPr>
        <w:t>量筒。</w:t>
      </w:r>
    </w:p>
    <w:p w14:paraId="3F2ADC1A">
      <w:pPr>
        <w:pStyle w:val="187"/>
        <w:numPr>
          <w:ilvl w:val="0"/>
          <w:numId w:val="55"/>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计时器。</w:t>
      </w:r>
    </w:p>
    <w:p w14:paraId="038FC6B6">
      <w:pPr>
        <w:numPr>
          <w:ilvl w:val="0"/>
          <w:numId w:val="56"/>
        </w:numPr>
        <w:spacing w:before="79" w:beforeLines="25" w:line="440" w:lineRule="exact"/>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低强度充填材料拌合物泌水率试验应按下列步骤进行：</w:t>
      </w:r>
    </w:p>
    <w:p w14:paraId="2100900F">
      <w:pPr>
        <w:pStyle w:val="187"/>
        <w:numPr>
          <w:ilvl w:val="0"/>
          <w:numId w:val="57"/>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应将低强度充填材料拌合物装入</w:t>
      </w:r>
      <w:r>
        <w:rPr>
          <w:rFonts w:hint="eastAsia" w:ascii="Times New Roman" w:hAnsi="Times New Roman" w:eastAsia="宋体" w:cs="Times New Roman"/>
          <w:kern w:val="2"/>
          <w:sz w:val="24"/>
          <w:szCs w:val="24"/>
          <w:lang w:val="en-US" w:eastAsia="zh-CN" w:bidi="ar-SA"/>
        </w:rPr>
        <w:t>1000mL</w:t>
      </w:r>
      <w:r>
        <w:rPr>
          <w:rFonts w:hint="eastAsia" w:ascii="宋体" w:hAnsi="宋体" w:eastAsia="宋体" w:cs="宋体"/>
          <w:sz w:val="24"/>
        </w:rPr>
        <w:t>量筒中，并覆盖湿毛巾防止水分</w:t>
      </w:r>
    </w:p>
    <w:p w14:paraId="65A28EA7">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蒸发，记录拌合物初始总体积，精确到</w:t>
      </w:r>
      <w:r>
        <w:rPr>
          <w:rFonts w:hint="eastAsia" w:ascii="Times New Roman" w:hAnsi="Times New Roman" w:eastAsia="宋体" w:cs="Times New Roman"/>
          <w:kern w:val="2"/>
          <w:sz w:val="24"/>
          <w:szCs w:val="24"/>
          <w:lang w:val="en-US" w:eastAsia="zh-CN" w:bidi="ar-SA"/>
        </w:rPr>
        <w:t>1ml</w:t>
      </w:r>
      <w:r>
        <w:rPr>
          <w:rFonts w:hint="eastAsia" w:ascii="宋体" w:hAnsi="宋体" w:eastAsia="宋体" w:cs="宋体"/>
          <w:sz w:val="24"/>
        </w:rPr>
        <w:t>。</w:t>
      </w:r>
    </w:p>
    <w:p w14:paraId="2692EA26">
      <w:pPr>
        <w:pStyle w:val="187"/>
        <w:numPr>
          <w:ilvl w:val="0"/>
          <w:numId w:val="57"/>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宜采用移液管或滴管在</w:t>
      </w:r>
      <w:r>
        <w:rPr>
          <w:rFonts w:hint="eastAsia" w:ascii="Times New Roman" w:hAnsi="Times New Roman" w:eastAsia="宋体" w:cs="Times New Roman"/>
          <w:kern w:val="2"/>
          <w:sz w:val="24"/>
          <w:szCs w:val="24"/>
          <w:lang w:val="en-US" w:eastAsia="zh-CN" w:bidi="ar-SA"/>
        </w:rPr>
        <w:t>15、30、45、60、120min</w:t>
      </w:r>
      <w:r>
        <w:rPr>
          <w:rFonts w:hint="eastAsia" w:ascii="宋体" w:hAnsi="宋体" w:eastAsia="宋体" w:cs="宋体"/>
          <w:sz w:val="24"/>
        </w:rPr>
        <w:t>收集表面泌水，并记录表面收集到的泌水体积，</w:t>
      </w:r>
      <w:r>
        <w:rPr>
          <w:rFonts w:hint="eastAsia" w:ascii="Times New Roman" w:hAnsi="Times New Roman" w:eastAsia="宋体" w:cs="Times New Roman"/>
          <w:kern w:val="2"/>
          <w:sz w:val="24"/>
          <w:szCs w:val="24"/>
          <w:lang w:val="en-US" w:eastAsia="zh-CN" w:bidi="ar-SA"/>
        </w:rPr>
        <w:t>精确到1ml</w:t>
      </w:r>
      <w:r>
        <w:rPr>
          <w:rFonts w:hint="eastAsia" w:ascii="宋体" w:hAnsi="宋体" w:eastAsia="宋体" w:cs="宋体"/>
          <w:sz w:val="24"/>
        </w:rPr>
        <w:t>。</w:t>
      </w:r>
    </w:p>
    <w:p w14:paraId="0291BFB2">
      <w:pPr>
        <w:pStyle w:val="187"/>
        <w:numPr>
          <w:ilvl w:val="0"/>
          <w:numId w:val="57"/>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表面收集到的泌水体积与拌合物初始总体积的比率，即为低强度充填材料</w:t>
      </w:r>
    </w:p>
    <w:p w14:paraId="693058F0">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拌合物的泌水率。</w:t>
      </w:r>
    </w:p>
    <w:p w14:paraId="19588137">
      <w:pPr>
        <w:pStyle w:val="28"/>
        <w:sectPr>
          <w:pgSz w:w="11905" w:h="16838"/>
          <w:pgMar w:top="1582" w:right="1440" w:bottom="1162" w:left="1582" w:header="0" w:footer="969" w:gutter="283"/>
          <w:cols w:space="0" w:num="1"/>
          <w:titlePg/>
          <w:docGrid w:type="linesAndChars" w:linePitch="312" w:charSpace="0"/>
        </w:sectPr>
      </w:pPr>
    </w:p>
    <w:p w14:paraId="1C92B834">
      <w:pPr>
        <w:pStyle w:val="2"/>
        <w:spacing w:before="78" w:beforeLines="25" w:after="0" w:line="500" w:lineRule="exact"/>
        <w:rPr>
          <w:rFonts w:hint="eastAsia" w:ascii="微软雅黑" w:hAnsi="微软雅黑" w:eastAsia="微软雅黑" w:cs="微软雅黑"/>
          <w:b/>
          <w:sz w:val="32"/>
          <w:szCs w:val="32"/>
        </w:rPr>
      </w:pPr>
      <w:bookmarkStart w:id="413" w:name="_Toc5925"/>
      <w:bookmarkStart w:id="414" w:name="_Toc21462"/>
      <w:bookmarkStart w:id="415" w:name="_Toc5385"/>
      <w:bookmarkStart w:id="416" w:name="_Toc32095"/>
      <w:r>
        <w:rPr>
          <w:rFonts w:hint="eastAsia" w:ascii="微软雅黑" w:hAnsi="微软雅黑" w:eastAsia="微软雅黑" w:cs="微软雅黑"/>
          <w:b/>
          <w:sz w:val="32"/>
          <w:szCs w:val="32"/>
        </w:rPr>
        <w:t>附录C</w:t>
      </w:r>
      <w:bookmarkEnd w:id="413"/>
      <w:r>
        <w:rPr>
          <w:rFonts w:hint="eastAsia" w:ascii="微软雅黑" w:hAnsi="微软雅黑" w:eastAsia="微软雅黑" w:cs="微软雅黑"/>
          <w:b/>
          <w:sz w:val="32"/>
          <w:szCs w:val="32"/>
        </w:rPr>
        <w:t xml:space="preserve"> 低强度充填材料拌合物落球凝结时间的标准试验方法</w:t>
      </w:r>
      <w:bookmarkEnd w:id="414"/>
      <w:bookmarkEnd w:id="415"/>
      <w:bookmarkEnd w:id="416"/>
    </w:p>
    <w:p w14:paraId="04963D7E">
      <w:pPr>
        <w:rPr>
          <w:rFonts w:hint="eastAsia"/>
        </w:rPr>
      </w:pPr>
    </w:p>
    <w:p w14:paraId="636CD541">
      <w:pPr>
        <w:keepNext w:val="0"/>
        <w:keepLines w:val="0"/>
        <w:pageBreakBefore w:val="0"/>
        <w:widowControl w:val="0"/>
        <w:numPr>
          <w:ilvl w:val="0"/>
          <w:numId w:val="58"/>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本试验方法适用于各种类型低强度充填材料拌合物的落球凝结时间测定。</w:t>
      </w:r>
    </w:p>
    <w:p w14:paraId="501EAB8F">
      <w:pPr>
        <w:keepNext w:val="0"/>
        <w:keepLines w:val="0"/>
        <w:pageBreakBefore w:val="0"/>
        <w:widowControl w:val="0"/>
        <w:numPr>
          <w:ilvl w:val="0"/>
          <w:numId w:val="58"/>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低强度充填材料拌合物落球凝结时间试验应采用下列仪器：</w:t>
      </w:r>
    </w:p>
    <w:p w14:paraId="62B17FC1">
      <w:pPr>
        <w:pStyle w:val="187"/>
        <w:numPr>
          <w:ilvl w:val="0"/>
          <w:numId w:val="59"/>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落球装置：带把手的半球体，总质量应为</w:t>
      </w:r>
      <w:r>
        <w:rPr>
          <w:rFonts w:hint="eastAsia" w:ascii="Times New Roman" w:hAnsi="Times New Roman" w:eastAsia="宋体" w:cs="Times New Roman"/>
          <w:kern w:val="2"/>
          <w:sz w:val="24"/>
          <w:szCs w:val="24"/>
          <w:lang w:val="en-US" w:eastAsia="zh-CN" w:bidi="ar-SA"/>
        </w:rPr>
        <w:t>14.5kg±0.5kg</w:t>
      </w:r>
      <w:r>
        <w:rPr>
          <w:rFonts w:hint="eastAsia" w:ascii="宋体" w:hAnsi="宋体" w:eastAsia="宋体" w:cs="宋体"/>
          <w:sz w:val="24"/>
        </w:rPr>
        <w:t>，半径为</w:t>
      </w:r>
      <w:r>
        <w:rPr>
          <w:rFonts w:hint="eastAsia" w:ascii="Times New Roman" w:hAnsi="Times New Roman" w:eastAsia="宋体" w:cs="Times New Roman"/>
          <w:kern w:val="2"/>
          <w:sz w:val="24"/>
          <w:szCs w:val="24"/>
          <w:lang w:val="en-US" w:eastAsia="zh-CN" w:bidi="ar-SA"/>
        </w:rPr>
        <w:t>76mm±3mm</w:t>
      </w:r>
      <w:r>
        <w:rPr>
          <w:rFonts w:hint="eastAsia" w:ascii="宋体" w:hAnsi="宋体" w:eastAsia="宋体" w:cs="宋体"/>
          <w:sz w:val="24"/>
          <w:szCs w:val="24"/>
        </w:rPr>
        <w:t>，</w:t>
      </w:r>
      <w:r>
        <w:rPr>
          <w:rFonts w:hint="eastAsia" w:ascii="宋体" w:hAnsi="宋体" w:eastAsia="宋体" w:cs="宋体"/>
          <w:sz w:val="24"/>
        </w:rPr>
        <w:t>半球体材质宜为金属，表面应光滑。</w:t>
      </w:r>
    </w:p>
    <w:p w14:paraId="1CB0B326">
      <w:pPr>
        <w:pStyle w:val="187"/>
        <w:numPr>
          <w:ilvl w:val="0"/>
          <w:numId w:val="59"/>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落球装置支架：用于支撑半球体并使其能垂直自由下落于待测材料表面，</w:t>
      </w:r>
    </w:p>
    <w:p w14:paraId="7EAA52A4">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高应为</w:t>
      </w:r>
      <w:r>
        <w:rPr>
          <w:rFonts w:hint="eastAsia" w:ascii="Times New Roman" w:hAnsi="Times New Roman" w:eastAsia="宋体" w:cs="Times New Roman"/>
          <w:kern w:val="2"/>
          <w:sz w:val="24"/>
          <w:szCs w:val="24"/>
          <w:lang w:val="en-US" w:eastAsia="zh-CN" w:bidi="ar-SA"/>
        </w:rPr>
        <w:t>270mm</w:t>
      </w:r>
      <w:r>
        <w:rPr>
          <w:rFonts w:hint="eastAsia" w:ascii="宋体" w:hAnsi="宋体" w:eastAsia="宋体" w:cs="宋体"/>
          <w:sz w:val="24"/>
        </w:rPr>
        <w:t>，宽应为</w:t>
      </w:r>
      <w:r>
        <w:rPr>
          <w:rFonts w:hint="eastAsia" w:ascii="Times New Roman" w:hAnsi="Times New Roman" w:eastAsia="宋体" w:cs="Times New Roman"/>
          <w:kern w:val="2"/>
          <w:sz w:val="24"/>
          <w:szCs w:val="24"/>
          <w:lang w:val="en-US" w:eastAsia="zh-CN" w:bidi="ar-SA"/>
        </w:rPr>
        <w:t>140mm</w:t>
      </w:r>
      <w:r>
        <w:rPr>
          <w:rFonts w:hint="eastAsia" w:ascii="宋体" w:hAnsi="宋体" w:eastAsia="宋体" w:cs="宋体"/>
          <w:sz w:val="24"/>
        </w:rPr>
        <w:t>，支架材质宜为金属。</w:t>
      </w:r>
    </w:p>
    <w:p w14:paraId="1F8F70AB">
      <w:pPr>
        <w:pStyle w:val="187"/>
        <w:numPr>
          <w:ilvl w:val="0"/>
          <w:numId w:val="59"/>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恒温恒湿箱：用于在</w:t>
      </w:r>
      <w:r>
        <w:rPr>
          <w:rFonts w:hint="eastAsia" w:ascii="Times New Roman" w:hAnsi="Times New Roman" w:eastAsia="宋体" w:cs="Times New Roman"/>
          <w:kern w:val="2"/>
          <w:sz w:val="24"/>
          <w:szCs w:val="24"/>
          <w:lang w:val="en-US" w:eastAsia="zh-CN" w:bidi="ar-SA"/>
        </w:rPr>
        <w:t>20</w:t>
      </w:r>
      <w:r>
        <w:rPr>
          <w:sz w:val="24"/>
        </w:rPr>
        <w:t>℃</w:t>
      </w:r>
      <w:r>
        <w:rPr>
          <w:rFonts w:hint="eastAsia" w:ascii="Times New Roman" w:hAnsi="Times New Roman" w:eastAsia="宋体" w:cs="Times New Roman"/>
          <w:kern w:val="2"/>
          <w:sz w:val="24"/>
          <w:szCs w:val="24"/>
          <w:lang w:val="en-US" w:eastAsia="zh-CN" w:bidi="ar-SA"/>
        </w:rPr>
        <w:t>±2</w:t>
      </w:r>
      <w:r>
        <w:rPr>
          <w:sz w:val="24"/>
        </w:rPr>
        <w:t>℃</w:t>
      </w:r>
      <w:r>
        <w:rPr>
          <w:rFonts w:hint="eastAsia" w:ascii="宋体" w:hAnsi="宋体" w:eastAsia="宋体" w:cs="宋体"/>
          <w:sz w:val="24"/>
        </w:rPr>
        <w:t>和</w:t>
      </w:r>
      <w:r>
        <w:rPr>
          <w:rFonts w:hint="eastAsia" w:ascii="Times New Roman" w:hAnsi="Times New Roman" w:eastAsia="宋体" w:cs="Times New Roman"/>
          <w:kern w:val="2"/>
          <w:sz w:val="24"/>
          <w:szCs w:val="24"/>
          <w:lang w:val="en-US" w:eastAsia="zh-CN" w:bidi="ar-SA"/>
        </w:rPr>
        <w:t>95% RH</w:t>
      </w:r>
      <w:r>
        <w:rPr>
          <w:rFonts w:hint="eastAsia" w:ascii="宋体" w:hAnsi="宋体" w:eastAsia="宋体" w:cs="宋体"/>
          <w:sz w:val="24"/>
        </w:rPr>
        <w:t>条件下养护试样。</w:t>
      </w:r>
    </w:p>
    <w:p w14:paraId="3FCC4A4E">
      <w:pPr>
        <w:pStyle w:val="187"/>
        <w:numPr>
          <w:ilvl w:val="0"/>
          <w:numId w:val="59"/>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木块：用于抬高支架，宽应为</w:t>
      </w:r>
      <w:r>
        <w:rPr>
          <w:rFonts w:hint="eastAsia"/>
          <w:sz w:val="24"/>
        </w:rPr>
        <w:t>90mm</w:t>
      </w:r>
      <w:r>
        <w:rPr>
          <w:rFonts w:hint="eastAsia" w:ascii="宋体" w:hAnsi="宋体" w:eastAsia="宋体" w:cs="宋体"/>
          <w:sz w:val="24"/>
        </w:rPr>
        <w:t>，长应为</w:t>
      </w:r>
      <w:r>
        <w:rPr>
          <w:rFonts w:hint="eastAsia" w:ascii="Times New Roman" w:hAnsi="Times New Roman" w:eastAsia="宋体" w:cs="Times New Roman"/>
          <w:kern w:val="2"/>
          <w:sz w:val="24"/>
          <w:szCs w:val="24"/>
          <w:lang w:val="en-US" w:eastAsia="zh-CN" w:bidi="ar-SA"/>
        </w:rPr>
        <w:t>180mm</w:t>
      </w:r>
      <w:r>
        <w:rPr>
          <w:rFonts w:hint="eastAsia" w:ascii="宋体" w:hAnsi="宋体" w:eastAsia="宋体" w:cs="宋体"/>
          <w:sz w:val="24"/>
        </w:rPr>
        <w:t>，最小承载面积应</w:t>
      </w:r>
    </w:p>
    <w:p w14:paraId="74AF082D">
      <w:pPr>
        <w:pStyle w:val="187"/>
        <w:numPr>
          <w:ilvl w:val="0"/>
          <w:numId w:val="0"/>
        </w:numPr>
        <w:spacing w:before="79" w:beforeLines="25" w:line="440" w:lineRule="exact"/>
        <w:ind w:leftChars="0"/>
        <w:jc w:val="left"/>
        <w:rPr>
          <w:rFonts w:hint="eastAsia" w:ascii="宋体" w:hAnsi="宋体" w:eastAsia="宋体" w:cs="宋体"/>
          <w:sz w:val="24"/>
        </w:rPr>
      </w:pPr>
      <w:r>
        <w:rPr>
          <w:rFonts w:hint="eastAsia" w:ascii="宋体" w:hAnsi="宋体" w:eastAsia="宋体" w:cs="宋体"/>
          <w:sz w:val="24"/>
        </w:rPr>
        <w:t>为</w:t>
      </w:r>
      <w:r>
        <w:rPr>
          <w:rFonts w:hint="eastAsia" w:ascii="Times New Roman" w:hAnsi="Times New Roman" w:eastAsia="宋体" w:cs="Times New Roman"/>
          <w:kern w:val="2"/>
          <w:sz w:val="24"/>
          <w:szCs w:val="24"/>
          <w:lang w:val="en-US" w:eastAsia="zh-CN" w:bidi="ar-SA"/>
        </w:rPr>
        <w:t>0.015</w:t>
      </w:r>
      <w:r>
        <w:rPr>
          <w:rFonts w:hint="eastAsia"/>
          <w:sz w:val="24"/>
          <w:szCs w:val="32"/>
        </w:rPr>
        <w:t>m</w:t>
      </w:r>
      <w:r>
        <w:rPr>
          <w:sz w:val="24"/>
          <w:szCs w:val="32"/>
          <w:vertAlign w:val="superscript"/>
        </w:rPr>
        <w:t>2</w:t>
      </w:r>
      <w:r>
        <w:rPr>
          <w:rFonts w:hint="eastAsia" w:ascii="宋体" w:hAnsi="宋体" w:eastAsia="宋体" w:cs="宋体"/>
          <w:sz w:val="24"/>
        </w:rPr>
        <w:t>，应确保落球距离为</w:t>
      </w:r>
      <w:r>
        <w:rPr>
          <w:rFonts w:hint="eastAsia"/>
          <w:sz w:val="24"/>
        </w:rPr>
        <w:t>108mm~114mm</w:t>
      </w:r>
      <w:r>
        <w:rPr>
          <w:rFonts w:hint="eastAsia" w:ascii="宋体" w:hAnsi="宋体" w:eastAsia="宋体" w:cs="宋体"/>
          <w:sz w:val="24"/>
        </w:rPr>
        <w:t>，材质宜为木头。</w:t>
      </w:r>
    </w:p>
    <w:p w14:paraId="5D1B09B5">
      <w:pPr>
        <w:pStyle w:val="187"/>
        <w:numPr>
          <w:ilvl w:val="0"/>
          <w:numId w:val="59"/>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直尺：量程为</w:t>
      </w:r>
      <w:r>
        <w:rPr>
          <w:rFonts w:hint="eastAsia"/>
          <w:sz w:val="24"/>
        </w:rPr>
        <w:t>300mm</w:t>
      </w:r>
      <w:r>
        <w:rPr>
          <w:rFonts w:hint="eastAsia" w:ascii="宋体" w:hAnsi="宋体" w:eastAsia="宋体" w:cs="宋体"/>
          <w:sz w:val="24"/>
        </w:rPr>
        <w:t>，精度为</w:t>
      </w:r>
      <w:r>
        <w:rPr>
          <w:rFonts w:hint="eastAsia"/>
          <w:sz w:val="24"/>
        </w:rPr>
        <w:t>1mm</w:t>
      </w:r>
      <w:r>
        <w:rPr>
          <w:rFonts w:hint="eastAsia" w:ascii="宋体" w:hAnsi="宋体" w:eastAsia="宋体" w:cs="宋体"/>
          <w:sz w:val="24"/>
        </w:rPr>
        <w:t>。</w:t>
      </w:r>
    </w:p>
    <w:p w14:paraId="4BBC2B7C">
      <w:pPr>
        <w:pStyle w:val="187"/>
        <w:numPr>
          <w:ilvl w:val="0"/>
          <w:numId w:val="59"/>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试样只要能够承载落球次数不少于</w:t>
      </w:r>
      <w:r>
        <w:rPr>
          <w:rFonts w:hint="eastAsia"/>
          <w:sz w:val="24"/>
        </w:rPr>
        <w:t>5</w:t>
      </w:r>
      <w:r>
        <w:rPr>
          <w:rFonts w:hint="eastAsia" w:ascii="宋体" w:hAnsi="宋体" w:eastAsia="宋体" w:cs="宋体"/>
          <w:sz w:val="24"/>
        </w:rPr>
        <w:t>次即可。</w:t>
      </w:r>
    </w:p>
    <w:p w14:paraId="50D8890E">
      <w:pPr>
        <w:pStyle w:val="187"/>
        <w:numPr>
          <w:ilvl w:val="0"/>
          <w:numId w:val="60"/>
        </w:numPr>
        <w:spacing w:before="79" w:beforeLines="25" w:line="440" w:lineRule="exact"/>
        <w:ind w:firstLine="0" w:firstLineChars="0"/>
        <w:jc w:val="left"/>
        <w:rPr>
          <w:rFonts w:hint="eastAsia" w:ascii="宋体" w:hAnsi="宋体" w:eastAsia="宋体" w:cs="宋体"/>
          <w:b/>
          <w:bCs/>
          <w:spacing w:val="-2"/>
          <w:w w:val="99"/>
          <w:kern w:val="2"/>
          <w:sz w:val="24"/>
          <w:szCs w:val="24"/>
          <w:lang w:val="en-US" w:eastAsia="zh-CN" w:bidi="en-US"/>
        </w:rPr>
      </w:pPr>
      <w:r>
        <w:rPr>
          <w:rFonts w:hint="eastAsia" w:ascii="宋体" w:hAnsi="宋体" w:eastAsia="宋体" w:cs="宋体"/>
          <w:b w:val="0"/>
          <w:bCs w:val="0"/>
          <w:kern w:val="2"/>
          <w:sz w:val="24"/>
          <w:szCs w:val="24"/>
          <w:lang w:val="en-US" w:eastAsia="zh-CN" w:bidi="ar-SA"/>
        </w:rPr>
        <w:t>低强度充填材料拌合物落球凝结时间试验应按下列步骤进行：</w:t>
      </w:r>
    </w:p>
    <w:p w14:paraId="60FFF7B1">
      <w:pPr>
        <w:pStyle w:val="187"/>
        <w:numPr>
          <w:ilvl w:val="0"/>
          <w:numId w:val="61"/>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应将落球装置支架固定于木块上，并确保支架两端平行于水平面，纵向垂</w:t>
      </w:r>
    </w:p>
    <w:p w14:paraId="12D1BE72">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直于水平面。</w:t>
      </w:r>
    </w:p>
    <w:p w14:paraId="60291AE5">
      <w:pPr>
        <w:pStyle w:val="187"/>
        <w:numPr>
          <w:ilvl w:val="0"/>
          <w:numId w:val="61"/>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应确保木块不会影响半球体的自由垂直下落。</w:t>
      </w:r>
    </w:p>
    <w:p w14:paraId="3DA18D28">
      <w:pPr>
        <w:pStyle w:val="187"/>
        <w:numPr>
          <w:ilvl w:val="0"/>
          <w:numId w:val="61"/>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应将待测的低强度充填材料放置在落球装置正下方，并确保落球距离为</w:t>
      </w:r>
    </w:p>
    <w:p w14:paraId="3E449B31">
      <w:pPr>
        <w:pStyle w:val="187"/>
        <w:numPr>
          <w:ilvl w:val="-1"/>
          <w:numId w:val="0"/>
        </w:numPr>
        <w:spacing w:before="79" w:beforeLines="25" w:line="440" w:lineRule="exact"/>
        <w:ind w:firstLine="0" w:firstLineChars="0"/>
        <w:jc w:val="left"/>
        <w:rPr>
          <w:rFonts w:hint="eastAsia" w:ascii="宋体" w:hAnsi="宋体" w:eastAsia="宋体" w:cs="宋体"/>
          <w:sz w:val="24"/>
        </w:rPr>
      </w:pPr>
      <w:r>
        <w:rPr>
          <w:rFonts w:hint="eastAsia"/>
          <w:sz w:val="24"/>
        </w:rPr>
        <w:t>108mm~114mm</w:t>
      </w:r>
      <w:r>
        <w:rPr>
          <w:rFonts w:hint="eastAsia" w:ascii="宋体" w:hAnsi="宋体" w:eastAsia="宋体" w:cs="宋体"/>
          <w:sz w:val="24"/>
        </w:rPr>
        <w:t>。</w:t>
      </w:r>
    </w:p>
    <w:p w14:paraId="1A1EC972">
      <w:pPr>
        <w:pStyle w:val="187"/>
        <w:numPr>
          <w:ilvl w:val="0"/>
          <w:numId w:val="61"/>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应让落球装置自由垂直下落，并用直尺测量在试样表面留下压痕的直径，</w:t>
      </w:r>
    </w:p>
    <w:p w14:paraId="24CCC133">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以压痕直径</w:t>
      </w:r>
      <w:r>
        <w:rPr>
          <w:rFonts w:hint="eastAsia"/>
          <w:sz w:val="24"/>
        </w:rPr>
        <w:t>76mm</w:t>
      </w:r>
      <w:r>
        <w:rPr>
          <w:rFonts w:hint="eastAsia" w:ascii="宋体" w:hAnsi="宋体" w:eastAsia="宋体" w:cs="宋体"/>
          <w:sz w:val="24"/>
        </w:rPr>
        <w:t>对应的时间定义为低强度充填材料的落球凝结时间。</w:t>
      </w:r>
    </w:p>
    <w:p w14:paraId="2654FE98">
      <w:pPr>
        <w:pStyle w:val="187"/>
        <w:numPr>
          <w:ilvl w:val="0"/>
          <w:numId w:val="61"/>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为了获得可靠的试验结果，应重复</w:t>
      </w:r>
      <w:r>
        <w:rPr>
          <w:rFonts w:hint="eastAsia"/>
          <w:sz w:val="24"/>
        </w:rPr>
        <w:t>3</w:t>
      </w:r>
      <w:r>
        <w:rPr>
          <w:rFonts w:hint="eastAsia" w:ascii="宋体" w:hAnsi="宋体" w:eastAsia="宋体" w:cs="宋体"/>
          <w:sz w:val="24"/>
        </w:rPr>
        <w:t>次试验，并取平均值。</w:t>
      </w:r>
    </w:p>
    <w:p w14:paraId="0C918659">
      <w:pPr>
        <w:pStyle w:val="28"/>
        <w:rPr>
          <w:sz w:val="24"/>
          <w:szCs w:val="32"/>
        </w:rPr>
        <w:sectPr>
          <w:pgSz w:w="11905" w:h="16838"/>
          <w:pgMar w:top="1582" w:right="1440" w:bottom="1162" w:left="1582" w:header="0" w:footer="969" w:gutter="283"/>
          <w:cols w:space="0" w:num="1"/>
          <w:titlePg/>
          <w:docGrid w:type="linesAndChars" w:linePitch="312" w:charSpace="0"/>
        </w:sectPr>
      </w:pPr>
    </w:p>
    <w:p w14:paraId="4B3FCC0B">
      <w:pPr>
        <w:pStyle w:val="2"/>
        <w:spacing w:before="78" w:beforeLines="25" w:after="0" w:line="500" w:lineRule="exact"/>
        <w:rPr>
          <w:rFonts w:hint="eastAsia" w:ascii="微软雅黑" w:hAnsi="微软雅黑" w:eastAsia="微软雅黑" w:cs="微软雅黑"/>
          <w:b/>
          <w:sz w:val="32"/>
          <w:szCs w:val="32"/>
        </w:rPr>
      </w:pPr>
      <w:bookmarkStart w:id="417" w:name="_Toc28031"/>
      <w:bookmarkStart w:id="418" w:name="_Toc1456"/>
      <w:bookmarkStart w:id="419" w:name="_Toc26114"/>
      <w:bookmarkStart w:id="420" w:name="_Toc20115"/>
      <w:r>
        <w:rPr>
          <w:rFonts w:hint="eastAsia" w:ascii="微软雅黑" w:hAnsi="微软雅黑" w:eastAsia="微软雅黑" w:cs="微软雅黑"/>
          <w:b/>
          <w:sz w:val="32"/>
          <w:szCs w:val="32"/>
        </w:rPr>
        <w:t>附录D</w:t>
      </w:r>
      <w:bookmarkEnd w:id="417"/>
      <w:r>
        <w:rPr>
          <w:rFonts w:hint="eastAsia" w:ascii="微软雅黑" w:hAnsi="微软雅黑" w:eastAsia="微软雅黑" w:cs="微软雅黑"/>
          <w:b/>
          <w:sz w:val="32"/>
          <w:szCs w:val="32"/>
        </w:rPr>
        <w:t xml:space="preserve"> 低强度充填材料拌合物沉降率的标准试验方法</w:t>
      </w:r>
      <w:bookmarkEnd w:id="418"/>
      <w:bookmarkEnd w:id="419"/>
      <w:bookmarkEnd w:id="420"/>
    </w:p>
    <w:p w14:paraId="1F1DC5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32"/>
        </w:rPr>
      </w:pPr>
    </w:p>
    <w:p w14:paraId="25766D8C">
      <w:pPr>
        <w:keepNext w:val="0"/>
        <w:keepLines w:val="0"/>
        <w:pageBreakBefore w:val="0"/>
        <w:widowControl w:val="0"/>
        <w:numPr>
          <w:ilvl w:val="0"/>
          <w:numId w:val="62"/>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本试验方法适用于低强度充填材料拌合物的沉降率测定。</w:t>
      </w:r>
    </w:p>
    <w:p w14:paraId="157AEAB6">
      <w:pPr>
        <w:keepNext w:val="0"/>
        <w:keepLines w:val="0"/>
        <w:pageBreakBefore w:val="0"/>
        <w:widowControl w:val="0"/>
        <w:numPr>
          <w:ilvl w:val="0"/>
          <w:numId w:val="62"/>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低强度充填材料拌合物沉降率试验应采用下列仪器：</w:t>
      </w:r>
    </w:p>
    <w:p w14:paraId="53B44FA8">
      <w:pPr>
        <w:pStyle w:val="187"/>
        <w:numPr>
          <w:ilvl w:val="0"/>
          <w:numId w:val="63"/>
        </w:numPr>
        <w:spacing w:before="79" w:beforeLines="25" w:line="440" w:lineRule="exact"/>
        <w:ind w:firstLine="0" w:firstLineChars="0"/>
        <w:jc w:val="both"/>
        <w:rPr>
          <w:rFonts w:hint="eastAsia" w:ascii="宋体" w:hAnsi="宋体" w:eastAsia="宋体" w:cs="宋体"/>
          <w:sz w:val="24"/>
        </w:rPr>
      </w:pPr>
      <w:r>
        <w:rPr>
          <w:rFonts w:hint="eastAsia" w:ascii="宋体" w:hAnsi="宋体" w:eastAsia="宋体" w:cs="宋体"/>
          <w:sz w:val="24"/>
        </w:rPr>
        <w:t>测试筒：上端开口下端封闭的圆柱筒，高应为</w:t>
      </w:r>
      <w:r>
        <w:rPr>
          <w:rFonts w:hint="eastAsia"/>
          <w:sz w:val="24"/>
        </w:rPr>
        <w:t>300mm±1mm</w:t>
      </w:r>
      <w:r>
        <w:rPr>
          <w:rFonts w:hint="eastAsia" w:ascii="宋体" w:hAnsi="宋体" w:eastAsia="宋体" w:cs="宋体"/>
          <w:sz w:val="24"/>
        </w:rPr>
        <w:t>，内径应为</w:t>
      </w:r>
      <w:r>
        <w:rPr>
          <w:rFonts w:hint="eastAsia"/>
          <w:sz w:val="24"/>
        </w:rPr>
        <w:t>150mm±1mm</w:t>
      </w:r>
      <w:r>
        <w:rPr>
          <w:rFonts w:hint="eastAsia" w:ascii="宋体" w:hAnsi="宋体" w:eastAsia="宋体" w:cs="宋体"/>
          <w:sz w:val="24"/>
        </w:rPr>
        <w:t>，内壁应光滑，壁厚不应小于</w:t>
      </w:r>
      <w:r>
        <w:rPr>
          <w:rFonts w:hint="eastAsia"/>
          <w:sz w:val="24"/>
        </w:rPr>
        <w:t>5mm</w:t>
      </w:r>
      <w:r>
        <w:rPr>
          <w:rFonts w:hint="eastAsia" w:ascii="宋体" w:hAnsi="宋体" w:eastAsia="宋体" w:cs="宋体"/>
          <w:sz w:val="24"/>
        </w:rPr>
        <w:t>，圆柱筒两端平齐光滑，圆柱筒材质宜为玻璃。</w:t>
      </w:r>
    </w:p>
    <w:p w14:paraId="5D00326A">
      <w:pPr>
        <w:pStyle w:val="187"/>
        <w:numPr>
          <w:ilvl w:val="0"/>
          <w:numId w:val="63"/>
        </w:numPr>
        <w:spacing w:before="79" w:beforeLines="25" w:line="440" w:lineRule="exact"/>
        <w:ind w:firstLine="0" w:firstLineChars="0"/>
        <w:jc w:val="left"/>
        <w:rPr>
          <w:rFonts w:hint="eastAsia" w:ascii="宋体" w:hAnsi="宋体" w:eastAsia="宋体" w:cs="宋体"/>
          <w:sz w:val="24"/>
          <w:szCs w:val="24"/>
        </w:rPr>
      </w:pPr>
      <w:r>
        <w:rPr>
          <w:rFonts w:hint="eastAsia" w:ascii="宋体" w:hAnsi="宋体" w:eastAsia="宋体" w:cs="宋体"/>
          <w:sz w:val="24"/>
        </w:rPr>
        <w:t>直尺：量程为</w:t>
      </w:r>
      <w:r>
        <w:rPr>
          <w:rFonts w:hint="eastAsia"/>
          <w:sz w:val="24"/>
        </w:rPr>
        <w:t>500mm</w:t>
      </w:r>
      <w:r>
        <w:rPr>
          <w:rFonts w:hint="eastAsia" w:ascii="宋体" w:hAnsi="宋体" w:eastAsia="宋体" w:cs="宋体"/>
          <w:sz w:val="24"/>
        </w:rPr>
        <w:t>，精度为</w:t>
      </w:r>
      <w:r>
        <w:rPr>
          <w:rFonts w:hint="eastAsia"/>
          <w:sz w:val="24"/>
        </w:rPr>
        <w:t>1mm</w:t>
      </w:r>
      <w:r>
        <w:rPr>
          <w:rFonts w:hint="eastAsia" w:ascii="宋体" w:hAnsi="宋体" w:eastAsia="宋体" w:cs="宋体"/>
          <w:sz w:val="24"/>
        </w:rPr>
        <w:t>。</w:t>
      </w:r>
    </w:p>
    <w:p w14:paraId="673254BC">
      <w:pPr>
        <w:pStyle w:val="187"/>
        <w:numPr>
          <w:ilvl w:val="0"/>
          <w:numId w:val="64"/>
        </w:numPr>
        <w:spacing w:before="79" w:beforeLines="25" w:line="440" w:lineRule="exact"/>
        <w:ind w:firstLine="0" w:firstLineChars="0"/>
        <w:jc w:val="left"/>
        <w:rPr>
          <w:rFonts w:hint="eastAsia" w:ascii="宋体" w:hAnsi="宋体" w:eastAsia="宋体" w:cs="宋体"/>
          <w:b/>
          <w:bCs/>
          <w:spacing w:val="-2"/>
          <w:w w:val="99"/>
          <w:kern w:val="2"/>
          <w:sz w:val="24"/>
          <w:szCs w:val="24"/>
          <w:lang w:val="en-US" w:eastAsia="zh-CN" w:bidi="en-US"/>
        </w:rPr>
      </w:pPr>
      <w:r>
        <w:rPr>
          <w:rFonts w:hint="eastAsia" w:ascii="宋体" w:hAnsi="宋体" w:eastAsia="宋体" w:cs="宋体"/>
          <w:b w:val="0"/>
          <w:bCs w:val="0"/>
          <w:kern w:val="2"/>
          <w:sz w:val="24"/>
          <w:szCs w:val="24"/>
          <w:lang w:val="en-US" w:eastAsia="zh-CN" w:bidi="ar-SA"/>
        </w:rPr>
        <w:t>低强度充填材料拌合物沉降率试验应按下列步骤进行：</w:t>
      </w:r>
    </w:p>
    <w:p w14:paraId="469B1D2D">
      <w:pPr>
        <w:pStyle w:val="187"/>
        <w:numPr>
          <w:ilvl w:val="0"/>
          <w:numId w:val="65"/>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应将圆柱筒竖直放置在水平面上，让圆柱筒的下端封闭面与水平面紧密接</w:t>
      </w:r>
    </w:p>
    <w:p w14:paraId="3AEFFBC1">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触。</w:t>
      </w:r>
    </w:p>
    <w:p w14:paraId="6F88E940">
      <w:pPr>
        <w:pStyle w:val="187"/>
        <w:numPr>
          <w:ilvl w:val="0"/>
          <w:numId w:val="65"/>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应将低强度充填材料拌合物装入圆柱筒中。</w:t>
      </w:r>
    </w:p>
    <w:p w14:paraId="49706B66">
      <w:pPr>
        <w:pStyle w:val="187"/>
        <w:numPr>
          <w:ilvl w:val="0"/>
          <w:numId w:val="65"/>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最后应在圆柱筒上端面用抹刀将拌合物沿上端刮平，擦去圆柱筒外壁和平</w:t>
      </w:r>
    </w:p>
    <w:p w14:paraId="5B04F657">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板玻璃上的粘留物，并用直尺测量拌合物的初始高度。</w:t>
      </w:r>
    </w:p>
    <w:p w14:paraId="332A1423">
      <w:pPr>
        <w:pStyle w:val="187"/>
        <w:numPr>
          <w:ilvl w:val="0"/>
          <w:numId w:val="65"/>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应让拌合物在圆柱筒中自然沉降，沉降时间宜为</w:t>
      </w:r>
      <w:r>
        <w:rPr>
          <w:rFonts w:hint="eastAsia"/>
          <w:sz w:val="24"/>
        </w:rPr>
        <w:t>48</w:t>
      </w:r>
      <w:r>
        <w:rPr>
          <w:rFonts w:hint="eastAsia" w:ascii="宋体" w:hAnsi="宋体" w:eastAsia="宋体" w:cs="宋体"/>
          <w:sz w:val="24"/>
          <w:szCs w:val="24"/>
        </w:rPr>
        <w:t>小时</w:t>
      </w:r>
      <w:r>
        <w:rPr>
          <w:rFonts w:hint="eastAsia" w:ascii="宋体" w:hAnsi="宋体" w:eastAsia="宋体" w:cs="宋体"/>
          <w:sz w:val="24"/>
        </w:rPr>
        <w:t>，并用直尺测量</w:t>
      </w:r>
    </w:p>
    <w:p w14:paraId="5F58B61A">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拌合物沉降后的高度。</w:t>
      </w:r>
    </w:p>
    <w:p w14:paraId="6192B434">
      <w:pPr>
        <w:pStyle w:val="187"/>
        <w:numPr>
          <w:ilvl w:val="0"/>
          <w:numId w:val="65"/>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初始高度与沉降后高度的差与初始高度的比率，即为低强度充填材料拌合</w:t>
      </w:r>
    </w:p>
    <w:p w14:paraId="08B14FE1">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物的沉降率。</w:t>
      </w:r>
    </w:p>
    <w:p w14:paraId="5C99FD60">
      <w:pPr>
        <w:spacing w:line="360" w:lineRule="auto"/>
        <w:rPr>
          <w:sz w:val="24"/>
          <w:szCs w:val="32"/>
        </w:rPr>
      </w:pPr>
    </w:p>
    <w:p w14:paraId="61D54CFD">
      <w:pPr>
        <w:pStyle w:val="28"/>
        <w:rPr>
          <w:sz w:val="24"/>
          <w:szCs w:val="32"/>
        </w:rPr>
        <w:sectPr>
          <w:pgSz w:w="11905" w:h="16838"/>
          <w:pgMar w:top="1582" w:right="1440" w:bottom="1162" w:left="1582" w:header="0" w:footer="969" w:gutter="283"/>
          <w:cols w:space="0" w:num="1"/>
          <w:titlePg/>
          <w:docGrid w:type="linesAndChars" w:linePitch="312" w:charSpace="0"/>
        </w:sectPr>
      </w:pPr>
    </w:p>
    <w:p w14:paraId="4A735392">
      <w:pPr>
        <w:pStyle w:val="2"/>
        <w:spacing w:before="78" w:beforeLines="25" w:after="0" w:line="500" w:lineRule="exact"/>
        <w:rPr>
          <w:rFonts w:hint="eastAsia" w:ascii="微软雅黑" w:hAnsi="微软雅黑" w:eastAsia="微软雅黑" w:cs="微软雅黑"/>
          <w:b/>
          <w:sz w:val="32"/>
          <w:szCs w:val="32"/>
        </w:rPr>
      </w:pPr>
      <w:bookmarkStart w:id="421" w:name="_Toc8669"/>
      <w:bookmarkStart w:id="422" w:name="_Toc31388"/>
      <w:bookmarkStart w:id="423" w:name="_Toc5888"/>
      <w:bookmarkStart w:id="424" w:name="_Toc14482"/>
      <w:r>
        <w:rPr>
          <w:rFonts w:hint="eastAsia" w:ascii="微软雅黑" w:hAnsi="微软雅黑" w:eastAsia="微软雅黑" w:cs="微软雅黑"/>
          <w:b/>
          <w:sz w:val="32"/>
          <w:szCs w:val="32"/>
        </w:rPr>
        <w:t>附录E</w:t>
      </w:r>
      <w:bookmarkEnd w:id="421"/>
      <w:r>
        <w:rPr>
          <w:rFonts w:hint="eastAsia" w:ascii="微软雅黑" w:hAnsi="微软雅黑" w:eastAsia="微软雅黑" w:cs="微软雅黑"/>
          <w:b/>
          <w:sz w:val="32"/>
          <w:szCs w:val="32"/>
        </w:rPr>
        <w:t xml:space="preserve"> 低强度充填材料无侧限抗压强度的标准试验方法</w:t>
      </w:r>
      <w:bookmarkEnd w:id="422"/>
      <w:bookmarkEnd w:id="423"/>
      <w:bookmarkEnd w:id="424"/>
    </w:p>
    <w:p w14:paraId="4558B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p w14:paraId="7D52997B">
      <w:pPr>
        <w:keepNext w:val="0"/>
        <w:keepLines w:val="0"/>
        <w:pageBreakBefore w:val="0"/>
        <w:widowControl w:val="0"/>
        <w:numPr>
          <w:ilvl w:val="0"/>
          <w:numId w:val="66"/>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本试验方法适用于低强度充填材料的无侧限抗压强度测定。</w:t>
      </w:r>
    </w:p>
    <w:p w14:paraId="7B1D4030">
      <w:pPr>
        <w:keepNext w:val="0"/>
        <w:keepLines w:val="0"/>
        <w:pageBreakBefore w:val="0"/>
        <w:widowControl w:val="0"/>
        <w:numPr>
          <w:ilvl w:val="0"/>
          <w:numId w:val="66"/>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低强度充填材料无侧限抗压强度试验应采用下列仪器：</w:t>
      </w:r>
    </w:p>
    <w:p w14:paraId="74FA4539">
      <w:pPr>
        <w:pStyle w:val="187"/>
        <w:numPr>
          <w:ilvl w:val="0"/>
          <w:numId w:val="67"/>
        </w:numPr>
        <w:spacing w:before="78"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圆柱筒模具：使用</w:t>
      </w:r>
      <w:r>
        <w:rPr>
          <w:rFonts w:hint="eastAsia"/>
          <w:sz w:val="24"/>
        </w:rPr>
        <w:t>150mm×300mm</w:t>
      </w:r>
      <w:r>
        <w:rPr>
          <w:rFonts w:hint="eastAsia" w:ascii="宋体" w:hAnsi="宋体" w:eastAsia="宋体" w:cs="宋体"/>
          <w:sz w:val="24"/>
        </w:rPr>
        <w:t>或</w:t>
      </w:r>
      <w:r>
        <w:rPr>
          <w:rFonts w:hint="eastAsia"/>
          <w:sz w:val="24"/>
        </w:rPr>
        <w:t>100mm×200mm</w:t>
      </w:r>
      <w:r>
        <w:rPr>
          <w:rFonts w:hint="eastAsia" w:ascii="宋体" w:hAnsi="宋体" w:eastAsia="宋体" w:cs="宋体"/>
          <w:sz w:val="24"/>
        </w:rPr>
        <w:t>的塑料模具，内</w:t>
      </w:r>
    </w:p>
    <w:p w14:paraId="704FBDEE">
      <w:pPr>
        <w:pStyle w:val="187"/>
        <w:numPr>
          <w:ilvl w:val="0"/>
          <w:numId w:val="0"/>
        </w:numPr>
        <w:spacing w:before="78" w:beforeLines="25" w:line="440" w:lineRule="exact"/>
        <w:ind w:leftChars="0"/>
        <w:jc w:val="left"/>
        <w:rPr>
          <w:rFonts w:hint="eastAsia" w:ascii="宋体" w:hAnsi="宋体" w:eastAsia="宋体" w:cs="宋体"/>
          <w:sz w:val="24"/>
        </w:rPr>
      </w:pPr>
      <w:r>
        <w:rPr>
          <w:rFonts w:hint="eastAsia" w:ascii="宋体" w:hAnsi="宋体" w:eastAsia="宋体" w:cs="宋体"/>
          <w:sz w:val="24"/>
        </w:rPr>
        <w:t>壁应光滑，壁厚不应小于</w:t>
      </w:r>
      <w:r>
        <w:rPr>
          <w:rFonts w:hint="eastAsia"/>
          <w:sz w:val="24"/>
        </w:rPr>
        <w:t>5mm</w:t>
      </w:r>
      <w:r>
        <w:rPr>
          <w:rFonts w:hint="eastAsia" w:ascii="宋体" w:hAnsi="宋体" w:eastAsia="宋体" w:cs="宋体"/>
          <w:sz w:val="24"/>
        </w:rPr>
        <w:t>，圆柱筒两端平齐光滑。</w:t>
      </w:r>
    </w:p>
    <w:p w14:paraId="6DD3D13F">
      <w:pPr>
        <w:pStyle w:val="187"/>
        <w:numPr>
          <w:ilvl w:val="0"/>
          <w:numId w:val="67"/>
        </w:numPr>
        <w:spacing w:before="78"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抗压强度测试装置：用于测试圆柱体的抗压强度的装置。</w:t>
      </w:r>
    </w:p>
    <w:p w14:paraId="6C693B28">
      <w:pPr>
        <w:pStyle w:val="187"/>
        <w:numPr>
          <w:ilvl w:val="0"/>
          <w:numId w:val="68"/>
        </w:numPr>
        <w:spacing w:before="78" w:beforeLines="25" w:line="440" w:lineRule="exact"/>
        <w:ind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val="0"/>
          <w:bCs w:val="0"/>
          <w:kern w:val="2"/>
          <w:sz w:val="24"/>
          <w:szCs w:val="24"/>
          <w:lang w:val="en-US" w:eastAsia="zh-CN" w:bidi="ar-SA"/>
        </w:rPr>
        <w:t>低强度充填材料无侧限抗压强度试验应按下列步骤进行：</w:t>
      </w:r>
    </w:p>
    <w:p w14:paraId="523E6133">
      <w:pPr>
        <w:pStyle w:val="187"/>
        <w:numPr>
          <w:ilvl w:val="0"/>
          <w:numId w:val="69"/>
        </w:numPr>
        <w:spacing w:before="78" w:beforeLines="25" w:line="440" w:lineRule="exact"/>
        <w:ind w:firstLine="0" w:firstLineChars="0"/>
        <w:rPr>
          <w:rFonts w:hint="eastAsia" w:ascii="宋体" w:hAnsi="宋体" w:eastAsia="宋体" w:cs="宋体"/>
          <w:sz w:val="24"/>
        </w:rPr>
      </w:pPr>
      <w:r>
        <w:rPr>
          <w:rFonts w:hint="eastAsia" w:ascii="宋体" w:hAnsi="宋体" w:eastAsia="宋体" w:cs="宋体"/>
          <w:sz w:val="24"/>
        </w:rPr>
        <w:t>应将低强度充填材料拌合物装入圆柱筒模具中，待硬化后将试样从模具中</w:t>
      </w:r>
    </w:p>
    <w:p w14:paraId="6444A88E">
      <w:pPr>
        <w:pStyle w:val="187"/>
        <w:numPr>
          <w:ilvl w:val="-1"/>
          <w:numId w:val="0"/>
        </w:numPr>
        <w:spacing w:before="78" w:beforeLines="25" w:line="440" w:lineRule="exact"/>
        <w:ind w:firstLine="0" w:firstLineChars="0"/>
        <w:rPr>
          <w:rFonts w:hint="eastAsia" w:ascii="宋体" w:hAnsi="宋体" w:eastAsia="宋体" w:cs="宋体"/>
          <w:sz w:val="24"/>
        </w:rPr>
      </w:pPr>
      <w:r>
        <w:rPr>
          <w:rFonts w:hint="eastAsia" w:ascii="宋体" w:hAnsi="宋体" w:eastAsia="宋体" w:cs="宋体"/>
          <w:sz w:val="24"/>
        </w:rPr>
        <w:t>取出，放置在</w:t>
      </w:r>
      <w:r>
        <w:rPr>
          <w:rFonts w:hint="eastAsia"/>
          <w:sz w:val="24"/>
        </w:rPr>
        <w:t>20</w:t>
      </w:r>
      <w:r>
        <w:rPr>
          <w:sz w:val="24"/>
        </w:rPr>
        <w:t>℃</w:t>
      </w:r>
      <w:r>
        <w:rPr>
          <w:rFonts w:hint="eastAsia"/>
          <w:sz w:val="24"/>
        </w:rPr>
        <w:t>±2</w:t>
      </w:r>
      <w:r>
        <w:rPr>
          <w:sz w:val="24"/>
        </w:rPr>
        <w:t>℃</w:t>
      </w:r>
      <w:r>
        <w:rPr>
          <w:rFonts w:hint="eastAsia" w:ascii="宋体" w:hAnsi="宋体" w:eastAsia="宋体" w:cs="宋体"/>
          <w:sz w:val="24"/>
        </w:rPr>
        <w:t>和</w:t>
      </w:r>
      <w:r>
        <w:rPr>
          <w:rFonts w:hint="eastAsia"/>
          <w:sz w:val="24"/>
        </w:rPr>
        <w:t>95% RH</w:t>
      </w:r>
      <w:r>
        <w:rPr>
          <w:rFonts w:hint="eastAsia" w:ascii="宋体" w:hAnsi="宋体" w:eastAsia="宋体" w:cs="宋体"/>
          <w:sz w:val="24"/>
        </w:rPr>
        <w:t>环境下养护。</w:t>
      </w:r>
    </w:p>
    <w:p w14:paraId="76718CB0">
      <w:pPr>
        <w:pStyle w:val="187"/>
        <w:numPr>
          <w:ilvl w:val="0"/>
          <w:numId w:val="69"/>
        </w:numPr>
        <w:spacing w:before="78" w:beforeLines="25" w:line="440" w:lineRule="exact"/>
        <w:ind w:firstLine="0" w:firstLineChars="0"/>
        <w:rPr>
          <w:rFonts w:hint="eastAsia" w:ascii="宋体" w:hAnsi="宋体" w:eastAsia="宋体" w:cs="宋体"/>
          <w:sz w:val="24"/>
        </w:rPr>
      </w:pPr>
      <w:r>
        <w:rPr>
          <w:rFonts w:hint="eastAsia" w:ascii="宋体" w:hAnsi="宋体" w:eastAsia="宋体" w:cs="宋体"/>
          <w:sz w:val="24"/>
        </w:rPr>
        <w:t>应将达到指定龄期的待测试样装载于抗压强度测试装置上，施加压缩负荷的加载速率宜采用</w:t>
      </w:r>
      <w:r>
        <w:rPr>
          <w:rFonts w:hint="eastAsia"/>
          <w:sz w:val="24"/>
        </w:rPr>
        <w:t>0.1mm/min</w:t>
      </w:r>
      <w:r>
        <w:rPr>
          <w:rFonts w:hint="eastAsia" w:ascii="宋体" w:hAnsi="宋体" w:eastAsia="宋体" w:cs="宋体"/>
          <w:sz w:val="24"/>
        </w:rPr>
        <w:t>，直到达到试样最大承载能力或试样破裂。</w:t>
      </w:r>
    </w:p>
    <w:p w14:paraId="1F0EE3F7">
      <w:pPr>
        <w:pStyle w:val="187"/>
        <w:numPr>
          <w:ilvl w:val="0"/>
          <w:numId w:val="69"/>
        </w:numPr>
        <w:spacing w:before="78" w:beforeLines="25" w:line="440" w:lineRule="exact"/>
        <w:ind w:firstLine="0" w:firstLineChars="0"/>
        <w:rPr>
          <w:rFonts w:hint="eastAsia" w:ascii="宋体" w:hAnsi="宋体" w:eastAsia="宋体" w:cs="宋体"/>
          <w:sz w:val="24"/>
        </w:rPr>
      </w:pPr>
      <w:r>
        <w:rPr>
          <w:rFonts w:hint="eastAsia" w:ascii="宋体" w:hAnsi="宋体" w:eastAsia="宋体" w:cs="宋体"/>
          <w:sz w:val="24"/>
        </w:rPr>
        <w:t>记录试样破裂时承载的压力，按下式计算低强度充填材料的无侧限抗压强度。</w:t>
      </w:r>
    </w:p>
    <w:p w14:paraId="16C48D99">
      <w:pPr>
        <w:spacing w:before="0" w:beforeLines="-2147483648"/>
      </w:pPr>
      <w:r>
        <w:rPr>
          <w:sz w:val="24"/>
        </w:rPr>
        <mc:AlternateContent>
          <mc:Choice Requires="wps">
            <w:drawing>
              <wp:anchor distT="0" distB="0" distL="114300" distR="114300" simplePos="0" relativeHeight="251662336" behindDoc="0" locked="0" layoutInCell="1" allowOverlap="1">
                <wp:simplePos x="0" y="0"/>
                <wp:positionH relativeFrom="column">
                  <wp:posOffset>4540885</wp:posOffset>
                </wp:positionH>
                <wp:positionV relativeFrom="paragraph">
                  <wp:posOffset>292100</wp:posOffset>
                </wp:positionV>
                <wp:extent cx="1094105" cy="352425"/>
                <wp:effectExtent l="0" t="0" r="0" b="0"/>
                <wp:wrapNone/>
                <wp:docPr id="2" name="文本框 2"/>
                <wp:cNvGraphicFramePr/>
                <a:graphic xmlns:a="http://schemas.openxmlformats.org/drawingml/2006/main">
                  <a:graphicData uri="http://schemas.microsoft.com/office/word/2010/wordprocessingShape">
                    <wps:wsp>
                      <wps:cNvSpPr txBox="1"/>
                      <wps:spPr>
                        <a:xfrm>
                          <a:off x="5772150" y="6324600"/>
                          <a:ext cx="1094105" cy="352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CEAF2">
                            <w:pPr>
                              <w:ind w:firstLine="240" w:firstLineChars="100"/>
                              <w:rPr>
                                <w:rFonts w:hint="eastAsia" w:eastAsia="宋体"/>
                                <w:sz w:val="24"/>
                                <w:lang w:eastAsia="zh-CN"/>
                              </w:rPr>
                            </w:pPr>
                            <w:r>
                              <w:rPr>
                                <w:rFonts w:hint="eastAsia"/>
                                <w:sz w:val="24"/>
                                <w:lang w:eastAsia="zh-CN"/>
                              </w:rPr>
                              <w:t>（</w:t>
                            </w:r>
                            <w:r>
                              <w:rPr>
                                <w:rFonts w:hint="eastAsia"/>
                                <w:sz w:val="24"/>
                                <w:lang w:val="en-US" w:eastAsia="zh-CN"/>
                              </w:rPr>
                              <w:t>E.0.3</w:t>
                            </w:r>
                            <w:r>
                              <w:rPr>
                                <w:rFonts w:hint="eastAsia"/>
                                <w:sz w:val="24"/>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7.55pt;margin-top:23pt;height:27.75pt;width:86.15pt;z-index:251662336;mso-width-relative:page;mso-height-relative:page;" filled="f" stroked="f" coordsize="21600,21600" o:gfxdata="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lzAb9sAAAAKAQAADwAAAAAAAAABACAA&#10;AAAiAAAAZHJzL2Rvd25yZXYueG1sUEsBAhQAFAAAAAgAh07iQKdABVJDAgAAcgQAAA4AAAAAAAAA&#10;AQAgAAAAKgEAAGRycy9lMm9Eb2MueG1sUEsFBgAAAAAGAAYAWQEAAN8FAAAAAA==&#10;">
                <v:fill on="f" focussize="0,0"/>
                <v:stroke on="f" weight="0.5pt"/>
                <v:imagedata o:title=""/>
                <o:lock v:ext="edit" aspectratio="f"/>
                <v:textbox>
                  <w:txbxContent>
                    <w:p w14:paraId="369CEAF2">
                      <w:pPr>
                        <w:ind w:firstLine="240" w:firstLineChars="100"/>
                        <w:rPr>
                          <w:rFonts w:hint="eastAsia" w:eastAsia="宋体"/>
                          <w:sz w:val="24"/>
                          <w:lang w:eastAsia="zh-CN"/>
                        </w:rPr>
                      </w:pPr>
                      <w:r>
                        <w:rPr>
                          <w:rFonts w:hint="eastAsia"/>
                          <w:sz w:val="24"/>
                          <w:lang w:eastAsia="zh-CN"/>
                        </w:rPr>
                        <w:t>（</w:t>
                      </w:r>
                      <w:r>
                        <w:rPr>
                          <w:rFonts w:hint="eastAsia"/>
                          <w:sz w:val="24"/>
                          <w:lang w:val="en-US" w:eastAsia="zh-CN"/>
                        </w:rPr>
                        <w:t>E.0.3</w:t>
                      </w:r>
                      <w:r>
                        <w:rPr>
                          <w:rFonts w:hint="eastAsia"/>
                          <w:sz w:val="24"/>
                          <w:lang w:eastAsia="zh-CN"/>
                        </w:rPr>
                        <w:t>）</w:t>
                      </w:r>
                    </w:p>
                  </w:txbxContent>
                </v:textbox>
              </v:shape>
            </w:pict>
          </mc:Fallback>
        </mc:AlternateContent>
      </w:r>
      <w:r>
        <w:rPr>
          <w:sz w:val="24"/>
        </w:rPr>
        <w:br w:type="textWrapping"/>
      </w:r>
      <m:oMathPara>
        <m:oMathParaPr>
          <m:jc m:val="center"/>
        </m:oMathParaPr>
        <m:oMath>
          <m:r>
            <m:rPr>
              <m:sty m:val="p"/>
            </m:rPr>
            <w:rPr>
              <w:rFonts w:ascii="Cambria Math" w:hAnsi="Cambria Math"/>
              <w:sz w:val="24"/>
            </w:rPr>
            <m:t>C=</m:t>
          </m:r>
          <m:f>
            <m:fPr>
              <m:ctrlPr>
                <w:rPr>
                  <w:rFonts w:ascii="Cambria Math" w:hAnsi="Cambria Math"/>
                  <w:sz w:val="24"/>
                </w:rPr>
              </m:ctrlPr>
            </m:fPr>
            <m:num>
              <m:r>
                <m:rPr>
                  <m:sty m:val="p"/>
                </m:rPr>
                <w:rPr>
                  <w:rFonts w:ascii="Cambria Math" w:hAnsi="Cambria Math"/>
                  <w:sz w:val="24"/>
                </w:rPr>
                <m:t>L</m:t>
              </m:r>
              <m:ctrlPr>
                <w:rPr>
                  <w:rFonts w:ascii="Cambria Math" w:hAnsi="Cambria Math"/>
                  <w:sz w:val="24"/>
                </w:rPr>
              </m:ctrlPr>
            </m:num>
            <m:den>
              <m:r>
                <m:rPr>
                  <m:sty m:val="p"/>
                </m:rPr>
                <w:rPr>
                  <w:rFonts w:ascii="Cambria Math" w:hAnsi="Cambria Math"/>
                  <w:sz w:val="24"/>
                </w:rPr>
                <m:t>π(</m:t>
              </m:r>
              <m:sSup>
                <m:sSupPr>
                  <m:ctrlPr>
                    <w:rPr>
                      <w:rFonts w:ascii="Cambria Math" w:hAnsi="Cambria Math"/>
                      <w:sz w:val="24"/>
                    </w:rPr>
                  </m:ctrlPr>
                </m:sSupPr>
                <m:e>
                  <m:r>
                    <m:rPr>
                      <m:sty m:val="p"/>
                    </m:rPr>
                    <w:rPr>
                      <w:rFonts w:ascii="Cambria Math" w:hAnsi="Cambria Math"/>
                      <w:sz w:val="24"/>
                    </w:rPr>
                    <m:t>D</m:t>
                  </m:r>
                  <m:ctrlPr>
                    <w:rPr>
                      <w:rFonts w:ascii="Cambria Math" w:hAnsi="Cambria Math"/>
                      <w:sz w:val="24"/>
                    </w:rPr>
                  </m:ctrlPr>
                </m:e>
                <m:sup>
                  <m:r>
                    <m:rPr>
                      <m:sty m:val="p"/>
                    </m:rPr>
                    <w:rPr>
                      <w:rFonts w:ascii="Cambria Math" w:hAnsi="Cambria Math"/>
                      <w:sz w:val="24"/>
                    </w:rPr>
                    <m:t>2</m:t>
                  </m:r>
                  <m:ctrlPr>
                    <w:rPr>
                      <w:rFonts w:ascii="Cambria Math" w:hAnsi="Cambria Math"/>
                      <w:sz w:val="24"/>
                    </w:rPr>
                  </m:ctrlPr>
                </m:sup>
              </m:sSup>
              <m:r>
                <m:rPr>
                  <m:sty m:val="p"/>
                </m:rPr>
                <w:rPr>
                  <w:rFonts w:ascii="Cambria Math" w:hAnsi="Cambria Math"/>
                  <w:sz w:val="24"/>
                </w:rPr>
                <m:t>)/4</m:t>
              </m:r>
              <m:ctrlPr>
                <w:rPr>
                  <w:rFonts w:ascii="Cambria Math" w:hAnsi="Cambria Math"/>
                  <w:sz w:val="24"/>
                </w:rPr>
              </m:ctrlPr>
            </m:den>
          </m:f>
        </m:oMath>
      </m:oMathPara>
    </w:p>
    <w:p w14:paraId="743B89FA">
      <w:pPr>
        <w:pStyle w:val="187"/>
        <w:numPr>
          <w:ilvl w:val="255"/>
          <w:numId w:val="0"/>
        </w:numPr>
        <w:spacing w:before="78" w:beforeLines="25" w:line="440" w:lineRule="exact"/>
        <w:rPr>
          <w:rFonts w:hint="eastAsia" w:ascii="宋体" w:hAnsi="宋体" w:eastAsia="宋体" w:cs="宋体"/>
          <w:sz w:val="24"/>
        </w:rPr>
      </w:pPr>
      <w:r>
        <w:rPr>
          <w:rFonts w:hint="eastAsia" w:ascii="宋体" w:hAnsi="宋体" w:eastAsia="宋体" w:cs="宋体"/>
          <w:sz w:val="24"/>
        </w:rPr>
        <w:t>式中：</w:t>
      </w:r>
      <m:oMath>
        <m:r>
          <m:rPr>
            <m:sty m:val="p"/>
          </m:rPr>
          <w:rPr>
            <w:rFonts w:hint="eastAsia" w:ascii="Cambria Math" w:hAnsi="Cambria Math" w:eastAsia="宋体" w:cs="宋体"/>
            <w:sz w:val="24"/>
          </w:rPr>
          <m:t>C</m:t>
        </m:r>
      </m:oMath>
      <w:r>
        <w:rPr>
          <w:rFonts w:hint="eastAsia" w:ascii="宋体" w:hAnsi="宋体" w:eastAsia="宋体" w:cs="宋体"/>
          <w:sz w:val="24"/>
        </w:rPr>
        <w:t>——是低强度充填材料无侧限抗压强度，</w:t>
      </w:r>
      <w:r>
        <w:rPr>
          <w:rFonts w:hint="eastAsia"/>
          <w:sz w:val="24"/>
        </w:rPr>
        <w:t>MPa</w:t>
      </w:r>
      <w:r>
        <w:rPr>
          <w:rFonts w:hint="eastAsia" w:ascii="宋体" w:hAnsi="宋体" w:eastAsia="宋体" w:cs="宋体"/>
          <w:sz w:val="24"/>
        </w:rPr>
        <w:t>；</w:t>
      </w:r>
    </w:p>
    <w:p w14:paraId="2A7EDEE4">
      <w:pPr>
        <w:pStyle w:val="187"/>
        <w:numPr>
          <w:ilvl w:val="255"/>
          <w:numId w:val="0"/>
        </w:numPr>
        <w:spacing w:before="78" w:beforeLines="25" w:line="440" w:lineRule="exact"/>
        <w:ind w:firstLine="720" w:firstLineChars="300"/>
        <w:rPr>
          <w:rFonts w:hint="eastAsia" w:ascii="宋体" w:hAnsi="宋体" w:eastAsia="宋体" w:cs="宋体"/>
          <w:sz w:val="24"/>
        </w:rPr>
      </w:pPr>
      <m:oMath>
        <m:r>
          <m:rPr>
            <m:sty m:val="p"/>
          </m:rPr>
          <w:rPr>
            <w:rFonts w:hint="eastAsia" w:ascii="Cambria Math" w:hAnsi="Cambria Math" w:eastAsia="宋体" w:cs="宋体"/>
            <w:sz w:val="24"/>
          </w:rPr>
          <m:t>L</m:t>
        </m:r>
      </m:oMath>
      <w:r>
        <w:rPr>
          <w:rFonts w:hint="eastAsia" w:ascii="宋体" w:hAnsi="宋体" w:eastAsia="宋体" w:cs="宋体"/>
          <w:sz w:val="24"/>
        </w:rPr>
        <w:t>——是低强度充填材料最大承载压力，</w:t>
      </w:r>
      <w:r>
        <w:rPr>
          <w:rFonts w:hint="eastAsia"/>
          <w:sz w:val="24"/>
        </w:rPr>
        <w:t>kN</w:t>
      </w:r>
      <w:r>
        <w:rPr>
          <w:rFonts w:hint="eastAsia" w:ascii="宋体" w:hAnsi="宋体" w:eastAsia="宋体" w:cs="宋体"/>
          <w:sz w:val="24"/>
        </w:rPr>
        <w:t>；</w:t>
      </w:r>
    </w:p>
    <w:p w14:paraId="2DFF9E2F">
      <w:pPr>
        <w:pStyle w:val="187"/>
        <w:numPr>
          <w:ilvl w:val="255"/>
          <w:numId w:val="0"/>
        </w:numPr>
        <w:spacing w:before="78" w:beforeLines="25" w:line="440" w:lineRule="exact"/>
        <w:ind w:firstLine="720" w:firstLineChars="300"/>
        <w:rPr>
          <w:rFonts w:hint="eastAsia" w:ascii="宋体" w:hAnsi="宋体" w:eastAsia="宋体" w:cs="宋体"/>
          <w:sz w:val="24"/>
        </w:rPr>
      </w:pPr>
      <m:oMath>
        <m:r>
          <m:rPr>
            <m:sty m:val="p"/>
          </m:rPr>
          <w:rPr>
            <w:rFonts w:hint="eastAsia" w:ascii="Cambria Math" w:hAnsi="Cambria Math" w:eastAsia="宋体" w:cs="宋体"/>
            <w:sz w:val="24"/>
          </w:rPr>
          <m:t>D</m:t>
        </m:r>
      </m:oMath>
      <w:r>
        <w:rPr>
          <w:rFonts w:hint="eastAsia" w:ascii="宋体" w:hAnsi="宋体" w:eastAsia="宋体" w:cs="宋体"/>
          <w:sz w:val="24"/>
        </w:rPr>
        <w:t>——是试样承载压力面的公称直径，一般为</w:t>
      </w:r>
      <w:r>
        <w:rPr>
          <w:rFonts w:hint="eastAsia"/>
          <w:sz w:val="24"/>
        </w:rPr>
        <w:t>150mm</w:t>
      </w:r>
      <w:r>
        <w:rPr>
          <w:rFonts w:hint="eastAsia" w:ascii="宋体" w:hAnsi="宋体" w:eastAsia="宋体" w:cs="宋体"/>
          <w:sz w:val="24"/>
        </w:rPr>
        <w:t>或</w:t>
      </w:r>
      <w:r>
        <w:rPr>
          <w:rFonts w:hint="eastAsia"/>
          <w:sz w:val="24"/>
        </w:rPr>
        <w:t>100mm</w:t>
      </w:r>
      <w:r>
        <w:rPr>
          <w:rFonts w:hint="eastAsia" w:ascii="宋体" w:hAnsi="宋体" w:eastAsia="宋体" w:cs="宋体"/>
          <w:sz w:val="24"/>
        </w:rPr>
        <w:t>。</w:t>
      </w:r>
    </w:p>
    <w:p w14:paraId="2F14BB6D">
      <w:pPr>
        <w:pStyle w:val="28"/>
        <w:rPr>
          <w:sz w:val="24"/>
          <w:szCs w:val="32"/>
        </w:rPr>
        <w:sectPr>
          <w:pgSz w:w="11905" w:h="16838"/>
          <w:pgMar w:top="1582" w:right="1440" w:bottom="1162" w:left="1582" w:header="0" w:footer="969" w:gutter="283"/>
          <w:cols w:space="0" w:num="1"/>
          <w:titlePg/>
          <w:docGrid w:type="linesAndChars" w:linePitch="312" w:charSpace="0"/>
        </w:sectPr>
      </w:pPr>
    </w:p>
    <w:p w14:paraId="75045372">
      <w:pPr>
        <w:pStyle w:val="68"/>
        <w:rPr>
          <w:rFonts w:ascii="Times New Roman" w:hAnsi="Times New Roman" w:eastAsia="微软雅黑"/>
          <w:color w:val="000000"/>
          <w:kern w:val="44"/>
          <w:szCs w:val="44"/>
        </w:rPr>
      </w:pPr>
      <w:bookmarkStart w:id="425" w:name="_Toc13009"/>
      <w:bookmarkStart w:id="426" w:name="_Toc4115"/>
      <w:bookmarkStart w:id="427" w:name="_Toc14387"/>
      <w:bookmarkStart w:id="428" w:name="_Toc3862"/>
      <w:r>
        <w:rPr>
          <w:rFonts w:hint="eastAsia" w:ascii="Times New Roman" w:hAnsi="Times New Roman" w:eastAsia="微软雅黑"/>
          <w:color w:val="000000"/>
          <w:kern w:val="44"/>
          <w:szCs w:val="44"/>
        </w:rPr>
        <w:fldChar w:fldCharType="begin"/>
      </w:r>
      <w:r>
        <w:rPr>
          <w:rFonts w:hint="eastAsia" w:ascii="Times New Roman" w:hAnsi="Times New Roman" w:eastAsia="微软雅黑"/>
          <w:color w:val="000000"/>
          <w:kern w:val="44"/>
          <w:szCs w:val="44"/>
        </w:rPr>
        <w:instrText xml:space="preserve"> HYPERLINK \l "_Toc18916" </w:instrText>
      </w:r>
      <w:r>
        <w:rPr>
          <w:rFonts w:hint="eastAsia" w:ascii="Times New Roman" w:hAnsi="Times New Roman" w:eastAsia="微软雅黑"/>
          <w:color w:val="000000"/>
          <w:kern w:val="44"/>
          <w:szCs w:val="44"/>
        </w:rPr>
        <w:fldChar w:fldCharType="separate"/>
      </w:r>
      <w:r>
        <w:rPr>
          <w:rFonts w:hint="eastAsia" w:ascii="Times New Roman" w:hAnsi="Times New Roman" w:eastAsia="微软雅黑"/>
          <w:color w:val="000000"/>
          <w:kern w:val="44"/>
          <w:szCs w:val="44"/>
        </w:rPr>
        <w:t>本标准用词说明</w:t>
      </w:r>
      <w:r>
        <w:rPr>
          <w:rFonts w:hint="eastAsia" w:ascii="Times New Roman" w:hAnsi="Times New Roman" w:eastAsia="微软雅黑"/>
          <w:color w:val="000000"/>
          <w:kern w:val="44"/>
          <w:szCs w:val="44"/>
        </w:rPr>
        <w:fldChar w:fldCharType="end"/>
      </w:r>
      <w:bookmarkEnd w:id="425"/>
      <w:bookmarkEnd w:id="426"/>
      <w:bookmarkEnd w:id="427"/>
      <w:bookmarkEnd w:id="428"/>
    </w:p>
    <w:p w14:paraId="3E80A687"/>
    <w:p w14:paraId="5C5DFF22">
      <w:pPr>
        <w:autoSpaceDE w:val="0"/>
        <w:autoSpaceDN w:val="0"/>
        <w:adjustRightInd w:val="0"/>
        <w:spacing w:before="78" w:beforeLines="25" w:line="360" w:lineRule="auto"/>
        <w:ind w:firstLine="480" w:firstLineChars="200"/>
        <w:jc w:val="left"/>
        <w:rPr>
          <w:rFonts w:hint="eastAsia" w:ascii="宋体" w:hAnsi="宋体" w:cs="宋体"/>
          <w:kern w:val="0"/>
          <w:sz w:val="24"/>
        </w:rPr>
      </w:pPr>
      <w:r>
        <w:rPr>
          <w:rFonts w:hint="eastAsia" w:ascii="宋体" w:hAnsi="宋体" w:cs="宋体"/>
          <w:b/>
          <w:bCs/>
          <w:kern w:val="0"/>
          <w:sz w:val="24"/>
        </w:rPr>
        <w:t xml:space="preserve">1  </w:t>
      </w:r>
      <w:r>
        <w:rPr>
          <w:rFonts w:hint="eastAsia" w:ascii="宋体" w:hAnsi="宋体" w:cs="宋体"/>
          <w:kern w:val="0"/>
          <w:sz w:val="24"/>
        </w:rPr>
        <w:t>为了便于在执行本标准条文时区别对待，对要求严格程度不同的用词说明如下：</w:t>
      </w:r>
    </w:p>
    <w:p w14:paraId="6737F860">
      <w:pPr>
        <w:autoSpaceDE w:val="0"/>
        <w:autoSpaceDN w:val="0"/>
        <w:adjustRightInd w:val="0"/>
        <w:spacing w:before="78" w:beforeLines="25" w:line="360" w:lineRule="auto"/>
        <w:ind w:firstLine="720" w:firstLineChars="300"/>
        <w:jc w:val="left"/>
        <w:rPr>
          <w:rFonts w:hint="eastAsia" w:ascii="宋体" w:hAnsi="宋体" w:cs="宋体"/>
          <w:kern w:val="0"/>
          <w:sz w:val="24"/>
        </w:rPr>
      </w:pPr>
      <w:r>
        <w:rPr>
          <w:rFonts w:hint="eastAsia" w:ascii="宋体" w:hAnsi="宋体" w:cs="宋体"/>
          <w:bCs/>
          <w:kern w:val="0"/>
          <w:sz w:val="24"/>
        </w:rPr>
        <w:t>1</w:t>
      </w:r>
      <w:r>
        <w:rPr>
          <w:rFonts w:hint="eastAsia" w:ascii="宋体" w:hAnsi="宋体" w:cs="宋体"/>
          <w:bCs/>
          <w:kern w:val="0"/>
          <w:sz w:val="24"/>
          <w:highlight w:val="none"/>
        </w:rPr>
        <w:t>）</w:t>
      </w:r>
      <w:r>
        <w:rPr>
          <w:rFonts w:hint="eastAsia" w:ascii="宋体" w:hAnsi="宋体" w:cs="宋体"/>
          <w:kern w:val="0"/>
          <w:sz w:val="24"/>
        </w:rPr>
        <w:t>表示很严格，非这样做不可的：</w:t>
      </w:r>
    </w:p>
    <w:p w14:paraId="18241176">
      <w:pPr>
        <w:autoSpaceDE w:val="0"/>
        <w:autoSpaceDN w:val="0"/>
        <w:adjustRightInd w:val="0"/>
        <w:spacing w:before="78" w:beforeLines="25" w:line="360" w:lineRule="auto"/>
        <w:ind w:left="840" w:firstLine="240" w:firstLineChars="100"/>
        <w:jc w:val="left"/>
        <w:rPr>
          <w:rFonts w:hint="eastAsia" w:ascii="宋体" w:hAnsi="宋体" w:cs="宋体"/>
          <w:kern w:val="0"/>
          <w:sz w:val="24"/>
        </w:rPr>
      </w:pPr>
      <w:r>
        <w:rPr>
          <w:rFonts w:hint="eastAsia" w:ascii="宋体" w:hAnsi="宋体" w:cs="宋体"/>
          <w:kern w:val="0"/>
          <w:sz w:val="24"/>
        </w:rPr>
        <w:t>正面词采用“必须”；反面词采用“严禁”；</w:t>
      </w:r>
    </w:p>
    <w:p w14:paraId="56E4CF67">
      <w:pPr>
        <w:autoSpaceDE w:val="0"/>
        <w:autoSpaceDN w:val="0"/>
        <w:adjustRightInd w:val="0"/>
        <w:spacing w:before="78" w:beforeLines="25" w:line="360" w:lineRule="auto"/>
        <w:ind w:firstLine="720" w:firstLineChars="3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highlight w:val="none"/>
        </w:rPr>
        <w:t>）</w:t>
      </w:r>
      <w:r>
        <w:rPr>
          <w:rFonts w:hint="eastAsia" w:ascii="宋体" w:hAnsi="宋体" w:cs="宋体"/>
          <w:kern w:val="0"/>
          <w:sz w:val="24"/>
        </w:rPr>
        <w:t>表示严格，在正常情况下均应这样做的：</w:t>
      </w:r>
    </w:p>
    <w:p w14:paraId="7B45FD4C">
      <w:pPr>
        <w:autoSpaceDE w:val="0"/>
        <w:autoSpaceDN w:val="0"/>
        <w:adjustRightInd w:val="0"/>
        <w:spacing w:before="78" w:beforeLines="25" w:line="360" w:lineRule="auto"/>
        <w:ind w:firstLine="1080" w:firstLineChars="450"/>
        <w:jc w:val="left"/>
        <w:rPr>
          <w:rFonts w:hint="eastAsia" w:ascii="宋体" w:hAnsi="宋体" w:cs="宋体"/>
          <w:kern w:val="0"/>
          <w:sz w:val="24"/>
        </w:rPr>
      </w:pPr>
      <w:r>
        <w:rPr>
          <w:rFonts w:hint="eastAsia" w:ascii="宋体" w:hAnsi="宋体" w:cs="宋体"/>
          <w:kern w:val="0"/>
          <w:sz w:val="24"/>
        </w:rPr>
        <w:t>正面词采用“应”；反面词采用“不应”或“不得”；</w:t>
      </w:r>
    </w:p>
    <w:p w14:paraId="0D133DFC">
      <w:pPr>
        <w:autoSpaceDE w:val="0"/>
        <w:autoSpaceDN w:val="0"/>
        <w:adjustRightInd w:val="0"/>
        <w:spacing w:before="78" w:beforeLines="25" w:line="360" w:lineRule="auto"/>
        <w:ind w:firstLine="720" w:firstLineChars="3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highlight w:val="none"/>
        </w:rPr>
        <w:t>）</w:t>
      </w:r>
      <w:r>
        <w:rPr>
          <w:rFonts w:hint="eastAsia" w:ascii="宋体" w:hAnsi="宋体" w:cs="宋体"/>
          <w:kern w:val="0"/>
          <w:sz w:val="24"/>
        </w:rPr>
        <w:t>表示允许稍有选择，在条件许可时首先应这样做的：</w:t>
      </w:r>
    </w:p>
    <w:p w14:paraId="1EBB657B">
      <w:pPr>
        <w:autoSpaceDE w:val="0"/>
        <w:autoSpaceDN w:val="0"/>
        <w:adjustRightInd w:val="0"/>
        <w:spacing w:before="78" w:beforeLines="25" w:line="360" w:lineRule="auto"/>
        <w:ind w:firstLine="1080" w:firstLineChars="450"/>
        <w:jc w:val="left"/>
        <w:rPr>
          <w:rFonts w:hint="eastAsia" w:ascii="宋体" w:hAnsi="宋体" w:cs="宋体"/>
          <w:kern w:val="0"/>
          <w:sz w:val="24"/>
        </w:rPr>
      </w:pPr>
      <w:r>
        <w:rPr>
          <w:rFonts w:hint="eastAsia" w:ascii="宋体" w:hAnsi="宋体" w:cs="宋体"/>
          <w:kern w:val="0"/>
          <w:sz w:val="24"/>
        </w:rPr>
        <w:t>正面词采用“宜”；反面词采用“不宜”；</w:t>
      </w:r>
    </w:p>
    <w:p w14:paraId="6C5D4473">
      <w:pPr>
        <w:autoSpaceDE w:val="0"/>
        <w:autoSpaceDN w:val="0"/>
        <w:adjustRightInd w:val="0"/>
        <w:spacing w:before="78" w:beforeLines="25" w:line="360" w:lineRule="auto"/>
        <w:ind w:firstLine="720" w:firstLineChars="300"/>
        <w:jc w:val="left"/>
        <w:rPr>
          <w:rFonts w:hint="eastAsia" w:ascii="宋体" w:hAnsi="宋体" w:cs="宋体"/>
          <w:kern w:val="0"/>
          <w:sz w:val="24"/>
        </w:rPr>
      </w:pPr>
      <w:r>
        <w:rPr>
          <w:rFonts w:hint="eastAsia" w:ascii="宋体" w:hAnsi="宋体" w:cs="宋体"/>
          <w:kern w:val="0"/>
          <w:sz w:val="24"/>
        </w:rPr>
        <w:t>4</w:t>
      </w:r>
      <w:r>
        <w:rPr>
          <w:rFonts w:hint="eastAsia" w:ascii="宋体" w:hAnsi="宋体" w:cs="宋体"/>
          <w:kern w:val="0"/>
          <w:sz w:val="24"/>
          <w:highlight w:val="none"/>
        </w:rPr>
        <w:t>）</w:t>
      </w:r>
      <w:r>
        <w:rPr>
          <w:rFonts w:hint="eastAsia" w:ascii="宋体" w:hAnsi="宋体" w:cs="宋体"/>
          <w:kern w:val="0"/>
          <w:sz w:val="24"/>
        </w:rPr>
        <w:t>表示有选择，在一定条件下可以这样做的，采用“可”。</w:t>
      </w:r>
    </w:p>
    <w:p w14:paraId="2834EE3B">
      <w:pPr>
        <w:autoSpaceDE w:val="0"/>
        <w:autoSpaceDN w:val="0"/>
        <w:adjustRightInd w:val="0"/>
        <w:spacing w:before="78" w:beforeLines="25" w:line="360" w:lineRule="auto"/>
        <w:ind w:firstLine="480" w:firstLineChars="200"/>
        <w:jc w:val="left"/>
      </w:pPr>
      <w:r>
        <w:rPr>
          <w:rFonts w:hint="eastAsia" w:ascii="宋体" w:hAnsi="宋体" w:cs="宋体"/>
          <w:b/>
          <w:bCs/>
          <w:kern w:val="0"/>
          <w:sz w:val="24"/>
        </w:rPr>
        <w:t xml:space="preserve">2  </w:t>
      </w:r>
      <w:r>
        <w:rPr>
          <w:rFonts w:hint="eastAsia" w:ascii="宋体" w:hAnsi="宋体" w:cs="宋体"/>
          <w:kern w:val="0"/>
          <w:sz w:val="24"/>
        </w:rPr>
        <w:t>条文中指明应按其他有关标准执行的写法为：“应符合……的规定”或“应按……执行”。</w:t>
      </w:r>
    </w:p>
    <w:p w14:paraId="7D8E209D">
      <w:r>
        <w:br w:type="page"/>
      </w:r>
    </w:p>
    <w:p w14:paraId="09DF71AA">
      <w:pPr>
        <w:pStyle w:val="68"/>
        <w:rPr>
          <w:rFonts w:ascii="Times New Roman" w:hAnsi="Times New Roman" w:eastAsia="微软雅黑"/>
          <w:color w:val="000000"/>
          <w:kern w:val="44"/>
          <w:szCs w:val="44"/>
        </w:rPr>
      </w:pPr>
      <w:bookmarkStart w:id="429" w:name="_Toc23643"/>
      <w:bookmarkStart w:id="430" w:name="_Toc11949"/>
      <w:bookmarkStart w:id="431" w:name="_Toc19155"/>
      <w:bookmarkStart w:id="432" w:name="_Toc26281"/>
      <w:bookmarkStart w:id="433" w:name="_Toc1929"/>
      <w:bookmarkStart w:id="434" w:name="_Toc28493"/>
      <w:bookmarkStart w:id="435" w:name="_Toc12377"/>
      <w:bookmarkStart w:id="436" w:name="_Toc3272"/>
      <w:bookmarkStart w:id="437" w:name="_Toc2229"/>
      <w:bookmarkStart w:id="438" w:name="_Toc6980"/>
      <w:bookmarkStart w:id="439" w:name="_Toc16216"/>
      <w:bookmarkStart w:id="440" w:name="_Toc9448"/>
      <w:bookmarkStart w:id="441" w:name="_Toc28412"/>
      <w:bookmarkStart w:id="442" w:name="_Toc11249"/>
      <w:bookmarkStart w:id="443" w:name="_Toc16678"/>
      <w:bookmarkStart w:id="444" w:name="_Toc18133"/>
      <w:bookmarkStart w:id="445" w:name="_Toc12309"/>
      <w:bookmarkStart w:id="446" w:name="_Toc752"/>
      <w:r>
        <w:rPr>
          <w:rFonts w:hint="eastAsia" w:ascii="Times New Roman" w:hAnsi="Times New Roman" w:eastAsia="微软雅黑"/>
          <w:color w:val="000000"/>
          <w:kern w:val="44"/>
          <w:szCs w:val="44"/>
        </w:rPr>
        <w:t>引用标准名录</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4CC20D5E"/>
    <w:p w14:paraId="2F2B1160">
      <w:pPr>
        <w:numPr>
          <w:ilvl w:val="0"/>
          <w:numId w:val="70"/>
        </w:numPr>
        <w:spacing w:line="360" w:lineRule="auto"/>
        <w:rPr>
          <w:rFonts w:cs="宋体"/>
          <w:color w:val="000000"/>
          <w:sz w:val="24"/>
        </w:rPr>
      </w:pPr>
      <w:r>
        <w:rPr>
          <w:rFonts w:hint="eastAsia" w:cs="宋体"/>
          <w:color w:val="000000"/>
          <w:sz w:val="24"/>
        </w:rPr>
        <w:t>《通用硅酸盐水泥》</w:t>
      </w:r>
      <w:r>
        <w:rPr>
          <w:rFonts w:hint="eastAsia"/>
          <w:sz w:val="24"/>
          <w:szCs w:val="32"/>
        </w:rPr>
        <w:t>GB 175</w:t>
      </w:r>
    </w:p>
    <w:p w14:paraId="2633D83C">
      <w:pPr>
        <w:numPr>
          <w:ilvl w:val="0"/>
          <w:numId w:val="70"/>
        </w:numPr>
        <w:spacing w:line="360" w:lineRule="auto"/>
        <w:rPr>
          <w:rFonts w:cs="宋体"/>
          <w:color w:val="000000"/>
          <w:sz w:val="24"/>
        </w:rPr>
      </w:pPr>
      <w:r>
        <w:rPr>
          <w:rFonts w:hint="eastAsia" w:cs="宋体"/>
          <w:color w:val="000000"/>
          <w:sz w:val="24"/>
        </w:rPr>
        <w:t>《混凝土外加剂》GB 8076</w:t>
      </w:r>
    </w:p>
    <w:p w14:paraId="077CF253">
      <w:pPr>
        <w:numPr>
          <w:ilvl w:val="0"/>
          <w:numId w:val="70"/>
        </w:numPr>
        <w:spacing w:line="360" w:lineRule="auto"/>
        <w:rPr>
          <w:rFonts w:cs="宋体"/>
          <w:color w:val="000000"/>
          <w:sz w:val="24"/>
        </w:rPr>
      </w:pPr>
      <w:r>
        <w:rPr>
          <w:rFonts w:hint="eastAsia" w:cs="宋体"/>
          <w:color w:val="000000"/>
          <w:sz w:val="24"/>
        </w:rPr>
        <w:t>《</w:t>
      </w:r>
      <w:r>
        <w:rPr>
          <w:sz w:val="24"/>
        </w:rPr>
        <w:t>建筑施工机械与设备</w:t>
      </w:r>
      <w:r>
        <w:rPr>
          <w:rFonts w:hint="eastAsia"/>
          <w:sz w:val="24"/>
        </w:rPr>
        <w:t xml:space="preserve"> </w:t>
      </w:r>
      <w:r>
        <w:rPr>
          <w:rFonts w:hint="eastAsia" w:cs="宋体"/>
          <w:color w:val="000000"/>
          <w:sz w:val="24"/>
        </w:rPr>
        <w:t>混凝土搅拌站（楼）》</w:t>
      </w:r>
      <w:r>
        <w:rPr>
          <w:rFonts w:hint="eastAsia"/>
          <w:sz w:val="24"/>
          <w:szCs w:val="32"/>
        </w:rPr>
        <w:t>GB 10171</w:t>
      </w:r>
    </w:p>
    <w:p w14:paraId="3D5228A3">
      <w:pPr>
        <w:numPr>
          <w:ilvl w:val="0"/>
          <w:numId w:val="70"/>
        </w:numPr>
        <w:spacing w:line="360" w:lineRule="auto"/>
        <w:rPr>
          <w:rFonts w:cs="宋体"/>
          <w:color w:val="000000"/>
          <w:sz w:val="24"/>
        </w:rPr>
      </w:pPr>
      <w:r>
        <w:rPr>
          <w:rFonts w:hint="eastAsia" w:ascii="宋体" w:hAnsi="宋体" w:cs="宋体"/>
          <w:bCs/>
          <w:color w:val="000000"/>
          <w:sz w:val="24"/>
        </w:rPr>
        <w:t>《土壤环境质量 建设用地土壤污染风险管控标准》</w:t>
      </w:r>
      <w:r>
        <w:rPr>
          <w:rFonts w:hint="eastAsia" w:cs="宋体"/>
          <w:color w:val="000000"/>
          <w:sz w:val="24"/>
        </w:rPr>
        <w:t>GB 36600</w:t>
      </w:r>
    </w:p>
    <w:p w14:paraId="0D3F97EB">
      <w:pPr>
        <w:numPr>
          <w:ilvl w:val="0"/>
          <w:numId w:val="70"/>
        </w:numPr>
        <w:spacing w:line="360" w:lineRule="auto"/>
        <w:rPr>
          <w:rFonts w:cs="宋体"/>
          <w:color w:val="000000"/>
          <w:sz w:val="24"/>
        </w:rPr>
      </w:pPr>
      <w:r>
        <w:rPr>
          <w:rFonts w:hint="eastAsia" w:cs="宋体"/>
          <w:color w:val="000000"/>
          <w:sz w:val="24"/>
        </w:rPr>
        <w:t>《混凝土外加剂应用技术规范》GB 50119</w:t>
      </w:r>
    </w:p>
    <w:p w14:paraId="09FB5BBD">
      <w:pPr>
        <w:numPr>
          <w:ilvl w:val="0"/>
          <w:numId w:val="70"/>
        </w:numPr>
        <w:spacing w:line="360" w:lineRule="auto"/>
        <w:ind w:left="0" w:firstLine="0"/>
        <w:rPr>
          <w:rFonts w:cs="宋体"/>
          <w:color w:val="000000"/>
          <w:sz w:val="24"/>
        </w:rPr>
      </w:pPr>
      <w:r>
        <w:rPr>
          <w:rFonts w:hint="eastAsia" w:ascii="宋体" w:hAnsi="宋体" w:cs="宋体"/>
          <w:color w:val="000000"/>
          <w:sz w:val="24"/>
        </w:rPr>
        <w:t>《试验机 通用技术要求》</w:t>
      </w:r>
      <w:r>
        <w:rPr>
          <w:sz w:val="24"/>
        </w:rPr>
        <w:t>GB/T 2611</w:t>
      </w:r>
    </w:p>
    <w:p w14:paraId="6028A9B2">
      <w:pPr>
        <w:numPr>
          <w:ilvl w:val="0"/>
          <w:numId w:val="70"/>
        </w:numPr>
        <w:spacing w:line="360" w:lineRule="auto"/>
        <w:ind w:left="0" w:firstLine="0"/>
        <w:rPr>
          <w:rFonts w:cs="宋体"/>
          <w:color w:val="000000"/>
          <w:sz w:val="24"/>
        </w:rPr>
      </w:pPr>
      <w:r>
        <w:rPr>
          <w:rFonts w:hint="eastAsia" w:ascii="宋体" w:hAnsi="宋体" w:cs="宋体"/>
          <w:color w:val="000000"/>
          <w:sz w:val="24"/>
        </w:rPr>
        <w:t>《液压式万能试验机》</w:t>
      </w:r>
      <w:r>
        <w:rPr>
          <w:rFonts w:hint="eastAsia"/>
          <w:sz w:val="24"/>
          <w:lang w:val="zh-CN"/>
        </w:rPr>
        <w:t>GB/T 3159</w:t>
      </w:r>
    </w:p>
    <w:p w14:paraId="6BA699C5">
      <w:pPr>
        <w:numPr>
          <w:ilvl w:val="0"/>
          <w:numId w:val="70"/>
        </w:numPr>
        <w:spacing w:line="360" w:lineRule="auto"/>
        <w:ind w:left="0" w:firstLine="0"/>
        <w:rPr>
          <w:rFonts w:cs="宋体"/>
          <w:color w:val="000000"/>
          <w:sz w:val="24"/>
        </w:rPr>
      </w:pPr>
      <w:r>
        <w:rPr>
          <w:sz w:val="24"/>
        </w:rPr>
        <w:t>《建筑施工机械与设备</w:t>
      </w:r>
      <w:r>
        <w:rPr>
          <w:rFonts w:hint="eastAsia"/>
          <w:sz w:val="24"/>
        </w:rPr>
        <w:t xml:space="preserve"> </w:t>
      </w:r>
      <w:r>
        <w:rPr>
          <w:sz w:val="24"/>
        </w:rPr>
        <w:t>混凝土搅拌机》GB/T 9142</w:t>
      </w:r>
    </w:p>
    <w:p w14:paraId="1F577EE8">
      <w:pPr>
        <w:numPr>
          <w:ilvl w:val="0"/>
          <w:numId w:val="70"/>
        </w:numPr>
        <w:spacing w:line="360" w:lineRule="auto"/>
        <w:ind w:left="0" w:firstLine="0"/>
        <w:rPr>
          <w:rFonts w:cs="宋体"/>
          <w:color w:val="000000"/>
          <w:sz w:val="24"/>
        </w:rPr>
      </w:pPr>
      <w:r>
        <w:rPr>
          <w:rFonts w:hint="eastAsia" w:ascii="宋体" w:hAnsi="宋体" w:cs="宋体"/>
          <w:color w:val="000000"/>
          <w:sz w:val="24"/>
        </w:rPr>
        <w:t>《建设用砂》</w:t>
      </w:r>
      <w:r>
        <w:rPr>
          <w:rFonts w:hint="eastAsia" w:eastAsia="楷体"/>
          <w:bCs/>
          <w:color w:val="000000"/>
          <w:sz w:val="24"/>
        </w:rPr>
        <w:t>GB/T 14684</w:t>
      </w:r>
    </w:p>
    <w:p w14:paraId="0E541979">
      <w:pPr>
        <w:numPr>
          <w:ilvl w:val="0"/>
          <w:numId w:val="70"/>
        </w:numPr>
        <w:spacing w:line="360" w:lineRule="auto"/>
        <w:rPr>
          <w:rFonts w:cs="宋体"/>
          <w:color w:val="000000"/>
          <w:sz w:val="24"/>
        </w:rPr>
      </w:pPr>
      <w:r>
        <w:rPr>
          <w:rFonts w:hint="eastAsia" w:cs="宋体"/>
          <w:color w:val="000000"/>
          <w:sz w:val="24"/>
        </w:rPr>
        <w:t>《预拌混凝土》</w:t>
      </w:r>
      <w:r>
        <w:rPr>
          <w:rFonts w:hint="eastAsia"/>
          <w:sz w:val="24"/>
          <w:szCs w:val="32"/>
        </w:rPr>
        <w:t>GB/T 14902</w:t>
      </w:r>
    </w:p>
    <w:p w14:paraId="67C10BC3">
      <w:pPr>
        <w:numPr>
          <w:ilvl w:val="0"/>
          <w:numId w:val="70"/>
        </w:numPr>
        <w:spacing w:line="360" w:lineRule="auto"/>
        <w:rPr>
          <w:rFonts w:cs="宋体"/>
          <w:color w:val="000000"/>
          <w:sz w:val="24"/>
        </w:rPr>
      </w:pPr>
      <w:r>
        <w:rPr>
          <w:rFonts w:hint="eastAsia" w:cs="宋体"/>
          <w:color w:val="000000"/>
          <w:sz w:val="24"/>
        </w:rPr>
        <w:t>《混凝土和砂浆用再生细骨料》GB/T 25176</w:t>
      </w:r>
    </w:p>
    <w:p w14:paraId="6A693B25">
      <w:pPr>
        <w:numPr>
          <w:ilvl w:val="0"/>
          <w:numId w:val="70"/>
        </w:numPr>
        <w:spacing w:line="360" w:lineRule="auto"/>
        <w:ind w:left="0" w:firstLine="0"/>
        <w:rPr>
          <w:rFonts w:cs="宋体"/>
          <w:color w:val="000000"/>
          <w:sz w:val="24"/>
        </w:rPr>
      </w:pPr>
      <w:r>
        <w:rPr>
          <w:rFonts w:hint="eastAsia" w:ascii="宋体" w:hAnsi="宋体" w:cs="宋体"/>
          <w:color w:val="000000"/>
          <w:kern w:val="0"/>
          <w:sz w:val="24"/>
          <w:lang w:bidi="ar"/>
        </w:rPr>
        <w:t>《混凝土搅拌运输车》</w:t>
      </w:r>
      <w:r>
        <w:rPr>
          <w:rFonts w:hint="eastAsia"/>
          <w:sz w:val="24"/>
          <w:lang w:val="zh-CN"/>
        </w:rPr>
        <w:t>GB/T 26408</w:t>
      </w:r>
    </w:p>
    <w:p w14:paraId="3CDF9479">
      <w:pPr>
        <w:numPr>
          <w:ilvl w:val="0"/>
          <w:numId w:val="70"/>
        </w:numPr>
        <w:spacing w:line="360" w:lineRule="auto"/>
        <w:ind w:left="0" w:firstLine="0"/>
        <w:rPr>
          <w:rFonts w:cs="宋体"/>
          <w:color w:val="000000"/>
          <w:sz w:val="24"/>
        </w:rPr>
      </w:pPr>
      <w:r>
        <w:rPr>
          <w:rFonts w:hint="eastAsia" w:cs="宋体"/>
          <w:color w:val="000000"/>
          <w:sz w:val="24"/>
        </w:rPr>
        <w:t>《检验和校准实验室能力的通用要求》GB/T 27025</w:t>
      </w:r>
    </w:p>
    <w:p w14:paraId="01A654B5">
      <w:pPr>
        <w:numPr>
          <w:ilvl w:val="0"/>
          <w:numId w:val="70"/>
        </w:numPr>
        <w:spacing w:line="360" w:lineRule="auto"/>
        <w:rPr>
          <w:rFonts w:cs="宋体"/>
          <w:color w:val="000000"/>
          <w:sz w:val="24"/>
        </w:rPr>
      </w:pPr>
      <w:r>
        <w:rPr>
          <w:rFonts w:hint="eastAsia" w:cs="宋体"/>
          <w:color w:val="000000"/>
          <w:sz w:val="24"/>
        </w:rPr>
        <w:t>《混凝土长期性能和耐久性能实验方法标准》GB/T 50082</w:t>
      </w:r>
    </w:p>
    <w:p w14:paraId="1F9CADA8">
      <w:pPr>
        <w:numPr>
          <w:ilvl w:val="0"/>
          <w:numId w:val="70"/>
        </w:numPr>
        <w:spacing w:line="360" w:lineRule="auto"/>
        <w:rPr>
          <w:rFonts w:cs="宋体"/>
          <w:color w:val="000000"/>
          <w:sz w:val="24"/>
        </w:rPr>
      </w:pPr>
      <w:r>
        <w:rPr>
          <w:rFonts w:hint="eastAsia" w:cs="宋体"/>
          <w:color w:val="000000"/>
          <w:sz w:val="24"/>
        </w:rPr>
        <w:t>《普通混凝土用砂</w:t>
      </w:r>
      <w:r>
        <w:rPr>
          <w:rFonts w:hint="eastAsia" w:cs="宋体"/>
          <w:color w:val="000000"/>
          <w:sz w:val="24"/>
          <w:highlight w:val="none"/>
        </w:rPr>
        <w:t>、</w:t>
      </w:r>
      <w:r>
        <w:rPr>
          <w:rFonts w:hint="eastAsia" w:cs="宋体"/>
          <w:color w:val="000000"/>
          <w:sz w:val="24"/>
        </w:rPr>
        <w:t>石质量及检验方法标准》</w:t>
      </w:r>
      <w:r>
        <w:rPr>
          <w:rFonts w:hint="eastAsia"/>
          <w:sz w:val="24"/>
          <w:szCs w:val="32"/>
        </w:rPr>
        <w:t>JGJ 52</w:t>
      </w:r>
    </w:p>
    <w:p w14:paraId="389B95D1">
      <w:pPr>
        <w:numPr>
          <w:ilvl w:val="0"/>
          <w:numId w:val="70"/>
        </w:numPr>
        <w:spacing w:line="360" w:lineRule="auto"/>
        <w:rPr>
          <w:rFonts w:cs="宋体"/>
          <w:color w:val="000000"/>
          <w:sz w:val="24"/>
        </w:rPr>
      </w:pPr>
      <w:r>
        <w:rPr>
          <w:rFonts w:hint="eastAsia" w:cs="宋体"/>
          <w:color w:val="000000"/>
          <w:sz w:val="24"/>
        </w:rPr>
        <w:t>《混凝土拌合用水标准》</w:t>
      </w:r>
      <w:r>
        <w:rPr>
          <w:rFonts w:hint="eastAsia"/>
          <w:sz w:val="24"/>
          <w:szCs w:val="32"/>
        </w:rPr>
        <w:t>JGJ 63</w:t>
      </w:r>
    </w:p>
    <w:p w14:paraId="13451209">
      <w:pPr>
        <w:numPr>
          <w:ilvl w:val="0"/>
          <w:numId w:val="70"/>
        </w:numPr>
        <w:spacing w:line="360" w:lineRule="auto"/>
        <w:ind w:left="0" w:firstLine="0"/>
      </w:pPr>
      <w:r>
        <w:rPr>
          <w:rFonts w:hint="eastAsia" w:cs="宋体"/>
          <w:color w:val="000000"/>
          <w:sz w:val="24"/>
        </w:rPr>
        <w:t>《混凝土泵送施工技术规程》</w:t>
      </w:r>
      <w:r>
        <w:rPr>
          <w:rFonts w:hint="eastAsia"/>
          <w:sz w:val="24"/>
          <w:szCs w:val="32"/>
        </w:rPr>
        <w:t>JGJ/T 10</w:t>
      </w:r>
    </w:p>
    <w:p w14:paraId="571BA854">
      <w:pPr>
        <w:numPr>
          <w:ilvl w:val="0"/>
          <w:numId w:val="70"/>
        </w:numPr>
        <w:spacing w:line="360" w:lineRule="auto"/>
        <w:rPr>
          <w:rFonts w:cs="宋体"/>
          <w:color w:val="000000"/>
          <w:sz w:val="24"/>
        </w:rPr>
      </w:pPr>
      <w:r>
        <w:rPr>
          <w:rFonts w:hint="eastAsia" w:cs="宋体"/>
          <w:color w:val="000000"/>
          <w:sz w:val="24"/>
        </w:rPr>
        <w:t>《建筑砂浆基本性能试验方法</w:t>
      </w:r>
      <w:r>
        <w:rPr>
          <w:rFonts w:hint="eastAsia" w:cs="宋体"/>
          <w:color w:val="000000"/>
          <w:kern w:val="0"/>
          <w:sz w:val="24"/>
          <w:lang w:bidi="ar"/>
        </w:rPr>
        <w:t>标准</w:t>
      </w:r>
      <w:r>
        <w:rPr>
          <w:rFonts w:hint="eastAsia" w:cs="宋体"/>
          <w:color w:val="000000"/>
          <w:sz w:val="24"/>
        </w:rPr>
        <w:t>》</w:t>
      </w:r>
      <w:r>
        <w:rPr>
          <w:rFonts w:hint="eastAsia"/>
          <w:sz w:val="24"/>
          <w:szCs w:val="32"/>
        </w:rPr>
        <w:t>JGJ/T 70</w:t>
      </w:r>
    </w:p>
    <w:p w14:paraId="5DBDEB11">
      <w:pPr>
        <w:numPr>
          <w:ilvl w:val="0"/>
          <w:numId w:val="70"/>
        </w:numPr>
        <w:spacing w:line="360" w:lineRule="auto"/>
        <w:rPr>
          <w:rFonts w:cs="宋体"/>
          <w:color w:val="000000"/>
          <w:sz w:val="24"/>
        </w:rPr>
      </w:pPr>
      <w:r>
        <w:rPr>
          <w:rFonts w:hint="eastAsia" w:cs="宋体"/>
          <w:color w:val="000000"/>
          <w:sz w:val="24"/>
        </w:rPr>
        <w:t>《公路土工试验规程》JTG 3430</w:t>
      </w:r>
    </w:p>
    <w:p w14:paraId="4E8A3C9F">
      <w:pPr>
        <w:numPr>
          <w:ilvl w:val="0"/>
          <w:numId w:val="70"/>
        </w:numPr>
        <w:spacing w:line="360" w:lineRule="auto"/>
        <w:ind w:left="0" w:firstLine="0"/>
        <w:rPr>
          <w:rFonts w:cs="宋体"/>
          <w:color w:val="000000"/>
          <w:sz w:val="24"/>
        </w:rPr>
      </w:pPr>
      <w:r>
        <w:rPr>
          <w:rFonts w:hint="eastAsia" w:cs="宋体"/>
          <w:color w:val="000000"/>
          <w:sz w:val="24"/>
        </w:rPr>
        <w:t>《公路工程无机结合料稳定材料试验规程》</w:t>
      </w:r>
      <w:r>
        <w:rPr>
          <w:rFonts w:hint="eastAsia"/>
          <w:sz w:val="24"/>
          <w:szCs w:val="32"/>
        </w:rPr>
        <w:t>JTG 3441</w:t>
      </w:r>
    </w:p>
    <w:p w14:paraId="2E327068">
      <w:pPr>
        <w:numPr>
          <w:ilvl w:val="0"/>
          <w:numId w:val="70"/>
        </w:numPr>
        <w:spacing w:line="360" w:lineRule="auto"/>
        <w:rPr>
          <w:rFonts w:cs="宋体"/>
          <w:color w:val="000000"/>
          <w:sz w:val="24"/>
        </w:rPr>
      </w:pPr>
      <w:r>
        <w:rPr>
          <w:rFonts w:hint="eastAsia"/>
          <w:sz w:val="24"/>
          <w:szCs w:val="32"/>
        </w:rPr>
        <w:t>《混凝土和砂浆用再生微粉》JG/T 573</w:t>
      </w:r>
    </w:p>
    <w:p w14:paraId="4C200A02">
      <w:pPr>
        <w:numPr>
          <w:ilvl w:val="-1"/>
          <w:numId w:val="0"/>
        </w:numPr>
        <w:spacing w:line="240" w:lineRule="auto"/>
        <w:rPr>
          <w:rFonts w:hint="eastAsia" w:ascii="宋体" w:hAnsi="宋体" w:cs="宋体"/>
          <w:color w:val="000000"/>
          <w:sz w:val="24"/>
        </w:rPr>
      </w:pPr>
      <w:r>
        <w:rPr>
          <w:rFonts w:hint="eastAsia" w:ascii="宋体" w:hAnsi="宋体" w:cs="宋体"/>
          <w:color w:val="000000"/>
          <w:sz w:val="24"/>
        </w:rPr>
        <w:br w:type="page"/>
      </w:r>
    </w:p>
    <w:p w14:paraId="553AC9B2">
      <w:pPr>
        <w:numPr>
          <w:ilvl w:val="255"/>
          <w:numId w:val="0"/>
        </w:numPr>
        <w:spacing w:line="360" w:lineRule="auto"/>
        <w:rPr>
          <w:rFonts w:hint="eastAsia" w:ascii="宋体" w:hAnsi="宋体" w:cs="宋体"/>
          <w:color w:val="000000"/>
          <w:sz w:val="24"/>
        </w:rPr>
      </w:pPr>
    </w:p>
    <w:p w14:paraId="07C7EE1F">
      <w:pPr>
        <w:spacing w:before="157" w:beforeLines="50" w:after="157" w:afterLines="50" w:line="360" w:lineRule="auto"/>
        <w:jc w:val="center"/>
        <w:rPr>
          <w:bCs/>
          <w:sz w:val="28"/>
          <w:szCs w:val="28"/>
        </w:rPr>
      </w:pPr>
      <w:r>
        <w:rPr>
          <w:rFonts w:hint="default" w:ascii="Times New Roman" w:hAnsi="Times New Roman" w:eastAsia="宋体" w:cs="Times New Roman"/>
          <w:b w:val="0"/>
          <w:kern w:val="0"/>
          <w:sz w:val="36"/>
          <w:szCs w:val="36"/>
        </w:rPr>
        <w:t>广东省标准</w:t>
      </w:r>
    </w:p>
    <w:p w14:paraId="66A60564">
      <w:pPr>
        <w:spacing w:line="360" w:lineRule="auto"/>
        <w:jc w:val="center"/>
        <w:rPr>
          <w:rFonts w:hint="eastAsia" w:ascii="宋体" w:hAnsi="宋体"/>
          <w:b w:val="0"/>
          <w:bCs/>
          <w:sz w:val="44"/>
          <w:szCs w:val="44"/>
        </w:rPr>
      </w:pPr>
      <w:r>
        <w:rPr>
          <w:rFonts w:hint="eastAsia" w:ascii="宋体" w:hAnsi="宋体"/>
          <w:b w:val="0"/>
          <w:bCs/>
          <w:sz w:val="44"/>
          <w:szCs w:val="44"/>
        </w:rPr>
        <w:t>建筑废弃物制备可控低强度材料应用</w:t>
      </w:r>
    </w:p>
    <w:p w14:paraId="4C5996AF">
      <w:pPr>
        <w:spacing w:line="360" w:lineRule="auto"/>
        <w:jc w:val="center"/>
        <w:rPr>
          <w:rFonts w:hint="eastAsia" w:ascii="宋体" w:hAnsi="宋体"/>
          <w:b w:val="0"/>
          <w:bCs/>
          <w:sz w:val="44"/>
          <w:szCs w:val="44"/>
        </w:rPr>
      </w:pPr>
      <w:r>
        <w:rPr>
          <w:rFonts w:hint="eastAsia" w:ascii="宋体" w:hAnsi="宋体"/>
          <w:b w:val="0"/>
          <w:bCs/>
          <w:sz w:val="44"/>
          <w:szCs w:val="44"/>
        </w:rPr>
        <w:t>技术标准</w:t>
      </w:r>
    </w:p>
    <w:p w14:paraId="2320D939">
      <w:pPr>
        <w:pStyle w:val="2"/>
        <w:widowControl/>
        <w:numPr>
          <w:ilvl w:val="0"/>
          <w:numId w:val="0"/>
        </w:numPr>
        <w:spacing w:before="156" w:after="156"/>
        <w:rPr>
          <w:rFonts w:ascii="宋体" w:hAnsi="宋体" w:cs="方正粗黑宋简体"/>
          <w:b w:val="0"/>
          <w:bCs/>
          <w:sz w:val="28"/>
          <w:szCs w:val="28"/>
        </w:rPr>
      </w:pPr>
      <w:r>
        <w:rPr>
          <w:rFonts w:ascii="Times New Roman" w:hAnsi="Times New Roman" w:eastAsia="宋体" w:cs="Times New Roman"/>
          <w:color w:val="auto"/>
          <w:spacing w:val="0"/>
          <w:kern w:val="0"/>
          <w:sz w:val="32"/>
          <w:szCs w:val="28"/>
        </w:rPr>
        <w:t>DBJ/T 15-XX-2</w:t>
      </w:r>
      <w:r>
        <w:rPr>
          <w:rFonts w:ascii="Times New Roman" w:hAnsi="Times New Roman" w:eastAsia="宋体" w:cs="Times New Roman"/>
          <w:color w:val="auto"/>
          <w:kern w:val="0"/>
          <w:sz w:val="32"/>
          <w:szCs w:val="28"/>
        </w:rPr>
        <w:t>02X</w:t>
      </w:r>
    </w:p>
    <w:p w14:paraId="3D736B8A">
      <w:pPr>
        <w:pStyle w:val="2"/>
        <w:keepNext w:val="0"/>
        <w:keepLines w:val="0"/>
        <w:numPr>
          <w:ilvl w:val="-1"/>
          <w:numId w:val="0"/>
        </w:numPr>
        <w:spacing w:before="0"/>
        <w:rPr>
          <w:rFonts w:hint="eastAsia"/>
          <w:b/>
          <w:bCs w:val="0"/>
        </w:rPr>
      </w:pPr>
      <w:bookmarkStart w:id="447" w:name="_Toc104840656"/>
      <w:bookmarkStart w:id="448" w:name="_Toc105068174"/>
      <w:bookmarkStart w:id="449" w:name="_Toc92668068"/>
      <w:bookmarkStart w:id="450" w:name="_Toc104840440"/>
      <w:bookmarkStart w:id="451" w:name="_Toc83313866"/>
      <w:bookmarkStart w:id="452" w:name="_Toc124195613"/>
      <w:bookmarkStart w:id="453" w:name="_Toc92667626"/>
      <w:r>
        <w:rPr>
          <w:rFonts w:hint="eastAsia"/>
          <w:b/>
          <w:bCs w:val="0"/>
        </w:rPr>
        <w:t>条文说明</w:t>
      </w:r>
      <w:bookmarkEnd w:id="447"/>
      <w:bookmarkEnd w:id="448"/>
      <w:bookmarkEnd w:id="449"/>
      <w:bookmarkEnd w:id="450"/>
      <w:bookmarkEnd w:id="451"/>
      <w:bookmarkEnd w:id="452"/>
      <w:bookmarkEnd w:id="453"/>
    </w:p>
    <w:p w14:paraId="7AA7FF2D">
      <w:pPr>
        <w:rPr>
          <w:rFonts w:hint="eastAsia" w:ascii="宋体" w:hAnsi="宋体" w:eastAsia="宋体" w:cs="宋体"/>
          <w:b w:val="0"/>
          <w:bCs/>
          <w:sz w:val="32"/>
          <w:szCs w:val="32"/>
        </w:rPr>
      </w:pPr>
      <w:r>
        <w:rPr>
          <w:rFonts w:hint="eastAsia" w:ascii="宋体" w:hAnsi="宋体" w:eastAsia="宋体" w:cs="宋体"/>
          <w:b w:val="0"/>
          <w:bCs/>
          <w:sz w:val="32"/>
          <w:szCs w:val="32"/>
        </w:rPr>
        <w:br w:type="page"/>
      </w:r>
    </w:p>
    <w:p w14:paraId="34F431B0">
      <w:pPr>
        <w:pStyle w:val="2"/>
        <w:keepNext w:val="0"/>
        <w:widowControl/>
        <w:numPr>
          <w:ilvl w:val="0"/>
          <w:numId w:val="0"/>
        </w:numPr>
        <w:spacing w:before="260" w:after="260" w:line="360" w:lineRule="auto"/>
        <w:ind w:leftChars="0"/>
        <w:rPr>
          <w:rFonts w:hint="default" w:ascii="Times New Roman" w:hAnsi="Times New Roman" w:eastAsia="微软雅黑" w:cs="Times New Roman"/>
          <w:b/>
          <w:bCs/>
          <w:color w:val="000000"/>
          <w:kern w:val="44"/>
          <w:sz w:val="32"/>
          <w:szCs w:val="44"/>
          <w:lang w:val="en-US" w:eastAsia="zh-CN" w:bidi="ar-SA"/>
        </w:rPr>
      </w:pPr>
      <w:bookmarkStart w:id="454" w:name="_Toc50123327"/>
      <w:bookmarkStart w:id="455" w:name="_Toc3367"/>
      <w:bookmarkStart w:id="456" w:name="_Toc26327"/>
      <w:bookmarkStart w:id="457" w:name="_Toc62737731"/>
      <w:bookmarkStart w:id="458" w:name="_Toc49261832"/>
      <w:bookmarkStart w:id="459" w:name="_Toc22191"/>
      <w:bookmarkStart w:id="460" w:name="_Toc86998466"/>
      <w:bookmarkStart w:id="461" w:name="_Toc26307"/>
      <w:bookmarkStart w:id="462" w:name="_Toc50282969"/>
      <w:bookmarkStart w:id="463" w:name="_Toc49261765"/>
      <w:bookmarkStart w:id="464" w:name="_Toc62748609"/>
      <w:bookmarkStart w:id="465" w:name="_Toc1882"/>
      <w:bookmarkStart w:id="466" w:name="_Toc50124345"/>
      <w:bookmarkStart w:id="467" w:name="_Toc50123150"/>
      <w:bookmarkStart w:id="468" w:name="_Toc50123814"/>
      <w:r>
        <w:rPr>
          <w:rFonts w:hint="default" w:ascii="Times New Roman" w:hAnsi="Times New Roman" w:eastAsia="微软雅黑" w:cs="Times New Roman"/>
          <w:b/>
          <w:bCs/>
          <w:color w:val="000000"/>
          <w:kern w:val="44"/>
          <w:sz w:val="32"/>
          <w:szCs w:val="44"/>
          <w:lang w:val="en-US" w:eastAsia="zh-CN" w:bidi="ar-SA"/>
        </w:rPr>
        <w:t>制定说明</w:t>
      </w:r>
    </w:p>
    <w:p w14:paraId="19155ADB">
      <w:pPr>
        <w:pStyle w:val="19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《建筑废弃物制备可控低强度材料应用技术标准》DBJ/T 15-XX-202X，经</w:t>
      </w:r>
      <w:r>
        <w:rPr>
          <w:rFonts w:hint="eastAsia" w:ascii="宋体" w:hAnsi="宋体" w:eastAsia="宋体" w:cs="宋体"/>
          <w:color w:val="000000" w:themeColor="text1"/>
          <w:sz w:val="24"/>
          <w:szCs w:val="24"/>
          <w14:textFill>
            <w14:solidFill>
              <w14:schemeClr w14:val="tx1"/>
            </w14:solidFill>
          </w14:textFill>
        </w:rPr>
        <w:t>广东省住房和城乡建设厅</w:t>
      </w:r>
      <w:r>
        <w:rPr>
          <w:rFonts w:hint="eastAsia" w:ascii="宋体" w:hAnsi="宋体" w:eastAsia="宋体" w:cs="宋体"/>
          <w:sz w:val="24"/>
          <w:szCs w:val="24"/>
        </w:rPr>
        <w:t>20</w:t>
      </w:r>
      <w:r>
        <w:rPr>
          <w:rFonts w:hint="eastAsia" w:ascii="宋体" w:hAnsi="宋体" w:eastAsia="宋体" w:cs="宋体"/>
          <w:sz w:val="24"/>
          <w:szCs w:val="24"/>
          <w:lang w:val="en-US" w:eastAsia="zh-CN"/>
        </w:rPr>
        <w:t>xx</w:t>
      </w:r>
      <w:r>
        <w:rPr>
          <w:rFonts w:hint="eastAsia" w:ascii="宋体" w:hAnsi="宋体" w:eastAsia="宋体" w:cs="宋体"/>
          <w:sz w:val="24"/>
          <w:szCs w:val="24"/>
        </w:rPr>
        <w:t>年</w:t>
      </w:r>
      <w:r>
        <w:rPr>
          <w:rFonts w:hint="eastAsia" w:ascii="宋体" w:hAnsi="宋体" w:eastAsia="宋体" w:cs="宋体"/>
          <w:sz w:val="24"/>
          <w:szCs w:val="24"/>
          <w:lang w:val="en-US" w:eastAsia="zh-CN"/>
        </w:rPr>
        <w:t>x</w:t>
      </w:r>
      <w:r>
        <w:rPr>
          <w:rFonts w:hint="eastAsia" w:ascii="宋体" w:hAnsi="宋体" w:eastAsia="宋体" w:cs="宋体"/>
          <w:sz w:val="24"/>
          <w:szCs w:val="24"/>
        </w:rPr>
        <w:t>月</w:t>
      </w:r>
      <w:r>
        <w:rPr>
          <w:rFonts w:hint="eastAsia" w:ascii="宋体" w:hAnsi="宋体" w:eastAsia="宋体" w:cs="宋体"/>
          <w:sz w:val="24"/>
          <w:szCs w:val="24"/>
          <w:lang w:val="en-US" w:eastAsia="zh-CN"/>
        </w:rPr>
        <w:t>xx</w:t>
      </w:r>
      <w:r>
        <w:rPr>
          <w:rFonts w:hint="eastAsia" w:ascii="宋体" w:hAnsi="宋体" w:eastAsia="宋体" w:cs="宋体"/>
          <w:sz w:val="24"/>
          <w:szCs w:val="24"/>
        </w:rPr>
        <w:t>日以第</w:t>
      </w:r>
      <w:r>
        <w:rPr>
          <w:rFonts w:hint="eastAsia" w:ascii="宋体" w:hAnsi="宋体" w:eastAsia="宋体" w:cs="宋体"/>
          <w:sz w:val="24"/>
          <w:szCs w:val="24"/>
          <w:lang w:val="en-US" w:eastAsia="zh-CN"/>
        </w:rPr>
        <w:t>xxx</w:t>
      </w:r>
      <w:r>
        <w:rPr>
          <w:rFonts w:hint="eastAsia" w:ascii="宋体" w:hAnsi="宋体" w:eastAsia="宋体" w:cs="宋体"/>
          <w:sz w:val="24"/>
          <w:szCs w:val="24"/>
        </w:rPr>
        <w:t>号公告批准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发</w:t>
      </w:r>
      <w:r>
        <w:rPr>
          <w:rFonts w:hint="eastAsia" w:ascii="宋体" w:hAnsi="宋体" w:eastAsia="宋体" w:cs="宋体"/>
          <w:sz w:val="24"/>
          <w:szCs w:val="24"/>
        </w:rPr>
        <w:t>布。</w:t>
      </w:r>
    </w:p>
    <w:p w14:paraId="15C0A6F0">
      <w:pPr>
        <w:pStyle w:val="19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标准</w:t>
      </w:r>
      <w:r>
        <w:rPr>
          <w:rFonts w:hint="eastAsia" w:ascii="宋体" w:hAnsi="宋体" w:eastAsia="宋体" w:cs="宋体"/>
          <w:sz w:val="24"/>
          <w:szCs w:val="24"/>
        </w:rPr>
        <w:t>编制过程中，编制组进行了充分的调查研究，</w:t>
      </w:r>
      <w:r>
        <w:rPr>
          <w:rFonts w:hint="eastAsia" w:ascii="宋体" w:hAnsi="宋体" w:eastAsia="宋体" w:cs="宋体"/>
          <w:sz w:val="24"/>
          <w:szCs w:val="24"/>
          <w:lang w:val="en-US" w:eastAsia="zh-CN"/>
        </w:rPr>
        <w:t>借鉴了</w:t>
      </w:r>
      <w:r>
        <w:rPr>
          <w:rFonts w:hint="eastAsia" w:ascii="宋体" w:hAnsi="宋体" w:eastAsia="宋体" w:cs="宋体"/>
          <w:sz w:val="24"/>
          <w:szCs w:val="24"/>
        </w:rPr>
        <w:t>国内外</w:t>
      </w:r>
      <w:r>
        <w:rPr>
          <w:rFonts w:hint="eastAsia" w:ascii="宋体" w:hAnsi="宋体" w:eastAsia="宋体" w:cs="宋体"/>
          <w:sz w:val="24"/>
          <w:szCs w:val="24"/>
          <w:lang w:val="en-US" w:eastAsia="zh-CN"/>
        </w:rPr>
        <w:t>相关标准和实践经验</w:t>
      </w:r>
      <w:r>
        <w:rPr>
          <w:rFonts w:hint="eastAsia" w:ascii="宋体" w:hAnsi="宋体" w:eastAsia="宋体" w:cs="宋体"/>
          <w:sz w:val="24"/>
          <w:szCs w:val="24"/>
        </w:rPr>
        <w:t>，结合广东省的实际，</w:t>
      </w:r>
      <w:r>
        <w:rPr>
          <w:rFonts w:hint="eastAsia" w:ascii="宋体" w:hAnsi="宋体" w:cs="宋体"/>
          <w:sz w:val="24"/>
          <w:szCs w:val="24"/>
          <w:lang w:val="en-US" w:eastAsia="zh-CN"/>
        </w:rPr>
        <w:t>并</w:t>
      </w:r>
      <w:r>
        <w:rPr>
          <w:rFonts w:hint="eastAsia"/>
          <w:color w:val="000000"/>
          <w:sz w:val="24"/>
          <w:szCs w:val="24"/>
        </w:rPr>
        <w:t>在广泛征求意见的基础上</w:t>
      </w:r>
      <w:r>
        <w:rPr>
          <w:rFonts w:hint="eastAsia"/>
          <w:color w:val="000000"/>
          <w:sz w:val="24"/>
          <w:szCs w:val="24"/>
          <w:lang w:val="en-US" w:eastAsia="zh-CN"/>
        </w:rPr>
        <w:t>编制</w:t>
      </w:r>
      <w:r>
        <w:rPr>
          <w:rFonts w:hint="eastAsia" w:ascii="宋体" w:hAnsi="宋体" w:eastAsia="宋体" w:cs="宋体"/>
          <w:sz w:val="24"/>
          <w:szCs w:val="24"/>
        </w:rPr>
        <w:t>完成了本</w:t>
      </w:r>
      <w:r>
        <w:rPr>
          <w:rFonts w:hint="eastAsia" w:ascii="宋体" w:hAnsi="宋体" w:eastAsia="宋体" w:cs="宋体"/>
          <w:sz w:val="24"/>
          <w:szCs w:val="24"/>
          <w:lang w:val="en-US" w:eastAsia="zh-CN"/>
        </w:rPr>
        <w:t>标准</w:t>
      </w:r>
      <w:r>
        <w:rPr>
          <w:rFonts w:hint="eastAsia" w:ascii="宋体" w:hAnsi="宋体" w:eastAsia="宋体" w:cs="宋体"/>
          <w:sz w:val="24"/>
          <w:szCs w:val="24"/>
        </w:rPr>
        <w:t>。</w:t>
      </w:r>
    </w:p>
    <w:p w14:paraId="0A2177E0">
      <w:pPr>
        <w:pStyle w:val="19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为便于广大</w:t>
      </w:r>
      <w:r>
        <w:rPr>
          <w:rFonts w:hint="eastAsia" w:ascii="宋体" w:hAnsi="宋体" w:eastAsia="宋体" w:cs="宋体"/>
          <w:sz w:val="24"/>
          <w:szCs w:val="24"/>
          <w:lang w:val="en-US" w:eastAsia="zh-CN"/>
        </w:rPr>
        <w:t>设计</w:t>
      </w:r>
      <w:r>
        <w:rPr>
          <w:rFonts w:hint="eastAsia" w:ascii="宋体" w:hAnsi="宋体" w:eastAsia="宋体" w:cs="宋体"/>
          <w:sz w:val="24"/>
          <w:szCs w:val="24"/>
        </w:rPr>
        <w:t>、</w:t>
      </w:r>
      <w:r>
        <w:rPr>
          <w:rFonts w:hint="eastAsia" w:ascii="宋体" w:hAnsi="宋体" w:eastAsia="宋体" w:cs="宋体"/>
          <w:sz w:val="24"/>
          <w:szCs w:val="24"/>
          <w:lang w:val="en-US" w:eastAsia="zh-CN"/>
        </w:rPr>
        <w:t>施工、科研、学校</w:t>
      </w:r>
      <w:r>
        <w:rPr>
          <w:rFonts w:hint="eastAsia" w:ascii="宋体" w:hAnsi="宋体" w:eastAsia="宋体" w:cs="宋体"/>
          <w:sz w:val="24"/>
          <w:szCs w:val="24"/>
        </w:rPr>
        <w:t>等单位有关人员在使用本</w:t>
      </w:r>
      <w:r>
        <w:rPr>
          <w:rFonts w:hint="eastAsia" w:ascii="宋体" w:hAnsi="宋体" w:eastAsia="宋体" w:cs="宋体"/>
          <w:sz w:val="24"/>
          <w:szCs w:val="24"/>
          <w:lang w:val="en-US" w:eastAsia="zh-CN"/>
        </w:rPr>
        <w:t>标准</w:t>
      </w:r>
      <w:r>
        <w:rPr>
          <w:rFonts w:hint="eastAsia" w:ascii="宋体" w:hAnsi="宋体" w:eastAsia="宋体" w:cs="宋体"/>
          <w:sz w:val="24"/>
          <w:szCs w:val="24"/>
        </w:rPr>
        <w:t>时能正确理解和执行条文规定，编制组按章、节、条顺序编制了本</w:t>
      </w:r>
      <w:r>
        <w:rPr>
          <w:rFonts w:hint="eastAsia" w:ascii="宋体" w:hAnsi="宋体" w:eastAsia="宋体" w:cs="宋体"/>
          <w:sz w:val="24"/>
          <w:szCs w:val="24"/>
          <w:lang w:val="en-US" w:eastAsia="zh-CN"/>
        </w:rPr>
        <w:t>标准</w:t>
      </w:r>
      <w:r>
        <w:rPr>
          <w:rFonts w:hint="eastAsia" w:ascii="宋体" w:hAnsi="宋体" w:eastAsia="宋体" w:cs="宋体"/>
          <w:sz w:val="24"/>
          <w:szCs w:val="24"/>
        </w:rPr>
        <w:t>的条文说明，对条文规定的目的、依据以及执行中需要注意的有关事项进行了说明。但条文说明不具备与</w:t>
      </w:r>
      <w:r>
        <w:rPr>
          <w:rFonts w:hint="eastAsia" w:ascii="宋体" w:hAnsi="宋体" w:eastAsia="宋体" w:cs="宋体"/>
          <w:sz w:val="24"/>
          <w:szCs w:val="24"/>
          <w:lang w:val="en-US" w:eastAsia="zh-CN"/>
        </w:rPr>
        <w:t>标准</w:t>
      </w:r>
      <w:r>
        <w:rPr>
          <w:rFonts w:hint="eastAsia" w:ascii="宋体" w:hAnsi="宋体" w:eastAsia="宋体" w:cs="宋体"/>
          <w:sz w:val="24"/>
          <w:szCs w:val="24"/>
        </w:rPr>
        <w:t>正文等同的效力，仅供使用者作为理解和把握</w:t>
      </w:r>
      <w:r>
        <w:rPr>
          <w:rFonts w:hint="eastAsia" w:ascii="宋体" w:hAnsi="宋体" w:eastAsia="宋体" w:cs="宋体"/>
          <w:sz w:val="24"/>
          <w:szCs w:val="24"/>
          <w:lang w:val="en-US" w:eastAsia="zh-CN"/>
        </w:rPr>
        <w:t>标准</w:t>
      </w:r>
      <w:r>
        <w:rPr>
          <w:rFonts w:hint="eastAsia" w:ascii="宋体" w:hAnsi="宋体" w:eastAsia="宋体" w:cs="宋体"/>
          <w:sz w:val="24"/>
          <w:szCs w:val="24"/>
        </w:rPr>
        <w:t>规定的参考。</w:t>
      </w:r>
    </w:p>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14:paraId="48643D99">
      <w:pPr>
        <w:numPr>
          <w:ilvl w:val="-1"/>
          <w:numId w:val="0"/>
        </w:numPr>
        <w:spacing w:line="240" w:lineRule="auto"/>
        <w:rPr>
          <w:rFonts w:hint="eastAsia" w:ascii="宋体" w:hAnsi="宋体" w:cs="宋体"/>
          <w:color w:val="000000"/>
          <w:sz w:val="24"/>
        </w:rPr>
      </w:pPr>
      <w:r>
        <w:rPr>
          <w:rFonts w:hint="eastAsia" w:ascii="宋体" w:hAnsi="宋体" w:cs="宋体"/>
          <w:color w:val="000000"/>
          <w:sz w:val="24"/>
        </w:rPr>
        <w:br w:type="page"/>
      </w:r>
    </w:p>
    <w:p w14:paraId="5406EE66">
      <w:pPr>
        <w:spacing w:line="400" w:lineRule="exact"/>
        <w:jc w:val="center"/>
        <w:rPr>
          <w:sz w:val="28"/>
          <w:szCs w:val="28"/>
        </w:rPr>
      </w:pPr>
      <w:r>
        <w:rPr>
          <w:sz w:val="28"/>
          <w:szCs w:val="28"/>
        </w:rPr>
        <w:t>目 次</w:t>
      </w:r>
    </w:p>
    <w:p w14:paraId="691505CE">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TOC \o "1-3" \h \z \u </w:instrText>
      </w:r>
      <w:r>
        <w:rPr>
          <w:rFonts w:hint="eastAsia" w:ascii="微软雅黑" w:hAnsi="微软雅黑" w:eastAsia="微软雅黑" w:cs="微软雅黑"/>
          <w:b w:val="0"/>
          <w:bCs w:val="0"/>
          <w:sz w:val="21"/>
          <w:szCs w:val="21"/>
        </w:rPr>
        <w:fldChar w:fldCharType="separate"/>
      </w:r>
      <w:r>
        <w:fldChar w:fldCharType="begin"/>
      </w:r>
      <w:r>
        <w:instrText xml:space="preserve"> HYPERLINK \l "_Toc25949" </w:instrText>
      </w:r>
      <w:r>
        <w:fldChar w:fldCharType="separate"/>
      </w:r>
      <w:r>
        <w:rPr>
          <w:rFonts w:ascii="微软雅黑" w:hAnsi="微软雅黑" w:eastAsia="微软雅黑" w:cs="微软雅黑"/>
          <w:b w:val="0"/>
          <w:bCs w:val="0"/>
          <w:sz w:val="21"/>
          <w:szCs w:val="21"/>
        </w:rPr>
        <w:t xml:space="preserve">1. </w:t>
      </w:r>
      <w:r>
        <w:rPr>
          <w:rFonts w:hint="eastAsia" w:ascii="微软雅黑" w:hAnsi="微软雅黑" w:eastAsia="微软雅黑" w:cs="微软雅黑"/>
          <w:b w:val="0"/>
          <w:bCs w:val="0"/>
          <w:sz w:val="21"/>
          <w:szCs w:val="21"/>
        </w:rPr>
        <w:t>总  则</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_Toc25949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1</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5300309E">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"_Toc28458" </w:instrText>
      </w:r>
      <w:r>
        <w:fldChar w:fldCharType="separate"/>
      </w:r>
      <w:r>
        <w:rPr>
          <w:rFonts w:ascii="微软雅黑" w:hAnsi="微软雅黑" w:eastAsia="微软雅黑" w:cs="微软雅黑"/>
          <w:b w:val="0"/>
          <w:bCs w:val="0"/>
          <w:kern w:val="44"/>
          <w:sz w:val="21"/>
          <w:szCs w:val="21"/>
        </w:rPr>
        <w:t xml:space="preserve">2. </w:t>
      </w:r>
      <w:r>
        <w:rPr>
          <w:rFonts w:hint="eastAsia" w:ascii="微软雅黑" w:hAnsi="微软雅黑" w:eastAsia="微软雅黑" w:cs="微软雅黑"/>
          <w:b w:val="0"/>
          <w:bCs w:val="0"/>
          <w:kern w:val="44"/>
          <w:sz w:val="21"/>
          <w:szCs w:val="21"/>
        </w:rPr>
        <w:t>术语和符号</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_Toc28458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3</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0EA70BB0">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"_Toc29798" </w:instrText>
      </w:r>
      <w:r>
        <w:fldChar w:fldCharType="separate"/>
      </w:r>
      <w:r>
        <w:rPr>
          <w:rFonts w:hint="eastAsia" w:ascii="微软雅黑" w:hAnsi="微软雅黑" w:eastAsia="微软雅黑" w:cs="微软雅黑"/>
          <w:sz w:val="21"/>
          <w:szCs w:val="21"/>
        </w:rPr>
        <w:t xml:space="preserve">2.1 </w:t>
      </w:r>
      <w:r>
        <w:rPr>
          <w:rFonts w:hint="eastAsia" w:ascii="微软雅黑" w:hAnsi="微软雅黑" w:eastAsia="微软雅黑" w:cs="微软雅黑"/>
          <w:kern w:val="0"/>
          <w:sz w:val="21"/>
          <w:szCs w:val="21"/>
          <w:lang w:bidi="ar"/>
        </w:rPr>
        <w:t>术语</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_Toc29798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3</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65D98B03">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"_Toc15749" </w:instrText>
      </w:r>
      <w:r>
        <w:fldChar w:fldCharType="separate"/>
      </w:r>
      <w:r>
        <w:rPr>
          <w:rFonts w:ascii="微软雅黑" w:hAnsi="微软雅黑" w:eastAsia="微软雅黑" w:cs="微软雅黑"/>
          <w:b w:val="0"/>
          <w:bCs w:val="0"/>
          <w:kern w:val="44"/>
          <w:sz w:val="21"/>
          <w:szCs w:val="21"/>
        </w:rPr>
        <w:t xml:space="preserve">3. </w:t>
      </w:r>
      <w:r>
        <w:rPr>
          <w:rFonts w:hint="eastAsia" w:ascii="微软雅黑" w:hAnsi="微软雅黑" w:eastAsia="微软雅黑" w:cs="微软雅黑"/>
          <w:b w:val="0"/>
          <w:bCs w:val="0"/>
          <w:kern w:val="44"/>
          <w:sz w:val="21"/>
          <w:szCs w:val="21"/>
        </w:rPr>
        <w:t>原材料</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_Toc15749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6</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1DD7A902">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"_Toc883" </w:instrText>
      </w:r>
      <w:r>
        <w:fldChar w:fldCharType="separate"/>
      </w:r>
      <w:r>
        <w:rPr>
          <w:rFonts w:hint="eastAsia" w:ascii="微软雅黑" w:hAnsi="微软雅黑" w:eastAsia="微软雅黑" w:cs="微软雅黑"/>
          <w:kern w:val="0"/>
          <w:sz w:val="21"/>
          <w:szCs w:val="21"/>
          <w:lang w:bidi="ar"/>
        </w:rPr>
        <w:t>3.1 胶凝材料</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_Toc883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6</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4D94100D">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"_Toc7878" </w:instrText>
      </w:r>
      <w:r>
        <w:fldChar w:fldCharType="separate"/>
      </w:r>
      <w:r>
        <w:rPr>
          <w:rFonts w:hint="eastAsia" w:ascii="微软雅黑" w:hAnsi="微软雅黑" w:eastAsia="微软雅黑" w:cs="微软雅黑"/>
          <w:sz w:val="21"/>
          <w:szCs w:val="21"/>
        </w:rPr>
        <w:t xml:space="preserve">3.2 </w:t>
      </w:r>
      <w:r>
        <w:rPr>
          <w:rFonts w:hint="eastAsia" w:ascii="微软雅黑" w:hAnsi="微软雅黑" w:eastAsia="微软雅黑" w:cs="微软雅黑"/>
          <w:kern w:val="0"/>
          <w:sz w:val="21"/>
          <w:szCs w:val="21"/>
          <w:lang w:bidi="ar"/>
        </w:rPr>
        <w:t>细骨料</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_Toc7878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6</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7B356CE6">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"_Toc11485" </w:instrText>
      </w:r>
      <w:r>
        <w:fldChar w:fldCharType="separate"/>
      </w:r>
      <w:r>
        <w:rPr>
          <w:rFonts w:ascii="微软雅黑" w:hAnsi="微软雅黑" w:eastAsia="微软雅黑" w:cs="微软雅黑"/>
          <w:b w:val="0"/>
          <w:bCs w:val="0"/>
          <w:kern w:val="44"/>
          <w:sz w:val="21"/>
          <w:szCs w:val="21"/>
        </w:rPr>
        <w:t xml:space="preserve">4. </w:t>
      </w:r>
      <w:r>
        <w:rPr>
          <w:rFonts w:hint="eastAsia" w:ascii="微软雅黑" w:hAnsi="微软雅黑" w:eastAsia="微软雅黑" w:cs="微软雅黑"/>
          <w:b w:val="0"/>
          <w:bCs w:val="0"/>
          <w:kern w:val="44"/>
          <w:sz w:val="21"/>
          <w:szCs w:val="21"/>
        </w:rPr>
        <w:t>性能要求</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_Toc11485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8</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63D80BE8">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"_Toc24241" </w:instrText>
      </w:r>
      <w:r>
        <w:fldChar w:fldCharType="separate"/>
      </w:r>
      <w:r>
        <w:rPr>
          <w:rFonts w:hint="eastAsia" w:ascii="微软雅黑" w:hAnsi="微软雅黑" w:eastAsia="微软雅黑" w:cs="微软雅黑"/>
          <w:sz w:val="21"/>
          <w:szCs w:val="21"/>
        </w:rPr>
        <w:t xml:space="preserve">4.1 </w:t>
      </w:r>
      <w:r>
        <w:rPr>
          <w:rFonts w:hint="eastAsia" w:ascii="微软雅黑" w:hAnsi="微软雅黑" w:eastAsia="微软雅黑" w:cs="微软雅黑"/>
          <w:kern w:val="0"/>
          <w:sz w:val="21"/>
          <w:szCs w:val="21"/>
          <w:lang w:bidi="ar"/>
        </w:rPr>
        <w:t>低强度充填材料拌合物性能要求</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_Toc24241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8</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6090D965">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"_Toc31988" </w:instrText>
      </w:r>
      <w:r>
        <w:fldChar w:fldCharType="separate"/>
      </w:r>
      <w:r>
        <w:rPr>
          <w:rFonts w:hint="eastAsia" w:ascii="微软雅黑" w:hAnsi="微软雅黑" w:eastAsia="微软雅黑" w:cs="微软雅黑"/>
          <w:kern w:val="0"/>
          <w:sz w:val="21"/>
          <w:szCs w:val="21"/>
          <w:lang w:bidi="ar"/>
        </w:rPr>
        <w:t>4.2 低强度充填材料硬化性能要求</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_Toc31988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9</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1CEF3A86">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"_Toc12254" </w:instrText>
      </w:r>
      <w:r>
        <w:fldChar w:fldCharType="separate"/>
      </w:r>
      <w:r>
        <w:rPr>
          <w:rFonts w:ascii="微软雅黑" w:hAnsi="微软雅黑" w:eastAsia="微软雅黑" w:cs="微软雅黑"/>
          <w:b w:val="0"/>
          <w:bCs w:val="0"/>
          <w:kern w:val="44"/>
          <w:sz w:val="21"/>
          <w:szCs w:val="21"/>
        </w:rPr>
        <w:t xml:space="preserve">5. </w:t>
      </w:r>
      <w:r>
        <w:rPr>
          <w:rFonts w:hint="eastAsia" w:ascii="微软雅黑" w:hAnsi="微软雅黑" w:eastAsia="微软雅黑" w:cs="微软雅黑"/>
          <w:b w:val="0"/>
          <w:bCs w:val="0"/>
          <w:kern w:val="44"/>
          <w:sz w:val="21"/>
          <w:szCs w:val="21"/>
        </w:rPr>
        <w:t>配合比设计</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_Toc12254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11</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5C344E30">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"_Toc30049" </w:instrText>
      </w:r>
      <w:r>
        <w:fldChar w:fldCharType="separate"/>
      </w:r>
      <w:r>
        <w:rPr>
          <w:rFonts w:hint="eastAsia" w:ascii="微软雅黑" w:hAnsi="微软雅黑" w:eastAsia="微软雅黑" w:cs="微软雅黑"/>
          <w:kern w:val="0"/>
          <w:sz w:val="21"/>
          <w:szCs w:val="21"/>
          <w:lang w:bidi="ar"/>
        </w:rPr>
        <w:t>5.1 一般规定</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_Toc30049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11</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23C1E592">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"_Toc21525" </w:instrText>
      </w:r>
      <w:r>
        <w:fldChar w:fldCharType="separate"/>
      </w:r>
      <w:r>
        <w:rPr>
          <w:rFonts w:hint="eastAsia" w:ascii="微软雅黑" w:hAnsi="微软雅黑" w:eastAsia="微软雅黑" w:cs="微软雅黑"/>
          <w:kern w:val="0"/>
          <w:sz w:val="21"/>
          <w:szCs w:val="21"/>
          <w:lang w:bidi="ar"/>
        </w:rPr>
        <w:t>5.2 配合比设计与计算</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_Toc21525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12</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735D134C">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"_Toc8434" </w:instrText>
      </w:r>
      <w:r>
        <w:fldChar w:fldCharType="separate"/>
      </w:r>
      <w:r>
        <w:rPr>
          <w:rFonts w:hint="eastAsia" w:ascii="微软雅黑" w:hAnsi="微软雅黑" w:eastAsia="微软雅黑" w:cs="微软雅黑"/>
          <w:kern w:val="0"/>
          <w:sz w:val="21"/>
          <w:szCs w:val="21"/>
          <w:lang w:bidi="ar"/>
        </w:rPr>
        <w:t>5.3 试配与调整</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_Toc8434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14</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5D1E8B07">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"_Toc17119" </w:instrText>
      </w:r>
      <w:r>
        <w:fldChar w:fldCharType="separate"/>
      </w:r>
      <w:r>
        <w:rPr>
          <w:rFonts w:ascii="微软雅黑" w:hAnsi="微软雅黑" w:eastAsia="微软雅黑" w:cs="微软雅黑"/>
          <w:b w:val="0"/>
          <w:bCs w:val="0"/>
          <w:kern w:val="44"/>
          <w:sz w:val="21"/>
          <w:szCs w:val="21"/>
        </w:rPr>
        <w:t xml:space="preserve">6. </w:t>
      </w:r>
      <w:r>
        <w:rPr>
          <w:rFonts w:hint="eastAsia" w:ascii="微软雅黑" w:hAnsi="微软雅黑" w:eastAsia="微软雅黑" w:cs="微软雅黑"/>
          <w:b w:val="0"/>
          <w:bCs w:val="0"/>
          <w:kern w:val="44"/>
          <w:sz w:val="21"/>
          <w:szCs w:val="21"/>
        </w:rPr>
        <w:t>生产运输与施工</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_Toc17119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15</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7E7455E7">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"_Toc27078" </w:instrText>
      </w:r>
      <w:r>
        <w:fldChar w:fldCharType="separate"/>
      </w:r>
      <w:r>
        <w:rPr>
          <w:rFonts w:hint="eastAsia" w:ascii="微软雅黑" w:hAnsi="微软雅黑" w:eastAsia="微软雅黑" w:cs="微软雅黑"/>
          <w:kern w:val="0"/>
          <w:sz w:val="21"/>
          <w:szCs w:val="21"/>
          <w:lang w:bidi="ar"/>
        </w:rPr>
        <w:t>6.1 一般规定</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_Toc27078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15</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55889F4D">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"_Toc12395" </w:instrText>
      </w:r>
      <w:r>
        <w:fldChar w:fldCharType="separate"/>
      </w:r>
      <w:r>
        <w:rPr>
          <w:rFonts w:hint="eastAsia" w:ascii="微软雅黑" w:hAnsi="微软雅黑" w:eastAsia="微软雅黑" w:cs="微软雅黑"/>
          <w:kern w:val="0"/>
          <w:sz w:val="21"/>
          <w:szCs w:val="21"/>
          <w:lang w:bidi="ar"/>
        </w:rPr>
        <w:t>6.3 计量与搅拌</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_Toc12395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16</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06867D0C">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"_Toc9264" </w:instrText>
      </w:r>
      <w:r>
        <w:fldChar w:fldCharType="separate"/>
      </w:r>
      <w:r>
        <w:rPr>
          <w:rFonts w:hint="eastAsia" w:ascii="微软雅黑" w:hAnsi="微软雅黑" w:eastAsia="微软雅黑" w:cs="微软雅黑"/>
          <w:sz w:val="21"/>
          <w:szCs w:val="21"/>
        </w:rPr>
        <w:t xml:space="preserve">6.4 </w:t>
      </w:r>
      <w:r>
        <w:rPr>
          <w:rFonts w:hint="eastAsia" w:ascii="微软雅黑" w:hAnsi="微软雅黑" w:eastAsia="微软雅黑" w:cs="微软雅黑"/>
          <w:kern w:val="0"/>
          <w:sz w:val="21"/>
          <w:szCs w:val="21"/>
          <w:lang w:bidi="ar"/>
        </w:rPr>
        <w:t>运输</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_Toc9264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16</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14:paraId="63BC8BA9">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"_Toc6439" </w:instrText>
      </w:r>
      <w:r>
        <w:fldChar w:fldCharType="separate"/>
      </w:r>
      <w:r>
        <w:rPr>
          <w:rFonts w:ascii="微软雅黑" w:hAnsi="微软雅黑" w:eastAsia="微软雅黑" w:cs="微软雅黑"/>
          <w:b w:val="0"/>
          <w:bCs w:val="0"/>
          <w:kern w:val="44"/>
          <w:sz w:val="21"/>
          <w:szCs w:val="21"/>
        </w:rPr>
        <w:t xml:space="preserve">8. </w:t>
      </w:r>
      <w:r>
        <w:rPr>
          <w:rFonts w:hint="eastAsia" w:ascii="微软雅黑" w:hAnsi="微软雅黑" w:eastAsia="微软雅黑" w:cs="微软雅黑"/>
          <w:b w:val="0"/>
          <w:bCs w:val="0"/>
          <w:kern w:val="44"/>
          <w:sz w:val="21"/>
          <w:szCs w:val="21"/>
        </w:rPr>
        <w:t>实验室要求</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_Toc6439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20</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14:paraId="2E1787C7">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p>
    <w:p w14:paraId="6D20EFEB">
      <w:pPr>
        <w:numPr>
          <w:ilvl w:val="255"/>
          <w:numId w:val="0"/>
        </w:numPr>
        <w:spacing w:line="360" w:lineRule="auto"/>
        <w:rPr>
          <w:rFonts w:hint="eastAsia" w:ascii="宋体" w:hAnsi="宋体" w:cs="宋体"/>
          <w:color w:val="000000"/>
          <w:sz w:val="24"/>
        </w:rPr>
      </w:pPr>
      <w:r>
        <w:rPr>
          <w:rFonts w:hint="eastAsia" w:ascii="微软雅黑" w:hAnsi="微软雅黑" w:eastAsia="微软雅黑" w:cs="微软雅黑"/>
          <w:b w:val="0"/>
          <w:bCs w:val="0"/>
          <w:sz w:val="21"/>
          <w:szCs w:val="21"/>
        </w:rPr>
        <w:fldChar w:fldCharType="end"/>
      </w:r>
    </w:p>
    <w:sectPr>
      <w:headerReference r:id="rId21" w:type="first"/>
      <w:footerReference r:id="rId24" w:type="first"/>
      <w:headerReference r:id="rId19" w:type="default"/>
      <w:footerReference r:id="rId22" w:type="default"/>
      <w:headerReference r:id="rId20" w:type="even"/>
      <w:footerReference r:id="rId23" w:type="even"/>
      <w:pgSz w:w="11905" w:h="16838"/>
      <w:pgMar w:top="1582" w:right="1440" w:bottom="1162" w:left="1582" w:header="0" w:footer="969" w:gutter="283"/>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554F2E-8EBA-4490-928D-57EEE23E4B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7FF2A3C-E215-4FA9-B7A8-AC1485AB0972}"/>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3" w:fontKey="{52C5DB55-C82E-45FE-AF35-1CA550E20947}"/>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4" w:fontKey="{918AA3C3-6704-424C-9001-2F925334A259}"/>
  </w:font>
  <w:font w:name="Microsoft JhengHei">
    <w:panose1 w:val="020B0604030504040204"/>
    <w:charset w:val="88"/>
    <w:family w:val="swiss"/>
    <w:pitch w:val="default"/>
    <w:sig w:usb0="000002A7" w:usb1="28CF4400" w:usb2="00000016" w:usb3="00000000" w:csb0="00100009" w:csb1="00000000"/>
    <w:embedRegular r:id="rId5" w:fontKey="{375103D4-C3A1-432E-A106-9114E86E6B14}"/>
  </w:font>
  <w:font w:name="MS Gothic">
    <w:panose1 w:val="020B0609070205080204"/>
    <w:charset w:val="80"/>
    <w:family w:val="modern"/>
    <w:pitch w:val="default"/>
    <w:sig w:usb0="E00002FF" w:usb1="6AC7FDFB" w:usb2="08000012" w:usb3="00000000" w:csb0="4002009F" w:csb1="DFD70000"/>
    <w:embedRegular r:id="rId6" w:fontKey="{8A782BA0-8CFA-430B-873B-6B6F80F1602E}"/>
  </w:font>
  <w:font w:name="仿宋_GB2312">
    <w:panose1 w:val="02010609030101010101"/>
    <w:charset w:val="86"/>
    <w:family w:val="modern"/>
    <w:pitch w:val="default"/>
    <w:sig w:usb0="00000001" w:usb1="080E0000" w:usb2="00000000" w:usb3="00000000" w:csb0="00040000" w:csb1="00000000"/>
    <w:embedRegular r:id="rId7" w:fontKey="{AAC33B7B-5DB0-41F0-BCF9-FAAA9271ECD3}"/>
  </w:font>
  <w:font w:name="Cambria Math">
    <w:panose1 w:val="02040503050406030204"/>
    <w:charset w:val="00"/>
    <w:family w:val="roman"/>
    <w:pitch w:val="default"/>
    <w:sig w:usb0="E00006FF" w:usb1="420024FF" w:usb2="02000000" w:usb3="00000000" w:csb0="2000019F" w:csb1="00000000"/>
    <w:embedRegular r:id="rId8" w:fontKey="{E8EFC986-4FBC-4F81-B19A-E8E79F7BFFDB}"/>
  </w:font>
  <w:font w:name="华文楷体">
    <w:panose1 w:val="02010600040101010101"/>
    <w:charset w:val="86"/>
    <w:family w:val="auto"/>
    <w:pitch w:val="default"/>
    <w:sig w:usb0="00000287" w:usb1="080F0000" w:usb2="00000000" w:usb3="00000000" w:csb0="0004009F" w:csb1="DFD70000"/>
    <w:embedRegular r:id="rId9" w:fontKey="{1ED521CB-F810-4440-BED7-9D67119F4AEF}"/>
  </w:font>
  <w:font w:name="仿宋">
    <w:panose1 w:val="02010609060101010101"/>
    <w:charset w:val="86"/>
    <w:family w:val="modern"/>
    <w:pitch w:val="default"/>
    <w:sig w:usb0="800002BF" w:usb1="38CF7CFA" w:usb2="00000016" w:usb3="00000000" w:csb0="00040001" w:csb1="00000000"/>
    <w:embedRegular r:id="rId10" w:fontKey="{3894A7F7-BFBE-4C56-B1B5-47CF4DC50CBD}"/>
  </w:font>
  <w:font w:name="方正粗黑宋简体">
    <w:altName w:val="宋体"/>
    <w:panose1 w:val="02000000000000000000"/>
    <w:charset w:val="86"/>
    <w:family w:val="auto"/>
    <w:pitch w:val="default"/>
    <w:sig w:usb0="00000000" w:usb1="00000000" w:usb2="00000012" w:usb3="00000000" w:csb0="00040001" w:csb1="00000000"/>
    <w:embedRegular r:id="rId11" w:fontKey="{FF1E55FD-BD26-4286-97A0-61450E23B6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711C2">
    <w:pPr>
      <w:pStyle w:val="4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8B40C">
                          <w:pPr>
                            <w:pStyle w:val="4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75F8B40C">
                    <w:pPr>
                      <w:pStyle w:val="4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F3E25">
    <w:pPr>
      <w:pStyle w:val="46"/>
      <w:ind w:left="210" w:leftChars="10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924EA">
                          <w:pPr>
                            <w:pStyle w:val="4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670924EA">
                    <w:pPr>
                      <w:pStyle w:val="4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48285" cy="131445"/>
              <wp:effectExtent l="0" t="0" r="1905" b="0"/>
              <wp:wrapNone/>
              <wp:docPr id="1"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48285" cy="131445"/>
                      </a:xfrm>
                      <a:prstGeom prst="rect">
                        <a:avLst/>
                      </a:prstGeom>
                      <a:noFill/>
                      <a:ln>
                        <a:noFill/>
                      </a:ln>
                    </wps:spPr>
                    <wps:txbx>
                      <w:txbxContent>
                        <w:p w14:paraId="7AB4EC52">
                          <w:pPr>
                            <w:pStyle w:val="46"/>
                            <w:ind w:left="210" w:leftChars="100"/>
                          </w:pP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19.55pt;mso-position-horizontal:outside;mso-position-horizontal-relative:margin;mso-wrap-style:none;z-index:251660288;mso-width-relative:page;mso-height-relative:page;" filled="f" stroked="f" coordsize="21600,21600" o:gfxdata="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qsSO0QAAAAMBAAAPAAAAAAAAAAEAIAAAACIAAABkcnMv&#10;ZG93bnJldi54bWxQSwECFAAUAAAACACHTuJAC+bhnwoCAAACBAAADgAAAAAAAAABACAAAAAgAQAA&#10;ZHJzL2Uyb0RvYy54bWxQSwUGAAAAAAYABgBZAQAAnAUAAAAA&#10;">
              <v:fill on="f" focussize="0,0"/>
              <v:stroke on="f"/>
              <v:imagedata o:title=""/>
              <o:lock v:ext="edit" aspectratio="f"/>
              <v:textbox inset="0mm,0mm,0mm,0mm" style="mso-fit-shape-to-text:t;">
                <w:txbxContent>
                  <w:p w14:paraId="7AB4EC52">
                    <w:pPr>
                      <w:pStyle w:val="46"/>
                      <w:ind w:left="210" w:leftChars="100"/>
                    </w:pPr>
                  </w:p>
                </w:txbxContent>
              </v:textbox>
            </v:shape>
          </w:pict>
        </mc:Fallback>
      </mc:AlternateContent>
    </w:r>
  </w:p>
  <w:p w14:paraId="361D23D1">
    <w:pPr>
      <w:pStyle w:val="46"/>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D502D">
    <w:pPr>
      <w:pStyle w:val="4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39417">
                          <w:pPr>
                            <w:pStyle w:val="4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3A439417">
                    <w:pPr>
                      <w:pStyle w:val="4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0E371">
    <w:pPr>
      <w:pStyle w:val="4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A77DF">
    <w:pPr>
      <w:pStyle w:val="4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1C49B">
    <w:pPr>
      <w:pStyle w:val="4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0CF37">
    <w:pPr>
      <w:pStyle w:val="46"/>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D744E">
                          <w:pPr>
                            <w:pStyle w:val="4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43BD744E">
                    <w:pPr>
                      <w:pStyle w:val="4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44DE6">
    <w:pPr>
      <w:pStyle w:val="4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7A36D">
                          <w:pPr>
                            <w:pStyle w:val="4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4617A36D">
                    <w:pPr>
                      <w:pStyle w:val="4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9817">
    <w:pPr>
      <w:pStyle w:val="46"/>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FBCB1">
                          <w:pPr>
                            <w:pStyle w:val="4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0EAFBCB1">
                    <w:pPr>
                      <w:pStyle w:val="4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54D7E">
    <w:pPr>
      <w:pStyle w:val="46"/>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473CF">
                          <w:pPr>
                            <w:pStyle w:val="4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14:paraId="2BD473CF">
                    <w:pPr>
                      <w:pStyle w:val="4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DE20">
    <w:pPr>
      <w:pStyle w:val="46"/>
      <w:ind w:right="210" w:rightChars="10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D9E23">
                          <w:pPr>
                            <w:pStyle w:val="4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2E7D9E23">
                    <w:pPr>
                      <w:pStyle w:val="46"/>
                    </w:pPr>
                    <w:r>
                      <w:fldChar w:fldCharType="begin"/>
                    </w:r>
                    <w:r>
                      <w:instrText xml:space="preserve"> PAGE  \* MERGEFORMAT </w:instrText>
                    </w:r>
                    <w:r>
                      <w:fldChar w:fldCharType="separate"/>
                    </w:r>
                    <w:r>
                      <w:t>1</w:t>
                    </w:r>
                    <w:r>
                      <w:fldChar w:fldCharType="end"/>
                    </w:r>
                  </w:p>
                </w:txbxContent>
              </v:textbox>
            </v:shape>
          </w:pict>
        </mc:Fallback>
      </mc:AlternateContent>
    </w:r>
  </w:p>
  <w:p w14:paraId="41929C0F">
    <w:pPr>
      <w:pStyle w:val="46"/>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CBE82">
    <w:pPr>
      <w:pStyle w:val="48"/>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A1DCF">
    <w:pPr>
      <w:pStyle w:val="48"/>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D717A">
    <w:pPr>
      <w:pStyle w:val="4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26F4A">
    <w:pPr>
      <w:pStyle w:val="4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70D">
    <w:pPr>
      <w:pStyle w:val="4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F612">
    <w:pPr>
      <w:pStyle w:val="48"/>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A148A">
    <w:pPr>
      <w:pStyle w:val="48"/>
      <w:pBdr>
        <w:bottom w:val="none" w:color="auto" w:sz="0" w:space="1"/>
      </w:pBdr>
    </w:pPr>
  </w:p>
  <w:p w14:paraId="35C60A59">
    <w:pPr>
      <w:pStyle w:val="48"/>
      <w:pBdr>
        <w:bottom w:val="none" w:color="auto" w:sz="0" w:space="1"/>
      </w:pBdr>
    </w:pPr>
  </w:p>
  <w:p w14:paraId="3A4ACA9A">
    <w:pPr>
      <w:pStyle w:val="48"/>
      <w:pBdr>
        <w:bottom w:val="none" w:color="auto" w:sz="0" w:space="1"/>
      </w:pBdr>
    </w:pPr>
  </w:p>
  <w:p w14:paraId="7C338E65">
    <w:pPr>
      <w:pStyle w:val="48"/>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A95CF">
    <w:pPr>
      <w:pStyle w:val="48"/>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E765B">
    <w:pPr>
      <w:pStyle w:val="48"/>
      <w:pBdr>
        <w:bottom w:val="none" w:color="auto" w:sz="0" w:space="1"/>
      </w:pBdr>
    </w:pPr>
  </w:p>
  <w:p w14:paraId="7788AECA">
    <w:pPr>
      <w:pStyle w:val="48"/>
      <w:pBdr>
        <w:bottom w:val="none" w:color="auto" w:sz="0" w:space="1"/>
      </w:pBdr>
    </w:pPr>
  </w:p>
  <w:p w14:paraId="0741CE66">
    <w:pPr>
      <w:pStyle w:val="48"/>
      <w:pBdr>
        <w:bottom w:val="none" w:color="auto" w:sz="0" w:space="1"/>
      </w:pBdr>
    </w:pPr>
  </w:p>
  <w:p w14:paraId="6EC123F4">
    <w:pPr>
      <w:pStyle w:val="48"/>
      <w:pBdr>
        <w:bottom w:val="none" w:color="auto" w:sz="0" w:space="1"/>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ECFEA">
    <w:pPr>
      <w:pStyle w:val="48"/>
      <w:pBdr>
        <w:bottom w:val="none" w:color="auto" w:sz="0" w:space="1"/>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9D248">
    <w:pPr>
      <w:pStyle w:val="4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EF6D0"/>
    <w:multiLevelType w:val="multilevel"/>
    <w:tmpl w:val="80AEF6D0"/>
    <w:lvl w:ilvl="0" w:tentative="0">
      <w:start w:val="1"/>
      <w:numFmt w:val="none"/>
      <w:lvlText w:val="1."/>
      <w:lvlJc w:val="left"/>
      <w:pPr>
        <w:ind w:left="425" w:hanging="425"/>
      </w:pPr>
      <w:rPr>
        <w:rFonts w:hint="default" w:ascii="宋体" w:hAnsi="宋体" w:eastAsia="宋体" w:cs="宋体"/>
      </w:rPr>
    </w:lvl>
    <w:lvl w:ilvl="1" w:tentative="0">
      <w:start w:val="1"/>
      <w:numFmt w:val="decimal"/>
      <w:suff w:val="space"/>
      <w:lvlText w:val="3.5.%2"/>
      <w:lvlJc w:val="left"/>
      <w:pPr>
        <w:tabs>
          <w:tab w:val="left" w:pos="0"/>
        </w:tabs>
        <w:ind w:left="0" w:firstLine="0"/>
      </w:pPr>
      <w:rPr>
        <w:rFonts w:hint="default" w:ascii="宋体" w:hAnsi="宋体" w:eastAsia="宋体" w:cs="宋体"/>
        <w:b/>
        <w:bCs/>
        <w:sz w:val="24"/>
        <w:szCs w:val="24"/>
      </w:rPr>
    </w:lvl>
    <w:lvl w:ilvl="2" w:tentative="0">
      <w:start w:val="1"/>
      <w:numFmt w:val="decimal"/>
      <w:lvlText w:val="1.1.%3"/>
      <w:lvlJc w:val="left"/>
      <w:pPr>
        <w:ind w:left="709" w:hanging="709"/>
      </w:pPr>
      <w:rPr>
        <w:rFonts w:hint="default" w:ascii="宋体" w:hAnsi="宋体" w:eastAsia="宋体" w:cs="宋体"/>
      </w:rPr>
    </w:lvl>
    <w:lvl w:ilvl="3" w:tentative="0">
      <w:start w:val="1"/>
      <w:numFmt w:val="decimal"/>
      <w:lvlText w:val="1.1.1.%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33C65E9"/>
    <w:multiLevelType w:val="singleLevel"/>
    <w:tmpl w:val="833C65E9"/>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2">
    <w:nsid w:val="85FE5DE6"/>
    <w:multiLevelType w:val="multilevel"/>
    <w:tmpl w:val="85FE5DE6"/>
    <w:lvl w:ilvl="0" w:tentative="0">
      <w:start w:val="3"/>
      <w:numFmt w:val="decimal"/>
      <w:lvlText w:val="3.1.%1"/>
      <w:lvlJc w:val="left"/>
      <w:pPr>
        <w:ind w:left="425" w:hanging="425"/>
      </w:pPr>
      <w:rPr>
        <w:rFonts w:hint="default" w:ascii="宋体" w:hAnsi="宋体" w:eastAsia="宋体" w:cs="宋体"/>
        <w:b/>
        <w:bCs/>
        <w:sz w:val="24"/>
        <w:szCs w:val="24"/>
      </w:rPr>
    </w:lvl>
    <w:lvl w:ilvl="1" w:tentative="0">
      <w:start w:val="1"/>
      <w:numFmt w:val="decimal"/>
      <w:suff w:val="space"/>
      <w:lvlText w:val="3.1.%2"/>
      <w:lvlJc w:val="left"/>
      <w:pPr>
        <w:tabs>
          <w:tab w:val="left" w:pos="0"/>
        </w:tabs>
        <w:ind w:left="0" w:firstLine="0"/>
      </w:pPr>
      <w:rPr>
        <w:rFonts w:hint="default" w:ascii="宋体" w:hAnsi="宋体" w:eastAsia="宋体" w:cs="宋体"/>
        <w:b/>
        <w:bCs/>
        <w:sz w:val="24"/>
        <w:szCs w:val="24"/>
      </w:rPr>
    </w:lvl>
    <w:lvl w:ilvl="2" w:tentative="0">
      <w:start w:val="1"/>
      <w:numFmt w:val="decimal"/>
      <w:lvlText w:val="1.1.%3"/>
      <w:lvlJc w:val="left"/>
      <w:pPr>
        <w:ind w:left="709" w:hanging="709"/>
      </w:pPr>
      <w:rPr>
        <w:rFonts w:hint="default" w:ascii="宋体" w:hAnsi="宋体" w:eastAsia="宋体" w:cs="宋体"/>
      </w:rPr>
    </w:lvl>
    <w:lvl w:ilvl="3" w:tentative="0">
      <w:start w:val="1"/>
      <w:numFmt w:val="decimal"/>
      <w:lvlText w:val="1.1.1.%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86206A8D"/>
    <w:multiLevelType w:val="multilevel"/>
    <w:tmpl w:val="86206A8D"/>
    <w:lvl w:ilvl="0" w:tentative="0">
      <w:start w:val="1"/>
      <w:numFmt w:val="none"/>
      <w:lvlText w:val="1."/>
      <w:lvlJc w:val="left"/>
      <w:pPr>
        <w:ind w:left="425" w:hanging="425"/>
      </w:pPr>
      <w:rPr>
        <w:rFonts w:hint="default" w:ascii="宋体" w:hAnsi="宋体" w:eastAsia="宋体" w:cs="宋体"/>
      </w:rPr>
    </w:lvl>
    <w:lvl w:ilvl="1" w:tentative="0">
      <w:start w:val="1"/>
      <w:numFmt w:val="decimal"/>
      <w:suff w:val="space"/>
      <w:lvlText w:val="3.1.%2"/>
      <w:lvlJc w:val="left"/>
      <w:pPr>
        <w:tabs>
          <w:tab w:val="left" w:pos="0"/>
        </w:tabs>
        <w:ind w:left="0" w:firstLine="0"/>
      </w:pPr>
      <w:rPr>
        <w:rFonts w:hint="default" w:ascii="宋体" w:hAnsi="宋体" w:eastAsia="宋体" w:cs="宋体"/>
        <w:b/>
        <w:bCs/>
        <w:sz w:val="24"/>
        <w:szCs w:val="24"/>
      </w:rPr>
    </w:lvl>
    <w:lvl w:ilvl="2" w:tentative="0">
      <w:start w:val="1"/>
      <w:numFmt w:val="decimal"/>
      <w:lvlText w:val="1.1.%3"/>
      <w:lvlJc w:val="left"/>
      <w:pPr>
        <w:ind w:left="709" w:hanging="709"/>
      </w:pPr>
      <w:rPr>
        <w:rFonts w:hint="default" w:ascii="宋体" w:hAnsi="宋体" w:eastAsia="宋体" w:cs="宋体"/>
      </w:rPr>
    </w:lvl>
    <w:lvl w:ilvl="3" w:tentative="0">
      <w:start w:val="1"/>
      <w:numFmt w:val="decimal"/>
      <w:lvlText w:val="1.1.1.%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88B10836"/>
    <w:multiLevelType w:val="multilevel"/>
    <w:tmpl w:val="88B10836"/>
    <w:lvl w:ilvl="0" w:tentative="0">
      <w:start w:val="1"/>
      <w:numFmt w:val="none"/>
      <w:lvlText w:val="1."/>
      <w:lvlJc w:val="left"/>
      <w:pPr>
        <w:ind w:left="425" w:hanging="425"/>
      </w:pPr>
      <w:rPr>
        <w:rFonts w:hint="default" w:ascii="宋体" w:hAnsi="宋体" w:eastAsia="宋体" w:cs="宋体"/>
      </w:rPr>
    </w:lvl>
    <w:lvl w:ilvl="1" w:tentative="0">
      <w:start w:val="1"/>
      <w:numFmt w:val="decimal"/>
      <w:suff w:val="space"/>
      <w:lvlText w:val="3.3.%2"/>
      <w:lvlJc w:val="left"/>
      <w:pPr>
        <w:tabs>
          <w:tab w:val="left" w:pos="0"/>
        </w:tabs>
        <w:ind w:left="0" w:firstLine="0"/>
      </w:pPr>
      <w:rPr>
        <w:rFonts w:hint="default" w:ascii="宋体" w:hAnsi="宋体" w:eastAsia="宋体" w:cs="宋体"/>
        <w:b/>
        <w:bCs/>
        <w:sz w:val="24"/>
        <w:szCs w:val="24"/>
      </w:rPr>
    </w:lvl>
    <w:lvl w:ilvl="2" w:tentative="0">
      <w:start w:val="1"/>
      <w:numFmt w:val="decimal"/>
      <w:lvlText w:val="1.1.%3"/>
      <w:lvlJc w:val="left"/>
      <w:pPr>
        <w:ind w:left="709" w:hanging="709"/>
      </w:pPr>
      <w:rPr>
        <w:rFonts w:hint="default" w:ascii="宋体" w:hAnsi="宋体" w:eastAsia="宋体" w:cs="宋体"/>
      </w:rPr>
    </w:lvl>
    <w:lvl w:ilvl="3" w:tentative="0">
      <w:start w:val="1"/>
      <w:numFmt w:val="decimal"/>
      <w:lvlText w:val="1.1.1.%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8DDDE590"/>
    <w:multiLevelType w:val="multilevel"/>
    <w:tmpl w:val="8DDDE590"/>
    <w:lvl w:ilvl="0" w:tentative="0">
      <w:start w:val="3"/>
      <w:numFmt w:val="decimal"/>
      <w:lvlText w:val="4.1.%1"/>
      <w:lvlJc w:val="left"/>
      <w:pPr>
        <w:ind w:left="0" w:firstLine="0"/>
      </w:pPr>
      <w:rPr>
        <w:rFonts w:hint="default" w:ascii="宋体" w:hAnsi="宋体" w:eastAsia="宋体" w:cs="宋体"/>
        <w:b/>
        <w:bCs/>
        <w:sz w:val="24"/>
        <w:szCs w:val="24"/>
      </w:rPr>
    </w:lvl>
    <w:lvl w:ilvl="1" w:tentative="0">
      <w:start w:val="3"/>
      <w:numFmt w:val="decimal"/>
      <w:lvlText w:val="4.1.%2"/>
      <w:lvlJc w:val="left"/>
      <w:pPr>
        <w:ind w:left="0" w:firstLine="0"/>
      </w:pPr>
      <w:rPr>
        <w:rFonts w:hint="default" w:ascii="宋体" w:hAnsi="宋体" w:eastAsia="宋体" w:cs="宋体"/>
      </w:rPr>
    </w:lvl>
    <w:lvl w:ilvl="2" w:tentative="0">
      <w:start w:val="1"/>
      <w:numFmt w:val="decimal"/>
      <w:lvlRestart w:val="1"/>
      <w:lvlText w:val="4.1.%3"/>
      <w:lvlJc w:val="left"/>
      <w:pPr>
        <w:ind w:left="0" w:firstLine="0"/>
      </w:pPr>
      <w:rPr>
        <w:rFonts w:hint="default" w:ascii="宋体" w:hAnsi="宋体" w:eastAsia="宋体" w:cs="宋体"/>
        <w:b/>
        <w:bCs/>
        <w:sz w:val="24"/>
        <w:szCs w:val="24"/>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8EF2F51B"/>
    <w:multiLevelType w:val="singleLevel"/>
    <w:tmpl w:val="8EF2F51B"/>
    <w:lvl w:ilvl="0" w:tentative="0">
      <w:start w:val="1"/>
      <w:numFmt w:val="decimal"/>
      <w:suff w:val="nothing"/>
      <w:lvlText w:val="%1．"/>
      <w:lvlJc w:val="left"/>
      <w:pPr>
        <w:ind w:left="0" w:firstLine="400"/>
      </w:pPr>
      <w:rPr>
        <w:rFonts w:hint="default"/>
      </w:rPr>
    </w:lvl>
  </w:abstractNum>
  <w:abstractNum w:abstractNumId="7">
    <w:nsid w:val="9166D712"/>
    <w:multiLevelType w:val="singleLevel"/>
    <w:tmpl w:val="9166D712"/>
    <w:lvl w:ilvl="0" w:tentative="0">
      <w:start w:val="1"/>
      <w:numFmt w:val="decimal"/>
      <w:lvlText w:val="    %1"/>
      <w:lvlJc w:val="left"/>
      <w:pPr>
        <w:tabs>
          <w:tab w:val="left" w:pos="420"/>
        </w:tabs>
        <w:ind w:left="0" w:firstLine="0"/>
      </w:pPr>
      <w:rPr>
        <w:rFonts w:hint="default" w:ascii="宋体" w:hAnsi="宋体" w:eastAsia="宋体" w:cs="宋体"/>
      </w:rPr>
    </w:lvl>
  </w:abstractNum>
  <w:abstractNum w:abstractNumId="8">
    <w:nsid w:val="9AB6234A"/>
    <w:multiLevelType w:val="singleLevel"/>
    <w:tmpl w:val="9AB6234A"/>
    <w:lvl w:ilvl="0" w:tentative="0">
      <w:start w:val="1"/>
      <w:numFmt w:val="decimal"/>
      <w:lvlText w:val="    %1"/>
      <w:lvlJc w:val="left"/>
      <w:pPr>
        <w:tabs>
          <w:tab w:val="left" w:pos="420"/>
        </w:tabs>
        <w:ind w:left="0" w:firstLine="0"/>
      </w:pPr>
      <w:rPr>
        <w:rFonts w:hint="default" w:ascii="楷体" w:hAnsi="楷体" w:eastAsia="楷体" w:cs="楷体"/>
      </w:rPr>
    </w:lvl>
  </w:abstractNum>
  <w:abstractNum w:abstractNumId="9">
    <w:nsid w:val="9BF5EDFC"/>
    <w:multiLevelType w:val="singleLevel"/>
    <w:tmpl w:val="9BF5EDFC"/>
    <w:lvl w:ilvl="0" w:tentative="0">
      <w:start w:val="1"/>
      <w:numFmt w:val="decimal"/>
      <w:lvlText w:val="4.%1"/>
      <w:lvlJc w:val="left"/>
      <w:pPr>
        <w:tabs>
          <w:tab w:val="left" w:pos="420"/>
        </w:tabs>
        <w:ind w:left="425" w:hanging="425"/>
      </w:pPr>
      <w:rPr>
        <w:rFonts w:hint="default" w:ascii="宋体" w:hAnsi="宋体" w:eastAsia="微软雅黑" w:cs="微软雅黑"/>
        <w:b/>
        <w:bCs/>
        <w:sz w:val="28"/>
        <w:szCs w:val="28"/>
      </w:rPr>
    </w:lvl>
  </w:abstractNum>
  <w:abstractNum w:abstractNumId="10">
    <w:nsid w:val="9D7F81DF"/>
    <w:multiLevelType w:val="multilevel"/>
    <w:tmpl w:val="9D7F81DF"/>
    <w:lvl w:ilvl="0" w:tentative="0">
      <w:start w:val="1"/>
      <w:numFmt w:val="none"/>
      <w:lvlText w:val="1."/>
      <w:lvlJc w:val="left"/>
      <w:pPr>
        <w:ind w:left="425" w:hanging="425"/>
      </w:pPr>
      <w:rPr>
        <w:rFonts w:hint="default" w:ascii="宋体" w:hAnsi="宋体" w:eastAsia="宋体" w:cs="宋体"/>
      </w:rPr>
    </w:lvl>
    <w:lvl w:ilvl="1" w:tentative="0">
      <w:start w:val="1"/>
      <w:numFmt w:val="decimal"/>
      <w:suff w:val="space"/>
      <w:lvlText w:val="1.0.%2"/>
      <w:lvlJc w:val="left"/>
      <w:pPr>
        <w:tabs>
          <w:tab w:val="left" w:pos="0"/>
        </w:tabs>
        <w:ind w:left="0" w:firstLine="0"/>
      </w:pPr>
      <w:rPr>
        <w:rFonts w:hint="default" w:ascii="宋体" w:hAnsi="宋体" w:eastAsia="宋体" w:cs="宋体"/>
        <w:b/>
        <w:bCs/>
        <w:sz w:val="24"/>
        <w:szCs w:val="24"/>
      </w:rPr>
    </w:lvl>
    <w:lvl w:ilvl="2" w:tentative="0">
      <w:start w:val="1"/>
      <w:numFmt w:val="decimal"/>
      <w:lvlText w:val="1.1.%3"/>
      <w:lvlJc w:val="left"/>
      <w:pPr>
        <w:ind w:left="709" w:hanging="709"/>
      </w:pPr>
      <w:rPr>
        <w:rFonts w:hint="default" w:ascii="宋体" w:hAnsi="宋体" w:eastAsia="宋体" w:cs="宋体"/>
      </w:rPr>
    </w:lvl>
    <w:lvl w:ilvl="3" w:tentative="0">
      <w:start w:val="1"/>
      <w:numFmt w:val="decimal"/>
      <w:lvlText w:val="1.1.1.%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9F3157D1"/>
    <w:multiLevelType w:val="singleLevel"/>
    <w:tmpl w:val="9F3157D1"/>
    <w:lvl w:ilvl="0" w:tentative="0">
      <w:start w:val="1"/>
      <w:numFmt w:val="decimal"/>
      <w:lvlText w:val="E.0.%1 "/>
      <w:lvlJc w:val="left"/>
      <w:pPr>
        <w:tabs>
          <w:tab w:val="left" w:pos="420"/>
        </w:tabs>
        <w:ind w:left="0" w:firstLine="0"/>
      </w:pPr>
      <w:rPr>
        <w:rFonts w:hint="default" w:ascii="宋体" w:hAnsi="宋体" w:eastAsia="宋体" w:cs="宋体"/>
        <w:b/>
        <w:bCs/>
        <w:color w:val="auto"/>
        <w:sz w:val="24"/>
        <w:szCs w:val="24"/>
      </w:rPr>
    </w:lvl>
  </w:abstractNum>
  <w:abstractNum w:abstractNumId="12">
    <w:nsid w:val="9F887CB3"/>
    <w:multiLevelType w:val="singleLevel"/>
    <w:tmpl w:val="9F887CB3"/>
    <w:lvl w:ilvl="0" w:tentative="0">
      <w:start w:val="1"/>
      <w:numFmt w:val="decimal"/>
      <w:lvlText w:val="7.2.%1"/>
      <w:lvlJc w:val="left"/>
      <w:pPr>
        <w:tabs>
          <w:tab w:val="left" w:pos="420"/>
        </w:tabs>
        <w:ind w:left="0" w:firstLine="0"/>
      </w:pPr>
      <w:rPr>
        <w:rFonts w:hint="default" w:ascii="宋体" w:hAnsi="宋体" w:eastAsia="宋体" w:cs="宋体"/>
        <w:b/>
        <w:bCs/>
        <w:sz w:val="24"/>
        <w:szCs w:val="24"/>
      </w:rPr>
    </w:lvl>
  </w:abstractNum>
  <w:abstractNum w:abstractNumId="13">
    <w:nsid w:val="AED4F75A"/>
    <w:multiLevelType w:val="singleLevel"/>
    <w:tmpl w:val="AED4F75A"/>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14">
    <w:nsid w:val="AF7B2786"/>
    <w:multiLevelType w:val="singleLevel"/>
    <w:tmpl w:val="AF7B2786"/>
    <w:lvl w:ilvl="0" w:tentative="0">
      <w:start w:val="1"/>
      <w:numFmt w:val="decimal"/>
      <w:lvlText w:val="7.1.%1"/>
      <w:lvlJc w:val="left"/>
      <w:pPr>
        <w:tabs>
          <w:tab w:val="left" w:pos="420"/>
        </w:tabs>
        <w:ind w:left="0" w:firstLine="0"/>
      </w:pPr>
      <w:rPr>
        <w:rFonts w:hint="default" w:ascii="宋体" w:hAnsi="宋体" w:eastAsia="宋体" w:cs="宋体"/>
        <w:b/>
        <w:bCs/>
        <w:sz w:val="24"/>
        <w:szCs w:val="24"/>
      </w:rPr>
    </w:lvl>
  </w:abstractNum>
  <w:abstractNum w:abstractNumId="15">
    <w:nsid w:val="B16D6C87"/>
    <w:multiLevelType w:val="singleLevel"/>
    <w:tmpl w:val="B16D6C87"/>
    <w:lvl w:ilvl="0" w:tentative="0">
      <w:start w:val="1"/>
      <w:numFmt w:val="decimal"/>
      <w:lvlText w:val="D.0.%1 "/>
      <w:lvlJc w:val="left"/>
      <w:pPr>
        <w:tabs>
          <w:tab w:val="left" w:pos="420"/>
        </w:tabs>
        <w:ind w:left="0" w:firstLine="0"/>
      </w:pPr>
      <w:rPr>
        <w:rFonts w:hint="default" w:ascii="宋体" w:hAnsi="宋体" w:eastAsia="宋体" w:cs="宋体"/>
        <w:b/>
        <w:bCs/>
        <w:color w:val="auto"/>
        <w:sz w:val="24"/>
        <w:szCs w:val="24"/>
      </w:rPr>
    </w:lvl>
  </w:abstractNum>
  <w:abstractNum w:abstractNumId="16">
    <w:nsid w:val="B6638B48"/>
    <w:multiLevelType w:val="singleLevel"/>
    <w:tmpl w:val="B6638B48"/>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17">
    <w:nsid w:val="BC8968DE"/>
    <w:multiLevelType w:val="multilevel"/>
    <w:tmpl w:val="BC8968DE"/>
    <w:lvl w:ilvl="0" w:tentative="0">
      <w:start w:val="6"/>
      <w:numFmt w:val="decimal"/>
      <w:isLgl/>
      <w:suff w:val="space"/>
      <w:lvlText w:val="%1."/>
      <w:lvlJc w:val="left"/>
      <w:pPr>
        <w:tabs>
          <w:tab w:val="left" w:pos="0"/>
        </w:tabs>
        <w:ind w:left="1021" w:hanging="1021"/>
      </w:pPr>
      <w:rPr>
        <w:rFonts w:hint="default" w:ascii="宋体" w:hAnsi="宋体" w:eastAsia="宋体" w:cs="宋体"/>
        <w:b/>
        <w:bCs/>
        <w:sz w:val="28"/>
        <w:szCs w:val="28"/>
      </w:rPr>
    </w:lvl>
    <w:lvl w:ilvl="1" w:tentative="0">
      <w:start w:val="1"/>
      <w:numFmt w:val="decimal"/>
      <w:suff w:val="space"/>
      <w:lvlText w:val="%1.%2"/>
      <w:lvlJc w:val="left"/>
      <w:pPr>
        <w:tabs>
          <w:tab w:val="left" w:pos="0"/>
        </w:tabs>
        <w:ind w:left="435" w:hanging="435"/>
      </w:pPr>
      <w:rPr>
        <w:rFonts w:hint="default" w:ascii="宋体" w:hAnsi="宋体" w:eastAsia="宋体" w:cs="宋体"/>
        <w:b/>
        <w:bCs/>
        <w:color w:val="000000"/>
        <w:sz w:val="28"/>
        <w:szCs w:val="28"/>
      </w:rPr>
    </w:lvl>
    <w:lvl w:ilvl="2" w:tentative="0">
      <w:start w:val="1"/>
      <w:numFmt w:val="decimal"/>
      <w:suff w:val="space"/>
      <w:lvlText w:val="%1.%2.%3"/>
      <w:lvlJc w:val="left"/>
      <w:pPr>
        <w:tabs>
          <w:tab w:val="left" w:pos="0"/>
        </w:tabs>
        <w:ind w:left="17" w:hanging="17"/>
      </w:pPr>
      <w:rPr>
        <w:rFonts w:hint="default" w:ascii="宋体" w:hAnsi="宋体" w:eastAsia="宋体" w:cs="宋体"/>
        <w:sz w:val="24"/>
        <w:szCs w:val="24"/>
      </w:rPr>
    </w:lvl>
    <w:lvl w:ilvl="3" w:tentative="0">
      <w:start w:val="1"/>
      <w:numFmt w:val="decimal"/>
      <w:suff w:val="space"/>
      <w:lvlText w:val="%1.%2.%3.%4"/>
      <w:lvlJc w:val="left"/>
      <w:pPr>
        <w:ind w:left="864" w:hanging="864"/>
      </w:pPr>
      <w:rPr>
        <w:rFonts w:hint="eastAsia"/>
      </w:rPr>
    </w:lvl>
    <w:lvl w:ilvl="4" w:tentative="0">
      <w:start w:val="1"/>
      <w:numFmt w:val="decimal"/>
      <w:isLgl/>
      <w:suff w:val="space"/>
      <w:lvlText w:val="%5."/>
      <w:lvlJc w:val="left"/>
      <w:pPr>
        <w:ind w:left="1008" w:hanging="1008"/>
      </w:pPr>
      <w:rPr>
        <w:rFonts w:hint="eastAsia"/>
      </w:rPr>
    </w:lvl>
    <w:lvl w:ilvl="5" w:tentative="0">
      <w:start w:val="1"/>
      <w:numFmt w:val="decimal"/>
      <w:suff w:val="space"/>
      <w:lvlText w:val="(%6)"/>
      <w:lvlJc w:val="left"/>
      <w:pPr>
        <w:ind w:left="1152" w:hanging="1152"/>
      </w:pPr>
      <w:rPr>
        <w:rFonts w:hint="eastAsia"/>
      </w:rPr>
    </w:lvl>
    <w:lvl w:ilvl="6" w:tentative="0">
      <w:start w:val="1"/>
      <w:numFmt w:val="decimal"/>
      <w:suff w:val="space"/>
      <w:lvlText w:val="%6.%1.%2.%3.%4.%5.%7"/>
      <w:lvlJc w:val="left"/>
      <w:pPr>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8">
    <w:nsid w:val="BF79D3F5"/>
    <w:multiLevelType w:val="multilevel"/>
    <w:tmpl w:val="BF79D3F5"/>
    <w:lvl w:ilvl="0" w:tentative="0">
      <w:start w:val="1"/>
      <w:numFmt w:val="none"/>
      <w:lvlText w:val="1."/>
      <w:lvlJc w:val="left"/>
      <w:pPr>
        <w:ind w:left="425" w:hanging="425"/>
      </w:pPr>
      <w:rPr>
        <w:rFonts w:hint="default" w:ascii="宋体" w:hAnsi="宋体" w:eastAsia="宋体" w:cs="宋体"/>
      </w:rPr>
    </w:lvl>
    <w:lvl w:ilvl="1" w:tentative="0">
      <w:start w:val="1"/>
      <w:numFmt w:val="decimal"/>
      <w:suff w:val="space"/>
      <w:lvlText w:val="3.2.%2"/>
      <w:lvlJc w:val="left"/>
      <w:pPr>
        <w:tabs>
          <w:tab w:val="left" w:pos="0"/>
        </w:tabs>
        <w:ind w:left="0" w:firstLine="0"/>
      </w:pPr>
      <w:rPr>
        <w:rFonts w:hint="default" w:ascii="宋体" w:hAnsi="宋体" w:eastAsia="宋体" w:cs="宋体"/>
        <w:b/>
        <w:bCs/>
        <w:sz w:val="24"/>
        <w:szCs w:val="24"/>
      </w:rPr>
    </w:lvl>
    <w:lvl w:ilvl="2" w:tentative="0">
      <w:start w:val="1"/>
      <w:numFmt w:val="decimal"/>
      <w:lvlText w:val="1.1.%3"/>
      <w:lvlJc w:val="left"/>
      <w:pPr>
        <w:ind w:left="709" w:hanging="709"/>
      </w:pPr>
      <w:rPr>
        <w:rFonts w:hint="default" w:ascii="宋体" w:hAnsi="宋体" w:eastAsia="宋体" w:cs="宋体"/>
      </w:rPr>
    </w:lvl>
    <w:lvl w:ilvl="3" w:tentative="0">
      <w:start w:val="1"/>
      <w:numFmt w:val="decimal"/>
      <w:lvlText w:val="1.1.1.%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C1BFD467"/>
    <w:multiLevelType w:val="singleLevel"/>
    <w:tmpl w:val="C1BFD467"/>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20">
    <w:nsid w:val="C6C6A043"/>
    <w:multiLevelType w:val="singleLevel"/>
    <w:tmpl w:val="C6C6A043"/>
    <w:lvl w:ilvl="0" w:tentative="0">
      <w:start w:val="1"/>
      <w:numFmt w:val="decimal"/>
      <w:suff w:val="nothing"/>
      <w:lvlText w:val="%1．"/>
      <w:lvlJc w:val="left"/>
      <w:pPr>
        <w:ind w:left="0" w:firstLine="400"/>
      </w:pPr>
      <w:rPr>
        <w:rFonts w:hint="default"/>
      </w:rPr>
    </w:lvl>
  </w:abstractNum>
  <w:abstractNum w:abstractNumId="21">
    <w:nsid w:val="C89745EE"/>
    <w:multiLevelType w:val="multilevel"/>
    <w:tmpl w:val="C89745EE"/>
    <w:lvl w:ilvl="0" w:tentative="0">
      <w:start w:val="2"/>
      <w:numFmt w:val="none"/>
      <w:lvlText w:val="4."/>
      <w:lvlJc w:val="left"/>
      <w:pPr>
        <w:ind w:left="432" w:hanging="432"/>
      </w:pPr>
      <w:rPr>
        <w:rFonts w:hint="default" w:ascii="宋体" w:hAnsi="宋体" w:eastAsia="宋体" w:cs="宋体"/>
      </w:rPr>
    </w:lvl>
    <w:lvl w:ilvl="1" w:tentative="0">
      <w:start w:val="1"/>
      <w:numFmt w:val="decimal"/>
      <w:lvlText w:val="2.1.%2"/>
      <w:lvlJc w:val="left"/>
      <w:pPr>
        <w:ind w:left="0" w:firstLine="0"/>
      </w:pPr>
      <w:rPr>
        <w:rFonts w:hint="default" w:ascii="宋体" w:hAnsi="宋体" w:eastAsia="宋体" w:cs="宋体"/>
      </w:rPr>
    </w:lvl>
    <w:lvl w:ilvl="2" w:tentative="0">
      <w:start w:val="1"/>
      <w:numFmt w:val="decimal"/>
      <w:lvlRestart w:val="1"/>
      <w:lvlText w:val="4.1.%3"/>
      <w:lvlJc w:val="left"/>
      <w:pPr>
        <w:ind w:left="0" w:firstLine="0"/>
      </w:pPr>
      <w:rPr>
        <w:rFonts w:hint="default" w:ascii="宋体" w:hAnsi="宋体" w:eastAsia="宋体" w:cs="宋体"/>
        <w:b/>
        <w:bCs/>
        <w:sz w:val="24"/>
        <w:szCs w:val="24"/>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2">
    <w:nsid w:val="C94FC5F4"/>
    <w:multiLevelType w:val="singleLevel"/>
    <w:tmpl w:val="C94FC5F4"/>
    <w:lvl w:ilvl="0" w:tentative="0">
      <w:start w:val="3"/>
      <w:numFmt w:val="decimal"/>
      <w:lvlText w:val="D.0.%1 "/>
      <w:lvlJc w:val="left"/>
      <w:pPr>
        <w:tabs>
          <w:tab w:val="left" w:pos="420"/>
        </w:tabs>
        <w:ind w:left="0" w:firstLine="0"/>
      </w:pPr>
      <w:rPr>
        <w:rFonts w:hint="default" w:ascii="宋体" w:hAnsi="宋体" w:eastAsia="宋体" w:cs="宋体"/>
        <w:b/>
        <w:bCs/>
        <w:color w:val="auto"/>
        <w:sz w:val="24"/>
        <w:szCs w:val="24"/>
      </w:rPr>
    </w:lvl>
  </w:abstractNum>
  <w:abstractNum w:abstractNumId="23">
    <w:nsid w:val="D42F356B"/>
    <w:multiLevelType w:val="singleLevel"/>
    <w:tmpl w:val="D42F356B"/>
    <w:lvl w:ilvl="0" w:tentative="0">
      <w:start w:val="1"/>
      <w:numFmt w:val="decimal"/>
      <w:lvlText w:val="6.2.%1"/>
      <w:lvlJc w:val="left"/>
      <w:pPr>
        <w:tabs>
          <w:tab w:val="left" w:pos="420"/>
        </w:tabs>
        <w:ind w:left="425" w:hanging="425"/>
      </w:pPr>
      <w:rPr>
        <w:rFonts w:hint="default" w:ascii="宋体" w:hAnsi="宋体" w:eastAsia="宋体" w:cs="宋体"/>
        <w:b/>
        <w:bCs/>
        <w:sz w:val="24"/>
        <w:szCs w:val="24"/>
      </w:rPr>
    </w:lvl>
  </w:abstractNum>
  <w:abstractNum w:abstractNumId="24">
    <w:nsid w:val="D9312E5D"/>
    <w:multiLevelType w:val="singleLevel"/>
    <w:tmpl w:val="D9312E5D"/>
    <w:lvl w:ilvl="0" w:tentative="0">
      <w:start w:val="1"/>
      <w:numFmt w:val="decimal"/>
      <w:lvlText w:val="A.0.%1 "/>
      <w:lvlJc w:val="left"/>
      <w:pPr>
        <w:tabs>
          <w:tab w:val="left" w:pos="420"/>
        </w:tabs>
        <w:ind w:left="0" w:firstLine="0"/>
      </w:pPr>
      <w:rPr>
        <w:rFonts w:hint="default" w:ascii="宋体" w:hAnsi="宋体" w:eastAsia="宋体" w:cs="宋体"/>
        <w:b/>
        <w:bCs/>
        <w:color w:val="auto"/>
        <w:sz w:val="24"/>
        <w:szCs w:val="24"/>
      </w:rPr>
    </w:lvl>
  </w:abstractNum>
  <w:abstractNum w:abstractNumId="25">
    <w:nsid w:val="DAD9B112"/>
    <w:multiLevelType w:val="singleLevel"/>
    <w:tmpl w:val="DAD9B112"/>
    <w:lvl w:ilvl="0" w:tentative="0">
      <w:start w:val="1"/>
      <w:numFmt w:val="decimal"/>
      <w:lvlText w:val="5.1.%1"/>
      <w:lvlJc w:val="left"/>
      <w:pPr>
        <w:tabs>
          <w:tab w:val="left" w:pos="420"/>
        </w:tabs>
        <w:ind w:left="425" w:hanging="425"/>
      </w:pPr>
      <w:rPr>
        <w:rFonts w:hint="default" w:ascii="宋体" w:hAnsi="宋体" w:eastAsia="宋体" w:cs="宋体"/>
        <w:b/>
        <w:bCs/>
        <w:color w:val="auto"/>
        <w:sz w:val="24"/>
        <w:szCs w:val="24"/>
      </w:rPr>
    </w:lvl>
  </w:abstractNum>
  <w:abstractNum w:abstractNumId="26">
    <w:nsid w:val="DE927789"/>
    <w:multiLevelType w:val="singleLevel"/>
    <w:tmpl w:val="DE927789"/>
    <w:lvl w:ilvl="0" w:tentative="0">
      <w:start w:val="6"/>
      <w:numFmt w:val="decimal"/>
      <w:lvlText w:val="5.2.%1"/>
      <w:lvlJc w:val="left"/>
      <w:pPr>
        <w:tabs>
          <w:tab w:val="left" w:pos="420"/>
        </w:tabs>
        <w:ind w:left="0" w:firstLine="0"/>
      </w:pPr>
      <w:rPr>
        <w:rFonts w:hint="default" w:ascii="宋体" w:hAnsi="宋体" w:eastAsia="宋体" w:cs="宋体"/>
        <w:b/>
        <w:bCs/>
        <w:color w:val="auto"/>
        <w:sz w:val="24"/>
        <w:szCs w:val="24"/>
      </w:rPr>
    </w:lvl>
  </w:abstractNum>
  <w:abstractNum w:abstractNumId="27">
    <w:nsid w:val="E0181F64"/>
    <w:multiLevelType w:val="singleLevel"/>
    <w:tmpl w:val="E0181F64"/>
    <w:lvl w:ilvl="0" w:tentative="0">
      <w:start w:val="1"/>
      <w:numFmt w:val="decimal"/>
      <w:lvlText w:val="6.4.%1"/>
      <w:lvlJc w:val="left"/>
      <w:pPr>
        <w:tabs>
          <w:tab w:val="left" w:pos="420"/>
        </w:tabs>
        <w:ind w:left="425" w:hanging="425"/>
      </w:pPr>
      <w:rPr>
        <w:rFonts w:hint="default" w:ascii="宋体" w:hAnsi="宋体" w:eastAsia="宋体" w:cs="宋体"/>
        <w:b/>
        <w:bCs/>
        <w:strike w:val="0"/>
        <w:dstrike w:val="0"/>
        <w:sz w:val="24"/>
        <w:szCs w:val="24"/>
      </w:rPr>
    </w:lvl>
  </w:abstractNum>
  <w:abstractNum w:abstractNumId="28">
    <w:nsid w:val="E0600DAD"/>
    <w:multiLevelType w:val="singleLevel"/>
    <w:tmpl w:val="E0600DAD"/>
    <w:lvl w:ilvl="0" w:tentative="0">
      <w:start w:val="1"/>
      <w:numFmt w:val="decimal"/>
      <w:lvlText w:val="C.0.%1 "/>
      <w:lvlJc w:val="left"/>
      <w:pPr>
        <w:tabs>
          <w:tab w:val="left" w:pos="420"/>
        </w:tabs>
        <w:ind w:left="0" w:firstLine="0"/>
      </w:pPr>
      <w:rPr>
        <w:rFonts w:hint="default" w:ascii="宋体" w:hAnsi="宋体" w:eastAsia="宋体" w:cs="宋体"/>
        <w:b/>
        <w:bCs/>
        <w:color w:val="auto"/>
        <w:sz w:val="24"/>
        <w:szCs w:val="24"/>
      </w:rPr>
    </w:lvl>
  </w:abstractNum>
  <w:abstractNum w:abstractNumId="29">
    <w:nsid w:val="E1D19631"/>
    <w:multiLevelType w:val="singleLevel"/>
    <w:tmpl w:val="E1D19631"/>
    <w:lvl w:ilvl="0" w:tentative="0">
      <w:start w:val="1"/>
      <w:numFmt w:val="decimal"/>
      <w:lvlText w:val="    %1"/>
      <w:lvlJc w:val="left"/>
      <w:pPr>
        <w:tabs>
          <w:tab w:val="left" w:pos="420"/>
        </w:tabs>
        <w:ind w:left="0" w:firstLine="0"/>
      </w:pPr>
      <w:rPr>
        <w:rFonts w:hint="default" w:ascii="宋体" w:hAnsi="宋体" w:eastAsia="宋体" w:cs="宋体"/>
      </w:rPr>
    </w:lvl>
  </w:abstractNum>
  <w:abstractNum w:abstractNumId="30">
    <w:nsid w:val="E9000FDF"/>
    <w:multiLevelType w:val="singleLevel"/>
    <w:tmpl w:val="E9000FDF"/>
    <w:lvl w:ilvl="0" w:tentative="0">
      <w:start w:val="3"/>
      <w:numFmt w:val="decimal"/>
      <w:lvlText w:val="E.0.%1 "/>
      <w:lvlJc w:val="left"/>
      <w:pPr>
        <w:tabs>
          <w:tab w:val="left" w:pos="420"/>
        </w:tabs>
        <w:ind w:left="0" w:firstLine="0"/>
      </w:pPr>
      <w:rPr>
        <w:rFonts w:hint="default" w:ascii="宋体" w:hAnsi="宋体" w:eastAsia="宋体" w:cs="宋体"/>
        <w:b/>
        <w:bCs/>
        <w:color w:val="auto"/>
        <w:sz w:val="24"/>
        <w:szCs w:val="24"/>
      </w:rPr>
    </w:lvl>
  </w:abstractNum>
  <w:abstractNum w:abstractNumId="31">
    <w:nsid w:val="EE3EA71F"/>
    <w:multiLevelType w:val="singleLevel"/>
    <w:tmpl w:val="EE3EA71F"/>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32">
    <w:nsid w:val="F0A1566D"/>
    <w:multiLevelType w:val="singleLevel"/>
    <w:tmpl w:val="F0A1566D"/>
    <w:lvl w:ilvl="0" w:tentative="0">
      <w:start w:val="2"/>
      <w:numFmt w:val="decimal"/>
      <w:lvlText w:val="%1."/>
      <w:lvlJc w:val="left"/>
      <w:pPr>
        <w:tabs>
          <w:tab w:val="left" w:pos="420"/>
        </w:tabs>
        <w:ind w:left="425" w:hanging="425"/>
      </w:pPr>
      <w:rPr>
        <w:rFonts w:hint="default" w:eastAsia="微软雅黑"/>
        <w:b/>
        <w:bCs/>
        <w:sz w:val="32"/>
        <w:szCs w:val="32"/>
      </w:rPr>
    </w:lvl>
  </w:abstractNum>
  <w:abstractNum w:abstractNumId="33">
    <w:nsid w:val="F9A80FA6"/>
    <w:multiLevelType w:val="multilevel"/>
    <w:tmpl w:val="F9A80FA6"/>
    <w:lvl w:ilvl="0" w:tentative="0">
      <w:start w:val="8"/>
      <w:numFmt w:val="decimal"/>
      <w:lvlText w:val="%1"/>
      <w:lvlJc w:val="left"/>
      <w:pPr>
        <w:ind w:left="832" w:hanging="315"/>
      </w:pPr>
      <w:rPr>
        <w:rFonts w:hint="default" w:ascii="宋体" w:hAnsi="宋体" w:eastAsia="宋体" w:cs="宋体"/>
        <w:w w:val="99"/>
        <w:sz w:val="24"/>
        <w:szCs w:val="24"/>
        <w:lang w:val="en-US" w:eastAsia="en-US" w:bidi="en-US"/>
      </w:rPr>
    </w:lvl>
    <w:lvl w:ilvl="1" w:tentative="0">
      <w:start w:val="1"/>
      <w:numFmt w:val="decimal"/>
      <w:lvlText w:val="%1.%2"/>
      <w:lvlJc w:val="left"/>
      <w:pPr>
        <w:ind w:left="834" w:hanging="317"/>
      </w:pPr>
      <w:rPr>
        <w:rFonts w:hint="default" w:ascii="黑体" w:hAnsi="黑体" w:eastAsia="黑体" w:cs="黑体"/>
        <w:spacing w:val="0"/>
        <w:w w:val="99"/>
        <w:sz w:val="19"/>
        <w:szCs w:val="19"/>
        <w:lang w:val="en-US" w:eastAsia="en-US" w:bidi="en-US"/>
      </w:rPr>
    </w:lvl>
    <w:lvl w:ilvl="2" w:tentative="0">
      <w:start w:val="1"/>
      <w:numFmt w:val="decimal"/>
      <w:lvlText w:val="8.0.%3"/>
      <w:lvlJc w:val="left"/>
      <w:pPr>
        <w:ind w:left="517" w:hanging="508"/>
      </w:pPr>
      <w:rPr>
        <w:rFonts w:hint="default" w:ascii="宋体" w:hAnsi="宋体" w:eastAsia="宋体" w:cs="宋体"/>
        <w:b/>
        <w:bCs/>
        <w:spacing w:val="-2"/>
        <w:w w:val="99"/>
        <w:sz w:val="24"/>
        <w:szCs w:val="24"/>
        <w:lang w:val="en-US" w:eastAsia="en-US" w:bidi="en-US"/>
      </w:rPr>
    </w:lvl>
    <w:lvl w:ilvl="3" w:tentative="0">
      <w:start w:val="1"/>
      <w:numFmt w:val="lowerLetter"/>
      <w:lvlText w:val="%4)"/>
      <w:lvlJc w:val="left"/>
      <w:pPr>
        <w:ind w:left="1504" w:hanging="420"/>
      </w:pPr>
      <w:rPr>
        <w:rFonts w:hint="default" w:ascii="宋体" w:hAnsi="宋体" w:eastAsia="宋体" w:cs="宋体"/>
        <w:spacing w:val="0"/>
        <w:w w:val="99"/>
        <w:sz w:val="20"/>
        <w:szCs w:val="20"/>
        <w:lang w:val="en-US" w:eastAsia="en-US" w:bidi="en-US"/>
      </w:rPr>
    </w:lvl>
    <w:lvl w:ilvl="4" w:tentative="0">
      <w:start w:val="0"/>
      <w:numFmt w:val="bullet"/>
      <w:lvlText w:val="•"/>
      <w:lvlJc w:val="left"/>
      <w:pPr>
        <w:ind w:left="1260" w:hanging="420"/>
      </w:pPr>
      <w:rPr>
        <w:rFonts w:hint="default"/>
        <w:lang w:val="en-US" w:eastAsia="en-US" w:bidi="en-US"/>
      </w:rPr>
    </w:lvl>
    <w:lvl w:ilvl="5" w:tentative="0">
      <w:start w:val="0"/>
      <w:numFmt w:val="bullet"/>
      <w:lvlText w:val="•"/>
      <w:lvlJc w:val="left"/>
      <w:pPr>
        <w:ind w:left="1360" w:hanging="420"/>
      </w:pPr>
      <w:rPr>
        <w:rFonts w:hint="default"/>
        <w:lang w:val="en-US" w:eastAsia="en-US" w:bidi="en-US"/>
      </w:rPr>
    </w:lvl>
    <w:lvl w:ilvl="6" w:tentative="0">
      <w:start w:val="0"/>
      <w:numFmt w:val="bullet"/>
      <w:lvlText w:val="•"/>
      <w:lvlJc w:val="left"/>
      <w:pPr>
        <w:ind w:left="1500" w:hanging="420"/>
      </w:pPr>
      <w:rPr>
        <w:rFonts w:hint="default"/>
        <w:lang w:val="en-US" w:eastAsia="en-US" w:bidi="en-US"/>
      </w:rPr>
    </w:lvl>
    <w:lvl w:ilvl="7" w:tentative="0">
      <w:start w:val="0"/>
      <w:numFmt w:val="bullet"/>
      <w:lvlText w:val="•"/>
      <w:lvlJc w:val="left"/>
      <w:pPr>
        <w:ind w:left="1358" w:hanging="420"/>
      </w:pPr>
      <w:rPr>
        <w:rFonts w:hint="default"/>
        <w:lang w:val="en-US" w:eastAsia="en-US" w:bidi="en-US"/>
      </w:rPr>
    </w:lvl>
    <w:lvl w:ilvl="8" w:tentative="0">
      <w:start w:val="0"/>
      <w:numFmt w:val="bullet"/>
      <w:lvlText w:val="•"/>
      <w:lvlJc w:val="left"/>
      <w:pPr>
        <w:ind w:left="1217" w:hanging="420"/>
      </w:pPr>
      <w:rPr>
        <w:rFonts w:hint="default"/>
        <w:lang w:val="en-US" w:eastAsia="en-US" w:bidi="en-US"/>
      </w:rPr>
    </w:lvl>
  </w:abstractNum>
  <w:abstractNum w:abstractNumId="34">
    <w:nsid w:val="FFFFFF7C"/>
    <w:multiLevelType w:val="singleLevel"/>
    <w:tmpl w:val="FFFFFF7C"/>
    <w:lvl w:ilvl="0" w:tentative="0">
      <w:start w:val="1"/>
      <w:numFmt w:val="decimal"/>
      <w:pStyle w:val="54"/>
      <w:lvlText w:val="%1."/>
      <w:lvlJc w:val="left"/>
      <w:pPr>
        <w:tabs>
          <w:tab w:val="left" w:pos="2040"/>
        </w:tabs>
        <w:ind w:left="2040" w:hanging="360"/>
      </w:pPr>
    </w:lvl>
  </w:abstractNum>
  <w:abstractNum w:abstractNumId="35">
    <w:nsid w:val="FFFFFF7D"/>
    <w:multiLevelType w:val="singleLevel"/>
    <w:tmpl w:val="FFFFFF7D"/>
    <w:lvl w:ilvl="0" w:tentative="0">
      <w:start w:val="1"/>
      <w:numFmt w:val="decimal"/>
      <w:pStyle w:val="40"/>
      <w:lvlText w:val="%1."/>
      <w:lvlJc w:val="left"/>
      <w:pPr>
        <w:tabs>
          <w:tab w:val="left" w:pos="1620"/>
        </w:tabs>
        <w:ind w:left="1620" w:hanging="360"/>
      </w:pPr>
    </w:lvl>
  </w:abstractNum>
  <w:abstractNum w:abstractNumId="36">
    <w:nsid w:val="FFFFFF7E"/>
    <w:multiLevelType w:val="singleLevel"/>
    <w:tmpl w:val="FFFFFF7E"/>
    <w:lvl w:ilvl="0" w:tentative="0">
      <w:start w:val="1"/>
      <w:numFmt w:val="decimal"/>
      <w:pStyle w:val="30"/>
      <w:lvlText w:val="%1."/>
      <w:lvlJc w:val="left"/>
      <w:pPr>
        <w:tabs>
          <w:tab w:val="left" w:pos="1200"/>
        </w:tabs>
        <w:ind w:left="1200" w:hanging="360"/>
      </w:pPr>
    </w:lvl>
  </w:abstractNum>
  <w:abstractNum w:abstractNumId="37">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38">
    <w:nsid w:val="FFFFFF80"/>
    <w:multiLevelType w:val="singleLevel"/>
    <w:tmpl w:val="FFFFFF80"/>
    <w:lvl w:ilvl="0" w:tentative="0">
      <w:start w:val="1"/>
      <w:numFmt w:val="bullet"/>
      <w:pStyle w:val="39"/>
      <w:lvlText w:val=""/>
      <w:lvlJc w:val="left"/>
      <w:pPr>
        <w:tabs>
          <w:tab w:val="left" w:pos="2040"/>
        </w:tabs>
        <w:ind w:left="2040" w:hanging="360"/>
      </w:pPr>
      <w:rPr>
        <w:rFonts w:hint="default" w:ascii="Wingdings" w:hAnsi="Wingdings"/>
      </w:rPr>
    </w:lvl>
  </w:abstractNum>
  <w:abstractNum w:abstractNumId="39">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40">
    <w:nsid w:val="FFFFFF82"/>
    <w:multiLevelType w:val="singleLevel"/>
    <w:tmpl w:val="FFFFFF82"/>
    <w:lvl w:ilvl="0" w:tentative="0">
      <w:start w:val="1"/>
      <w:numFmt w:val="bullet"/>
      <w:pStyle w:val="27"/>
      <w:lvlText w:val=""/>
      <w:lvlJc w:val="left"/>
      <w:pPr>
        <w:tabs>
          <w:tab w:val="left" w:pos="1200"/>
        </w:tabs>
        <w:ind w:left="1200" w:hanging="360"/>
      </w:pPr>
      <w:rPr>
        <w:rFonts w:hint="default" w:ascii="Wingdings" w:hAnsi="Wingdings"/>
      </w:rPr>
    </w:lvl>
  </w:abstractNum>
  <w:abstractNum w:abstractNumId="41">
    <w:nsid w:val="FFFFFF83"/>
    <w:multiLevelType w:val="singleLevel"/>
    <w:tmpl w:val="FFFFFF83"/>
    <w:lvl w:ilvl="0" w:tentative="0">
      <w:start w:val="1"/>
      <w:numFmt w:val="bullet"/>
      <w:pStyle w:val="34"/>
      <w:lvlText w:val=""/>
      <w:lvlJc w:val="left"/>
      <w:pPr>
        <w:tabs>
          <w:tab w:val="left" w:pos="780"/>
        </w:tabs>
        <w:ind w:left="780" w:hanging="360"/>
      </w:pPr>
      <w:rPr>
        <w:rFonts w:hint="default" w:ascii="Wingdings" w:hAnsi="Wingdings"/>
      </w:rPr>
    </w:lvl>
  </w:abstractNum>
  <w:abstractNum w:abstractNumId="42">
    <w:nsid w:val="FFFFFF88"/>
    <w:multiLevelType w:val="singleLevel"/>
    <w:tmpl w:val="FFFFFF88"/>
    <w:lvl w:ilvl="0" w:tentative="0">
      <w:start w:val="1"/>
      <w:numFmt w:val="decimal"/>
      <w:pStyle w:val="17"/>
      <w:lvlText w:val="%1."/>
      <w:lvlJc w:val="left"/>
      <w:pPr>
        <w:tabs>
          <w:tab w:val="left" w:pos="360"/>
        </w:tabs>
        <w:ind w:left="360" w:hanging="360"/>
      </w:pPr>
    </w:lvl>
  </w:abstractNum>
  <w:abstractNum w:abstractNumId="43">
    <w:nsid w:val="FFFFFF89"/>
    <w:multiLevelType w:val="singleLevel"/>
    <w:tmpl w:val="FFFFFF89"/>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44">
    <w:nsid w:val="06A82766"/>
    <w:multiLevelType w:val="singleLevel"/>
    <w:tmpl w:val="06A82766"/>
    <w:lvl w:ilvl="0" w:tentative="0">
      <w:start w:val="3"/>
      <w:numFmt w:val="decimal"/>
      <w:lvlText w:val="B.0.%1 "/>
      <w:lvlJc w:val="left"/>
      <w:pPr>
        <w:tabs>
          <w:tab w:val="left" w:pos="420"/>
        </w:tabs>
        <w:ind w:left="0" w:firstLine="0"/>
      </w:pPr>
      <w:rPr>
        <w:rFonts w:hint="default" w:ascii="宋体" w:hAnsi="宋体" w:eastAsia="宋体" w:cs="宋体"/>
        <w:b/>
        <w:bCs/>
        <w:color w:val="auto"/>
        <w:sz w:val="24"/>
        <w:szCs w:val="24"/>
      </w:rPr>
    </w:lvl>
  </w:abstractNum>
  <w:abstractNum w:abstractNumId="45">
    <w:nsid w:val="0C6EB472"/>
    <w:multiLevelType w:val="singleLevel"/>
    <w:tmpl w:val="0C6EB472"/>
    <w:lvl w:ilvl="0" w:tentative="0">
      <w:start w:val="1"/>
      <w:numFmt w:val="decimal"/>
      <w:lvlText w:val="2.%1"/>
      <w:lvlJc w:val="left"/>
      <w:pPr>
        <w:tabs>
          <w:tab w:val="left" w:pos="420"/>
        </w:tabs>
        <w:ind w:left="425" w:hanging="425"/>
      </w:pPr>
      <w:rPr>
        <w:rFonts w:hint="default" w:ascii="宋体" w:hAnsi="宋体" w:eastAsia="微软雅黑" w:cs="微软雅黑"/>
        <w:b/>
        <w:bCs/>
        <w:sz w:val="28"/>
        <w:szCs w:val="28"/>
      </w:rPr>
    </w:lvl>
  </w:abstractNum>
  <w:abstractNum w:abstractNumId="46">
    <w:nsid w:val="1AF14B20"/>
    <w:multiLevelType w:val="multilevel"/>
    <w:tmpl w:val="1AF14B20"/>
    <w:lvl w:ilvl="0" w:tentative="0">
      <w:start w:val="6"/>
      <w:numFmt w:val="decimal"/>
      <w:isLgl/>
      <w:suff w:val="space"/>
      <w:lvlText w:val="%1."/>
      <w:lvlJc w:val="left"/>
      <w:pPr>
        <w:tabs>
          <w:tab w:val="left" w:pos="0"/>
        </w:tabs>
        <w:ind w:left="1021" w:hanging="1021"/>
      </w:pPr>
      <w:rPr>
        <w:rFonts w:hint="default" w:ascii="宋体" w:hAnsi="宋体" w:eastAsia="宋体" w:cs="宋体"/>
        <w:b/>
        <w:bCs/>
        <w:sz w:val="28"/>
        <w:szCs w:val="28"/>
      </w:rPr>
    </w:lvl>
    <w:lvl w:ilvl="1" w:tentative="0">
      <w:start w:val="1"/>
      <w:numFmt w:val="decimal"/>
      <w:suff w:val="space"/>
      <w:lvlText w:val="7.%2"/>
      <w:lvlJc w:val="left"/>
      <w:pPr>
        <w:tabs>
          <w:tab w:val="left" w:pos="0"/>
        </w:tabs>
        <w:ind w:left="435" w:hanging="435"/>
      </w:pPr>
      <w:rPr>
        <w:rFonts w:hint="default" w:ascii="宋体" w:hAnsi="宋体" w:eastAsia="宋体" w:cs="宋体"/>
        <w:b/>
        <w:bCs/>
        <w:color w:val="000000"/>
        <w:sz w:val="28"/>
        <w:szCs w:val="28"/>
      </w:rPr>
    </w:lvl>
    <w:lvl w:ilvl="2" w:tentative="0">
      <w:start w:val="1"/>
      <w:numFmt w:val="decimal"/>
      <w:suff w:val="space"/>
      <w:lvlText w:val="%1.%2.%3"/>
      <w:lvlJc w:val="left"/>
      <w:pPr>
        <w:tabs>
          <w:tab w:val="left" w:pos="0"/>
        </w:tabs>
        <w:ind w:left="17" w:hanging="17"/>
      </w:pPr>
      <w:rPr>
        <w:rFonts w:hint="default" w:ascii="宋体" w:hAnsi="宋体" w:eastAsia="宋体" w:cs="宋体"/>
        <w:sz w:val="24"/>
        <w:szCs w:val="24"/>
      </w:rPr>
    </w:lvl>
    <w:lvl w:ilvl="3" w:tentative="0">
      <w:start w:val="1"/>
      <w:numFmt w:val="decimal"/>
      <w:suff w:val="space"/>
      <w:lvlText w:val="%1.%2.%3.%4"/>
      <w:lvlJc w:val="left"/>
      <w:pPr>
        <w:ind w:left="864" w:hanging="864"/>
      </w:pPr>
      <w:rPr>
        <w:rFonts w:hint="eastAsia"/>
      </w:rPr>
    </w:lvl>
    <w:lvl w:ilvl="4" w:tentative="0">
      <w:start w:val="1"/>
      <w:numFmt w:val="decimal"/>
      <w:isLgl/>
      <w:suff w:val="space"/>
      <w:lvlText w:val="%5."/>
      <w:lvlJc w:val="left"/>
      <w:pPr>
        <w:ind w:left="1008" w:hanging="1008"/>
      </w:pPr>
      <w:rPr>
        <w:rFonts w:hint="eastAsia"/>
      </w:rPr>
    </w:lvl>
    <w:lvl w:ilvl="5" w:tentative="0">
      <w:start w:val="1"/>
      <w:numFmt w:val="decimal"/>
      <w:suff w:val="space"/>
      <w:lvlText w:val="(%6)"/>
      <w:lvlJc w:val="left"/>
      <w:pPr>
        <w:ind w:left="1152" w:hanging="1152"/>
      </w:pPr>
      <w:rPr>
        <w:rFonts w:hint="eastAsia"/>
      </w:rPr>
    </w:lvl>
    <w:lvl w:ilvl="6" w:tentative="0">
      <w:start w:val="1"/>
      <w:numFmt w:val="decimal"/>
      <w:suff w:val="space"/>
      <w:lvlText w:val="%6.%1.%2.%3.%4.%5.%7"/>
      <w:lvlJc w:val="left"/>
      <w:pPr>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7">
    <w:nsid w:val="2038E73F"/>
    <w:multiLevelType w:val="singleLevel"/>
    <w:tmpl w:val="2038E73F"/>
    <w:lvl w:ilvl="0" w:tentative="0">
      <w:start w:val="1"/>
      <w:numFmt w:val="decimal"/>
      <w:suff w:val="nothing"/>
      <w:lvlText w:val="%1．"/>
      <w:lvlJc w:val="left"/>
      <w:pPr>
        <w:ind w:left="0" w:firstLine="400"/>
      </w:pPr>
      <w:rPr>
        <w:rFonts w:hint="default"/>
      </w:rPr>
    </w:lvl>
  </w:abstractNum>
  <w:abstractNum w:abstractNumId="48">
    <w:nsid w:val="20F9D902"/>
    <w:multiLevelType w:val="singleLevel"/>
    <w:tmpl w:val="20F9D902"/>
    <w:lvl w:ilvl="0" w:tentative="0">
      <w:start w:val="1"/>
      <w:numFmt w:val="decimal"/>
      <w:lvlText w:val="6.5.%1"/>
      <w:lvlJc w:val="left"/>
      <w:pPr>
        <w:tabs>
          <w:tab w:val="left" w:pos="420"/>
        </w:tabs>
        <w:ind w:left="425" w:hanging="425"/>
      </w:pPr>
      <w:rPr>
        <w:rFonts w:hint="default" w:ascii="宋体" w:hAnsi="宋体" w:eastAsia="宋体" w:cs="宋体"/>
        <w:b/>
        <w:bCs/>
        <w:sz w:val="24"/>
        <w:szCs w:val="24"/>
      </w:rPr>
    </w:lvl>
  </w:abstractNum>
  <w:abstractNum w:abstractNumId="49">
    <w:nsid w:val="23859D8F"/>
    <w:multiLevelType w:val="singleLevel"/>
    <w:tmpl w:val="23859D8F"/>
    <w:lvl w:ilvl="0" w:tentative="0">
      <w:start w:val="1"/>
      <w:numFmt w:val="decimal"/>
      <w:lvlText w:val="%1."/>
      <w:lvlJc w:val="left"/>
      <w:pPr>
        <w:ind w:left="425" w:hanging="425"/>
      </w:pPr>
      <w:rPr>
        <w:rFonts w:hint="default" w:ascii="宋体" w:hAnsi="宋体" w:eastAsia="宋体" w:cs="宋体"/>
        <w:b w:val="0"/>
        <w:bCs w:val="0"/>
        <w:color w:val="auto"/>
        <w:sz w:val="24"/>
        <w:szCs w:val="24"/>
      </w:rPr>
    </w:lvl>
  </w:abstractNum>
  <w:abstractNum w:abstractNumId="50">
    <w:nsid w:val="2B369604"/>
    <w:multiLevelType w:val="singleLevel"/>
    <w:tmpl w:val="2B369604"/>
    <w:lvl w:ilvl="0" w:tentative="0">
      <w:start w:val="1"/>
      <w:numFmt w:val="decimal"/>
      <w:lvlText w:val="5.%1"/>
      <w:lvlJc w:val="left"/>
      <w:pPr>
        <w:tabs>
          <w:tab w:val="left" w:pos="420"/>
        </w:tabs>
        <w:ind w:left="425" w:hanging="425"/>
      </w:pPr>
      <w:rPr>
        <w:rFonts w:hint="default" w:ascii="宋体" w:hAnsi="宋体" w:eastAsia="微软雅黑" w:cs="微软雅黑"/>
        <w:b/>
        <w:bCs/>
        <w:sz w:val="28"/>
        <w:szCs w:val="28"/>
      </w:rPr>
    </w:lvl>
  </w:abstractNum>
  <w:abstractNum w:abstractNumId="51">
    <w:nsid w:val="2E2903C2"/>
    <w:multiLevelType w:val="singleLevel"/>
    <w:tmpl w:val="2E2903C2"/>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52">
    <w:nsid w:val="30BBBFA9"/>
    <w:multiLevelType w:val="singleLevel"/>
    <w:tmpl w:val="30BBBFA9"/>
    <w:lvl w:ilvl="0" w:tentative="0">
      <w:start w:val="1"/>
      <w:numFmt w:val="decimal"/>
      <w:lvlText w:val="%1."/>
      <w:lvlJc w:val="left"/>
      <w:pPr>
        <w:tabs>
          <w:tab w:val="left" w:pos="420"/>
        </w:tabs>
        <w:ind w:left="425" w:hanging="425"/>
      </w:pPr>
      <w:rPr>
        <w:rFonts w:hint="default" w:eastAsia="微软雅黑"/>
        <w:b/>
        <w:bCs/>
        <w:sz w:val="32"/>
        <w:szCs w:val="32"/>
      </w:rPr>
    </w:lvl>
  </w:abstractNum>
  <w:abstractNum w:abstractNumId="53">
    <w:nsid w:val="32109F79"/>
    <w:multiLevelType w:val="singleLevel"/>
    <w:tmpl w:val="32109F79"/>
    <w:lvl w:ilvl="0" w:tentative="0">
      <w:start w:val="1"/>
      <w:numFmt w:val="decimal"/>
      <w:lvlText w:val="3.%1"/>
      <w:lvlJc w:val="left"/>
      <w:pPr>
        <w:tabs>
          <w:tab w:val="left" w:pos="420"/>
        </w:tabs>
        <w:ind w:left="425" w:hanging="425"/>
      </w:pPr>
      <w:rPr>
        <w:rFonts w:hint="default" w:ascii="宋体" w:hAnsi="宋体" w:eastAsia="微软雅黑" w:cs="微软雅黑"/>
        <w:b/>
        <w:bCs/>
        <w:sz w:val="28"/>
        <w:szCs w:val="28"/>
      </w:rPr>
    </w:lvl>
  </w:abstractNum>
  <w:abstractNum w:abstractNumId="54">
    <w:nsid w:val="381008AC"/>
    <w:multiLevelType w:val="singleLevel"/>
    <w:tmpl w:val="381008AC"/>
    <w:lvl w:ilvl="0" w:tentative="0">
      <w:start w:val="3"/>
      <w:numFmt w:val="decimal"/>
      <w:lvlText w:val="C.0.%1 "/>
      <w:lvlJc w:val="left"/>
      <w:pPr>
        <w:tabs>
          <w:tab w:val="left" w:pos="420"/>
        </w:tabs>
        <w:ind w:left="0" w:firstLine="0"/>
      </w:pPr>
      <w:rPr>
        <w:rFonts w:hint="default" w:ascii="宋体" w:hAnsi="宋体" w:eastAsia="宋体" w:cs="宋体"/>
        <w:b/>
        <w:bCs/>
        <w:color w:val="auto"/>
        <w:sz w:val="24"/>
        <w:szCs w:val="24"/>
      </w:rPr>
    </w:lvl>
  </w:abstractNum>
  <w:abstractNum w:abstractNumId="55">
    <w:nsid w:val="39D425F0"/>
    <w:multiLevelType w:val="multilevel"/>
    <w:tmpl w:val="39D425F0"/>
    <w:lvl w:ilvl="0" w:tentative="0">
      <w:start w:val="2"/>
      <w:numFmt w:val="decimal"/>
      <w:lvlText w:val="%1."/>
      <w:lvlJc w:val="left"/>
      <w:pPr>
        <w:ind w:left="432" w:hanging="432"/>
      </w:pPr>
      <w:rPr>
        <w:rFonts w:hint="default" w:ascii="宋体" w:hAnsi="宋体" w:eastAsia="宋体" w:cs="宋体"/>
      </w:rPr>
    </w:lvl>
    <w:lvl w:ilvl="1" w:tentative="0">
      <w:start w:val="1"/>
      <w:numFmt w:val="decimal"/>
      <w:lvlText w:val="2.1.%2"/>
      <w:lvlJc w:val="left"/>
      <w:pPr>
        <w:ind w:left="0" w:firstLine="0"/>
      </w:pPr>
      <w:rPr>
        <w:rFonts w:hint="default" w:ascii="宋体" w:hAnsi="宋体" w:eastAsia="宋体" w:cs="宋体"/>
        <w:sz w:val="24"/>
        <w:szCs w:val="24"/>
      </w:rPr>
    </w:lvl>
    <w:lvl w:ilvl="2" w:tentative="0">
      <w:start w:val="1"/>
      <w:numFmt w:val="decimal"/>
      <w:lvlText w:val="2.1.%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56">
    <w:nsid w:val="42123589"/>
    <w:multiLevelType w:val="singleLevel"/>
    <w:tmpl w:val="42123589"/>
    <w:lvl w:ilvl="0" w:tentative="0">
      <w:start w:val="1"/>
      <w:numFmt w:val="decimal"/>
      <w:lvlText w:val="B.0.%1 "/>
      <w:lvlJc w:val="left"/>
      <w:pPr>
        <w:tabs>
          <w:tab w:val="left" w:pos="420"/>
        </w:tabs>
        <w:ind w:left="0" w:firstLine="0"/>
      </w:pPr>
      <w:rPr>
        <w:rFonts w:hint="default" w:ascii="宋体" w:hAnsi="宋体" w:eastAsia="宋体" w:cs="宋体"/>
        <w:b/>
        <w:bCs/>
        <w:color w:val="auto"/>
        <w:sz w:val="24"/>
        <w:szCs w:val="24"/>
      </w:rPr>
    </w:lvl>
  </w:abstractNum>
  <w:abstractNum w:abstractNumId="57">
    <w:nsid w:val="454775F8"/>
    <w:multiLevelType w:val="singleLevel"/>
    <w:tmpl w:val="454775F8"/>
    <w:lvl w:ilvl="0" w:tentative="0">
      <w:start w:val="1"/>
      <w:numFmt w:val="decimal"/>
      <w:lvlText w:val="5.3.%1"/>
      <w:lvlJc w:val="left"/>
      <w:pPr>
        <w:tabs>
          <w:tab w:val="left" w:pos="420"/>
        </w:tabs>
        <w:ind w:left="425" w:hanging="425"/>
      </w:pPr>
      <w:rPr>
        <w:rFonts w:hint="default" w:ascii="宋体" w:hAnsi="宋体" w:eastAsia="宋体" w:cs="宋体"/>
        <w:b/>
        <w:bCs/>
        <w:color w:val="auto"/>
        <w:sz w:val="24"/>
        <w:szCs w:val="24"/>
      </w:rPr>
    </w:lvl>
  </w:abstractNum>
  <w:abstractNum w:abstractNumId="58">
    <w:nsid w:val="47378466"/>
    <w:multiLevelType w:val="singleLevel"/>
    <w:tmpl w:val="47378466"/>
    <w:lvl w:ilvl="0" w:tentative="0">
      <w:start w:val="3"/>
      <w:numFmt w:val="decimal"/>
      <w:lvlText w:val="A.0.%1 "/>
      <w:lvlJc w:val="left"/>
      <w:pPr>
        <w:tabs>
          <w:tab w:val="left" w:pos="420"/>
        </w:tabs>
        <w:ind w:left="0" w:firstLine="0"/>
      </w:pPr>
      <w:rPr>
        <w:rFonts w:hint="default" w:ascii="宋体" w:hAnsi="宋体" w:eastAsia="宋体" w:cs="宋体"/>
        <w:b/>
        <w:bCs/>
        <w:color w:val="auto"/>
        <w:sz w:val="24"/>
        <w:szCs w:val="24"/>
      </w:rPr>
    </w:lvl>
  </w:abstractNum>
  <w:abstractNum w:abstractNumId="59">
    <w:nsid w:val="47955055"/>
    <w:multiLevelType w:val="singleLevel"/>
    <w:tmpl w:val="47955055"/>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60">
    <w:nsid w:val="4C2256BE"/>
    <w:multiLevelType w:val="singleLevel"/>
    <w:tmpl w:val="4C2256BE"/>
    <w:lvl w:ilvl="0" w:tentative="0">
      <w:start w:val="1"/>
      <w:numFmt w:val="decimal"/>
      <w:suff w:val="nothing"/>
      <w:lvlText w:val="%1．"/>
      <w:lvlJc w:val="left"/>
      <w:pPr>
        <w:ind w:left="0" w:firstLine="400"/>
      </w:pPr>
      <w:rPr>
        <w:rFonts w:hint="default"/>
      </w:rPr>
    </w:lvl>
  </w:abstractNum>
  <w:abstractNum w:abstractNumId="61">
    <w:nsid w:val="51D9E4A0"/>
    <w:multiLevelType w:val="singleLevel"/>
    <w:tmpl w:val="51D9E4A0"/>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62">
    <w:nsid w:val="5B0FF96E"/>
    <w:multiLevelType w:val="singleLevel"/>
    <w:tmpl w:val="5B0FF96E"/>
    <w:lvl w:ilvl="0" w:tentative="0">
      <w:start w:val="1"/>
      <w:numFmt w:val="decimal"/>
      <w:lvlText w:val="6.3.%1"/>
      <w:lvlJc w:val="left"/>
      <w:pPr>
        <w:tabs>
          <w:tab w:val="left" w:pos="420"/>
        </w:tabs>
        <w:ind w:left="425" w:hanging="425"/>
      </w:pPr>
      <w:rPr>
        <w:rFonts w:hint="default" w:ascii="宋体" w:hAnsi="宋体" w:eastAsia="宋体" w:cs="宋体"/>
        <w:b/>
        <w:bCs/>
        <w:sz w:val="24"/>
        <w:szCs w:val="24"/>
      </w:rPr>
    </w:lvl>
  </w:abstractNum>
  <w:abstractNum w:abstractNumId="63">
    <w:nsid w:val="64D650C0"/>
    <w:multiLevelType w:val="singleLevel"/>
    <w:tmpl w:val="64D650C0"/>
    <w:lvl w:ilvl="0" w:tentative="0">
      <w:start w:val="1"/>
      <w:numFmt w:val="decimal"/>
      <w:lvlText w:val="4.2.%1"/>
      <w:lvlJc w:val="left"/>
      <w:pPr>
        <w:tabs>
          <w:tab w:val="left" w:pos="420"/>
        </w:tabs>
        <w:ind w:left="425" w:hanging="425"/>
      </w:pPr>
      <w:rPr>
        <w:rFonts w:hint="default" w:ascii="宋体" w:hAnsi="宋体" w:eastAsia="宋体" w:cs="宋体"/>
        <w:b/>
        <w:bCs/>
        <w:sz w:val="24"/>
        <w:szCs w:val="24"/>
      </w:rPr>
    </w:lvl>
  </w:abstractNum>
  <w:abstractNum w:abstractNumId="64">
    <w:nsid w:val="6523C91F"/>
    <w:multiLevelType w:val="singleLevel"/>
    <w:tmpl w:val="6523C91F"/>
    <w:lvl w:ilvl="0" w:tentative="0">
      <w:start w:val="1"/>
      <w:numFmt w:val="decimal"/>
      <w:suff w:val="nothing"/>
      <w:lvlText w:val="%1．"/>
      <w:lvlJc w:val="left"/>
      <w:pPr>
        <w:ind w:left="0" w:firstLine="400"/>
      </w:pPr>
      <w:rPr>
        <w:rFonts w:hint="default"/>
      </w:rPr>
    </w:lvl>
  </w:abstractNum>
  <w:abstractNum w:abstractNumId="65">
    <w:nsid w:val="6CF6B280"/>
    <w:multiLevelType w:val="singleLevel"/>
    <w:tmpl w:val="6CF6B280"/>
    <w:lvl w:ilvl="0" w:tentative="0">
      <w:start w:val="1"/>
      <w:numFmt w:val="decimal"/>
      <w:lvlText w:val="5.2.%1"/>
      <w:lvlJc w:val="left"/>
      <w:pPr>
        <w:tabs>
          <w:tab w:val="left" w:pos="420"/>
        </w:tabs>
        <w:ind w:left="425" w:hanging="425"/>
      </w:pPr>
      <w:rPr>
        <w:rFonts w:hint="default" w:ascii="宋体" w:hAnsi="宋体" w:eastAsia="宋体" w:cs="宋体"/>
        <w:b/>
        <w:bCs/>
        <w:color w:val="auto"/>
        <w:sz w:val="24"/>
        <w:szCs w:val="24"/>
      </w:rPr>
    </w:lvl>
  </w:abstractNum>
  <w:abstractNum w:abstractNumId="66">
    <w:nsid w:val="79CEE41E"/>
    <w:multiLevelType w:val="singleLevel"/>
    <w:tmpl w:val="79CEE41E"/>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67">
    <w:nsid w:val="7A97BCB4"/>
    <w:multiLevelType w:val="singleLevel"/>
    <w:tmpl w:val="7A97BCB4"/>
    <w:lvl w:ilvl="0" w:tentative="0">
      <w:start w:val="1"/>
      <w:numFmt w:val="decimal"/>
      <w:lvlText w:val="6.1.%1"/>
      <w:lvlJc w:val="left"/>
      <w:pPr>
        <w:tabs>
          <w:tab w:val="left" w:pos="420"/>
        </w:tabs>
        <w:ind w:left="425" w:hanging="425"/>
      </w:pPr>
      <w:rPr>
        <w:rFonts w:hint="default" w:ascii="宋体" w:hAnsi="宋体" w:eastAsia="宋体" w:cs="宋体"/>
        <w:b/>
        <w:bCs/>
        <w:sz w:val="24"/>
        <w:szCs w:val="24"/>
      </w:rPr>
    </w:lvl>
  </w:abstractNum>
  <w:abstractNum w:abstractNumId="68">
    <w:nsid w:val="7AB94BE4"/>
    <w:multiLevelType w:val="multilevel"/>
    <w:tmpl w:val="7AB94BE4"/>
    <w:lvl w:ilvl="0" w:tentative="0">
      <w:start w:val="1"/>
      <w:numFmt w:val="none"/>
      <w:lvlText w:val="1."/>
      <w:lvlJc w:val="left"/>
      <w:pPr>
        <w:ind w:left="425" w:hanging="425"/>
      </w:pPr>
      <w:rPr>
        <w:rFonts w:hint="default" w:ascii="宋体" w:hAnsi="宋体" w:eastAsia="宋体" w:cs="宋体"/>
      </w:rPr>
    </w:lvl>
    <w:lvl w:ilvl="1" w:tentative="0">
      <w:start w:val="1"/>
      <w:numFmt w:val="decimal"/>
      <w:suff w:val="space"/>
      <w:lvlText w:val="3.4.%2"/>
      <w:lvlJc w:val="left"/>
      <w:pPr>
        <w:tabs>
          <w:tab w:val="left" w:pos="0"/>
        </w:tabs>
        <w:ind w:left="0" w:firstLine="0"/>
      </w:pPr>
      <w:rPr>
        <w:rFonts w:hint="default" w:ascii="宋体" w:hAnsi="宋体" w:eastAsia="宋体" w:cs="宋体"/>
        <w:b/>
        <w:bCs/>
        <w:sz w:val="24"/>
        <w:szCs w:val="24"/>
      </w:rPr>
    </w:lvl>
    <w:lvl w:ilvl="2" w:tentative="0">
      <w:start w:val="1"/>
      <w:numFmt w:val="decimal"/>
      <w:lvlText w:val="1.1.%3"/>
      <w:lvlJc w:val="left"/>
      <w:pPr>
        <w:ind w:left="709" w:hanging="709"/>
      </w:pPr>
      <w:rPr>
        <w:rFonts w:hint="default" w:ascii="宋体" w:hAnsi="宋体" w:eastAsia="宋体" w:cs="宋体"/>
      </w:rPr>
    </w:lvl>
    <w:lvl w:ilvl="3" w:tentative="0">
      <w:start w:val="1"/>
      <w:numFmt w:val="decimal"/>
      <w:lvlText w:val="1.1.1.%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9">
    <w:nsid w:val="7CF106C9"/>
    <w:multiLevelType w:val="singleLevel"/>
    <w:tmpl w:val="7CF106C9"/>
    <w:lvl w:ilvl="0" w:tentative="0">
      <w:start w:val="1"/>
      <w:numFmt w:val="decimal"/>
      <w:suff w:val="nothing"/>
      <w:lvlText w:val="%1．"/>
      <w:lvlJc w:val="left"/>
      <w:pPr>
        <w:ind w:left="0" w:firstLine="400"/>
      </w:pPr>
      <w:rPr>
        <w:rFonts w:hint="default"/>
      </w:rPr>
    </w:lvl>
  </w:abstractNum>
  <w:num w:numId="1">
    <w:abstractNumId w:val="37"/>
  </w:num>
  <w:num w:numId="2">
    <w:abstractNumId w:val="39"/>
  </w:num>
  <w:num w:numId="3">
    <w:abstractNumId w:val="42"/>
  </w:num>
  <w:num w:numId="4">
    <w:abstractNumId w:val="43"/>
  </w:num>
  <w:num w:numId="5">
    <w:abstractNumId w:val="40"/>
  </w:num>
  <w:num w:numId="6">
    <w:abstractNumId w:val="36"/>
  </w:num>
  <w:num w:numId="7">
    <w:abstractNumId w:val="41"/>
  </w:num>
  <w:num w:numId="8">
    <w:abstractNumId w:val="38"/>
  </w:num>
  <w:num w:numId="9">
    <w:abstractNumId w:val="35"/>
  </w:num>
  <w:num w:numId="10">
    <w:abstractNumId w:val="34"/>
  </w:num>
  <w:num w:numId="11">
    <w:abstractNumId w:val="52"/>
  </w:num>
  <w:num w:numId="12">
    <w:abstractNumId w:val="10"/>
  </w:num>
  <w:num w:numId="13">
    <w:abstractNumId w:val="32"/>
  </w:num>
  <w:num w:numId="14">
    <w:abstractNumId w:val="45"/>
  </w:num>
  <w:num w:numId="15">
    <w:abstractNumId w:val="55"/>
  </w:num>
  <w:num w:numId="16">
    <w:abstractNumId w:val="53"/>
  </w:num>
  <w:num w:numId="17">
    <w:abstractNumId w:val="3"/>
  </w:num>
  <w:num w:numId="18">
    <w:abstractNumId w:val="2"/>
  </w:num>
  <w:num w:numId="19">
    <w:abstractNumId w:val="18"/>
  </w:num>
  <w:num w:numId="20">
    <w:abstractNumId w:val="4"/>
  </w:num>
  <w:num w:numId="21">
    <w:abstractNumId w:val="68"/>
  </w:num>
  <w:num w:numId="22">
    <w:abstractNumId w:val="0"/>
  </w:num>
  <w:num w:numId="23">
    <w:abstractNumId w:val="9"/>
  </w:num>
  <w:num w:numId="24">
    <w:abstractNumId w:val="21"/>
  </w:num>
  <w:num w:numId="25">
    <w:abstractNumId w:val="5"/>
  </w:num>
  <w:num w:numId="26">
    <w:abstractNumId w:val="63"/>
  </w:num>
  <w:num w:numId="27">
    <w:abstractNumId w:val="50"/>
  </w:num>
  <w:num w:numId="28">
    <w:abstractNumId w:val="25"/>
  </w:num>
  <w:num w:numId="29">
    <w:abstractNumId w:val="8"/>
  </w:num>
  <w:num w:numId="30">
    <w:abstractNumId w:val="65"/>
  </w:num>
  <w:num w:numId="31">
    <w:abstractNumId w:val="31"/>
  </w:num>
  <w:num w:numId="32">
    <w:abstractNumId w:val="26"/>
  </w:num>
  <w:num w:numId="33">
    <w:abstractNumId w:val="57"/>
  </w:num>
  <w:num w:numId="34">
    <w:abstractNumId w:val="17"/>
  </w:num>
  <w:num w:numId="35">
    <w:abstractNumId w:val="67"/>
  </w:num>
  <w:num w:numId="36">
    <w:abstractNumId w:val="23"/>
  </w:num>
  <w:num w:numId="37">
    <w:abstractNumId w:val="62"/>
  </w:num>
  <w:num w:numId="38">
    <w:abstractNumId w:val="27"/>
  </w:num>
  <w:num w:numId="39">
    <w:abstractNumId w:val="48"/>
  </w:num>
  <w:num w:numId="40">
    <w:abstractNumId w:val="46"/>
  </w:num>
  <w:num w:numId="41">
    <w:abstractNumId w:val="14"/>
  </w:num>
  <w:num w:numId="42">
    <w:abstractNumId w:val="12"/>
  </w:num>
  <w:num w:numId="43">
    <w:abstractNumId w:val="33"/>
  </w:num>
  <w:num w:numId="44">
    <w:abstractNumId w:val="60"/>
  </w:num>
  <w:num w:numId="45">
    <w:abstractNumId w:val="20"/>
  </w:num>
  <w:num w:numId="46">
    <w:abstractNumId w:val="64"/>
  </w:num>
  <w:num w:numId="47">
    <w:abstractNumId w:val="6"/>
  </w:num>
  <w:num w:numId="48">
    <w:abstractNumId w:val="69"/>
  </w:num>
  <w:num w:numId="49">
    <w:abstractNumId w:val="47"/>
  </w:num>
  <w:num w:numId="50">
    <w:abstractNumId w:val="24"/>
  </w:num>
  <w:num w:numId="51">
    <w:abstractNumId w:val="61"/>
  </w:num>
  <w:num w:numId="52">
    <w:abstractNumId w:val="58"/>
  </w:num>
  <w:num w:numId="53">
    <w:abstractNumId w:val="1"/>
  </w:num>
  <w:num w:numId="54">
    <w:abstractNumId w:val="56"/>
  </w:num>
  <w:num w:numId="55">
    <w:abstractNumId w:val="66"/>
  </w:num>
  <w:num w:numId="56">
    <w:abstractNumId w:val="44"/>
  </w:num>
  <w:num w:numId="57">
    <w:abstractNumId w:val="51"/>
  </w:num>
  <w:num w:numId="58">
    <w:abstractNumId w:val="28"/>
  </w:num>
  <w:num w:numId="59">
    <w:abstractNumId w:val="59"/>
  </w:num>
  <w:num w:numId="60">
    <w:abstractNumId w:val="54"/>
  </w:num>
  <w:num w:numId="61">
    <w:abstractNumId w:val="13"/>
  </w:num>
  <w:num w:numId="62">
    <w:abstractNumId w:val="15"/>
  </w:num>
  <w:num w:numId="63">
    <w:abstractNumId w:val="19"/>
  </w:num>
  <w:num w:numId="64">
    <w:abstractNumId w:val="22"/>
  </w:num>
  <w:num w:numId="65">
    <w:abstractNumId w:val="7"/>
  </w:num>
  <w:num w:numId="66">
    <w:abstractNumId w:val="11"/>
  </w:num>
  <w:num w:numId="67">
    <w:abstractNumId w:val="16"/>
  </w:num>
  <w:num w:numId="68">
    <w:abstractNumId w:val="30"/>
  </w:num>
  <w:num w:numId="69">
    <w:abstractNumId w:val="29"/>
  </w:num>
  <w:num w:numId="7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jYmMxZDgyM2QyYjcxM2Q4NGQ0NTg1Mzg1MWI5MWMifQ=="/>
  </w:docVars>
  <w:rsids>
    <w:rsidRoot w:val="00F64B53"/>
    <w:rsid w:val="00000173"/>
    <w:rsid w:val="00000466"/>
    <w:rsid w:val="00001DA4"/>
    <w:rsid w:val="000027A4"/>
    <w:rsid w:val="000050FE"/>
    <w:rsid w:val="0000756C"/>
    <w:rsid w:val="000079E9"/>
    <w:rsid w:val="000102E7"/>
    <w:rsid w:val="0001083E"/>
    <w:rsid w:val="00012BFB"/>
    <w:rsid w:val="0001371F"/>
    <w:rsid w:val="000138DE"/>
    <w:rsid w:val="000144B0"/>
    <w:rsid w:val="00014B98"/>
    <w:rsid w:val="00015B2F"/>
    <w:rsid w:val="00016303"/>
    <w:rsid w:val="00016A96"/>
    <w:rsid w:val="00020D2F"/>
    <w:rsid w:val="0002127D"/>
    <w:rsid w:val="00022B06"/>
    <w:rsid w:val="00024385"/>
    <w:rsid w:val="000258FC"/>
    <w:rsid w:val="00026D2A"/>
    <w:rsid w:val="00030F77"/>
    <w:rsid w:val="000318E4"/>
    <w:rsid w:val="00031EB6"/>
    <w:rsid w:val="00032DF9"/>
    <w:rsid w:val="0003461D"/>
    <w:rsid w:val="0003480A"/>
    <w:rsid w:val="0003551B"/>
    <w:rsid w:val="0003590B"/>
    <w:rsid w:val="000374A8"/>
    <w:rsid w:val="00040129"/>
    <w:rsid w:val="00040ACC"/>
    <w:rsid w:val="00042E60"/>
    <w:rsid w:val="00043D8A"/>
    <w:rsid w:val="00044D08"/>
    <w:rsid w:val="00047825"/>
    <w:rsid w:val="0005046C"/>
    <w:rsid w:val="00050927"/>
    <w:rsid w:val="0005180E"/>
    <w:rsid w:val="00051905"/>
    <w:rsid w:val="00054757"/>
    <w:rsid w:val="0005700C"/>
    <w:rsid w:val="00061141"/>
    <w:rsid w:val="00062CFB"/>
    <w:rsid w:val="0006431E"/>
    <w:rsid w:val="00064730"/>
    <w:rsid w:val="0006487D"/>
    <w:rsid w:val="000653D5"/>
    <w:rsid w:val="000660F8"/>
    <w:rsid w:val="00070083"/>
    <w:rsid w:val="00071C6A"/>
    <w:rsid w:val="00072B48"/>
    <w:rsid w:val="00074F13"/>
    <w:rsid w:val="00077A8E"/>
    <w:rsid w:val="00080570"/>
    <w:rsid w:val="000805C8"/>
    <w:rsid w:val="00080BED"/>
    <w:rsid w:val="00081D40"/>
    <w:rsid w:val="00081DF0"/>
    <w:rsid w:val="000831EE"/>
    <w:rsid w:val="000834B1"/>
    <w:rsid w:val="00083CF2"/>
    <w:rsid w:val="00086DF2"/>
    <w:rsid w:val="0008739D"/>
    <w:rsid w:val="000933E1"/>
    <w:rsid w:val="00093536"/>
    <w:rsid w:val="00093F3A"/>
    <w:rsid w:val="000948A3"/>
    <w:rsid w:val="00094E65"/>
    <w:rsid w:val="00094F48"/>
    <w:rsid w:val="00096410"/>
    <w:rsid w:val="000A0E3C"/>
    <w:rsid w:val="000A1D74"/>
    <w:rsid w:val="000A2587"/>
    <w:rsid w:val="000A3F5A"/>
    <w:rsid w:val="000A417F"/>
    <w:rsid w:val="000A468B"/>
    <w:rsid w:val="000A4ACF"/>
    <w:rsid w:val="000A4B8D"/>
    <w:rsid w:val="000A7833"/>
    <w:rsid w:val="000B0D67"/>
    <w:rsid w:val="000B2827"/>
    <w:rsid w:val="000B3EB3"/>
    <w:rsid w:val="000B7D1E"/>
    <w:rsid w:val="000C0CB5"/>
    <w:rsid w:val="000C0D86"/>
    <w:rsid w:val="000C0F1B"/>
    <w:rsid w:val="000C12EF"/>
    <w:rsid w:val="000C62BD"/>
    <w:rsid w:val="000D0325"/>
    <w:rsid w:val="000D0401"/>
    <w:rsid w:val="000D0E1C"/>
    <w:rsid w:val="000D1132"/>
    <w:rsid w:val="000D12C6"/>
    <w:rsid w:val="000D1C8E"/>
    <w:rsid w:val="000D6E24"/>
    <w:rsid w:val="000E04C2"/>
    <w:rsid w:val="000E1268"/>
    <w:rsid w:val="000E162E"/>
    <w:rsid w:val="000E1639"/>
    <w:rsid w:val="000E3FD9"/>
    <w:rsid w:val="000F1426"/>
    <w:rsid w:val="000F14CA"/>
    <w:rsid w:val="000F3AAA"/>
    <w:rsid w:val="000F5825"/>
    <w:rsid w:val="000F65A3"/>
    <w:rsid w:val="000F6BB4"/>
    <w:rsid w:val="000F77FF"/>
    <w:rsid w:val="001010C9"/>
    <w:rsid w:val="0010175B"/>
    <w:rsid w:val="001030E2"/>
    <w:rsid w:val="00105AAB"/>
    <w:rsid w:val="00105DC8"/>
    <w:rsid w:val="00106184"/>
    <w:rsid w:val="001079AC"/>
    <w:rsid w:val="00110199"/>
    <w:rsid w:val="00111095"/>
    <w:rsid w:val="001110E9"/>
    <w:rsid w:val="001123EA"/>
    <w:rsid w:val="00112F6A"/>
    <w:rsid w:val="001132DD"/>
    <w:rsid w:val="00114850"/>
    <w:rsid w:val="0012364A"/>
    <w:rsid w:val="00124026"/>
    <w:rsid w:val="001242D4"/>
    <w:rsid w:val="00131749"/>
    <w:rsid w:val="001327C7"/>
    <w:rsid w:val="001329E2"/>
    <w:rsid w:val="00132EA7"/>
    <w:rsid w:val="001330F8"/>
    <w:rsid w:val="00133151"/>
    <w:rsid w:val="00133877"/>
    <w:rsid w:val="00133C7B"/>
    <w:rsid w:val="001355B6"/>
    <w:rsid w:val="001365B6"/>
    <w:rsid w:val="00137F91"/>
    <w:rsid w:val="001405A3"/>
    <w:rsid w:val="00140617"/>
    <w:rsid w:val="00140EEF"/>
    <w:rsid w:val="00140EFA"/>
    <w:rsid w:val="00142982"/>
    <w:rsid w:val="001448C5"/>
    <w:rsid w:val="00145037"/>
    <w:rsid w:val="001463A1"/>
    <w:rsid w:val="0014642A"/>
    <w:rsid w:val="0015011C"/>
    <w:rsid w:val="00150804"/>
    <w:rsid w:val="00150A48"/>
    <w:rsid w:val="00151B43"/>
    <w:rsid w:val="00152111"/>
    <w:rsid w:val="00152264"/>
    <w:rsid w:val="001523B5"/>
    <w:rsid w:val="00154B0D"/>
    <w:rsid w:val="001559D2"/>
    <w:rsid w:val="001563F2"/>
    <w:rsid w:val="00156E2F"/>
    <w:rsid w:val="00156EAB"/>
    <w:rsid w:val="00160270"/>
    <w:rsid w:val="00164777"/>
    <w:rsid w:val="0016607F"/>
    <w:rsid w:val="001712F1"/>
    <w:rsid w:val="0017783C"/>
    <w:rsid w:val="001832B9"/>
    <w:rsid w:val="0018358F"/>
    <w:rsid w:val="00184510"/>
    <w:rsid w:val="0018491C"/>
    <w:rsid w:val="001850BE"/>
    <w:rsid w:val="0018658A"/>
    <w:rsid w:val="00186DC5"/>
    <w:rsid w:val="00186FA0"/>
    <w:rsid w:val="00187EAC"/>
    <w:rsid w:val="00187FF2"/>
    <w:rsid w:val="0019008B"/>
    <w:rsid w:val="00195189"/>
    <w:rsid w:val="0019644C"/>
    <w:rsid w:val="0019685C"/>
    <w:rsid w:val="00196B5E"/>
    <w:rsid w:val="001A0CE1"/>
    <w:rsid w:val="001A0CFE"/>
    <w:rsid w:val="001A1BF1"/>
    <w:rsid w:val="001A2039"/>
    <w:rsid w:val="001A401E"/>
    <w:rsid w:val="001A5226"/>
    <w:rsid w:val="001A6CB6"/>
    <w:rsid w:val="001B1B71"/>
    <w:rsid w:val="001B3B75"/>
    <w:rsid w:val="001B485A"/>
    <w:rsid w:val="001B4A41"/>
    <w:rsid w:val="001B4DD2"/>
    <w:rsid w:val="001B5BAE"/>
    <w:rsid w:val="001B6265"/>
    <w:rsid w:val="001B7E7C"/>
    <w:rsid w:val="001C0BC5"/>
    <w:rsid w:val="001C1693"/>
    <w:rsid w:val="001C3C36"/>
    <w:rsid w:val="001C4CE8"/>
    <w:rsid w:val="001C6F9D"/>
    <w:rsid w:val="001D1058"/>
    <w:rsid w:val="001D146F"/>
    <w:rsid w:val="001D24E3"/>
    <w:rsid w:val="001D2B00"/>
    <w:rsid w:val="001D375B"/>
    <w:rsid w:val="001D58A6"/>
    <w:rsid w:val="001D6023"/>
    <w:rsid w:val="001D6B91"/>
    <w:rsid w:val="001D7708"/>
    <w:rsid w:val="001E10DE"/>
    <w:rsid w:val="001E1EAD"/>
    <w:rsid w:val="001E1F37"/>
    <w:rsid w:val="001E52AA"/>
    <w:rsid w:val="001E52C9"/>
    <w:rsid w:val="001E56CB"/>
    <w:rsid w:val="001E5E05"/>
    <w:rsid w:val="001F0685"/>
    <w:rsid w:val="001F07A4"/>
    <w:rsid w:val="001F12CC"/>
    <w:rsid w:val="001F13D1"/>
    <w:rsid w:val="001F1709"/>
    <w:rsid w:val="001F2290"/>
    <w:rsid w:val="001F2A08"/>
    <w:rsid w:val="001F5059"/>
    <w:rsid w:val="001F58EC"/>
    <w:rsid w:val="001F6749"/>
    <w:rsid w:val="001F7C41"/>
    <w:rsid w:val="00200E47"/>
    <w:rsid w:val="002018AE"/>
    <w:rsid w:val="00203EF9"/>
    <w:rsid w:val="00207AF8"/>
    <w:rsid w:val="00210E5B"/>
    <w:rsid w:val="00212E90"/>
    <w:rsid w:val="00213F39"/>
    <w:rsid w:val="00215F38"/>
    <w:rsid w:val="00216F8B"/>
    <w:rsid w:val="0022067B"/>
    <w:rsid w:val="00224999"/>
    <w:rsid w:val="002263EE"/>
    <w:rsid w:val="00226C24"/>
    <w:rsid w:val="0023078F"/>
    <w:rsid w:val="00233302"/>
    <w:rsid w:val="00235369"/>
    <w:rsid w:val="0023767D"/>
    <w:rsid w:val="002379EA"/>
    <w:rsid w:val="002400E7"/>
    <w:rsid w:val="00240358"/>
    <w:rsid w:val="002410E6"/>
    <w:rsid w:val="0024133B"/>
    <w:rsid w:val="00241EFA"/>
    <w:rsid w:val="00243EC1"/>
    <w:rsid w:val="002456CC"/>
    <w:rsid w:val="002473A6"/>
    <w:rsid w:val="0025001F"/>
    <w:rsid w:val="00250A04"/>
    <w:rsid w:val="00253A22"/>
    <w:rsid w:val="0025457D"/>
    <w:rsid w:val="002607D6"/>
    <w:rsid w:val="00260C6D"/>
    <w:rsid w:val="00262038"/>
    <w:rsid w:val="002622DA"/>
    <w:rsid w:val="00262E8B"/>
    <w:rsid w:val="002641AF"/>
    <w:rsid w:val="00264316"/>
    <w:rsid w:val="00264D7F"/>
    <w:rsid w:val="00265773"/>
    <w:rsid w:val="00266F82"/>
    <w:rsid w:val="00270608"/>
    <w:rsid w:val="00270E18"/>
    <w:rsid w:val="0027165F"/>
    <w:rsid w:val="00272F3A"/>
    <w:rsid w:val="002757B7"/>
    <w:rsid w:val="002760EE"/>
    <w:rsid w:val="002761D2"/>
    <w:rsid w:val="002766DA"/>
    <w:rsid w:val="002773BB"/>
    <w:rsid w:val="0027768B"/>
    <w:rsid w:val="00277C0C"/>
    <w:rsid w:val="00280E3E"/>
    <w:rsid w:val="00281549"/>
    <w:rsid w:val="00283B61"/>
    <w:rsid w:val="00283E9E"/>
    <w:rsid w:val="00284791"/>
    <w:rsid w:val="002850E9"/>
    <w:rsid w:val="0028766F"/>
    <w:rsid w:val="00291414"/>
    <w:rsid w:val="00291436"/>
    <w:rsid w:val="00291848"/>
    <w:rsid w:val="00291CA5"/>
    <w:rsid w:val="00292365"/>
    <w:rsid w:val="00292E5B"/>
    <w:rsid w:val="00294EC9"/>
    <w:rsid w:val="00296FC1"/>
    <w:rsid w:val="00297239"/>
    <w:rsid w:val="002A0640"/>
    <w:rsid w:val="002A0EBC"/>
    <w:rsid w:val="002A1F6B"/>
    <w:rsid w:val="002A2BB0"/>
    <w:rsid w:val="002A2D18"/>
    <w:rsid w:val="002A46F0"/>
    <w:rsid w:val="002A4E9E"/>
    <w:rsid w:val="002A5530"/>
    <w:rsid w:val="002A5AC6"/>
    <w:rsid w:val="002A6ADC"/>
    <w:rsid w:val="002B0752"/>
    <w:rsid w:val="002B085B"/>
    <w:rsid w:val="002B1056"/>
    <w:rsid w:val="002B155D"/>
    <w:rsid w:val="002B22B8"/>
    <w:rsid w:val="002B290E"/>
    <w:rsid w:val="002B72BA"/>
    <w:rsid w:val="002C00D9"/>
    <w:rsid w:val="002C0AF4"/>
    <w:rsid w:val="002C0E75"/>
    <w:rsid w:val="002C0F72"/>
    <w:rsid w:val="002C1BBA"/>
    <w:rsid w:val="002C3149"/>
    <w:rsid w:val="002C3282"/>
    <w:rsid w:val="002C480B"/>
    <w:rsid w:val="002C5F28"/>
    <w:rsid w:val="002D1724"/>
    <w:rsid w:val="002D1A67"/>
    <w:rsid w:val="002D1BA6"/>
    <w:rsid w:val="002D404F"/>
    <w:rsid w:val="002D6C6C"/>
    <w:rsid w:val="002D79F5"/>
    <w:rsid w:val="002E060B"/>
    <w:rsid w:val="002E067A"/>
    <w:rsid w:val="002E0B82"/>
    <w:rsid w:val="002E0BA1"/>
    <w:rsid w:val="002E138A"/>
    <w:rsid w:val="002E1B44"/>
    <w:rsid w:val="002E32EA"/>
    <w:rsid w:val="002E3ADA"/>
    <w:rsid w:val="002E44ED"/>
    <w:rsid w:val="002E4B13"/>
    <w:rsid w:val="002E55F5"/>
    <w:rsid w:val="002E59FD"/>
    <w:rsid w:val="002E7EC1"/>
    <w:rsid w:val="002F06C3"/>
    <w:rsid w:val="002F0826"/>
    <w:rsid w:val="002F3E71"/>
    <w:rsid w:val="002F538C"/>
    <w:rsid w:val="002F5704"/>
    <w:rsid w:val="002F5E34"/>
    <w:rsid w:val="002F7590"/>
    <w:rsid w:val="002F7B87"/>
    <w:rsid w:val="00302BDF"/>
    <w:rsid w:val="00302EE3"/>
    <w:rsid w:val="003040B8"/>
    <w:rsid w:val="00304323"/>
    <w:rsid w:val="00306111"/>
    <w:rsid w:val="00306C82"/>
    <w:rsid w:val="00312A34"/>
    <w:rsid w:val="00312C6B"/>
    <w:rsid w:val="00312F7F"/>
    <w:rsid w:val="0031369F"/>
    <w:rsid w:val="00313E66"/>
    <w:rsid w:val="003169D2"/>
    <w:rsid w:val="00320F65"/>
    <w:rsid w:val="003224E2"/>
    <w:rsid w:val="00323477"/>
    <w:rsid w:val="00331487"/>
    <w:rsid w:val="003321A5"/>
    <w:rsid w:val="00333978"/>
    <w:rsid w:val="00334D86"/>
    <w:rsid w:val="00335AE4"/>
    <w:rsid w:val="00341239"/>
    <w:rsid w:val="00342F01"/>
    <w:rsid w:val="003432BD"/>
    <w:rsid w:val="00343391"/>
    <w:rsid w:val="00343950"/>
    <w:rsid w:val="00343AD1"/>
    <w:rsid w:val="00343C86"/>
    <w:rsid w:val="00344420"/>
    <w:rsid w:val="0034479F"/>
    <w:rsid w:val="00345AC1"/>
    <w:rsid w:val="003467CE"/>
    <w:rsid w:val="00347764"/>
    <w:rsid w:val="00347CA8"/>
    <w:rsid w:val="0035048C"/>
    <w:rsid w:val="0035102C"/>
    <w:rsid w:val="003526DA"/>
    <w:rsid w:val="00352793"/>
    <w:rsid w:val="00352ED1"/>
    <w:rsid w:val="0036055E"/>
    <w:rsid w:val="003605DF"/>
    <w:rsid w:val="00361097"/>
    <w:rsid w:val="00363398"/>
    <w:rsid w:val="003637FC"/>
    <w:rsid w:val="0036429B"/>
    <w:rsid w:val="00364B01"/>
    <w:rsid w:val="00364DDE"/>
    <w:rsid w:val="00365AC6"/>
    <w:rsid w:val="00366B75"/>
    <w:rsid w:val="00366BF4"/>
    <w:rsid w:val="00371052"/>
    <w:rsid w:val="00371296"/>
    <w:rsid w:val="00374AFF"/>
    <w:rsid w:val="0038291D"/>
    <w:rsid w:val="003831F2"/>
    <w:rsid w:val="00383A93"/>
    <w:rsid w:val="00387947"/>
    <w:rsid w:val="00387EC9"/>
    <w:rsid w:val="0039129B"/>
    <w:rsid w:val="00392C48"/>
    <w:rsid w:val="00393EB7"/>
    <w:rsid w:val="003A08E3"/>
    <w:rsid w:val="003A191C"/>
    <w:rsid w:val="003A2EE4"/>
    <w:rsid w:val="003A363D"/>
    <w:rsid w:val="003A3CC8"/>
    <w:rsid w:val="003A3CD6"/>
    <w:rsid w:val="003A48CF"/>
    <w:rsid w:val="003A5862"/>
    <w:rsid w:val="003A5BCE"/>
    <w:rsid w:val="003A5C4E"/>
    <w:rsid w:val="003B1E6C"/>
    <w:rsid w:val="003B2B76"/>
    <w:rsid w:val="003B3185"/>
    <w:rsid w:val="003B3C63"/>
    <w:rsid w:val="003B4024"/>
    <w:rsid w:val="003B404E"/>
    <w:rsid w:val="003B4B3B"/>
    <w:rsid w:val="003B6365"/>
    <w:rsid w:val="003B7681"/>
    <w:rsid w:val="003C00D0"/>
    <w:rsid w:val="003C08A5"/>
    <w:rsid w:val="003C090D"/>
    <w:rsid w:val="003C0C76"/>
    <w:rsid w:val="003C48DC"/>
    <w:rsid w:val="003C4E61"/>
    <w:rsid w:val="003C53D7"/>
    <w:rsid w:val="003C5D75"/>
    <w:rsid w:val="003D0CE3"/>
    <w:rsid w:val="003D32C3"/>
    <w:rsid w:val="003D7013"/>
    <w:rsid w:val="003D72B3"/>
    <w:rsid w:val="003D79B6"/>
    <w:rsid w:val="003E0B61"/>
    <w:rsid w:val="003E61A5"/>
    <w:rsid w:val="003E64E6"/>
    <w:rsid w:val="003E695F"/>
    <w:rsid w:val="003E6B52"/>
    <w:rsid w:val="003E7ECE"/>
    <w:rsid w:val="003F0793"/>
    <w:rsid w:val="003F18C8"/>
    <w:rsid w:val="003F6F66"/>
    <w:rsid w:val="0040034B"/>
    <w:rsid w:val="004012C9"/>
    <w:rsid w:val="00401322"/>
    <w:rsid w:val="00402395"/>
    <w:rsid w:val="00403CC5"/>
    <w:rsid w:val="00403E31"/>
    <w:rsid w:val="00404114"/>
    <w:rsid w:val="00405005"/>
    <w:rsid w:val="004050D5"/>
    <w:rsid w:val="0040692B"/>
    <w:rsid w:val="00407A63"/>
    <w:rsid w:val="00407FF3"/>
    <w:rsid w:val="004108D8"/>
    <w:rsid w:val="00412697"/>
    <w:rsid w:val="00413C70"/>
    <w:rsid w:val="004143DA"/>
    <w:rsid w:val="00414984"/>
    <w:rsid w:val="00414B97"/>
    <w:rsid w:val="004150C9"/>
    <w:rsid w:val="00420B9C"/>
    <w:rsid w:val="00420F9F"/>
    <w:rsid w:val="004216A7"/>
    <w:rsid w:val="00424E73"/>
    <w:rsid w:val="0042507C"/>
    <w:rsid w:val="004250F4"/>
    <w:rsid w:val="00425EFE"/>
    <w:rsid w:val="004272DD"/>
    <w:rsid w:val="00427F7E"/>
    <w:rsid w:val="004309C0"/>
    <w:rsid w:val="00432059"/>
    <w:rsid w:val="004326FB"/>
    <w:rsid w:val="00432B0F"/>
    <w:rsid w:val="00434876"/>
    <w:rsid w:val="00435412"/>
    <w:rsid w:val="0043559E"/>
    <w:rsid w:val="00436F6B"/>
    <w:rsid w:val="00440738"/>
    <w:rsid w:val="00441C12"/>
    <w:rsid w:val="00443817"/>
    <w:rsid w:val="00443CBB"/>
    <w:rsid w:val="00444046"/>
    <w:rsid w:val="0044404E"/>
    <w:rsid w:val="004454AA"/>
    <w:rsid w:val="0044565D"/>
    <w:rsid w:val="00445A02"/>
    <w:rsid w:val="00446D05"/>
    <w:rsid w:val="004515C6"/>
    <w:rsid w:val="00451A5C"/>
    <w:rsid w:val="00451BFB"/>
    <w:rsid w:val="004520CB"/>
    <w:rsid w:val="00452BDA"/>
    <w:rsid w:val="004531C8"/>
    <w:rsid w:val="00454697"/>
    <w:rsid w:val="00455960"/>
    <w:rsid w:val="00456341"/>
    <w:rsid w:val="0045641D"/>
    <w:rsid w:val="00456AAE"/>
    <w:rsid w:val="004608BD"/>
    <w:rsid w:val="00460BC7"/>
    <w:rsid w:val="004627A3"/>
    <w:rsid w:val="00462F98"/>
    <w:rsid w:val="00463033"/>
    <w:rsid w:val="0046394C"/>
    <w:rsid w:val="00465D33"/>
    <w:rsid w:val="00466EAC"/>
    <w:rsid w:val="00471006"/>
    <w:rsid w:val="004712CA"/>
    <w:rsid w:val="00471505"/>
    <w:rsid w:val="00471735"/>
    <w:rsid w:val="0047406F"/>
    <w:rsid w:val="004742C2"/>
    <w:rsid w:val="00475A5C"/>
    <w:rsid w:val="0047683A"/>
    <w:rsid w:val="00476F65"/>
    <w:rsid w:val="00477633"/>
    <w:rsid w:val="00477A7E"/>
    <w:rsid w:val="00480777"/>
    <w:rsid w:val="004817C8"/>
    <w:rsid w:val="00481852"/>
    <w:rsid w:val="00482EA9"/>
    <w:rsid w:val="00483044"/>
    <w:rsid w:val="004835F4"/>
    <w:rsid w:val="00486099"/>
    <w:rsid w:val="00487248"/>
    <w:rsid w:val="004876CB"/>
    <w:rsid w:val="00490484"/>
    <w:rsid w:val="0049051A"/>
    <w:rsid w:val="004906C1"/>
    <w:rsid w:val="00490968"/>
    <w:rsid w:val="0049286A"/>
    <w:rsid w:val="00494053"/>
    <w:rsid w:val="00494207"/>
    <w:rsid w:val="0049493B"/>
    <w:rsid w:val="0049565C"/>
    <w:rsid w:val="004958A9"/>
    <w:rsid w:val="004959B9"/>
    <w:rsid w:val="00495A7C"/>
    <w:rsid w:val="004A15A3"/>
    <w:rsid w:val="004A5441"/>
    <w:rsid w:val="004A5CE2"/>
    <w:rsid w:val="004A7F01"/>
    <w:rsid w:val="004B190B"/>
    <w:rsid w:val="004B2D4B"/>
    <w:rsid w:val="004B2F20"/>
    <w:rsid w:val="004B349F"/>
    <w:rsid w:val="004B3521"/>
    <w:rsid w:val="004B3DD0"/>
    <w:rsid w:val="004B45E7"/>
    <w:rsid w:val="004B5AAF"/>
    <w:rsid w:val="004B685C"/>
    <w:rsid w:val="004C1E92"/>
    <w:rsid w:val="004C5D77"/>
    <w:rsid w:val="004D3B41"/>
    <w:rsid w:val="004D42A1"/>
    <w:rsid w:val="004D454D"/>
    <w:rsid w:val="004D4CBB"/>
    <w:rsid w:val="004D5469"/>
    <w:rsid w:val="004D7664"/>
    <w:rsid w:val="004D7EB1"/>
    <w:rsid w:val="004E0659"/>
    <w:rsid w:val="004E0D99"/>
    <w:rsid w:val="004E11DB"/>
    <w:rsid w:val="004E3414"/>
    <w:rsid w:val="004E4178"/>
    <w:rsid w:val="004E4763"/>
    <w:rsid w:val="004E5305"/>
    <w:rsid w:val="004E5AEC"/>
    <w:rsid w:val="004E728D"/>
    <w:rsid w:val="004E7693"/>
    <w:rsid w:val="004F02E4"/>
    <w:rsid w:val="004F1379"/>
    <w:rsid w:val="004F3FA9"/>
    <w:rsid w:val="004F4A2F"/>
    <w:rsid w:val="004F5319"/>
    <w:rsid w:val="004F5C00"/>
    <w:rsid w:val="004F5CAF"/>
    <w:rsid w:val="004F5E53"/>
    <w:rsid w:val="004F6BBF"/>
    <w:rsid w:val="004F70F2"/>
    <w:rsid w:val="004F755F"/>
    <w:rsid w:val="0050045A"/>
    <w:rsid w:val="00501A34"/>
    <w:rsid w:val="00501B66"/>
    <w:rsid w:val="005065A4"/>
    <w:rsid w:val="00506634"/>
    <w:rsid w:val="00506DDE"/>
    <w:rsid w:val="005133CE"/>
    <w:rsid w:val="0051352C"/>
    <w:rsid w:val="005154D6"/>
    <w:rsid w:val="0051737A"/>
    <w:rsid w:val="00517DCD"/>
    <w:rsid w:val="00522C46"/>
    <w:rsid w:val="0052485A"/>
    <w:rsid w:val="0052530D"/>
    <w:rsid w:val="005258D5"/>
    <w:rsid w:val="00525C08"/>
    <w:rsid w:val="0052663F"/>
    <w:rsid w:val="00527D21"/>
    <w:rsid w:val="00530BDC"/>
    <w:rsid w:val="0053123A"/>
    <w:rsid w:val="00533CC7"/>
    <w:rsid w:val="00533ECF"/>
    <w:rsid w:val="005371FD"/>
    <w:rsid w:val="00537803"/>
    <w:rsid w:val="00540851"/>
    <w:rsid w:val="0054218B"/>
    <w:rsid w:val="00544DD4"/>
    <w:rsid w:val="005455A4"/>
    <w:rsid w:val="00546EE5"/>
    <w:rsid w:val="00547B61"/>
    <w:rsid w:val="00547FD3"/>
    <w:rsid w:val="00550265"/>
    <w:rsid w:val="00552E60"/>
    <w:rsid w:val="00553083"/>
    <w:rsid w:val="005546CF"/>
    <w:rsid w:val="00554AFA"/>
    <w:rsid w:val="00560046"/>
    <w:rsid w:val="005625E9"/>
    <w:rsid w:val="005647BB"/>
    <w:rsid w:val="005659E8"/>
    <w:rsid w:val="00566162"/>
    <w:rsid w:val="00567259"/>
    <w:rsid w:val="005714E3"/>
    <w:rsid w:val="005723A1"/>
    <w:rsid w:val="00572DDD"/>
    <w:rsid w:val="00572F8D"/>
    <w:rsid w:val="00574B00"/>
    <w:rsid w:val="00574E54"/>
    <w:rsid w:val="00576901"/>
    <w:rsid w:val="00576AEE"/>
    <w:rsid w:val="00576BA2"/>
    <w:rsid w:val="00577079"/>
    <w:rsid w:val="005779A1"/>
    <w:rsid w:val="00577F79"/>
    <w:rsid w:val="005801EA"/>
    <w:rsid w:val="005803FF"/>
    <w:rsid w:val="00581D54"/>
    <w:rsid w:val="00582D3F"/>
    <w:rsid w:val="005849CF"/>
    <w:rsid w:val="00584A17"/>
    <w:rsid w:val="00587C6D"/>
    <w:rsid w:val="00587E1C"/>
    <w:rsid w:val="00590887"/>
    <w:rsid w:val="00591447"/>
    <w:rsid w:val="005946A5"/>
    <w:rsid w:val="00594A42"/>
    <w:rsid w:val="00594B96"/>
    <w:rsid w:val="00595B36"/>
    <w:rsid w:val="00596CC2"/>
    <w:rsid w:val="00597AC1"/>
    <w:rsid w:val="005A0539"/>
    <w:rsid w:val="005A0754"/>
    <w:rsid w:val="005A140E"/>
    <w:rsid w:val="005A3FF7"/>
    <w:rsid w:val="005A4822"/>
    <w:rsid w:val="005A4C03"/>
    <w:rsid w:val="005A4E2C"/>
    <w:rsid w:val="005A769E"/>
    <w:rsid w:val="005A7E92"/>
    <w:rsid w:val="005B1015"/>
    <w:rsid w:val="005B2FCB"/>
    <w:rsid w:val="005B45AE"/>
    <w:rsid w:val="005B6FD7"/>
    <w:rsid w:val="005B751B"/>
    <w:rsid w:val="005C0CFF"/>
    <w:rsid w:val="005C13D0"/>
    <w:rsid w:val="005C1CB0"/>
    <w:rsid w:val="005C3D92"/>
    <w:rsid w:val="005C4EDF"/>
    <w:rsid w:val="005C5B37"/>
    <w:rsid w:val="005C75E9"/>
    <w:rsid w:val="005D1935"/>
    <w:rsid w:val="005D2242"/>
    <w:rsid w:val="005D2CC6"/>
    <w:rsid w:val="005D378B"/>
    <w:rsid w:val="005D7C4F"/>
    <w:rsid w:val="005E258B"/>
    <w:rsid w:val="005E2771"/>
    <w:rsid w:val="005E2E53"/>
    <w:rsid w:val="005E2EA2"/>
    <w:rsid w:val="005E3F85"/>
    <w:rsid w:val="005E5CDD"/>
    <w:rsid w:val="005E5FC4"/>
    <w:rsid w:val="005F08E9"/>
    <w:rsid w:val="005F17E2"/>
    <w:rsid w:val="005F1D17"/>
    <w:rsid w:val="005F29D2"/>
    <w:rsid w:val="005F2B11"/>
    <w:rsid w:val="005F378D"/>
    <w:rsid w:val="005F3AB1"/>
    <w:rsid w:val="005F3D62"/>
    <w:rsid w:val="005F4B13"/>
    <w:rsid w:val="005F64A0"/>
    <w:rsid w:val="005F7E9E"/>
    <w:rsid w:val="006007B6"/>
    <w:rsid w:val="006019B2"/>
    <w:rsid w:val="00601F68"/>
    <w:rsid w:val="00602C1C"/>
    <w:rsid w:val="00604F89"/>
    <w:rsid w:val="00605640"/>
    <w:rsid w:val="00607223"/>
    <w:rsid w:val="00607D64"/>
    <w:rsid w:val="00610DE3"/>
    <w:rsid w:val="00613961"/>
    <w:rsid w:val="00616472"/>
    <w:rsid w:val="006172BC"/>
    <w:rsid w:val="00622713"/>
    <w:rsid w:val="006244FC"/>
    <w:rsid w:val="00624956"/>
    <w:rsid w:val="006255CF"/>
    <w:rsid w:val="006255E9"/>
    <w:rsid w:val="00626AD3"/>
    <w:rsid w:val="00627097"/>
    <w:rsid w:val="00627C05"/>
    <w:rsid w:val="0063129E"/>
    <w:rsid w:val="006312D2"/>
    <w:rsid w:val="00631E07"/>
    <w:rsid w:val="00635FEE"/>
    <w:rsid w:val="006360EE"/>
    <w:rsid w:val="00636C65"/>
    <w:rsid w:val="00636E85"/>
    <w:rsid w:val="00640394"/>
    <w:rsid w:val="006413AC"/>
    <w:rsid w:val="006421F5"/>
    <w:rsid w:val="006429DF"/>
    <w:rsid w:val="00642A6E"/>
    <w:rsid w:val="00642DFA"/>
    <w:rsid w:val="00643EF9"/>
    <w:rsid w:val="006455CA"/>
    <w:rsid w:val="006467DC"/>
    <w:rsid w:val="00650CE6"/>
    <w:rsid w:val="006600A5"/>
    <w:rsid w:val="006609F2"/>
    <w:rsid w:val="0066104F"/>
    <w:rsid w:val="00661E3F"/>
    <w:rsid w:val="00662962"/>
    <w:rsid w:val="006657CE"/>
    <w:rsid w:val="00665928"/>
    <w:rsid w:val="00667C64"/>
    <w:rsid w:val="00673A6D"/>
    <w:rsid w:val="00675003"/>
    <w:rsid w:val="00675C15"/>
    <w:rsid w:val="006801B6"/>
    <w:rsid w:val="00681751"/>
    <w:rsid w:val="00681D05"/>
    <w:rsid w:val="00681D71"/>
    <w:rsid w:val="00682470"/>
    <w:rsid w:val="0068406B"/>
    <w:rsid w:val="006841AF"/>
    <w:rsid w:val="006846B3"/>
    <w:rsid w:val="00684B07"/>
    <w:rsid w:val="00685E54"/>
    <w:rsid w:val="00690D9F"/>
    <w:rsid w:val="0069207F"/>
    <w:rsid w:val="00692FE8"/>
    <w:rsid w:val="00694522"/>
    <w:rsid w:val="00694FDF"/>
    <w:rsid w:val="0069709F"/>
    <w:rsid w:val="006972A3"/>
    <w:rsid w:val="00697DCD"/>
    <w:rsid w:val="006A24B6"/>
    <w:rsid w:val="006A396E"/>
    <w:rsid w:val="006A53FC"/>
    <w:rsid w:val="006A6377"/>
    <w:rsid w:val="006A6503"/>
    <w:rsid w:val="006A65BA"/>
    <w:rsid w:val="006A6CC3"/>
    <w:rsid w:val="006B03E3"/>
    <w:rsid w:val="006B32F8"/>
    <w:rsid w:val="006B3E37"/>
    <w:rsid w:val="006B4CC4"/>
    <w:rsid w:val="006B4ECA"/>
    <w:rsid w:val="006B52A7"/>
    <w:rsid w:val="006B571D"/>
    <w:rsid w:val="006B734A"/>
    <w:rsid w:val="006C1F23"/>
    <w:rsid w:val="006C6956"/>
    <w:rsid w:val="006C7F49"/>
    <w:rsid w:val="006D1DF3"/>
    <w:rsid w:val="006D640D"/>
    <w:rsid w:val="006D78A9"/>
    <w:rsid w:val="006E1021"/>
    <w:rsid w:val="006E1F6B"/>
    <w:rsid w:val="006E290F"/>
    <w:rsid w:val="006E3025"/>
    <w:rsid w:val="006E4621"/>
    <w:rsid w:val="006E5067"/>
    <w:rsid w:val="006E5195"/>
    <w:rsid w:val="006E789C"/>
    <w:rsid w:val="006F040C"/>
    <w:rsid w:val="006F0549"/>
    <w:rsid w:val="006F1F87"/>
    <w:rsid w:val="006F3556"/>
    <w:rsid w:val="006F41AF"/>
    <w:rsid w:val="006F4214"/>
    <w:rsid w:val="006F5CF2"/>
    <w:rsid w:val="006F65CD"/>
    <w:rsid w:val="006F7A10"/>
    <w:rsid w:val="006F7F53"/>
    <w:rsid w:val="0070278A"/>
    <w:rsid w:val="00703202"/>
    <w:rsid w:val="00705040"/>
    <w:rsid w:val="007057F2"/>
    <w:rsid w:val="0070750D"/>
    <w:rsid w:val="007105AC"/>
    <w:rsid w:val="00711E10"/>
    <w:rsid w:val="00712479"/>
    <w:rsid w:val="00712770"/>
    <w:rsid w:val="00712F2D"/>
    <w:rsid w:val="007141A7"/>
    <w:rsid w:val="007143EC"/>
    <w:rsid w:val="00715147"/>
    <w:rsid w:val="00717163"/>
    <w:rsid w:val="00721AB2"/>
    <w:rsid w:val="0072325D"/>
    <w:rsid w:val="00723D52"/>
    <w:rsid w:val="00724E78"/>
    <w:rsid w:val="007262BD"/>
    <w:rsid w:val="0072761A"/>
    <w:rsid w:val="00727DA7"/>
    <w:rsid w:val="0073148F"/>
    <w:rsid w:val="00731726"/>
    <w:rsid w:val="007317DA"/>
    <w:rsid w:val="00732E62"/>
    <w:rsid w:val="00735F4D"/>
    <w:rsid w:val="00736729"/>
    <w:rsid w:val="007420C9"/>
    <w:rsid w:val="00742C0C"/>
    <w:rsid w:val="0074402A"/>
    <w:rsid w:val="007449D1"/>
    <w:rsid w:val="007469B9"/>
    <w:rsid w:val="00752DFE"/>
    <w:rsid w:val="00756D11"/>
    <w:rsid w:val="00756EBC"/>
    <w:rsid w:val="00760F40"/>
    <w:rsid w:val="00764A96"/>
    <w:rsid w:val="007656DA"/>
    <w:rsid w:val="00766BB1"/>
    <w:rsid w:val="00766CC9"/>
    <w:rsid w:val="0076716A"/>
    <w:rsid w:val="00771F15"/>
    <w:rsid w:val="007722A1"/>
    <w:rsid w:val="0077315E"/>
    <w:rsid w:val="00774061"/>
    <w:rsid w:val="0077508E"/>
    <w:rsid w:val="007757EC"/>
    <w:rsid w:val="007769A4"/>
    <w:rsid w:val="0078178E"/>
    <w:rsid w:val="00781EA9"/>
    <w:rsid w:val="007823DA"/>
    <w:rsid w:val="00782B65"/>
    <w:rsid w:val="00782CF9"/>
    <w:rsid w:val="00783174"/>
    <w:rsid w:val="00785972"/>
    <w:rsid w:val="0079104A"/>
    <w:rsid w:val="0079147B"/>
    <w:rsid w:val="007922A7"/>
    <w:rsid w:val="007940EA"/>
    <w:rsid w:val="00795272"/>
    <w:rsid w:val="007969F6"/>
    <w:rsid w:val="00797A88"/>
    <w:rsid w:val="00797AEA"/>
    <w:rsid w:val="007A07E6"/>
    <w:rsid w:val="007A0C5F"/>
    <w:rsid w:val="007A4D25"/>
    <w:rsid w:val="007A576B"/>
    <w:rsid w:val="007A68C2"/>
    <w:rsid w:val="007A6B00"/>
    <w:rsid w:val="007A7C17"/>
    <w:rsid w:val="007B0396"/>
    <w:rsid w:val="007B07A7"/>
    <w:rsid w:val="007B0A03"/>
    <w:rsid w:val="007B0F62"/>
    <w:rsid w:val="007B13F2"/>
    <w:rsid w:val="007B247D"/>
    <w:rsid w:val="007B2FD1"/>
    <w:rsid w:val="007B3451"/>
    <w:rsid w:val="007B48B8"/>
    <w:rsid w:val="007B4BE1"/>
    <w:rsid w:val="007B568D"/>
    <w:rsid w:val="007B6529"/>
    <w:rsid w:val="007B754E"/>
    <w:rsid w:val="007B76A3"/>
    <w:rsid w:val="007C0322"/>
    <w:rsid w:val="007C03BC"/>
    <w:rsid w:val="007C03D2"/>
    <w:rsid w:val="007C0467"/>
    <w:rsid w:val="007C69AC"/>
    <w:rsid w:val="007C74A1"/>
    <w:rsid w:val="007C7C63"/>
    <w:rsid w:val="007D0967"/>
    <w:rsid w:val="007D0C1E"/>
    <w:rsid w:val="007D2D02"/>
    <w:rsid w:val="007D35F7"/>
    <w:rsid w:val="007D3AC9"/>
    <w:rsid w:val="007D3E6C"/>
    <w:rsid w:val="007D46A8"/>
    <w:rsid w:val="007D5C92"/>
    <w:rsid w:val="007D7045"/>
    <w:rsid w:val="007E334B"/>
    <w:rsid w:val="007E398D"/>
    <w:rsid w:val="007E609B"/>
    <w:rsid w:val="007E65B0"/>
    <w:rsid w:val="007E7F60"/>
    <w:rsid w:val="007F0C19"/>
    <w:rsid w:val="007F1543"/>
    <w:rsid w:val="007F1974"/>
    <w:rsid w:val="007F2E21"/>
    <w:rsid w:val="007F3E69"/>
    <w:rsid w:val="007F49F3"/>
    <w:rsid w:val="007F5208"/>
    <w:rsid w:val="007F558D"/>
    <w:rsid w:val="007F5B41"/>
    <w:rsid w:val="007F65DA"/>
    <w:rsid w:val="00800207"/>
    <w:rsid w:val="008005EF"/>
    <w:rsid w:val="00802275"/>
    <w:rsid w:val="00805DEE"/>
    <w:rsid w:val="0080646D"/>
    <w:rsid w:val="008068B0"/>
    <w:rsid w:val="00807845"/>
    <w:rsid w:val="0080793D"/>
    <w:rsid w:val="008079A4"/>
    <w:rsid w:val="008113DF"/>
    <w:rsid w:val="00812A86"/>
    <w:rsid w:val="00813625"/>
    <w:rsid w:val="008171B1"/>
    <w:rsid w:val="00817240"/>
    <w:rsid w:val="00817423"/>
    <w:rsid w:val="00821033"/>
    <w:rsid w:val="00822EA9"/>
    <w:rsid w:val="00823691"/>
    <w:rsid w:val="008259AE"/>
    <w:rsid w:val="00825EEE"/>
    <w:rsid w:val="0082616C"/>
    <w:rsid w:val="00830154"/>
    <w:rsid w:val="00830A91"/>
    <w:rsid w:val="00832544"/>
    <w:rsid w:val="00833F05"/>
    <w:rsid w:val="00834086"/>
    <w:rsid w:val="00836771"/>
    <w:rsid w:val="00836B87"/>
    <w:rsid w:val="008375CF"/>
    <w:rsid w:val="00837EDD"/>
    <w:rsid w:val="008404CD"/>
    <w:rsid w:val="008407E9"/>
    <w:rsid w:val="00840808"/>
    <w:rsid w:val="00840F0E"/>
    <w:rsid w:val="00845234"/>
    <w:rsid w:val="00845296"/>
    <w:rsid w:val="0084568F"/>
    <w:rsid w:val="00846FBD"/>
    <w:rsid w:val="0084725D"/>
    <w:rsid w:val="008478AA"/>
    <w:rsid w:val="0085073D"/>
    <w:rsid w:val="008515D0"/>
    <w:rsid w:val="008536D4"/>
    <w:rsid w:val="008538AF"/>
    <w:rsid w:val="00854AAD"/>
    <w:rsid w:val="00856989"/>
    <w:rsid w:val="0086074D"/>
    <w:rsid w:val="00861896"/>
    <w:rsid w:val="0086265E"/>
    <w:rsid w:val="00862CE2"/>
    <w:rsid w:val="008632B7"/>
    <w:rsid w:val="00863BFA"/>
    <w:rsid w:val="00863C49"/>
    <w:rsid w:val="00863E8A"/>
    <w:rsid w:val="008646C9"/>
    <w:rsid w:val="00867DF1"/>
    <w:rsid w:val="0087036E"/>
    <w:rsid w:val="008737A3"/>
    <w:rsid w:val="00876686"/>
    <w:rsid w:val="00876BFE"/>
    <w:rsid w:val="00880BC5"/>
    <w:rsid w:val="00880D9F"/>
    <w:rsid w:val="00881A4B"/>
    <w:rsid w:val="00886CDD"/>
    <w:rsid w:val="00887EFB"/>
    <w:rsid w:val="0089001E"/>
    <w:rsid w:val="008902AE"/>
    <w:rsid w:val="008907F9"/>
    <w:rsid w:val="00891153"/>
    <w:rsid w:val="00891170"/>
    <w:rsid w:val="00891526"/>
    <w:rsid w:val="00891A76"/>
    <w:rsid w:val="00892EB9"/>
    <w:rsid w:val="008945C5"/>
    <w:rsid w:val="00895286"/>
    <w:rsid w:val="00896221"/>
    <w:rsid w:val="008A215C"/>
    <w:rsid w:val="008A2723"/>
    <w:rsid w:val="008A5789"/>
    <w:rsid w:val="008A6967"/>
    <w:rsid w:val="008A7086"/>
    <w:rsid w:val="008B1DAD"/>
    <w:rsid w:val="008B1FCE"/>
    <w:rsid w:val="008B25AD"/>
    <w:rsid w:val="008B3712"/>
    <w:rsid w:val="008B4C56"/>
    <w:rsid w:val="008B4F1A"/>
    <w:rsid w:val="008B653C"/>
    <w:rsid w:val="008B6D9A"/>
    <w:rsid w:val="008B7B2D"/>
    <w:rsid w:val="008C0BF6"/>
    <w:rsid w:val="008C1A1E"/>
    <w:rsid w:val="008C1ADC"/>
    <w:rsid w:val="008C4E94"/>
    <w:rsid w:val="008C5FF2"/>
    <w:rsid w:val="008D029B"/>
    <w:rsid w:val="008D0598"/>
    <w:rsid w:val="008D078A"/>
    <w:rsid w:val="008D0F8F"/>
    <w:rsid w:val="008D1A8A"/>
    <w:rsid w:val="008D446B"/>
    <w:rsid w:val="008D46F7"/>
    <w:rsid w:val="008D591A"/>
    <w:rsid w:val="008D6730"/>
    <w:rsid w:val="008D6B14"/>
    <w:rsid w:val="008D76FD"/>
    <w:rsid w:val="008E0311"/>
    <w:rsid w:val="008E66D2"/>
    <w:rsid w:val="008E78BD"/>
    <w:rsid w:val="008F069C"/>
    <w:rsid w:val="008F0D9E"/>
    <w:rsid w:val="008F1B1C"/>
    <w:rsid w:val="008F1C7A"/>
    <w:rsid w:val="008F292A"/>
    <w:rsid w:val="008F43A1"/>
    <w:rsid w:val="008F49DE"/>
    <w:rsid w:val="008F52D5"/>
    <w:rsid w:val="008F535F"/>
    <w:rsid w:val="008F5854"/>
    <w:rsid w:val="008F70A7"/>
    <w:rsid w:val="00900E15"/>
    <w:rsid w:val="00903116"/>
    <w:rsid w:val="00903402"/>
    <w:rsid w:val="00904887"/>
    <w:rsid w:val="00904B6A"/>
    <w:rsid w:val="009056D4"/>
    <w:rsid w:val="009057B9"/>
    <w:rsid w:val="00905E76"/>
    <w:rsid w:val="00906E7C"/>
    <w:rsid w:val="00906FDA"/>
    <w:rsid w:val="009073BF"/>
    <w:rsid w:val="00907C7B"/>
    <w:rsid w:val="0091098F"/>
    <w:rsid w:val="00910ED2"/>
    <w:rsid w:val="00912552"/>
    <w:rsid w:val="0091388F"/>
    <w:rsid w:val="00913E62"/>
    <w:rsid w:val="009147CE"/>
    <w:rsid w:val="009164B4"/>
    <w:rsid w:val="00920753"/>
    <w:rsid w:val="00920A19"/>
    <w:rsid w:val="00925A61"/>
    <w:rsid w:val="009260D8"/>
    <w:rsid w:val="009260F6"/>
    <w:rsid w:val="00926152"/>
    <w:rsid w:val="00926AFC"/>
    <w:rsid w:val="00927052"/>
    <w:rsid w:val="00930818"/>
    <w:rsid w:val="009308AC"/>
    <w:rsid w:val="00930BEB"/>
    <w:rsid w:val="00935F35"/>
    <w:rsid w:val="00941892"/>
    <w:rsid w:val="00942D21"/>
    <w:rsid w:val="009435D8"/>
    <w:rsid w:val="00944988"/>
    <w:rsid w:val="00945AC1"/>
    <w:rsid w:val="0094723C"/>
    <w:rsid w:val="00947875"/>
    <w:rsid w:val="00952674"/>
    <w:rsid w:val="00952BCA"/>
    <w:rsid w:val="0095485F"/>
    <w:rsid w:val="00956DA4"/>
    <w:rsid w:val="0095731F"/>
    <w:rsid w:val="0095782E"/>
    <w:rsid w:val="00961D1D"/>
    <w:rsid w:val="00962231"/>
    <w:rsid w:val="00962A78"/>
    <w:rsid w:val="00963572"/>
    <w:rsid w:val="0096445E"/>
    <w:rsid w:val="0096594E"/>
    <w:rsid w:val="00965D63"/>
    <w:rsid w:val="0097049E"/>
    <w:rsid w:val="00974248"/>
    <w:rsid w:val="00974682"/>
    <w:rsid w:val="0097483F"/>
    <w:rsid w:val="00974E8E"/>
    <w:rsid w:val="0097562F"/>
    <w:rsid w:val="00983F36"/>
    <w:rsid w:val="00983F54"/>
    <w:rsid w:val="00984451"/>
    <w:rsid w:val="00985147"/>
    <w:rsid w:val="00985190"/>
    <w:rsid w:val="0098590C"/>
    <w:rsid w:val="009868B4"/>
    <w:rsid w:val="009924A8"/>
    <w:rsid w:val="00992601"/>
    <w:rsid w:val="00995DF7"/>
    <w:rsid w:val="00997B17"/>
    <w:rsid w:val="009A1530"/>
    <w:rsid w:val="009A2EBD"/>
    <w:rsid w:val="009A5EE9"/>
    <w:rsid w:val="009A6C0C"/>
    <w:rsid w:val="009A6ECD"/>
    <w:rsid w:val="009B06DE"/>
    <w:rsid w:val="009B1FF5"/>
    <w:rsid w:val="009B2753"/>
    <w:rsid w:val="009B2A5D"/>
    <w:rsid w:val="009B36B5"/>
    <w:rsid w:val="009C143D"/>
    <w:rsid w:val="009C2E11"/>
    <w:rsid w:val="009C3334"/>
    <w:rsid w:val="009C35A0"/>
    <w:rsid w:val="009C41A8"/>
    <w:rsid w:val="009C5761"/>
    <w:rsid w:val="009C59C8"/>
    <w:rsid w:val="009D08A8"/>
    <w:rsid w:val="009D2553"/>
    <w:rsid w:val="009D3A44"/>
    <w:rsid w:val="009D67FE"/>
    <w:rsid w:val="009E0DFC"/>
    <w:rsid w:val="009E16AA"/>
    <w:rsid w:val="009E1A2F"/>
    <w:rsid w:val="009E64FE"/>
    <w:rsid w:val="009E7A99"/>
    <w:rsid w:val="009F0FE6"/>
    <w:rsid w:val="009F155A"/>
    <w:rsid w:val="009F1D7F"/>
    <w:rsid w:val="009F2340"/>
    <w:rsid w:val="009F51C8"/>
    <w:rsid w:val="009F5B38"/>
    <w:rsid w:val="00A01009"/>
    <w:rsid w:val="00A02CAB"/>
    <w:rsid w:val="00A039BD"/>
    <w:rsid w:val="00A05E5D"/>
    <w:rsid w:val="00A071D9"/>
    <w:rsid w:val="00A0766D"/>
    <w:rsid w:val="00A07F19"/>
    <w:rsid w:val="00A11159"/>
    <w:rsid w:val="00A111BF"/>
    <w:rsid w:val="00A112A0"/>
    <w:rsid w:val="00A11892"/>
    <w:rsid w:val="00A12944"/>
    <w:rsid w:val="00A147ED"/>
    <w:rsid w:val="00A1491B"/>
    <w:rsid w:val="00A166A1"/>
    <w:rsid w:val="00A16E88"/>
    <w:rsid w:val="00A20C5B"/>
    <w:rsid w:val="00A217C9"/>
    <w:rsid w:val="00A21CBC"/>
    <w:rsid w:val="00A225FE"/>
    <w:rsid w:val="00A230AC"/>
    <w:rsid w:val="00A23395"/>
    <w:rsid w:val="00A26E28"/>
    <w:rsid w:val="00A3007F"/>
    <w:rsid w:val="00A312AB"/>
    <w:rsid w:val="00A31B2A"/>
    <w:rsid w:val="00A34258"/>
    <w:rsid w:val="00A369B0"/>
    <w:rsid w:val="00A36B1A"/>
    <w:rsid w:val="00A4042D"/>
    <w:rsid w:val="00A40E0D"/>
    <w:rsid w:val="00A41048"/>
    <w:rsid w:val="00A41119"/>
    <w:rsid w:val="00A41C45"/>
    <w:rsid w:val="00A4216C"/>
    <w:rsid w:val="00A42256"/>
    <w:rsid w:val="00A44120"/>
    <w:rsid w:val="00A45457"/>
    <w:rsid w:val="00A45BE3"/>
    <w:rsid w:val="00A46124"/>
    <w:rsid w:val="00A47670"/>
    <w:rsid w:val="00A506E1"/>
    <w:rsid w:val="00A50B74"/>
    <w:rsid w:val="00A51151"/>
    <w:rsid w:val="00A539EA"/>
    <w:rsid w:val="00A53BBA"/>
    <w:rsid w:val="00A54BB1"/>
    <w:rsid w:val="00A54E39"/>
    <w:rsid w:val="00A56B0B"/>
    <w:rsid w:val="00A570C5"/>
    <w:rsid w:val="00A57966"/>
    <w:rsid w:val="00A57B70"/>
    <w:rsid w:val="00A602E9"/>
    <w:rsid w:val="00A621FB"/>
    <w:rsid w:val="00A62A9A"/>
    <w:rsid w:val="00A63EA2"/>
    <w:rsid w:val="00A67050"/>
    <w:rsid w:val="00A700F0"/>
    <w:rsid w:val="00A725AB"/>
    <w:rsid w:val="00A729B6"/>
    <w:rsid w:val="00A741CB"/>
    <w:rsid w:val="00A74F2D"/>
    <w:rsid w:val="00A75860"/>
    <w:rsid w:val="00A8002C"/>
    <w:rsid w:val="00A802AA"/>
    <w:rsid w:val="00A81C9C"/>
    <w:rsid w:val="00A81D9C"/>
    <w:rsid w:val="00A8444B"/>
    <w:rsid w:val="00A84512"/>
    <w:rsid w:val="00A863EE"/>
    <w:rsid w:val="00A86434"/>
    <w:rsid w:val="00A87C71"/>
    <w:rsid w:val="00A87FE3"/>
    <w:rsid w:val="00A901D5"/>
    <w:rsid w:val="00A90523"/>
    <w:rsid w:val="00A917E1"/>
    <w:rsid w:val="00A93046"/>
    <w:rsid w:val="00A93BAE"/>
    <w:rsid w:val="00A94112"/>
    <w:rsid w:val="00A96183"/>
    <w:rsid w:val="00AA3269"/>
    <w:rsid w:val="00AA4F93"/>
    <w:rsid w:val="00AA68F1"/>
    <w:rsid w:val="00AA7423"/>
    <w:rsid w:val="00AB0073"/>
    <w:rsid w:val="00AB0EEA"/>
    <w:rsid w:val="00AB10E4"/>
    <w:rsid w:val="00AB3584"/>
    <w:rsid w:val="00AB38F4"/>
    <w:rsid w:val="00AB3FD5"/>
    <w:rsid w:val="00AB4B4C"/>
    <w:rsid w:val="00AB4D5C"/>
    <w:rsid w:val="00AB5692"/>
    <w:rsid w:val="00AB66C1"/>
    <w:rsid w:val="00AB6D3B"/>
    <w:rsid w:val="00AB6E17"/>
    <w:rsid w:val="00AB73C5"/>
    <w:rsid w:val="00AC0F8F"/>
    <w:rsid w:val="00AC13B4"/>
    <w:rsid w:val="00AC63F0"/>
    <w:rsid w:val="00AC7C49"/>
    <w:rsid w:val="00AD0AA3"/>
    <w:rsid w:val="00AD1407"/>
    <w:rsid w:val="00AD194E"/>
    <w:rsid w:val="00AD1CF2"/>
    <w:rsid w:val="00AD45B3"/>
    <w:rsid w:val="00AD5CA3"/>
    <w:rsid w:val="00AD6FE3"/>
    <w:rsid w:val="00AD7758"/>
    <w:rsid w:val="00AE19BC"/>
    <w:rsid w:val="00AE2B3D"/>
    <w:rsid w:val="00AE2E8C"/>
    <w:rsid w:val="00AE3155"/>
    <w:rsid w:val="00AE33F1"/>
    <w:rsid w:val="00AE5DF0"/>
    <w:rsid w:val="00AE626F"/>
    <w:rsid w:val="00AE7B9D"/>
    <w:rsid w:val="00AF0BF9"/>
    <w:rsid w:val="00AF24B1"/>
    <w:rsid w:val="00AF2757"/>
    <w:rsid w:val="00AF2BE6"/>
    <w:rsid w:val="00AF2E9B"/>
    <w:rsid w:val="00AF36E0"/>
    <w:rsid w:val="00AF5130"/>
    <w:rsid w:val="00AF5F8D"/>
    <w:rsid w:val="00AF6A9A"/>
    <w:rsid w:val="00AF79A5"/>
    <w:rsid w:val="00AF7F24"/>
    <w:rsid w:val="00B00B23"/>
    <w:rsid w:val="00B04714"/>
    <w:rsid w:val="00B04DFB"/>
    <w:rsid w:val="00B06C07"/>
    <w:rsid w:val="00B10FC6"/>
    <w:rsid w:val="00B110BD"/>
    <w:rsid w:val="00B11EAB"/>
    <w:rsid w:val="00B1356C"/>
    <w:rsid w:val="00B136BA"/>
    <w:rsid w:val="00B157FF"/>
    <w:rsid w:val="00B15DAE"/>
    <w:rsid w:val="00B16C3E"/>
    <w:rsid w:val="00B170FA"/>
    <w:rsid w:val="00B17E74"/>
    <w:rsid w:val="00B20943"/>
    <w:rsid w:val="00B21053"/>
    <w:rsid w:val="00B2128A"/>
    <w:rsid w:val="00B217AD"/>
    <w:rsid w:val="00B23FFC"/>
    <w:rsid w:val="00B260D4"/>
    <w:rsid w:val="00B33B8F"/>
    <w:rsid w:val="00B34D3F"/>
    <w:rsid w:val="00B35354"/>
    <w:rsid w:val="00B35684"/>
    <w:rsid w:val="00B36442"/>
    <w:rsid w:val="00B379F5"/>
    <w:rsid w:val="00B4065D"/>
    <w:rsid w:val="00B409DE"/>
    <w:rsid w:val="00B44AB5"/>
    <w:rsid w:val="00B461C5"/>
    <w:rsid w:val="00B47F3F"/>
    <w:rsid w:val="00B50003"/>
    <w:rsid w:val="00B513D9"/>
    <w:rsid w:val="00B53160"/>
    <w:rsid w:val="00B53353"/>
    <w:rsid w:val="00B53D3F"/>
    <w:rsid w:val="00B57DE2"/>
    <w:rsid w:val="00B60B0D"/>
    <w:rsid w:val="00B61F69"/>
    <w:rsid w:val="00B627F2"/>
    <w:rsid w:val="00B62AB0"/>
    <w:rsid w:val="00B7250F"/>
    <w:rsid w:val="00B734E7"/>
    <w:rsid w:val="00B73B5B"/>
    <w:rsid w:val="00B74641"/>
    <w:rsid w:val="00B74D6A"/>
    <w:rsid w:val="00B75131"/>
    <w:rsid w:val="00B754C0"/>
    <w:rsid w:val="00B75D8B"/>
    <w:rsid w:val="00B75F46"/>
    <w:rsid w:val="00B76419"/>
    <w:rsid w:val="00B76E6A"/>
    <w:rsid w:val="00B8110F"/>
    <w:rsid w:val="00B8211D"/>
    <w:rsid w:val="00B83B7F"/>
    <w:rsid w:val="00B83D4E"/>
    <w:rsid w:val="00B83E2A"/>
    <w:rsid w:val="00B84E14"/>
    <w:rsid w:val="00B851C6"/>
    <w:rsid w:val="00B9035C"/>
    <w:rsid w:val="00B916D1"/>
    <w:rsid w:val="00B93939"/>
    <w:rsid w:val="00B97659"/>
    <w:rsid w:val="00BA1C52"/>
    <w:rsid w:val="00BA2B07"/>
    <w:rsid w:val="00BA3A4E"/>
    <w:rsid w:val="00BA3D62"/>
    <w:rsid w:val="00BA4B6C"/>
    <w:rsid w:val="00BA51A4"/>
    <w:rsid w:val="00BA68E6"/>
    <w:rsid w:val="00BA7487"/>
    <w:rsid w:val="00BA75B5"/>
    <w:rsid w:val="00BB2157"/>
    <w:rsid w:val="00BB2FC4"/>
    <w:rsid w:val="00BB3442"/>
    <w:rsid w:val="00BB37AB"/>
    <w:rsid w:val="00BB40E1"/>
    <w:rsid w:val="00BB4198"/>
    <w:rsid w:val="00BB60E4"/>
    <w:rsid w:val="00BB75FA"/>
    <w:rsid w:val="00BC0964"/>
    <w:rsid w:val="00BC1A2C"/>
    <w:rsid w:val="00BC1C9C"/>
    <w:rsid w:val="00BC2719"/>
    <w:rsid w:val="00BC410E"/>
    <w:rsid w:val="00BC43D3"/>
    <w:rsid w:val="00BC4F95"/>
    <w:rsid w:val="00BC6319"/>
    <w:rsid w:val="00BD20F8"/>
    <w:rsid w:val="00BD2DF9"/>
    <w:rsid w:val="00BD353E"/>
    <w:rsid w:val="00BD3B12"/>
    <w:rsid w:val="00BD4653"/>
    <w:rsid w:val="00BD4FFF"/>
    <w:rsid w:val="00BD54B6"/>
    <w:rsid w:val="00BD59E8"/>
    <w:rsid w:val="00BE0B3A"/>
    <w:rsid w:val="00BE30B6"/>
    <w:rsid w:val="00BE38C1"/>
    <w:rsid w:val="00BE4650"/>
    <w:rsid w:val="00BE5169"/>
    <w:rsid w:val="00BE5880"/>
    <w:rsid w:val="00BE5EB2"/>
    <w:rsid w:val="00BE67A6"/>
    <w:rsid w:val="00BE7CDF"/>
    <w:rsid w:val="00BF0708"/>
    <w:rsid w:val="00BF0A94"/>
    <w:rsid w:val="00BF0EA1"/>
    <w:rsid w:val="00BF2D18"/>
    <w:rsid w:val="00BF42D5"/>
    <w:rsid w:val="00BF4C4E"/>
    <w:rsid w:val="00BF5897"/>
    <w:rsid w:val="00BF5CC9"/>
    <w:rsid w:val="00BF5DE1"/>
    <w:rsid w:val="00BF693E"/>
    <w:rsid w:val="00BF6CF8"/>
    <w:rsid w:val="00BF7F87"/>
    <w:rsid w:val="00C00884"/>
    <w:rsid w:val="00C00886"/>
    <w:rsid w:val="00C01A9E"/>
    <w:rsid w:val="00C0337B"/>
    <w:rsid w:val="00C109BA"/>
    <w:rsid w:val="00C11411"/>
    <w:rsid w:val="00C12E18"/>
    <w:rsid w:val="00C13DD1"/>
    <w:rsid w:val="00C15CA7"/>
    <w:rsid w:val="00C1609B"/>
    <w:rsid w:val="00C17576"/>
    <w:rsid w:val="00C17AAF"/>
    <w:rsid w:val="00C21163"/>
    <w:rsid w:val="00C2206A"/>
    <w:rsid w:val="00C225B4"/>
    <w:rsid w:val="00C22B34"/>
    <w:rsid w:val="00C22EAA"/>
    <w:rsid w:val="00C238B9"/>
    <w:rsid w:val="00C24222"/>
    <w:rsid w:val="00C242F5"/>
    <w:rsid w:val="00C261D4"/>
    <w:rsid w:val="00C26AE2"/>
    <w:rsid w:val="00C30627"/>
    <w:rsid w:val="00C315AF"/>
    <w:rsid w:val="00C3419A"/>
    <w:rsid w:val="00C34895"/>
    <w:rsid w:val="00C35567"/>
    <w:rsid w:val="00C35577"/>
    <w:rsid w:val="00C35901"/>
    <w:rsid w:val="00C35EC8"/>
    <w:rsid w:val="00C35FC9"/>
    <w:rsid w:val="00C36263"/>
    <w:rsid w:val="00C36B74"/>
    <w:rsid w:val="00C40ECA"/>
    <w:rsid w:val="00C42242"/>
    <w:rsid w:val="00C426B5"/>
    <w:rsid w:val="00C44861"/>
    <w:rsid w:val="00C45B55"/>
    <w:rsid w:val="00C467F3"/>
    <w:rsid w:val="00C50166"/>
    <w:rsid w:val="00C5679C"/>
    <w:rsid w:val="00C568C1"/>
    <w:rsid w:val="00C6464E"/>
    <w:rsid w:val="00C65CE7"/>
    <w:rsid w:val="00C66094"/>
    <w:rsid w:val="00C679FE"/>
    <w:rsid w:val="00C705AA"/>
    <w:rsid w:val="00C716E8"/>
    <w:rsid w:val="00C71A48"/>
    <w:rsid w:val="00C71B19"/>
    <w:rsid w:val="00C7220D"/>
    <w:rsid w:val="00C73AFF"/>
    <w:rsid w:val="00C749DE"/>
    <w:rsid w:val="00C74EE9"/>
    <w:rsid w:val="00C75F35"/>
    <w:rsid w:val="00C775F1"/>
    <w:rsid w:val="00C800D2"/>
    <w:rsid w:val="00C802D0"/>
    <w:rsid w:val="00C805A9"/>
    <w:rsid w:val="00C805BA"/>
    <w:rsid w:val="00C83AC1"/>
    <w:rsid w:val="00C83C38"/>
    <w:rsid w:val="00C8456F"/>
    <w:rsid w:val="00C84CAC"/>
    <w:rsid w:val="00C85968"/>
    <w:rsid w:val="00C86398"/>
    <w:rsid w:val="00C86C2C"/>
    <w:rsid w:val="00C87EF8"/>
    <w:rsid w:val="00C904DA"/>
    <w:rsid w:val="00C90778"/>
    <w:rsid w:val="00C90FB9"/>
    <w:rsid w:val="00C91CEA"/>
    <w:rsid w:val="00C92730"/>
    <w:rsid w:val="00C933D7"/>
    <w:rsid w:val="00C94E2B"/>
    <w:rsid w:val="00C95B58"/>
    <w:rsid w:val="00C97256"/>
    <w:rsid w:val="00C976A3"/>
    <w:rsid w:val="00CA1BB2"/>
    <w:rsid w:val="00CA4825"/>
    <w:rsid w:val="00CA5D14"/>
    <w:rsid w:val="00CA61F0"/>
    <w:rsid w:val="00CA6DAF"/>
    <w:rsid w:val="00CB007E"/>
    <w:rsid w:val="00CB20B5"/>
    <w:rsid w:val="00CB2FBC"/>
    <w:rsid w:val="00CB303C"/>
    <w:rsid w:val="00CB3862"/>
    <w:rsid w:val="00CB490D"/>
    <w:rsid w:val="00CB531D"/>
    <w:rsid w:val="00CB5747"/>
    <w:rsid w:val="00CC06C4"/>
    <w:rsid w:val="00CC09E9"/>
    <w:rsid w:val="00CC10CF"/>
    <w:rsid w:val="00CC1B41"/>
    <w:rsid w:val="00CC5632"/>
    <w:rsid w:val="00CC5FE8"/>
    <w:rsid w:val="00CC622D"/>
    <w:rsid w:val="00CD2F56"/>
    <w:rsid w:val="00CD3EFD"/>
    <w:rsid w:val="00CD4E73"/>
    <w:rsid w:val="00CD54A4"/>
    <w:rsid w:val="00CD5E44"/>
    <w:rsid w:val="00CD64DB"/>
    <w:rsid w:val="00CD753A"/>
    <w:rsid w:val="00CD7848"/>
    <w:rsid w:val="00CD7A7B"/>
    <w:rsid w:val="00CD7E04"/>
    <w:rsid w:val="00CE056E"/>
    <w:rsid w:val="00CE10D6"/>
    <w:rsid w:val="00CE17F9"/>
    <w:rsid w:val="00CE1B6B"/>
    <w:rsid w:val="00CE46B6"/>
    <w:rsid w:val="00CF00E9"/>
    <w:rsid w:val="00CF21DB"/>
    <w:rsid w:val="00CF563E"/>
    <w:rsid w:val="00CF6CA9"/>
    <w:rsid w:val="00CF72C5"/>
    <w:rsid w:val="00CF75B4"/>
    <w:rsid w:val="00CF77CB"/>
    <w:rsid w:val="00D002DB"/>
    <w:rsid w:val="00D00B97"/>
    <w:rsid w:val="00D00CED"/>
    <w:rsid w:val="00D01E3B"/>
    <w:rsid w:val="00D03774"/>
    <w:rsid w:val="00D03FBE"/>
    <w:rsid w:val="00D054BE"/>
    <w:rsid w:val="00D0598F"/>
    <w:rsid w:val="00D0747B"/>
    <w:rsid w:val="00D106ED"/>
    <w:rsid w:val="00D11973"/>
    <w:rsid w:val="00D119F5"/>
    <w:rsid w:val="00D12A01"/>
    <w:rsid w:val="00D14839"/>
    <w:rsid w:val="00D14EF1"/>
    <w:rsid w:val="00D16CE3"/>
    <w:rsid w:val="00D20F83"/>
    <w:rsid w:val="00D225FD"/>
    <w:rsid w:val="00D22C2D"/>
    <w:rsid w:val="00D234EB"/>
    <w:rsid w:val="00D2438A"/>
    <w:rsid w:val="00D24396"/>
    <w:rsid w:val="00D26C3C"/>
    <w:rsid w:val="00D2785F"/>
    <w:rsid w:val="00D304CF"/>
    <w:rsid w:val="00D330E5"/>
    <w:rsid w:val="00D34765"/>
    <w:rsid w:val="00D349E9"/>
    <w:rsid w:val="00D34D50"/>
    <w:rsid w:val="00D36468"/>
    <w:rsid w:val="00D3788C"/>
    <w:rsid w:val="00D41475"/>
    <w:rsid w:val="00D41993"/>
    <w:rsid w:val="00D44160"/>
    <w:rsid w:val="00D51E7B"/>
    <w:rsid w:val="00D52683"/>
    <w:rsid w:val="00D531A4"/>
    <w:rsid w:val="00D55EE1"/>
    <w:rsid w:val="00D56D75"/>
    <w:rsid w:val="00D60FD3"/>
    <w:rsid w:val="00D652EC"/>
    <w:rsid w:val="00D65923"/>
    <w:rsid w:val="00D6627D"/>
    <w:rsid w:val="00D667E1"/>
    <w:rsid w:val="00D66B2F"/>
    <w:rsid w:val="00D66B95"/>
    <w:rsid w:val="00D6713B"/>
    <w:rsid w:val="00D6722A"/>
    <w:rsid w:val="00D7028D"/>
    <w:rsid w:val="00D724A6"/>
    <w:rsid w:val="00D72769"/>
    <w:rsid w:val="00D72EB6"/>
    <w:rsid w:val="00D74633"/>
    <w:rsid w:val="00D75949"/>
    <w:rsid w:val="00D7664A"/>
    <w:rsid w:val="00D775A7"/>
    <w:rsid w:val="00D81111"/>
    <w:rsid w:val="00D8147B"/>
    <w:rsid w:val="00D82B37"/>
    <w:rsid w:val="00D8448A"/>
    <w:rsid w:val="00D84D97"/>
    <w:rsid w:val="00D87429"/>
    <w:rsid w:val="00D9041B"/>
    <w:rsid w:val="00D91403"/>
    <w:rsid w:val="00D91598"/>
    <w:rsid w:val="00D9267B"/>
    <w:rsid w:val="00D9348C"/>
    <w:rsid w:val="00D942CD"/>
    <w:rsid w:val="00D9581D"/>
    <w:rsid w:val="00D95D48"/>
    <w:rsid w:val="00D974FA"/>
    <w:rsid w:val="00DA0B4D"/>
    <w:rsid w:val="00DA0C27"/>
    <w:rsid w:val="00DA1AF6"/>
    <w:rsid w:val="00DA1F67"/>
    <w:rsid w:val="00DA20BD"/>
    <w:rsid w:val="00DA287E"/>
    <w:rsid w:val="00DA2F7D"/>
    <w:rsid w:val="00DA394B"/>
    <w:rsid w:val="00DA576A"/>
    <w:rsid w:val="00DA5BDA"/>
    <w:rsid w:val="00DA6216"/>
    <w:rsid w:val="00DA623F"/>
    <w:rsid w:val="00DB0379"/>
    <w:rsid w:val="00DB0546"/>
    <w:rsid w:val="00DB10F9"/>
    <w:rsid w:val="00DB372D"/>
    <w:rsid w:val="00DB6EEF"/>
    <w:rsid w:val="00DB6F58"/>
    <w:rsid w:val="00DB7D58"/>
    <w:rsid w:val="00DC040A"/>
    <w:rsid w:val="00DC1D18"/>
    <w:rsid w:val="00DC1F48"/>
    <w:rsid w:val="00DC6489"/>
    <w:rsid w:val="00DC66B9"/>
    <w:rsid w:val="00DC777E"/>
    <w:rsid w:val="00DD008B"/>
    <w:rsid w:val="00DD2101"/>
    <w:rsid w:val="00DD35EE"/>
    <w:rsid w:val="00DD397D"/>
    <w:rsid w:val="00DD398E"/>
    <w:rsid w:val="00DD3D8B"/>
    <w:rsid w:val="00DD448E"/>
    <w:rsid w:val="00DD4881"/>
    <w:rsid w:val="00DD55DB"/>
    <w:rsid w:val="00DE28E8"/>
    <w:rsid w:val="00DE3445"/>
    <w:rsid w:val="00DE3CCB"/>
    <w:rsid w:val="00DF31F2"/>
    <w:rsid w:val="00DF3A11"/>
    <w:rsid w:val="00DF3CBB"/>
    <w:rsid w:val="00DF3F37"/>
    <w:rsid w:val="00E00823"/>
    <w:rsid w:val="00E00DAF"/>
    <w:rsid w:val="00E01965"/>
    <w:rsid w:val="00E0223B"/>
    <w:rsid w:val="00E03297"/>
    <w:rsid w:val="00E043F6"/>
    <w:rsid w:val="00E05EA2"/>
    <w:rsid w:val="00E063CB"/>
    <w:rsid w:val="00E10EC2"/>
    <w:rsid w:val="00E11ED4"/>
    <w:rsid w:val="00E12430"/>
    <w:rsid w:val="00E13AF7"/>
    <w:rsid w:val="00E16214"/>
    <w:rsid w:val="00E17525"/>
    <w:rsid w:val="00E21851"/>
    <w:rsid w:val="00E22E6B"/>
    <w:rsid w:val="00E23274"/>
    <w:rsid w:val="00E24AD7"/>
    <w:rsid w:val="00E24D20"/>
    <w:rsid w:val="00E24D47"/>
    <w:rsid w:val="00E274BC"/>
    <w:rsid w:val="00E30ED9"/>
    <w:rsid w:val="00E318F9"/>
    <w:rsid w:val="00E325E7"/>
    <w:rsid w:val="00E32D59"/>
    <w:rsid w:val="00E336C7"/>
    <w:rsid w:val="00E349A7"/>
    <w:rsid w:val="00E36563"/>
    <w:rsid w:val="00E37325"/>
    <w:rsid w:val="00E37761"/>
    <w:rsid w:val="00E40A8F"/>
    <w:rsid w:val="00E4288B"/>
    <w:rsid w:val="00E42A4E"/>
    <w:rsid w:val="00E43C85"/>
    <w:rsid w:val="00E4403A"/>
    <w:rsid w:val="00E45549"/>
    <w:rsid w:val="00E45B80"/>
    <w:rsid w:val="00E462E9"/>
    <w:rsid w:val="00E47A10"/>
    <w:rsid w:val="00E47B59"/>
    <w:rsid w:val="00E47B5F"/>
    <w:rsid w:val="00E50764"/>
    <w:rsid w:val="00E50FF6"/>
    <w:rsid w:val="00E51037"/>
    <w:rsid w:val="00E514A7"/>
    <w:rsid w:val="00E5178C"/>
    <w:rsid w:val="00E51AEA"/>
    <w:rsid w:val="00E52908"/>
    <w:rsid w:val="00E53700"/>
    <w:rsid w:val="00E53AED"/>
    <w:rsid w:val="00E54567"/>
    <w:rsid w:val="00E5501D"/>
    <w:rsid w:val="00E5592C"/>
    <w:rsid w:val="00E60526"/>
    <w:rsid w:val="00E64D60"/>
    <w:rsid w:val="00E6559B"/>
    <w:rsid w:val="00E67FFB"/>
    <w:rsid w:val="00E71756"/>
    <w:rsid w:val="00E72955"/>
    <w:rsid w:val="00E72E98"/>
    <w:rsid w:val="00E735A3"/>
    <w:rsid w:val="00E73987"/>
    <w:rsid w:val="00E74949"/>
    <w:rsid w:val="00E75B18"/>
    <w:rsid w:val="00E75EBF"/>
    <w:rsid w:val="00E770D6"/>
    <w:rsid w:val="00E7794E"/>
    <w:rsid w:val="00E81E2A"/>
    <w:rsid w:val="00E82F77"/>
    <w:rsid w:val="00E83E09"/>
    <w:rsid w:val="00E845FC"/>
    <w:rsid w:val="00E84CE9"/>
    <w:rsid w:val="00E85732"/>
    <w:rsid w:val="00E860AD"/>
    <w:rsid w:val="00E90472"/>
    <w:rsid w:val="00E9210E"/>
    <w:rsid w:val="00E933A5"/>
    <w:rsid w:val="00E94096"/>
    <w:rsid w:val="00E9457A"/>
    <w:rsid w:val="00E96F72"/>
    <w:rsid w:val="00EA00F6"/>
    <w:rsid w:val="00EA031E"/>
    <w:rsid w:val="00EA0B28"/>
    <w:rsid w:val="00EA19E5"/>
    <w:rsid w:val="00EA2CEF"/>
    <w:rsid w:val="00EA49C8"/>
    <w:rsid w:val="00EA5EA6"/>
    <w:rsid w:val="00EA61DB"/>
    <w:rsid w:val="00EB1212"/>
    <w:rsid w:val="00EB5D42"/>
    <w:rsid w:val="00EB6F9C"/>
    <w:rsid w:val="00EB7A14"/>
    <w:rsid w:val="00EC08D1"/>
    <w:rsid w:val="00EC0C9A"/>
    <w:rsid w:val="00EC4ADF"/>
    <w:rsid w:val="00EC617D"/>
    <w:rsid w:val="00ED6266"/>
    <w:rsid w:val="00ED6393"/>
    <w:rsid w:val="00ED7554"/>
    <w:rsid w:val="00EE00B4"/>
    <w:rsid w:val="00EE105F"/>
    <w:rsid w:val="00EE41F2"/>
    <w:rsid w:val="00EE47CC"/>
    <w:rsid w:val="00EE4BE9"/>
    <w:rsid w:val="00EF53F1"/>
    <w:rsid w:val="00EF7062"/>
    <w:rsid w:val="00F001E9"/>
    <w:rsid w:val="00F01118"/>
    <w:rsid w:val="00F016E4"/>
    <w:rsid w:val="00F01B75"/>
    <w:rsid w:val="00F01C2B"/>
    <w:rsid w:val="00F02FBB"/>
    <w:rsid w:val="00F031DF"/>
    <w:rsid w:val="00F03714"/>
    <w:rsid w:val="00F05BB1"/>
    <w:rsid w:val="00F06389"/>
    <w:rsid w:val="00F06F29"/>
    <w:rsid w:val="00F129F0"/>
    <w:rsid w:val="00F13F72"/>
    <w:rsid w:val="00F14D4D"/>
    <w:rsid w:val="00F167D0"/>
    <w:rsid w:val="00F16C7C"/>
    <w:rsid w:val="00F16F93"/>
    <w:rsid w:val="00F171D5"/>
    <w:rsid w:val="00F178F4"/>
    <w:rsid w:val="00F17E90"/>
    <w:rsid w:val="00F17EFE"/>
    <w:rsid w:val="00F17F09"/>
    <w:rsid w:val="00F204CE"/>
    <w:rsid w:val="00F2170B"/>
    <w:rsid w:val="00F21B71"/>
    <w:rsid w:val="00F22324"/>
    <w:rsid w:val="00F22686"/>
    <w:rsid w:val="00F22BBF"/>
    <w:rsid w:val="00F23760"/>
    <w:rsid w:val="00F237A3"/>
    <w:rsid w:val="00F23D53"/>
    <w:rsid w:val="00F246CC"/>
    <w:rsid w:val="00F24826"/>
    <w:rsid w:val="00F2501C"/>
    <w:rsid w:val="00F2599C"/>
    <w:rsid w:val="00F27303"/>
    <w:rsid w:val="00F276DC"/>
    <w:rsid w:val="00F31124"/>
    <w:rsid w:val="00F317F1"/>
    <w:rsid w:val="00F31F92"/>
    <w:rsid w:val="00F33F6D"/>
    <w:rsid w:val="00F34B17"/>
    <w:rsid w:val="00F3540C"/>
    <w:rsid w:val="00F402E4"/>
    <w:rsid w:val="00F40A22"/>
    <w:rsid w:val="00F44637"/>
    <w:rsid w:val="00F45315"/>
    <w:rsid w:val="00F46194"/>
    <w:rsid w:val="00F47701"/>
    <w:rsid w:val="00F50E43"/>
    <w:rsid w:val="00F526D9"/>
    <w:rsid w:val="00F52941"/>
    <w:rsid w:val="00F52C48"/>
    <w:rsid w:val="00F53C27"/>
    <w:rsid w:val="00F5505C"/>
    <w:rsid w:val="00F57501"/>
    <w:rsid w:val="00F6020E"/>
    <w:rsid w:val="00F61AA1"/>
    <w:rsid w:val="00F63F57"/>
    <w:rsid w:val="00F6412F"/>
    <w:rsid w:val="00F64B53"/>
    <w:rsid w:val="00F64BD9"/>
    <w:rsid w:val="00F653CA"/>
    <w:rsid w:val="00F657B9"/>
    <w:rsid w:val="00F6666C"/>
    <w:rsid w:val="00F67BAD"/>
    <w:rsid w:val="00F70AFF"/>
    <w:rsid w:val="00F7277B"/>
    <w:rsid w:val="00F7330A"/>
    <w:rsid w:val="00F73442"/>
    <w:rsid w:val="00F736CF"/>
    <w:rsid w:val="00F73A7D"/>
    <w:rsid w:val="00F747F9"/>
    <w:rsid w:val="00F766D9"/>
    <w:rsid w:val="00F76C72"/>
    <w:rsid w:val="00F802A0"/>
    <w:rsid w:val="00F817B1"/>
    <w:rsid w:val="00F81BEE"/>
    <w:rsid w:val="00F82934"/>
    <w:rsid w:val="00F83DC1"/>
    <w:rsid w:val="00F84F41"/>
    <w:rsid w:val="00F84FA8"/>
    <w:rsid w:val="00F85E33"/>
    <w:rsid w:val="00F87B94"/>
    <w:rsid w:val="00F930C8"/>
    <w:rsid w:val="00F9467E"/>
    <w:rsid w:val="00F950CE"/>
    <w:rsid w:val="00FA15EB"/>
    <w:rsid w:val="00FA643D"/>
    <w:rsid w:val="00FA6DB1"/>
    <w:rsid w:val="00FB01C0"/>
    <w:rsid w:val="00FB1B55"/>
    <w:rsid w:val="00FB3308"/>
    <w:rsid w:val="00FB3C2F"/>
    <w:rsid w:val="00FB564A"/>
    <w:rsid w:val="00FB6C1B"/>
    <w:rsid w:val="00FB6EA5"/>
    <w:rsid w:val="00FB76FE"/>
    <w:rsid w:val="00FC127C"/>
    <w:rsid w:val="00FC2CDB"/>
    <w:rsid w:val="00FC2E7C"/>
    <w:rsid w:val="00FC3331"/>
    <w:rsid w:val="00FC4057"/>
    <w:rsid w:val="00FC6662"/>
    <w:rsid w:val="00FC6939"/>
    <w:rsid w:val="00FC7764"/>
    <w:rsid w:val="00FD3007"/>
    <w:rsid w:val="00FD6273"/>
    <w:rsid w:val="00FD6AA7"/>
    <w:rsid w:val="00FD7164"/>
    <w:rsid w:val="00FD72F7"/>
    <w:rsid w:val="00FD735A"/>
    <w:rsid w:val="00FD78F6"/>
    <w:rsid w:val="00FE3053"/>
    <w:rsid w:val="00FE40E0"/>
    <w:rsid w:val="00FE5807"/>
    <w:rsid w:val="00FF0869"/>
    <w:rsid w:val="00FF119C"/>
    <w:rsid w:val="00FF5DF4"/>
    <w:rsid w:val="00FF75D7"/>
    <w:rsid w:val="00FF7BCD"/>
    <w:rsid w:val="01BD0517"/>
    <w:rsid w:val="030566D1"/>
    <w:rsid w:val="036A35E3"/>
    <w:rsid w:val="03BB6B3E"/>
    <w:rsid w:val="044757FC"/>
    <w:rsid w:val="04567CE7"/>
    <w:rsid w:val="04BF5462"/>
    <w:rsid w:val="04C7488A"/>
    <w:rsid w:val="04C828FE"/>
    <w:rsid w:val="05130C11"/>
    <w:rsid w:val="059903BE"/>
    <w:rsid w:val="06E42523"/>
    <w:rsid w:val="0776387E"/>
    <w:rsid w:val="07E35093"/>
    <w:rsid w:val="08916415"/>
    <w:rsid w:val="08B30422"/>
    <w:rsid w:val="094A126C"/>
    <w:rsid w:val="09C94AB7"/>
    <w:rsid w:val="09D83D52"/>
    <w:rsid w:val="0A0D102D"/>
    <w:rsid w:val="0A9E12D5"/>
    <w:rsid w:val="0AF85A3E"/>
    <w:rsid w:val="0BA40F39"/>
    <w:rsid w:val="0BB433AF"/>
    <w:rsid w:val="0C18621F"/>
    <w:rsid w:val="0C6225D9"/>
    <w:rsid w:val="0CA002E5"/>
    <w:rsid w:val="0CDE142E"/>
    <w:rsid w:val="0CF818F4"/>
    <w:rsid w:val="0D1424ED"/>
    <w:rsid w:val="0D731B59"/>
    <w:rsid w:val="0E7D710A"/>
    <w:rsid w:val="0E8B15FA"/>
    <w:rsid w:val="0EB7691C"/>
    <w:rsid w:val="0FF526B4"/>
    <w:rsid w:val="0FFE1D4D"/>
    <w:rsid w:val="100C27A3"/>
    <w:rsid w:val="10F45199"/>
    <w:rsid w:val="1114384A"/>
    <w:rsid w:val="1137260A"/>
    <w:rsid w:val="113C051B"/>
    <w:rsid w:val="11D9612A"/>
    <w:rsid w:val="122365D8"/>
    <w:rsid w:val="123857D3"/>
    <w:rsid w:val="12982E32"/>
    <w:rsid w:val="129C6C41"/>
    <w:rsid w:val="12DC7A92"/>
    <w:rsid w:val="15664886"/>
    <w:rsid w:val="15851A00"/>
    <w:rsid w:val="15A44D56"/>
    <w:rsid w:val="15FE2E1D"/>
    <w:rsid w:val="162D5A9E"/>
    <w:rsid w:val="16790358"/>
    <w:rsid w:val="170830C2"/>
    <w:rsid w:val="174E33E4"/>
    <w:rsid w:val="175D0F94"/>
    <w:rsid w:val="17BA0B20"/>
    <w:rsid w:val="17F94816"/>
    <w:rsid w:val="189142A6"/>
    <w:rsid w:val="18A64D74"/>
    <w:rsid w:val="194A2AA3"/>
    <w:rsid w:val="19517F52"/>
    <w:rsid w:val="19995655"/>
    <w:rsid w:val="199D372E"/>
    <w:rsid w:val="19FF3358"/>
    <w:rsid w:val="1A5F749D"/>
    <w:rsid w:val="1AC84F3A"/>
    <w:rsid w:val="1B3437E4"/>
    <w:rsid w:val="1BB21914"/>
    <w:rsid w:val="1BD26972"/>
    <w:rsid w:val="1BF672AA"/>
    <w:rsid w:val="1C73149C"/>
    <w:rsid w:val="1D2536CF"/>
    <w:rsid w:val="1D6E05DD"/>
    <w:rsid w:val="1D790876"/>
    <w:rsid w:val="1E4138CC"/>
    <w:rsid w:val="1F507032"/>
    <w:rsid w:val="1FD30C83"/>
    <w:rsid w:val="20AB15E7"/>
    <w:rsid w:val="21006ADF"/>
    <w:rsid w:val="21260264"/>
    <w:rsid w:val="215314E0"/>
    <w:rsid w:val="21741FDB"/>
    <w:rsid w:val="21B46CE8"/>
    <w:rsid w:val="21BE6D5C"/>
    <w:rsid w:val="22327245"/>
    <w:rsid w:val="228D3EE6"/>
    <w:rsid w:val="22C21B01"/>
    <w:rsid w:val="23BD5235"/>
    <w:rsid w:val="23BF0687"/>
    <w:rsid w:val="23CD6B0E"/>
    <w:rsid w:val="23DF7D72"/>
    <w:rsid w:val="241361CD"/>
    <w:rsid w:val="24891DD8"/>
    <w:rsid w:val="25387640"/>
    <w:rsid w:val="2550264D"/>
    <w:rsid w:val="25924205"/>
    <w:rsid w:val="265757C0"/>
    <w:rsid w:val="26DA3F62"/>
    <w:rsid w:val="27CC6649"/>
    <w:rsid w:val="282A573A"/>
    <w:rsid w:val="284944DA"/>
    <w:rsid w:val="29EB159E"/>
    <w:rsid w:val="29EE0955"/>
    <w:rsid w:val="2A66694D"/>
    <w:rsid w:val="2AF27146"/>
    <w:rsid w:val="2B342177"/>
    <w:rsid w:val="2D1A5660"/>
    <w:rsid w:val="2D572CCE"/>
    <w:rsid w:val="2D634696"/>
    <w:rsid w:val="2D772F8B"/>
    <w:rsid w:val="2DD75D49"/>
    <w:rsid w:val="2E291A94"/>
    <w:rsid w:val="2F1176A4"/>
    <w:rsid w:val="2F7B50F6"/>
    <w:rsid w:val="2F997CD9"/>
    <w:rsid w:val="2FC0496B"/>
    <w:rsid w:val="30216031"/>
    <w:rsid w:val="30B7584A"/>
    <w:rsid w:val="31027EA3"/>
    <w:rsid w:val="31595DBD"/>
    <w:rsid w:val="317E355F"/>
    <w:rsid w:val="321E3855"/>
    <w:rsid w:val="32741444"/>
    <w:rsid w:val="32E93146"/>
    <w:rsid w:val="32F55C66"/>
    <w:rsid w:val="32FE166C"/>
    <w:rsid w:val="33A80506"/>
    <w:rsid w:val="33EC68D6"/>
    <w:rsid w:val="341E3ACD"/>
    <w:rsid w:val="34727646"/>
    <w:rsid w:val="34A1714B"/>
    <w:rsid w:val="35E46651"/>
    <w:rsid w:val="360B0081"/>
    <w:rsid w:val="363254AA"/>
    <w:rsid w:val="36500B44"/>
    <w:rsid w:val="36741EB9"/>
    <w:rsid w:val="36902864"/>
    <w:rsid w:val="36A5345F"/>
    <w:rsid w:val="37802056"/>
    <w:rsid w:val="378B0E9D"/>
    <w:rsid w:val="37C44CDE"/>
    <w:rsid w:val="37E14FF0"/>
    <w:rsid w:val="37EF7C5B"/>
    <w:rsid w:val="390F704B"/>
    <w:rsid w:val="3921419B"/>
    <w:rsid w:val="39C173D5"/>
    <w:rsid w:val="3A7437E9"/>
    <w:rsid w:val="3A803C27"/>
    <w:rsid w:val="3AF02F67"/>
    <w:rsid w:val="3B107BE5"/>
    <w:rsid w:val="3B324532"/>
    <w:rsid w:val="3BD01B51"/>
    <w:rsid w:val="3BF324E0"/>
    <w:rsid w:val="3C3B6BC0"/>
    <w:rsid w:val="3C912219"/>
    <w:rsid w:val="3C9264E0"/>
    <w:rsid w:val="3CA824B1"/>
    <w:rsid w:val="3D1809A0"/>
    <w:rsid w:val="3D1B3F77"/>
    <w:rsid w:val="3D470F7F"/>
    <w:rsid w:val="3D7861D1"/>
    <w:rsid w:val="3E7549F0"/>
    <w:rsid w:val="3EB7595D"/>
    <w:rsid w:val="3F7C17CB"/>
    <w:rsid w:val="3FD002BF"/>
    <w:rsid w:val="40C60ECE"/>
    <w:rsid w:val="40DE086C"/>
    <w:rsid w:val="41A2527F"/>
    <w:rsid w:val="41C46E25"/>
    <w:rsid w:val="42374B5B"/>
    <w:rsid w:val="42470693"/>
    <w:rsid w:val="42497F67"/>
    <w:rsid w:val="427A7A29"/>
    <w:rsid w:val="43D955AB"/>
    <w:rsid w:val="43F64368"/>
    <w:rsid w:val="44540897"/>
    <w:rsid w:val="44AE1B58"/>
    <w:rsid w:val="453D0F64"/>
    <w:rsid w:val="45426772"/>
    <w:rsid w:val="454F7F8B"/>
    <w:rsid w:val="45605C3D"/>
    <w:rsid w:val="469C7BCA"/>
    <w:rsid w:val="469F7CB5"/>
    <w:rsid w:val="47307948"/>
    <w:rsid w:val="48136721"/>
    <w:rsid w:val="485A002B"/>
    <w:rsid w:val="48A262E7"/>
    <w:rsid w:val="497E5E1E"/>
    <w:rsid w:val="499D537C"/>
    <w:rsid w:val="4A2D7CC7"/>
    <w:rsid w:val="4A3B6D2F"/>
    <w:rsid w:val="4B3F118A"/>
    <w:rsid w:val="4B7E65DA"/>
    <w:rsid w:val="4BDD460C"/>
    <w:rsid w:val="4BEB33BF"/>
    <w:rsid w:val="4C016621"/>
    <w:rsid w:val="4CE11D4E"/>
    <w:rsid w:val="4D355429"/>
    <w:rsid w:val="4D7A417E"/>
    <w:rsid w:val="4D98253D"/>
    <w:rsid w:val="4EBB25B0"/>
    <w:rsid w:val="4EDD5C83"/>
    <w:rsid w:val="4F651E7A"/>
    <w:rsid w:val="4F9376C3"/>
    <w:rsid w:val="4FB8073F"/>
    <w:rsid w:val="503E6C32"/>
    <w:rsid w:val="50A45E7C"/>
    <w:rsid w:val="50AF3B8A"/>
    <w:rsid w:val="50FB7979"/>
    <w:rsid w:val="5160707C"/>
    <w:rsid w:val="516D305A"/>
    <w:rsid w:val="51CF0A74"/>
    <w:rsid w:val="51F6451C"/>
    <w:rsid w:val="51F8390C"/>
    <w:rsid w:val="528A52E9"/>
    <w:rsid w:val="52923C71"/>
    <w:rsid w:val="52FD07BE"/>
    <w:rsid w:val="52FD528C"/>
    <w:rsid w:val="537D09CF"/>
    <w:rsid w:val="54285B6E"/>
    <w:rsid w:val="545056F4"/>
    <w:rsid w:val="54571C4E"/>
    <w:rsid w:val="549E6CAD"/>
    <w:rsid w:val="54D30F1A"/>
    <w:rsid w:val="550C3188"/>
    <w:rsid w:val="55432B8A"/>
    <w:rsid w:val="55AF7DAD"/>
    <w:rsid w:val="55D2187E"/>
    <w:rsid w:val="569872EB"/>
    <w:rsid w:val="56C0590F"/>
    <w:rsid w:val="56E21E01"/>
    <w:rsid w:val="576D318D"/>
    <w:rsid w:val="58E52851"/>
    <w:rsid w:val="591A2206"/>
    <w:rsid w:val="592879CF"/>
    <w:rsid w:val="59DC3CD3"/>
    <w:rsid w:val="5A7A6A9F"/>
    <w:rsid w:val="5B33135D"/>
    <w:rsid w:val="5B492D3E"/>
    <w:rsid w:val="5C0351D3"/>
    <w:rsid w:val="5C3E63B0"/>
    <w:rsid w:val="5C5A5E8D"/>
    <w:rsid w:val="5C763444"/>
    <w:rsid w:val="5D92046B"/>
    <w:rsid w:val="5DEA52E7"/>
    <w:rsid w:val="5E3478C6"/>
    <w:rsid w:val="5E4105E7"/>
    <w:rsid w:val="5F513C45"/>
    <w:rsid w:val="5FC426E6"/>
    <w:rsid w:val="60A47AFF"/>
    <w:rsid w:val="60A52CFD"/>
    <w:rsid w:val="60EA6FF2"/>
    <w:rsid w:val="61185C2A"/>
    <w:rsid w:val="611F67BA"/>
    <w:rsid w:val="613E4D73"/>
    <w:rsid w:val="61824FF8"/>
    <w:rsid w:val="62E55FEB"/>
    <w:rsid w:val="62FF6EAB"/>
    <w:rsid w:val="6348712A"/>
    <w:rsid w:val="638E6054"/>
    <w:rsid w:val="63D77B88"/>
    <w:rsid w:val="6511011D"/>
    <w:rsid w:val="6513127F"/>
    <w:rsid w:val="66296E09"/>
    <w:rsid w:val="6694635B"/>
    <w:rsid w:val="669731B7"/>
    <w:rsid w:val="66B70AE7"/>
    <w:rsid w:val="66E874F4"/>
    <w:rsid w:val="67315097"/>
    <w:rsid w:val="67867F5D"/>
    <w:rsid w:val="67C52C6E"/>
    <w:rsid w:val="683E1B52"/>
    <w:rsid w:val="686C5AE6"/>
    <w:rsid w:val="687049AE"/>
    <w:rsid w:val="69641E1C"/>
    <w:rsid w:val="69D2529D"/>
    <w:rsid w:val="6A0040D7"/>
    <w:rsid w:val="6AAB0D96"/>
    <w:rsid w:val="6AF3083B"/>
    <w:rsid w:val="6C1C0317"/>
    <w:rsid w:val="6C7126CB"/>
    <w:rsid w:val="6CEC5225"/>
    <w:rsid w:val="6CFC24A7"/>
    <w:rsid w:val="6DB343C1"/>
    <w:rsid w:val="6E08037D"/>
    <w:rsid w:val="6EDF2CD1"/>
    <w:rsid w:val="6F350476"/>
    <w:rsid w:val="701107D4"/>
    <w:rsid w:val="717958C4"/>
    <w:rsid w:val="71B8158F"/>
    <w:rsid w:val="71B91725"/>
    <w:rsid w:val="728E3B60"/>
    <w:rsid w:val="72B62AAB"/>
    <w:rsid w:val="72EE2121"/>
    <w:rsid w:val="733C2361"/>
    <w:rsid w:val="737308B3"/>
    <w:rsid w:val="73B42554"/>
    <w:rsid w:val="74426381"/>
    <w:rsid w:val="745026AB"/>
    <w:rsid w:val="74D8623F"/>
    <w:rsid w:val="75114567"/>
    <w:rsid w:val="75234EA0"/>
    <w:rsid w:val="75EA15C6"/>
    <w:rsid w:val="75EA4462"/>
    <w:rsid w:val="75EC0DCC"/>
    <w:rsid w:val="76032465"/>
    <w:rsid w:val="763F4302"/>
    <w:rsid w:val="76AC5624"/>
    <w:rsid w:val="76D3600C"/>
    <w:rsid w:val="77936C79"/>
    <w:rsid w:val="77A86F45"/>
    <w:rsid w:val="77FA3486"/>
    <w:rsid w:val="78821838"/>
    <w:rsid w:val="792644AE"/>
    <w:rsid w:val="795D489B"/>
    <w:rsid w:val="79664DC5"/>
    <w:rsid w:val="79BDDCB1"/>
    <w:rsid w:val="7A161D8B"/>
    <w:rsid w:val="7A8665BB"/>
    <w:rsid w:val="7B1A0118"/>
    <w:rsid w:val="7B2D7A9F"/>
    <w:rsid w:val="7C363A16"/>
    <w:rsid w:val="7C6E26A9"/>
    <w:rsid w:val="7C995D17"/>
    <w:rsid w:val="7D343C95"/>
    <w:rsid w:val="7D3F2A81"/>
    <w:rsid w:val="7D4926F9"/>
    <w:rsid w:val="7DE42629"/>
    <w:rsid w:val="7EA45F4A"/>
    <w:rsid w:val="7F4F7C7D"/>
    <w:rsid w:val="7F6E4BEA"/>
    <w:rsid w:val="7F9D0D6D"/>
    <w:rsid w:val="7FF61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semiHidden="0" w:name="Body Text"/>
    <w:lsdException w:qFormat="1"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name="E-mail Signature"/>
    <w:lsdException w:qFormat="1" w:unhideWhenUsed="0" w:uiPriority="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semiHidden="0" w:name="Balloon Text"/>
    <w:lsdException w:qFormat="1" w:unhideWhenUsed="0" w:uiPriority="0" w:semiHidden="0" w:name="Table Grid"/>
    <w:lsdException w:qFormat="1" w:unhideWhenUsed="0"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4"/>
    <w:qFormat/>
    <w:uiPriority w:val="9"/>
    <w:pPr>
      <w:keepNext/>
      <w:keepLines/>
      <w:spacing w:before="340" w:after="330"/>
      <w:jc w:val="center"/>
      <w:outlineLvl w:val="0"/>
    </w:pPr>
    <w:rPr>
      <w:rFonts w:eastAsia="黑体"/>
      <w:bCs/>
      <w:kern w:val="44"/>
      <w:sz w:val="28"/>
      <w:szCs w:val="44"/>
    </w:rPr>
  </w:style>
  <w:style w:type="paragraph" w:styleId="3">
    <w:name w:val="heading 2"/>
    <w:basedOn w:val="1"/>
    <w:next w:val="1"/>
    <w:link w:val="146"/>
    <w:qFormat/>
    <w:uiPriority w:val="0"/>
    <w:pPr>
      <w:keepNext/>
      <w:keepLines/>
      <w:tabs>
        <w:tab w:val="left" w:pos="576"/>
      </w:tabs>
      <w:spacing w:before="240" w:after="60"/>
      <w:jc w:val="center"/>
      <w:outlineLvl w:val="1"/>
    </w:pPr>
    <w:rPr>
      <w:rFonts w:eastAsia="黑体"/>
      <w:b/>
      <w:bCs/>
      <w:szCs w:val="32"/>
    </w:rPr>
  </w:style>
  <w:style w:type="paragraph" w:styleId="4">
    <w:name w:val="heading 3"/>
    <w:basedOn w:val="1"/>
    <w:next w:val="1"/>
    <w:link w:val="190"/>
    <w:qFormat/>
    <w:uiPriority w:val="0"/>
    <w:pPr>
      <w:keepNext/>
      <w:keepLines/>
      <w:tabs>
        <w:tab w:val="left" w:pos="720"/>
      </w:tabs>
      <w:spacing w:before="260" w:after="260" w:line="416" w:lineRule="auto"/>
      <w:ind w:left="720" w:hanging="720"/>
      <w:outlineLvl w:val="2"/>
    </w:pPr>
    <w:rPr>
      <w:b/>
      <w:bCs/>
      <w:sz w:val="32"/>
      <w:szCs w:val="32"/>
    </w:rPr>
  </w:style>
  <w:style w:type="paragraph" w:styleId="5">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6">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117">
    <w:name w:val="Default Paragraph Font"/>
    <w:semiHidden/>
    <w:unhideWhenUsed/>
    <w:qFormat/>
    <w:uiPriority w:val="1"/>
  </w:style>
  <w:style w:type="table" w:default="1" w:styleId="72">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qFormat/>
    <w:uiPriority w:val="0"/>
    <w:pPr>
      <w:ind w:left="100" w:leftChars="400" w:hanging="200" w:hangingChars="200"/>
    </w:pPr>
  </w:style>
  <w:style w:type="paragraph" w:styleId="12">
    <w:name w:val="toc 7"/>
    <w:basedOn w:val="1"/>
    <w:next w:val="1"/>
    <w:semiHidden/>
    <w:qFormat/>
    <w:uiPriority w:val="0"/>
    <w:pPr>
      <w:ind w:left="1260"/>
      <w:jc w:val="left"/>
    </w:pPr>
    <w:rPr>
      <w:rFonts w:ascii="Calibri" w:hAnsi="Calibri"/>
      <w:sz w:val="18"/>
      <w:szCs w:val="18"/>
    </w:rPr>
  </w:style>
  <w:style w:type="paragraph" w:styleId="13">
    <w:name w:val="List Number 2"/>
    <w:basedOn w:val="1"/>
    <w:semiHidden/>
    <w:qFormat/>
    <w:uiPriority w:val="0"/>
    <w:pPr>
      <w:numPr>
        <w:ilvl w:val="0"/>
        <w:numId w:val="1"/>
      </w:numPr>
    </w:pPr>
  </w:style>
  <w:style w:type="paragraph" w:styleId="14">
    <w:name w:val="Note Heading"/>
    <w:basedOn w:val="1"/>
    <w:next w:val="1"/>
    <w:semiHidden/>
    <w:qFormat/>
    <w:uiPriority w:val="0"/>
    <w:pPr>
      <w:jc w:val="center"/>
    </w:pPr>
  </w:style>
  <w:style w:type="paragraph" w:styleId="15">
    <w:name w:val="List Bullet 4"/>
    <w:basedOn w:val="1"/>
    <w:semiHidden/>
    <w:qFormat/>
    <w:uiPriority w:val="0"/>
    <w:pPr>
      <w:numPr>
        <w:ilvl w:val="0"/>
        <w:numId w:val="2"/>
      </w:numPr>
    </w:pPr>
  </w:style>
  <w:style w:type="paragraph" w:styleId="16">
    <w:name w:val="E-mail Signature"/>
    <w:basedOn w:val="1"/>
    <w:semiHidden/>
    <w:qFormat/>
    <w:uiPriority w:val="0"/>
  </w:style>
  <w:style w:type="paragraph" w:styleId="17">
    <w:name w:val="List Number"/>
    <w:basedOn w:val="1"/>
    <w:semiHidden/>
    <w:qFormat/>
    <w:uiPriority w:val="0"/>
    <w:pPr>
      <w:numPr>
        <w:ilvl w:val="0"/>
        <w:numId w:val="3"/>
      </w:numPr>
    </w:pPr>
  </w:style>
  <w:style w:type="paragraph" w:styleId="18">
    <w:name w:val="Normal Indent"/>
    <w:basedOn w:val="1"/>
    <w:semiHidden/>
    <w:qFormat/>
    <w:uiPriority w:val="0"/>
    <w:pPr>
      <w:ind w:firstLine="420" w:firstLineChars="200"/>
    </w:pPr>
  </w:style>
  <w:style w:type="paragraph" w:styleId="19">
    <w:name w:val="caption"/>
    <w:basedOn w:val="1"/>
    <w:next w:val="1"/>
    <w:qFormat/>
    <w:uiPriority w:val="0"/>
    <w:rPr>
      <w:rFonts w:ascii="Arial" w:hAnsi="Arial" w:eastAsia="黑体" w:cs="Arial"/>
      <w:sz w:val="20"/>
      <w:szCs w:val="20"/>
    </w:rPr>
  </w:style>
  <w:style w:type="paragraph" w:styleId="20">
    <w:name w:val="List Bullet"/>
    <w:basedOn w:val="1"/>
    <w:semiHidden/>
    <w:qFormat/>
    <w:uiPriority w:val="0"/>
    <w:pPr>
      <w:numPr>
        <w:ilvl w:val="0"/>
        <w:numId w:val="4"/>
      </w:numPr>
    </w:pPr>
  </w:style>
  <w:style w:type="paragraph" w:styleId="21">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2">
    <w:name w:val="Document Map"/>
    <w:basedOn w:val="1"/>
    <w:link w:val="154"/>
    <w:qFormat/>
    <w:uiPriority w:val="0"/>
    <w:rPr>
      <w:rFonts w:ascii="宋体"/>
      <w:sz w:val="18"/>
      <w:szCs w:val="18"/>
    </w:rPr>
  </w:style>
  <w:style w:type="paragraph" w:styleId="23">
    <w:name w:val="annotation text"/>
    <w:basedOn w:val="1"/>
    <w:link w:val="142"/>
    <w:qFormat/>
    <w:uiPriority w:val="0"/>
    <w:pPr>
      <w:jc w:val="left"/>
    </w:pPr>
  </w:style>
  <w:style w:type="paragraph" w:styleId="24">
    <w:name w:val="Salutation"/>
    <w:basedOn w:val="1"/>
    <w:next w:val="1"/>
    <w:semiHidden/>
    <w:qFormat/>
    <w:uiPriority w:val="0"/>
  </w:style>
  <w:style w:type="paragraph" w:styleId="25">
    <w:name w:val="Body Text 3"/>
    <w:basedOn w:val="1"/>
    <w:semiHidden/>
    <w:qFormat/>
    <w:uiPriority w:val="0"/>
    <w:pPr>
      <w:spacing w:line="300" w:lineRule="exact"/>
      <w:jc w:val="center"/>
    </w:pPr>
    <w:rPr>
      <w:rFonts w:ascii="宋体" w:hAnsi="宋体"/>
      <w:sz w:val="18"/>
      <w:szCs w:val="18"/>
    </w:rPr>
  </w:style>
  <w:style w:type="paragraph" w:styleId="26">
    <w:name w:val="Closing"/>
    <w:basedOn w:val="1"/>
    <w:semiHidden/>
    <w:qFormat/>
    <w:uiPriority w:val="0"/>
    <w:pPr>
      <w:ind w:left="100" w:leftChars="2100"/>
    </w:pPr>
  </w:style>
  <w:style w:type="paragraph" w:styleId="27">
    <w:name w:val="List Bullet 3"/>
    <w:basedOn w:val="1"/>
    <w:semiHidden/>
    <w:qFormat/>
    <w:uiPriority w:val="0"/>
    <w:pPr>
      <w:numPr>
        <w:ilvl w:val="0"/>
        <w:numId w:val="5"/>
      </w:numPr>
    </w:pPr>
  </w:style>
  <w:style w:type="paragraph" w:styleId="28">
    <w:name w:val="Body Text"/>
    <w:basedOn w:val="1"/>
    <w:link w:val="158"/>
    <w:qFormat/>
    <w:uiPriority w:val="0"/>
    <w:pPr>
      <w:widowControl/>
      <w:spacing w:line="300" w:lineRule="atLeast"/>
    </w:pPr>
    <w:rPr>
      <w:rFonts w:ascii="宋体"/>
      <w:kern w:val="0"/>
      <w:sz w:val="18"/>
      <w:szCs w:val="20"/>
    </w:rPr>
  </w:style>
  <w:style w:type="paragraph" w:styleId="29">
    <w:name w:val="Body Text Indent"/>
    <w:basedOn w:val="1"/>
    <w:semiHidden/>
    <w:qFormat/>
    <w:uiPriority w:val="0"/>
    <w:pPr>
      <w:spacing w:line="240" w:lineRule="exact"/>
      <w:ind w:left="-67" w:leftChars="-32"/>
    </w:pPr>
    <w:rPr>
      <w:rFonts w:ascii="宋体" w:hAnsi="宋体"/>
      <w:kern w:val="0"/>
      <w:sz w:val="18"/>
      <w:szCs w:val="18"/>
    </w:rPr>
  </w:style>
  <w:style w:type="paragraph" w:styleId="30">
    <w:name w:val="List Number 3"/>
    <w:basedOn w:val="1"/>
    <w:semiHidden/>
    <w:qFormat/>
    <w:uiPriority w:val="0"/>
    <w:pPr>
      <w:numPr>
        <w:ilvl w:val="0"/>
        <w:numId w:val="6"/>
      </w:numPr>
    </w:pPr>
  </w:style>
  <w:style w:type="paragraph" w:styleId="31">
    <w:name w:val="List 2"/>
    <w:basedOn w:val="1"/>
    <w:semiHidden/>
    <w:qFormat/>
    <w:uiPriority w:val="0"/>
    <w:pPr>
      <w:ind w:left="100" w:leftChars="200" w:hanging="200" w:hangingChars="200"/>
    </w:pPr>
  </w:style>
  <w:style w:type="paragraph" w:styleId="32">
    <w:name w:val="List Continue"/>
    <w:basedOn w:val="1"/>
    <w:semiHidden/>
    <w:qFormat/>
    <w:uiPriority w:val="0"/>
    <w:pPr>
      <w:spacing w:after="120"/>
      <w:ind w:left="420" w:leftChars="200"/>
    </w:pPr>
  </w:style>
  <w:style w:type="paragraph" w:styleId="33">
    <w:name w:val="Block Text"/>
    <w:basedOn w:val="1"/>
    <w:semiHidden/>
    <w:qFormat/>
    <w:uiPriority w:val="0"/>
    <w:pPr>
      <w:spacing w:line="280" w:lineRule="exact"/>
      <w:ind w:left="-44" w:leftChars="-21" w:right="-50" w:rightChars="-24" w:firstLine="13" w:firstLineChars="7"/>
      <w:jc w:val="center"/>
    </w:pPr>
    <w:rPr>
      <w:sz w:val="18"/>
      <w:szCs w:val="18"/>
    </w:rPr>
  </w:style>
  <w:style w:type="paragraph" w:styleId="34">
    <w:name w:val="List Bullet 2"/>
    <w:basedOn w:val="1"/>
    <w:semiHidden/>
    <w:qFormat/>
    <w:uiPriority w:val="0"/>
    <w:pPr>
      <w:numPr>
        <w:ilvl w:val="0"/>
        <w:numId w:val="7"/>
      </w:numPr>
    </w:pPr>
  </w:style>
  <w:style w:type="paragraph" w:styleId="35">
    <w:name w:val="HTML Address"/>
    <w:basedOn w:val="1"/>
    <w:semiHidden/>
    <w:qFormat/>
    <w:uiPriority w:val="0"/>
    <w:rPr>
      <w:i/>
      <w:iCs/>
    </w:rPr>
  </w:style>
  <w:style w:type="paragraph" w:styleId="36">
    <w:name w:val="toc 5"/>
    <w:basedOn w:val="1"/>
    <w:next w:val="1"/>
    <w:semiHidden/>
    <w:qFormat/>
    <w:uiPriority w:val="0"/>
    <w:pPr>
      <w:ind w:left="840"/>
      <w:jc w:val="left"/>
    </w:pPr>
    <w:rPr>
      <w:rFonts w:ascii="Calibri" w:hAnsi="Calibri"/>
      <w:sz w:val="18"/>
      <w:szCs w:val="18"/>
    </w:rPr>
  </w:style>
  <w:style w:type="paragraph" w:styleId="37">
    <w:name w:val="toc 3"/>
    <w:basedOn w:val="1"/>
    <w:next w:val="1"/>
    <w:unhideWhenUsed/>
    <w:qFormat/>
    <w:uiPriority w:val="39"/>
    <w:pPr>
      <w:ind w:left="420"/>
      <w:jc w:val="left"/>
    </w:pPr>
    <w:rPr>
      <w:rFonts w:ascii="Calibri" w:hAnsi="Calibri"/>
      <w:i/>
      <w:iCs/>
      <w:sz w:val="20"/>
      <w:szCs w:val="20"/>
    </w:rPr>
  </w:style>
  <w:style w:type="paragraph" w:styleId="38">
    <w:name w:val="Plain Text"/>
    <w:basedOn w:val="1"/>
    <w:link w:val="157"/>
    <w:qFormat/>
    <w:uiPriority w:val="0"/>
    <w:rPr>
      <w:rFonts w:ascii="宋体" w:hAnsi="Courier New" w:cs="Courier New"/>
      <w:szCs w:val="21"/>
    </w:rPr>
  </w:style>
  <w:style w:type="paragraph" w:styleId="39">
    <w:name w:val="List Bullet 5"/>
    <w:basedOn w:val="1"/>
    <w:semiHidden/>
    <w:qFormat/>
    <w:uiPriority w:val="0"/>
    <w:pPr>
      <w:numPr>
        <w:ilvl w:val="0"/>
        <w:numId w:val="8"/>
      </w:numPr>
    </w:pPr>
  </w:style>
  <w:style w:type="paragraph" w:styleId="40">
    <w:name w:val="List Number 4"/>
    <w:basedOn w:val="1"/>
    <w:semiHidden/>
    <w:qFormat/>
    <w:uiPriority w:val="0"/>
    <w:pPr>
      <w:numPr>
        <w:ilvl w:val="0"/>
        <w:numId w:val="9"/>
      </w:numPr>
    </w:pPr>
  </w:style>
  <w:style w:type="paragraph" w:styleId="41">
    <w:name w:val="toc 8"/>
    <w:basedOn w:val="1"/>
    <w:next w:val="1"/>
    <w:semiHidden/>
    <w:qFormat/>
    <w:uiPriority w:val="0"/>
    <w:pPr>
      <w:ind w:left="1470"/>
      <w:jc w:val="left"/>
    </w:pPr>
    <w:rPr>
      <w:rFonts w:ascii="Calibri" w:hAnsi="Calibri"/>
      <w:sz w:val="18"/>
      <w:szCs w:val="18"/>
    </w:rPr>
  </w:style>
  <w:style w:type="paragraph" w:styleId="42">
    <w:name w:val="Date"/>
    <w:basedOn w:val="1"/>
    <w:next w:val="1"/>
    <w:qFormat/>
    <w:uiPriority w:val="0"/>
    <w:pPr>
      <w:ind w:left="100" w:leftChars="2500"/>
    </w:pPr>
  </w:style>
  <w:style w:type="paragraph" w:styleId="43">
    <w:name w:val="Body Text Indent 2"/>
    <w:basedOn w:val="1"/>
    <w:semiHidden/>
    <w:qFormat/>
    <w:uiPriority w:val="0"/>
    <w:pPr>
      <w:spacing w:after="120" w:line="480" w:lineRule="auto"/>
      <w:ind w:left="420" w:leftChars="200"/>
    </w:pPr>
  </w:style>
  <w:style w:type="paragraph" w:styleId="44">
    <w:name w:val="List Continue 5"/>
    <w:basedOn w:val="1"/>
    <w:semiHidden/>
    <w:qFormat/>
    <w:uiPriority w:val="0"/>
    <w:pPr>
      <w:spacing w:after="120"/>
      <w:ind w:left="2100" w:leftChars="1000"/>
    </w:pPr>
  </w:style>
  <w:style w:type="paragraph" w:styleId="45">
    <w:name w:val="Balloon Text"/>
    <w:basedOn w:val="1"/>
    <w:link w:val="149"/>
    <w:qFormat/>
    <w:uiPriority w:val="0"/>
    <w:rPr>
      <w:sz w:val="18"/>
      <w:szCs w:val="18"/>
    </w:rPr>
  </w:style>
  <w:style w:type="paragraph" w:styleId="46">
    <w:name w:val="footer"/>
    <w:basedOn w:val="1"/>
    <w:link w:val="159"/>
    <w:qFormat/>
    <w:uiPriority w:val="99"/>
    <w:pPr>
      <w:tabs>
        <w:tab w:val="center" w:pos="4153"/>
        <w:tab w:val="right" w:pos="8306"/>
      </w:tabs>
      <w:snapToGrid w:val="0"/>
      <w:jc w:val="left"/>
    </w:pPr>
    <w:rPr>
      <w:sz w:val="18"/>
      <w:szCs w:val="18"/>
    </w:rPr>
  </w:style>
  <w:style w:type="paragraph" w:styleId="47">
    <w:name w:val="envelope return"/>
    <w:basedOn w:val="1"/>
    <w:semiHidden/>
    <w:qFormat/>
    <w:uiPriority w:val="0"/>
    <w:pPr>
      <w:snapToGrid w:val="0"/>
    </w:pPr>
    <w:rPr>
      <w:rFonts w:ascii="Arial" w:hAnsi="Arial" w:cs="Arial"/>
    </w:rPr>
  </w:style>
  <w:style w:type="paragraph" w:styleId="48">
    <w:name w:val="header"/>
    <w:basedOn w:val="1"/>
    <w:link w:val="152"/>
    <w:qFormat/>
    <w:uiPriority w:val="99"/>
    <w:pPr>
      <w:pBdr>
        <w:bottom w:val="single" w:color="auto" w:sz="6" w:space="1"/>
      </w:pBdr>
      <w:tabs>
        <w:tab w:val="center" w:pos="4153"/>
        <w:tab w:val="right" w:pos="8306"/>
      </w:tabs>
      <w:snapToGrid w:val="0"/>
      <w:jc w:val="center"/>
    </w:pPr>
    <w:rPr>
      <w:sz w:val="18"/>
      <w:szCs w:val="18"/>
    </w:rPr>
  </w:style>
  <w:style w:type="paragraph" w:styleId="49">
    <w:name w:val="Signature"/>
    <w:basedOn w:val="1"/>
    <w:semiHidden/>
    <w:qFormat/>
    <w:uiPriority w:val="0"/>
    <w:pPr>
      <w:ind w:left="100" w:leftChars="2100"/>
    </w:pPr>
  </w:style>
  <w:style w:type="paragraph" w:styleId="50">
    <w:name w:val="toc 1"/>
    <w:basedOn w:val="1"/>
    <w:next w:val="1"/>
    <w:qFormat/>
    <w:uiPriority w:val="39"/>
    <w:pPr>
      <w:tabs>
        <w:tab w:val="right" w:leader="dot" w:pos="9923"/>
      </w:tabs>
      <w:spacing w:before="80" w:after="80"/>
      <w:jc w:val="left"/>
    </w:pPr>
    <w:rPr>
      <w:rFonts w:ascii="Calibri" w:hAnsi="Calibri"/>
      <w:b/>
      <w:bCs/>
      <w:caps/>
      <w:sz w:val="28"/>
      <w:szCs w:val="28"/>
    </w:rPr>
  </w:style>
  <w:style w:type="paragraph" w:styleId="51">
    <w:name w:val="List Continue 4"/>
    <w:basedOn w:val="1"/>
    <w:semiHidden/>
    <w:qFormat/>
    <w:uiPriority w:val="0"/>
    <w:pPr>
      <w:spacing w:after="120"/>
      <w:ind w:left="1680" w:leftChars="800"/>
    </w:pPr>
  </w:style>
  <w:style w:type="paragraph" w:styleId="52">
    <w:name w:val="toc 4"/>
    <w:basedOn w:val="1"/>
    <w:next w:val="1"/>
    <w:semiHidden/>
    <w:qFormat/>
    <w:uiPriority w:val="0"/>
    <w:pPr>
      <w:ind w:left="630"/>
      <w:jc w:val="left"/>
    </w:pPr>
    <w:rPr>
      <w:rFonts w:ascii="Calibri" w:hAnsi="Calibri"/>
      <w:sz w:val="18"/>
      <w:szCs w:val="18"/>
    </w:rPr>
  </w:style>
  <w:style w:type="paragraph" w:styleId="53">
    <w:name w:val="Subtitle"/>
    <w:basedOn w:val="1"/>
    <w:next w:val="1"/>
    <w:link w:val="148"/>
    <w:qFormat/>
    <w:uiPriority w:val="0"/>
    <w:pPr>
      <w:spacing w:before="240" w:after="60" w:line="312" w:lineRule="auto"/>
      <w:jc w:val="center"/>
      <w:outlineLvl w:val="1"/>
    </w:pPr>
    <w:rPr>
      <w:rFonts w:ascii="Cambria" w:hAnsi="Cambria"/>
      <w:b/>
      <w:bCs/>
      <w:kern w:val="28"/>
      <w:sz w:val="32"/>
      <w:szCs w:val="32"/>
    </w:rPr>
  </w:style>
  <w:style w:type="paragraph" w:styleId="54">
    <w:name w:val="List Number 5"/>
    <w:basedOn w:val="1"/>
    <w:semiHidden/>
    <w:qFormat/>
    <w:uiPriority w:val="0"/>
    <w:pPr>
      <w:numPr>
        <w:ilvl w:val="0"/>
        <w:numId w:val="10"/>
      </w:numPr>
    </w:pPr>
  </w:style>
  <w:style w:type="paragraph" w:styleId="55">
    <w:name w:val="List"/>
    <w:basedOn w:val="1"/>
    <w:semiHidden/>
    <w:qFormat/>
    <w:uiPriority w:val="0"/>
    <w:pPr>
      <w:ind w:left="200" w:hanging="200" w:hangingChars="200"/>
    </w:pPr>
  </w:style>
  <w:style w:type="paragraph" w:styleId="56">
    <w:name w:val="toc 6"/>
    <w:basedOn w:val="1"/>
    <w:next w:val="1"/>
    <w:semiHidden/>
    <w:qFormat/>
    <w:uiPriority w:val="0"/>
    <w:pPr>
      <w:ind w:left="1050"/>
      <w:jc w:val="left"/>
    </w:pPr>
    <w:rPr>
      <w:rFonts w:ascii="Calibri" w:hAnsi="Calibri"/>
      <w:sz w:val="18"/>
      <w:szCs w:val="18"/>
    </w:rPr>
  </w:style>
  <w:style w:type="paragraph" w:styleId="57">
    <w:name w:val="List 5"/>
    <w:basedOn w:val="1"/>
    <w:semiHidden/>
    <w:qFormat/>
    <w:uiPriority w:val="0"/>
    <w:pPr>
      <w:ind w:left="100" w:leftChars="800" w:hanging="200" w:hangingChars="200"/>
    </w:pPr>
  </w:style>
  <w:style w:type="paragraph" w:styleId="58">
    <w:name w:val="Body Text Indent 3"/>
    <w:basedOn w:val="1"/>
    <w:semiHidden/>
    <w:qFormat/>
    <w:uiPriority w:val="0"/>
    <w:pPr>
      <w:spacing w:after="120"/>
      <w:ind w:left="420" w:leftChars="200"/>
    </w:pPr>
    <w:rPr>
      <w:sz w:val="16"/>
      <w:szCs w:val="16"/>
    </w:rPr>
  </w:style>
  <w:style w:type="paragraph" w:styleId="59">
    <w:name w:val="toc 2"/>
    <w:basedOn w:val="1"/>
    <w:next w:val="1"/>
    <w:qFormat/>
    <w:uiPriority w:val="39"/>
    <w:pPr>
      <w:tabs>
        <w:tab w:val="right" w:leader="dot" w:pos="9923"/>
      </w:tabs>
      <w:spacing w:line="500" w:lineRule="exact"/>
      <w:ind w:left="210"/>
      <w:jc w:val="left"/>
    </w:pPr>
    <w:rPr>
      <w:rFonts w:ascii="Calibri" w:hAnsi="Calibri"/>
      <w:smallCaps/>
      <w:sz w:val="20"/>
      <w:szCs w:val="20"/>
    </w:rPr>
  </w:style>
  <w:style w:type="paragraph" w:styleId="60">
    <w:name w:val="toc 9"/>
    <w:basedOn w:val="1"/>
    <w:next w:val="1"/>
    <w:semiHidden/>
    <w:qFormat/>
    <w:uiPriority w:val="0"/>
    <w:pPr>
      <w:ind w:left="1680"/>
      <w:jc w:val="left"/>
    </w:pPr>
    <w:rPr>
      <w:rFonts w:ascii="Calibri" w:hAnsi="Calibri"/>
      <w:sz w:val="18"/>
      <w:szCs w:val="18"/>
    </w:rPr>
  </w:style>
  <w:style w:type="paragraph" w:styleId="61">
    <w:name w:val="Body Text 2"/>
    <w:basedOn w:val="1"/>
    <w:link w:val="135"/>
    <w:semiHidden/>
    <w:qFormat/>
    <w:uiPriority w:val="0"/>
    <w:pPr>
      <w:spacing w:after="120" w:line="480" w:lineRule="auto"/>
    </w:pPr>
  </w:style>
  <w:style w:type="paragraph" w:styleId="62">
    <w:name w:val="List 4"/>
    <w:basedOn w:val="1"/>
    <w:semiHidden/>
    <w:qFormat/>
    <w:uiPriority w:val="0"/>
    <w:pPr>
      <w:ind w:left="100" w:leftChars="600" w:hanging="200" w:hangingChars="200"/>
    </w:pPr>
  </w:style>
  <w:style w:type="paragraph" w:styleId="63">
    <w:name w:val="List Continue 2"/>
    <w:basedOn w:val="1"/>
    <w:semiHidden/>
    <w:qFormat/>
    <w:uiPriority w:val="0"/>
    <w:pPr>
      <w:spacing w:after="120"/>
      <w:ind w:left="840" w:leftChars="400"/>
    </w:pPr>
  </w:style>
  <w:style w:type="paragraph" w:styleId="64">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65">
    <w:name w:val="HTML Preformatted"/>
    <w:basedOn w:val="1"/>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66">
    <w:name w:val="Normal (Web)"/>
    <w:basedOn w:val="1"/>
    <w:semiHidden/>
    <w:qFormat/>
    <w:uiPriority w:val="0"/>
    <w:pPr>
      <w:widowControl/>
      <w:spacing w:before="100" w:beforeAutospacing="1" w:after="100" w:afterAutospacing="1"/>
      <w:jc w:val="left"/>
    </w:pPr>
    <w:rPr>
      <w:rFonts w:ascii="宋体" w:hAnsi="宋体" w:cs="宋体"/>
      <w:kern w:val="0"/>
      <w:sz w:val="24"/>
    </w:rPr>
  </w:style>
  <w:style w:type="paragraph" w:styleId="67">
    <w:name w:val="List Continue 3"/>
    <w:basedOn w:val="1"/>
    <w:semiHidden/>
    <w:qFormat/>
    <w:uiPriority w:val="0"/>
    <w:pPr>
      <w:spacing w:after="120"/>
      <w:ind w:left="1260" w:leftChars="600"/>
    </w:pPr>
  </w:style>
  <w:style w:type="paragraph" w:styleId="68">
    <w:name w:val="Title"/>
    <w:basedOn w:val="1"/>
    <w:next w:val="1"/>
    <w:link w:val="155"/>
    <w:qFormat/>
    <w:uiPriority w:val="0"/>
    <w:pPr>
      <w:spacing w:before="240" w:after="60"/>
      <w:jc w:val="center"/>
      <w:outlineLvl w:val="0"/>
    </w:pPr>
    <w:rPr>
      <w:rFonts w:ascii="Cambria" w:hAnsi="Cambria"/>
      <w:b/>
      <w:bCs/>
      <w:sz w:val="32"/>
      <w:szCs w:val="32"/>
    </w:rPr>
  </w:style>
  <w:style w:type="paragraph" w:styleId="69">
    <w:name w:val="annotation subject"/>
    <w:basedOn w:val="23"/>
    <w:next w:val="23"/>
    <w:link w:val="156"/>
    <w:qFormat/>
    <w:uiPriority w:val="0"/>
    <w:rPr>
      <w:b/>
      <w:bCs/>
    </w:rPr>
  </w:style>
  <w:style w:type="paragraph" w:styleId="70">
    <w:name w:val="Body Text First Indent"/>
    <w:basedOn w:val="28"/>
    <w:semiHidden/>
    <w:qFormat/>
    <w:uiPriority w:val="0"/>
    <w:pPr>
      <w:widowControl w:val="0"/>
      <w:spacing w:after="120" w:line="240" w:lineRule="auto"/>
      <w:ind w:firstLine="420" w:firstLineChars="100"/>
    </w:pPr>
    <w:rPr>
      <w:rFonts w:ascii="Times New Roman"/>
      <w:kern w:val="2"/>
      <w:sz w:val="21"/>
      <w:szCs w:val="24"/>
    </w:rPr>
  </w:style>
  <w:style w:type="paragraph" w:styleId="71">
    <w:name w:val="Body Text First Indent 2"/>
    <w:basedOn w:val="29"/>
    <w:semiHidden/>
    <w:qFormat/>
    <w:uiPriority w:val="0"/>
    <w:pPr>
      <w:spacing w:after="120" w:line="240" w:lineRule="auto"/>
      <w:ind w:left="420" w:leftChars="200" w:firstLine="420" w:firstLineChars="200"/>
    </w:pPr>
    <w:rPr>
      <w:rFonts w:ascii="Times New Roman" w:hAnsi="Times New Roman"/>
      <w:kern w:val="2"/>
      <w:sz w:val="21"/>
      <w:szCs w:val="24"/>
    </w:rPr>
  </w:style>
  <w:style w:type="table" w:styleId="73">
    <w:name w:val="Table Grid"/>
    <w:basedOn w:val="7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4">
    <w:name w:val="Table Theme"/>
    <w:basedOn w:val="7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5">
    <w:name w:val="Table Colorful 1"/>
    <w:basedOn w:val="72"/>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76">
    <w:name w:val="Table Colorful 2"/>
    <w:basedOn w:val="72"/>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77">
    <w:name w:val="Table Colorful 3"/>
    <w:basedOn w:val="72"/>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78">
    <w:name w:val="Table Elegant"/>
    <w:basedOn w:val="72"/>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9">
    <w:name w:val="Table Classic 1"/>
    <w:basedOn w:val="72"/>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0">
    <w:name w:val="Table Classic 2"/>
    <w:basedOn w:val="72"/>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1">
    <w:name w:val="Table Classic 3"/>
    <w:basedOn w:val="72"/>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2">
    <w:name w:val="Table Classic 4"/>
    <w:basedOn w:val="72"/>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3">
    <w:name w:val="Table Simple 1"/>
    <w:basedOn w:val="72"/>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4">
    <w:name w:val="Table Simple 2"/>
    <w:basedOn w:val="72"/>
    <w:semiHidden/>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5">
    <w:name w:val="Table Simple 3"/>
    <w:basedOn w:val="72"/>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6">
    <w:name w:val="Table Subtle 1"/>
    <w:basedOn w:val="72"/>
    <w:semiHidden/>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7">
    <w:name w:val="Table Subtle 2"/>
    <w:basedOn w:val="72"/>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8">
    <w:name w:val="Table 3D effects 1"/>
    <w:basedOn w:val="72"/>
    <w:semiHidden/>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9">
    <w:name w:val="Table 3D effects 2"/>
    <w:basedOn w:val="72"/>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0">
    <w:name w:val="Table 3D effects 3"/>
    <w:basedOn w:val="72"/>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List 1"/>
    <w:basedOn w:val="72"/>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List 2"/>
    <w:basedOn w:val="72"/>
    <w:semiHidden/>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List 3"/>
    <w:basedOn w:val="72"/>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4">
    <w:name w:val="Table List 4"/>
    <w:basedOn w:val="72"/>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95">
    <w:name w:val="Table List 5"/>
    <w:basedOn w:val="72"/>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96">
    <w:name w:val="Table List 6"/>
    <w:basedOn w:val="72"/>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7">
    <w:name w:val="Table List 7"/>
    <w:basedOn w:val="72"/>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98">
    <w:name w:val="Table List 8"/>
    <w:basedOn w:val="72"/>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99">
    <w:name w:val="Table Contemporary"/>
    <w:basedOn w:val="72"/>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0">
    <w:name w:val="Table Columns 1"/>
    <w:basedOn w:val="72"/>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Columns 2"/>
    <w:basedOn w:val="72"/>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Columns 3"/>
    <w:basedOn w:val="72"/>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3">
    <w:name w:val="Table Columns 4"/>
    <w:basedOn w:val="72"/>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4">
    <w:name w:val="Table Columns 5"/>
    <w:basedOn w:val="72"/>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5">
    <w:name w:val="Table Grid 1"/>
    <w:basedOn w:val="72"/>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6">
    <w:name w:val="Table Grid 2"/>
    <w:basedOn w:val="72"/>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7">
    <w:name w:val="Table Grid 3"/>
    <w:basedOn w:val="72"/>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8">
    <w:name w:val="Table Grid 4"/>
    <w:basedOn w:val="72"/>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09">
    <w:name w:val="Table Grid 5"/>
    <w:basedOn w:val="72"/>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Grid 6"/>
    <w:basedOn w:val="72"/>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Grid 7"/>
    <w:basedOn w:val="72"/>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Grid 8"/>
    <w:basedOn w:val="72"/>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3">
    <w:name w:val="Table Web 1"/>
    <w:basedOn w:val="72"/>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4">
    <w:name w:val="Table Web 2"/>
    <w:basedOn w:val="72"/>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5">
    <w:name w:val="Table Web 3"/>
    <w:basedOn w:val="72"/>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6">
    <w:name w:val="Table Professional"/>
    <w:basedOn w:val="72"/>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18">
    <w:name w:val="Strong"/>
    <w:qFormat/>
    <w:uiPriority w:val="0"/>
    <w:rPr>
      <w:b/>
      <w:bCs/>
    </w:rPr>
  </w:style>
  <w:style w:type="character" w:styleId="119">
    <w:name w:val="page number"/>
    <w:basedOn w:val="117"/>
    <w:qFormat/>
    <w:uiPriority w:val="0"/>
  </w:style>
  <w:style w:type="character" w:styleId="120">
    <w:name w:val="FollowedHyperlink"/>
    <w:semiHidden/>
    <w:qFormat/>
    <w:uiPriority w:val="0"/>
    <w:rPr>
      <w:color w:val="800080"/>
      <w:u w:val="single"/>
    </w:rPr>
  </w:style>
  <w:style w:type="character" w:styleId="121">
    <w:name w:val="Emphasis"/>
    <w:qFormat/>
    <w:uiPriority w:val="0"/>
    <w:rPr>
      <w:i/>
      <w:iCs/>
    </w:rPr>
  </w:style>
  <w:style w:type="character" w:styleId="122">
    <w:name w:val="line number"/>
    <w:basedOn w:val="117"/>
    <w:semiHidden/>
    <w:qFormat/>
    <w:uiPriority w:val="0"/>
  </w:style>
  <w:style w:type="character" w:styleId="123">
    <w:name w:val="HTML Definition"/>
    <w:semiHidden/>
    <w:qFormat/>
    <w:uiPriority w:val="0"/>
    <w:rPr>
      <w:i/>
      <w:iCs/>
    </w:rPr>
  </w:style>
  <w:style w:type="character" w:styleId="124">
    <w:name w:val="HTML Typewriter"/>
    <w:semiHidden/>
    <w:qFormat/>
    <w:uiPriority w:val="0"/>
    <w:rPr>
      <w:rFonts w:ascii="Courier New" w:hAnsi="Courier New" w:cs="Courier New"/>
      <w:sz w:val="20"/>
      <w:szCs w:val="20"/>
    </w:rPr>
  </w:style>
  <w:style w:type="character" w:styleId="125">
    <w:name w:val="HTML Acronym"/>
    <w:basedOn w:val="117"/>
    <w:semiHidden/>
    <w:qFormat/>
    <w:uiPriority w:val="0"/>
  </w:style>
  <w:style w:type="character" w:styleId="126">
    <w:name w:val="HTML Variable"/>
    <w:semiHidden/>
    <w:qFormat/>
    <w:uiPriority w:val="0"/>
    <w:rPr>
      <w:i/>
      <w:iCs/>
    </w:rPr>
  </w:style>
  <w:style w:type="character" w:styleId="127">
    <w:name w:val="Hyperlink"/>
    <w:qFormat/>
    <w:uiPriority w:val="99"/>
    <w:rPr>
      <w:color w:val="0000FF"/>
      <w:u w:val="single"/>
    </w:rPr>
  </w:style>
  <w:style w:type="character" w:styleId="128">
    <w:name w:val="HTML Code"/>
    <w:semiHidden/>
    <w:qFormat/>
    <w:uiPriority w:val="0"/>
    <w:rPr>
      <w:rFonts w:ascii="Courier New" w:hAnsi="Courier New" w:cs="Courier New"/>
      <w:sz w:val="20"/>
      <w:szCs w:val="20"/>
    </w:rPr>
  </w:style>
  <w:style w:type="character" w:styleId="129">
    <w:name w:val="annotation reference"/>
    <w:qFormat/>
    <w:uiPriority w:val="0"/>
    <w:rPr>
      <w:sz w:val="21"/>
      <w:szCs w:val="21"/>
    </w:rPr>
  </w:style>
  <w:style w:type="character" w:styleId="130">
    <w:name w:val="HTML Cite"/>
    <w:semiHidden/>
    <w:qFormat/>
    <w:uiPriority w:val="0"/>
    <w:rPr>
      <w:i/>
      <w:iCs/>
    </w:rPr>
  </w:style>
  <w:style w:type="character" w:styleId="131">
    <w:name w:val="HTML Keyboard"/>
    <w:semiHidden/>
    <w:qFormat/>
    <w:uiPriority w:val="0"/>
    <w:rPr>
      <w:rFonts w:ascii="Courier New" w:hAnsi="Courier New" w:cs="Courier New"/>
      <w:sz w:val="20"/>
      <w:szCs w:val="20"/>
    </w:rPr>
  </w:style>
  <w:style w:type="character" w:styleId="132">
    <w:name w:val="HTML Sample"/>
    <w:semiHidden/>
    <w:qFormat/>
    <w:uiPriority w:val="0"/>
    <w:rPr>
      <w:rFonts w:ascii="Courier New" w:hAnsi="Courier New" w:cs="Courier New"/>
    </w:rPr>
  </w:style>
  <w:style w:type="character" w:customStyle="1" w:styleId="133">
    <w:name w:val="high-light-bg"/>
    <w:basedOn w:val="117"/>
    <w:qFormat/>
    <w:uiPriority w:val="0"/>
  </w:style>
  <w:style w:type="character" w:customStyle="1" w:styleId="134">
    <w:name w:val="标题 1 字符"/>
    <w:link w:val="2"/>
    <w:qFormat/>
    <w:uiPriority w:val="9"/>
    <w:rPr>
      <w:rFonts w:eastAsia="黑体"/>
      <w:bCs/>
      <w:kern w:val="44"/>
      <w:sz w:val="28"/>
      <w:szCs w:val="44"/>
      <w:lang w:val="en-US" w:eastAsia="zh-CN" w:bidi="ar-SA"/>
    </w:rPr>
  </w:style>
  <w:style w:type="character" w:customStyle="1" w:styleId="135">
    <w:name w:val="正文文本 2 字符"/>
    <w:link w:val="61"/>
    <w:qFormat/>
    <w:locked/>
    <w:uiPriority w:val="0"/>
    <w:rPr>
      <w:rFonts w:eastAsia="宋体"/>
      <w:kern w:val="2"/>
      <w:sz w:val="21"/>
      <w:szCs w:val="24"/>
      <w:lang w:val="en-US" w:eastAsia="zh-CN" w:bidi="ar-SA"/>
    </w:rPr>
  </w:style>
  <w:style w:type="character" w:customStyle="1" w:styleId="136">
    <w:name w:val="Char Char12"/>
    <w:semiHidden/>
    <w:qFormat/>
    <w:locked/>
    <w:uiPriority w:val="0"/>
    <w:rPr>
      <w:rFonts w:eastAsia="宋体"/>
      <w:kern w:val="2"/>
      <w:sz w:val="18"/>
      <w:szCs w:val="18"/>
      <w:lang w:val="en-US" w:eastAsia="zh-CN" w:bidi="ar-SA"/>
    </w:rPr>
  </w:style>
  <w:style w:type="character" w:customStyle="1" w:styleId="137">
    <w:name w:val="标题1 Char"/>
    <w:link w:val="138"/>
    <w:qFormat/>
    <w:uiPriority w:val="0"/>
    <w:rPr>
      <w:rFonts w:eastAsia="宋体"/>
      <w:b/>
      <w:bCs/>
      <w:kern w:val="44"/>
      <w:sz w:val="32"/>
      <w:szCs w:val="44"/>
      <w:lang w:val="en-US" w:eastAsia="zh-CN" w:bidi="ar-SA"/>
    </w:rPr>
  </w:style>
  <w:style w:type="paragraph" w:customStyle="1" w:styleId="138">
    <w:name w:val="标题1"/>
    <w:basedOn w:val="2"/>
    <w:link w:val="137"/>
    <w:qFormat/>
    <w:uiPriority w:val="0"/>
    <w:pPr>
      <w:tabs>
        <w:tab w:val="left" w:pos="432"/>
      </w:tabs>
      <w:ind w:left="432" w:hanging="432"/>
    </w:pPr>
    <w:rPr>
      <w:rFonts w:eastAsia="宋体"/>
      <w:b/>
      <w:sz w:val="32"/>
    </w:rPr>
  </w:style>
  <w:style w:type="character" w:customStyle="1" w:styleId="139">
    <w:name w:val="条文说明 Char"/>
    <w:link w:val="140"/>
    <w:qFormat/>
    <w:uiPriority w:val="0"/>
    <w:rPr>
      <w:rFonts w:eastAsia="楷体"/>
      <w:kern w:val="2"/>
      <w:sz w:val="24"/>
      <w:szCs w:val="24"/>
      <w:shd w:val="clear" w:color="auto" w:fill="A6A6A6"/>
    </w:rPr>
  </w:style>
  <w:style w:type="paragraph" w:customStyle="1" w:styleId="140">
    <w:name w:val="条文说明"/>
    <w:basedOn w:val="1"/>
    <w:link w:val="139"/>
    <w:qFormat/>
    <w:uiPriority w:val="0"/>
    <w:pPr>
      <w:shd w:val="clear" w:color="auto" w:fill="A6A6A6"/>
      <w:spacing w:line="360" w:lineRule="auto"/>
    </w:pPr>
    <w:rPr>
      <w:rFonts w:eastAsia="楷体"/>
      <w:sz w:val="24"/>
    </w:rPr>
  </w:style>
  <w:style w:type="character" w:customStyle="1" w:styleId="141">
    <w:name w:val="Char Char11"/>
    <w:semiHidden/>
    <w:qFormat/>
    <w:locked/>
    <w:uiPriority w:val="0"/>
    <w:rPr>
      <w:rFonts w:eastAsia="宋体"/>
      <w:kern w:val="2"/>
      <w:sz w:val="18"/>
      <w:szCs w:val="18"/>
      <w:lang w:val="en-US" w:eastAsia="zh-CN" w:bidi="ar-SA"/>
    </w:rPr>
  </w:style>
  <w:style w:type="character" w:customStyle="1" w:styleId="142">
    <w:name w:val="批注文字 字符"/>
    <w:link w:val="23"/>
    <w:qFormat/>
    <w:uiPriority w:val="0"/>
    <w:rPr>
      <w:kern w:val="2"/>
      <w:sz w:val="21"/>
      <w:szCs w:val="24"/>
    </w:rPr>
  </w:style>
  <w:style w:type="character" w:customStyle="1" w:styleId="143">
    <w:name w:val="Char Char2"/>
    <w:semiHidden/>
    <w:qFormat/>
    <w:uiPriority w:val="0"/>
    <w:rPr>
      <w:rFonts w:ascii="Arial" w:hAnsi="Arial" w:eastAsia="黑体" w:cs="Arial"/>
      <w:b/>
      <w:bCs/>
      <w:kern w:val="2"/>
      <w:sz w:val="32"/>
      <w:szCs w:val="32"/>
      <w:lang w:val="en-US" w:eastAsia="zh-CN" w:bidi="ar-SA"/>
    </w:rPr>
  </w:style>
  <w:style w:type="character" w:customStyle="1" w:styleId="144">
    <w:name w:val="apple-converted-space"/>
    <w:basedOn w:val="117"/>
    <w:qFormat/>
    <w:uiPriority w:val="0"/>
  </w:style>
  <w:style w:type="character" w:customStyle="1" w:styleId="145">
    <w:name w:val="标题2 Char"/>
    <w:basedOn w:val="146"/>
    <w:link w:val="147"/>
    <w:qFormat/>
    <w:uiPriority w:val="0"/>
    <w:rPr>
      <w:rFonts w:eastAsia="黑体"/>
      <w:kern w:val="2"/>
      <w:sz w:val="21"/>
      <w:szCs w:val="32"/>
      <w:lang w:val="en-US" w:eastAsia="zh-CN" w:bidi="ar-SA"/>
    </w:rPr>
  </w:style>
  <w:style w:type="character" w:customStyle="1" w:styleId="146">
    <w:name w:val="标题 2 字符"/>
    <w:link w:val="3"/>
    <w:qFormat/>
    <w:uiPriority w:val="0"/>
    <w:rPr>
      <w:rFonts w:eastAsia="黑体"/>
      <w:b/>
      <w:bCs/>
      <w:kern w:val="2"/>
      <w:sz w:val="21"/>
      <w:szCs w:val="32"/>
      <w:lang w:val="en-US" w:eastAsia="zh-CN" w:bidi="ar-SA"/>
    </w:rPr>
  </w:style>
  <w:style w:type="paragraph" w:customStyle="1" w:styleId="147">
    <w:name w:val="标题2"/>
    <w:basedOn w:val="3"/>
    <w:link w:val="145"/>
    <w:qFormat/>
    <w:uiPriority w:val="0"/>
    <w:pPr>
      <w:ind w:left="576" w:hanging="576"/>
    </w:pPr>
  </w:style>
  <w:style w:type="character" w:customStyle="1" w:styleId="148">
    <w:name w:val="副标题 字符"/>
    <w:link w:val="53"/>
    <w:qFormat/>
    <w:uiPriority w:val="0"/>
    <w:rPr>
      <w:rFonts w:ascii="Cambria" w:hAnsi="Cambria" w:cs="Times New Roman"/>
      <w:b/>
      <w:bCs/>
      <w:kern w:val="28"/>
      <w:sz w:val="32"/>
      <w:szCs w:val="32"/>
    </w:rPr>
  </w:style>
  <w:style w:type="character" w:customStyle="1" w:styleId="149">
    <w:name w:val="批注框文本 字符"/>
    <w:link w:val="45"/>
    <w:qFormat/>
    <w:uiPriority w:val="0"/>
    <w:rPr>
      <w:kern w:val="2"/>
      <w:sz w:val="18"/>
      <w:szCs w:val="18"/>
    </w:rPr>
  </w:style>
  <w:style w:type="character" w:customStyle="1" w:styleId="150">
    <w:name w:val="文章 Char"/>
    <w:link w:val="151"/>
    <w:qFormat/>
    <w:uiPriority w:val="0"/>
    <w:rPr>
      <w:rFonts w:eastAsia="宋体"/>
      <w:kern w:val="2"/>
      <w:sz w:val="21"/>
      <w:szCs w:val="24"/>
      <w:lang w:val="en-US" w:eastAsia="zh-CN" w:bidi="ar-SA"/>
    </w:rPr>
  </w:style>
  <w:style w:type="paragraph" w:customStyle="1" w:styleId="151">
    <w:name w:val="文章"/>
    <w:basedOn w:val="1"/>
    <w:next w:val="1"/>
    <w:link w:val="150"/>
    <w:qFormat/>
    <w:uiPriority w:val="0"/>
    <w:pPr>
      <w:spacing w:line="360" w:lineRule="auto"/>
    </w:pPr>
  </w:style>
  <w:style w:type="character" w:customStyle="1" w:styleId="152">
    <w:name w:val="页眉 字符"/>
    <w:link w:val="48"/>
    <w:qFormat/>
    <w:uiPriority w:val="99"/>
    <w:rPr>
      <w:kern w:val="2"/>
      <w:sz w:val="18"/>
      <w:szCs w:val="18"/>
    </w:rPr>
  </w:style>
  <w:style w:type="character" w:customStyle="1" w:styleId="153">
    <w:name w:val="Char Char Char"/>
    <w:qFormat/>
    <w:uiPriority w:val="0"/>
    <w:rPr>
      <w:rFonts w:ascii="宋体" w:eastAsia="宋体"/>
      <w:spacing w:val="20"/>
      <w:kern w:val="2"/>
      <w:sz w:val="21"/>
      <w:szCs w:val="24"/>
      <w:lang w:val="en-US" w:eastAsia="zh-CN" w:bidi="ar-SA"/>
    </w:rPr>
  </w:style>
  <w:style w:type="character" w:customStyle="1" w:styleId="154">
    <w:name w:val="文档结构图 字符"/>
    <w:link w:val="22"/>
    <w:qFormat/>
    <w:uiPriority w:val="0"/>
    <w:rPr>
      <w:rFonts w:ascii="宋体"/>
      <w:kern w:val="2"/>
      <w:sz w:val="18"/>
      <w:szCs w:val="18"/>
    </w:rPr>
  </w:style>
  <w:style w:type="character" w:customStyle="1" w:styleId="155">
    <w:name w:val="标题 字符"/>
    <w:link w:val="68"/>
    <w:qFormat/>
    <w:uiPriority w:val="0"/>
    <w:rPr>
      <w:rFonts w:ascii="Cambria" w:hAnsi="Cambria" w:cs="Times New Roman"/>
      <w:b/>
      <w:bCs/>
      <w:kern w:val="2"/>
      <w:sz w:val="32"/>
      <w:szCs w:val="32"/>
    </w:rPr>
  </w:style>
  <w:style w:type="character" w:customStyle="1" w:styleId="156">
    <w:name w:val="批注主题 字符"/>
    <w:link w:val="69"/>
    <w:qFormat/>
    <w:uiPriority w:val="0"/>
    <w:rPr>
      <w:b/>
      <w:bCs/>
      <w:kern w:val="2"/>
      <w:sz w:val="21"/>
      <w:szCs w:val="24"/>
    </w:rPr>
  </w:style>
  <w:style w:type="character" w:customStyle="1" w:styleId="157">
    <w:name w:val="纯文本 字符"/>
    <w:link w:val="38"/>
    <w:qFormat/>
    <w:locked/>
    <w:uiPriority w:val="0"/>
    <w:rPr>
      <w:rFonts w:ascii="宋体" w:hAnsi="Courier New" w:eastAsia="宋体" w:cs="Courier New"/>
      <w:kern w:val="2"/>
      <w:sz w:val="21"/>
      <w:szCs w:val="21"/>
      <w:lang w:val="en-US" w:eastAsia="zh-CN" w:bidi="ar-SA"/>
    </w:rPr>
  </w:style>
  <w:style w:type="character" w:customStyle="1" w:styleId="158">
    <w:name w:val="正文文本 字符"/>
    <w:link w:val="28"/>
    <w:qFormat/>
    <w:uiPriority w:val="0"/>
    <w:rPr>
      <w:rFonts w:ascii="宋体"/>
      <w:sz w:val="18"/>
    </w:rPr>
  </w:style>
  <w:style w:type="character" w:customStyle="1" w:styleId="159">
    <w:name w:val="页脚 字符"/>
    <w:link w:val="46"/>
    <w:qFormat/>
    <w:uiPriority w:val="99"/>
    <w:rPr>
      <w:kern w:val="2"/>
      <w:sz w:val="18"/>
      <w:szCs w:val="18"/>
    </w:rPr>
  </w:style>
  <w:style w:type="character" w:customStyle="1" w:styleId="160">
    <w:name w:val="Char Char16"/>
    <w:qFormat/>
    <w:locked/>
    <w:uiPriority w:val="0"/>
    <w:rPr>
      <w:rFonts w:eastAsia="宋体"/>
      <w:b/>
      <w:bCs/>
      <w:kern w:val="44"/>
      <w:sz w:val="44"/>
      <w:szCs w:val="44"/>
      <w:lang w:val="en-US" w:eastAsia="zh-CN" w:bidi="ar-SA"/>
    </w:rPr>
  </w:style>
  <w:style w:type="character" w:customStyle="1" w:styleId="161">
    <w:name w:val="标题 3 字符"/>
    <w:qFormat/>
    <w:locked/>
    <w:uiPriority w:val="0"/>
    <w:rPr>
      <w:rFonts w:eastAsia="宋体"/>
      <w:b/>
      <w:bCs/>
      <w:kern w:val="2"/>
      <w:sz w:val="32"/>
      <w:szCs w:val="32"/>
      <w:lang w:val="en-US" w:eastAsia="zh-CN" w:bidi="ar-SA"/>
    </w:rPr>
  </w:style>
  <w:style w:type="character" w:customStyle="1" w:styleId="162">
    <w:name w:val="Char Char13"/>
    <w:semiHidden/>
    <w:qFormat/>
    <w:locked/>
    <w:uiPriority w:val="0"/>
    <w:rPr>
      <w:rFonts w:eastAsia="宋体"/>
      <w:kern w:val="2"/>
      <w:sz w:val="21"/>
      <w:szCs w:val="24"/>
      <w:lang w:val="en-US" w:eastAsia="zh-CN" w:bidi="ar-SA"/>
    </w:rPr>
  </w:style>
  <w:style w:type="paragraph" w:customStyle="1" w:styleId="163">
    <w:name w:val="Char Char Char Char"/>
    <w:basedOn w:val="1"/>
    <w:qFormat/>
    <w:uiPriority w:val="0"/>
    <w:pPr>
      <w:spacing w:line="360" w:lineRule="auto"/>
    </w:pPr>
    <w:rPr>
      <w:rFonts w:ascii="Tahoma" w:hAnsi="Tahoma"/>
      <w:sz w:val="24"/>
      <w:szCs w:val="20"/>
    </w:rPr>
  </w:style>
  <w:style w:type="paragraph" w:customStyle="1" w:styleId="164">
    <w:name w:val="Char Char Char Char1"/>
    <w:basedOn w:val="1"/>
    <w:semiHidden/>
    <w:qFormat/>
    <w:uiPriority w:val="0"/>
    <w:pPr>
      <w:spacing w:line="360" w:lineRule="auto"/>
    </w:pPr>
    <w:rPr>
      <w:rFonts w:ascii="Tahoma" w:hAnsi="Tahoma"/>
      <w:sz w:val="24"/>
      <w:szCs w:val="20"/>
    </w:rPr>
  </w:style>
  <w:style w:type="paragraph" w:customStyle="1" w:styleId="165">
    <w:name w:val="样式1"/>
    <w:basedOn w:val="1"/>
    <w:semiHidden/>
    <w:qFormat/>
    <w:uiPriority w:val="0"/>
    <w:pPr>
      <w:spacing w:line="360" w:lineRule="auto"/>
      <w:ind w:firstLine="700" w:firstLineChars="250"/>
    </w:pPr>
    <w:rPr>
      <w:rFonts w:ascii="宋体" w:hAnsi="宋体"/>
      <w:color w:val="000000"/>
      <w:sz w:val="28"/>
      <w:szCs w:val="28"/>
    </w:rPr>
  </w:style>
  <w:style w:type="paragraph" w:customStyle="1" w:styleId="166">
    <w:name w:val="Char"/>
    <w:basedOn w:val="1"/>
    <w:semiHidden/>
    <w:qFormat/>
    <w:uiPriority w:val="0"/>
    <w:pPr>
      <w:widowControl/>
      <w:tabs>
        <w:tab w:val="left" w:pos="840"/>
      </w:tabs>
      <w:ind w:left="840" w:hanging="360"/>
      <w:jc w:val="left"/>
    </w:pPr>
    <w:rPr>
      <w:rFonts w:ascii="宋体" w:hAnsi="宋体" w:cs="宋体"/>
      <w:kern w:val="0"/>
      <w:sz w:val="24"/>
    </w:rPr>
  </w:style>
  <w:style w:type="paragraph" w:customStyle="1" w:styleId="167">
    <w:name w:val="四级条标题"/>
    <w:basedOn w:val="168"/>
    <w:next w:val="1"/>
    <w:semiHidden/>
    <w:qFormat/>
    <w:uiPriority w:val="0"/>
    <w:pPr>
      <w:outlineLvl w:val="5"/>
    </w:pPr>
  </w:style>
  <w:style w:type="paragraph" w:customStyle="1" w:styleId="168">
    <w:name w:val="三级条标题"/>
    <w:basedOn w:val="169"/>
    <w:next w:val="1"/>
    <w:semiHidden/>
    <w:qFormat/>
    <w:uiPriority w:val="0"/>
    <w:pPr>
      <w:outlineLvl w:val="4"/>
    </w:pPr>
  </w:style>
  <w:style w:type="paragraph" w:customStyle="1" w:styleId="169">
    <w:name w:val="二级条标题"/>
    <w:basedOn w:val="170"/>
    <w:next w:val="1"/>
    <w:semiHidden/>
    <w:qFormat/>
    <w:uiPriority w:val="0"/>
    <w:pPr>
      <w:spacing w:before="50" w:after="50"/>
      <w:outlineLvl w:val="3"/>
    </w:pPr>
  </w:style>
  <w:style w:type="paragraph" w:customStyle="1" w:styleId="170">
    <w:name w:val="一级条标题"/>
    <w:next w:val="1"/>
    <w:semiHidden/>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71">
    <w:name w:val="章标题"/>
    <w:next w:val="1"/>
    <w:semiHidden/>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72">
    <w:name w:val="五级条标题"/>
    <w:basedOn w:val="167"/>
    <w:next w:val="1"/>
    <w:semiHidden/>
    <w:qFormat/>
    <w:uiPriority w:val="0"/>
    <w:pPr>
      <w:outlineLvl w:val="6"/>
    </w:pPr>
  </w:style>
  <w:style w:type="paragraph" w:customStyle="1" w:styleId="173">
    <w:name w:val="B样式"/>
    <w:basedOn w:val="1"/>
    <w:semiHidden/>
    <w:qFormat/>
    <w:uiPriority w:val="0"/>
    <w:rPr>
      <w:rFonts w:ascii="宋体" w:hAnsi="宋体"/>
      <w:sz w:val="28"/>
      <w:shd w:val="pct10" w:color="auto" w:fill="FFFFFF"/>
    </w:rPr>
  </w:style>
  <w:style w:type="paragraph" w:customStyle="1" w:styleId="17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75">
    <w:name w:val="缺省文本"/>
    <w:basedOn w:val="1"/>
    <w:semiHidden/>
    <w:qFormat/>
    <w:uiPriority w:val="0"/>
    <w:pPr>
      <w:autoSpaceDE w:val="0"/>
      <w:autoSpaceDN w:val="0"/>
      <w:adjustRightInd w:val="0"/>
      <w:jc w:val="left"/>
    </w:pPr>
    <w:rPr>
      <w:kern w:val="0"/>
      <w:sz w:val="24"/>
      <w:szCs w:val="20"/>
    </w:rPr>
  </w:style>
  <w:style w:type="paragraph" w:customStyle="1" w:styleId="176">
    <w:name w:val="三级无"/>
    <w:basedOn w:val="168"/>
    <w:semiHidden/>
    <w:qFormat/>
    <w:uiPriority w:val="0"/>
    <w:pPr>
      <w:spacing w:beforeLines="0" w:afterLines="0"/>
    </w:pPr>
    <w:rPr>
      <w:rFonts w:ascii="宋体" w:eastAsia="宋体"/>
    </w:rPr>
  </w:style>
  <w:style w:type="paragraph" w:customStyle="1" w:styleId="177">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178">
    <w:name w:val="列出段落1"/>
    <w:basedOn w:val="1"/>
    <w:qFormat/>
    <w:uiPriority w:val="0"/>
    <w:pPr>
      <w:ind w:firstLine="420" w:firstLineChars="200"/>
    </w:pPr>
    <w:rPr>
      <w:rFonts w:ascii="Calibri" w:hAnsi="Calibri" w:cs="Calibri"/>
      <w:szCs w:val="21"/>
    </w:rPr>
  </w:style>
  <w:style w:type="paragraph" w:customStyle="1" w:styleId="179">
    <w:name w:val="无间隔1"/>
    <w:semiHidden/>
    <w:qFormat/>
    <w:uiPriority w:val="0"/>
    <w:pPr>
      <w:adjustRightInd w:val="0"/>
      <w:snapToGrid w:val="0"/>
    </w:pPr>
    <w:rPr>
      <w:rFonts w:ascii="Tahoma" w:hAnsi="Tahoma" w:eastAsia="微软雅黑" w:cs="Times New Roman"/>
      <w:sz w:val="22"/>
      <w:szCs w:val="22"/>
      <w:lang w:val="en-US" w:eastAsia="zh-CN" w:bidi="ar-SA"/>
    </w:rPr>
  </w:style>
  <w:style w:type="paragraph" w:customStyle="1" w:styleId="180">
    <w:name w:val="A样式"/>
    <w:basedOn w:val="1"/>
    <w:semiHidden/>
    <w:qFormat/>
    <w:uiPriority w:val="0"/>
    <w:pPr>
      <w:framePr w:hSpace="180" w:wrap="around" w:vAnchor="page" w:hAnchor="margin" w:y="1571"/>
      <w:spacing w:line="240" w:lineRule="exact"/>
      <w:jc w:val="center"/>
    </w:pPr>
    <w:rPr>
      <w:rFonts w:ascii="黑体" w:hAnsi="宋体" w:eastAsia="黑体"/>
      <w:kern w:val="0"/>
      <w:szCs w:val="21"/>
    </w:rPr>
  </w:style>
  <w:style w:type="paragraph" w:customStyle="1" w:styleId="181">
    <w:name w:val="无间隔11"/>
    <w:semiHidden/>
    <w:qFormat/>
    <w:uiPriority w:val="0"/>
    <w:pPr>
      <w:adjustRightInd w:val="0"/>
      <w:snapToGrid w:val="0"/>
    </w:pPr>
    <w:rPr>
      <w:rFonts w:ascii="Tahoma" w:hAnsi="Tahoma" w:eastAsia="微软雅黑" w:cs="Times New Roman"/>
      <w:sz w:val="22"/>
      <w:szCs w:val="22"/>
      <w:lang w:val="en-US" w:eastAsia="zh-CN" w:bidi="ar-SA"/>
    </w:rPr>
  </w:style>
  <w:style w:type="paragraph" w:customStyle="1" w:styleId="182">
    <w:name w:val="默认段落字体 Para Char Char Char Char Char Char Char"/>
    <w:basedOn w:val="22"/>
    <w:semiHidden/>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183">
    <w:name w:val="TOC 标题1"/>
    <w:basedOn w:val="2"/>
    <w:next w:val="1"/>
    <w:qFormat/>
    <w:uiPriority w:val="39"/>
    <w:pPr>
      <w:widowControl/>
      <w:spacing w:before="480" w:after="0" w:line="276" w:lineRule="auto"/>
      <w:jc w:val="left"/>
      <w:outlineLvl w:val="9"/>
    </w:pPr>
    <w:rPr>
      <w:rFonts w:ascii="Cambria" w:hAnsi="Cambria" w:eastAsia="宋体"/>
      <w:color w:val="365F91"/>
      <w:kern w:val="0"/>
      <w:szCs w:val="28"/>
    </w:rPr>
  </w:style>
  <w:style w:type="paragraph" w:customStyle="1" w:styleId="184">
    <w:name w:val="Char Char Char Char Char Char Char"/>
    <w:basedOn w:val="1"/>
    <w:semiHidden/>
    <w:qFormat/>
    <w:uiPriority w:val="0"/>
  </w:style>
  <w:style w:type="paragraph" w:customStyle="1" w:styleId="185">
    <w:name w:val="样式 标题 2 + 四号"/>
    <w:basedOn w:val="3"/>
    <w:qFormat/>
    <w:uiPriority w:val="0"/>
  </w:style>
  <w:style w:type="character" w:styleId="186">
    <w:name w:val="Placeholder Text"/>
    <w:basedOn w:val="117"/>
    <w:unhideWhenUsed/>
    <w:qFormat/>
    <w:uiPriority w:val="99"/>
    <w:rPr>
      <w:color w:val="808080"/>
    </w:rPr>
  </w:style>
  <w:style w:type="paragraph" w:styleId="187">
    <w:name w:val="List Paragraph"/>
    <w:basedOn w:val="1"/>
    <w:qFormat/>
    <w:uiPriority w:val="99"/>
    <w:pPr>
      <w:ind w:firstLine="420" w:firstLineChars="200"/>
    </w:pPr>
  </w:style>
  <w:style w:type="paragraph" w:customStyle="1" w:styleId="18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89">
    <w:name w:val="三级标题"/>
    <w:basedOn w:val="1"/>
    <w:qFormat/>
    <w:uiPriority w:val="0"/>
    <w:rPr>
      <w:color w:val="000000"/>
    </w:rPr>
  </w:style>
  <w:style w:type="character" w:customStyle="1" w:styleId="190">
    <w:name w:val="标题 3 字符1"/>
    <w:link w:val="4"/>
    <w:qFormat/>
    <w:uiPriority w:val="0"/>
    <w:rPr>
      <w:rFonts w:hint="eastAsia" w:ascii="宋体" w:hAnsi="宋体" w:eastAsia="宋体" w:cs="宋体"/>
      <w:b/>
      <w:kern w:val="0"/>
      <w:sz w:val="24"/>
      <w:szCs w:val="24"/>
      <w:lang w:val="en-US" w:eastAsia="zh-CN" w:bidi="ar"/>
    </w:rPr>
  </w:style>
  <w:style w:type="paragraph" w:customStyle="1" w:styleId="19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92">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4335</Words>
  <Characters>4997</Characters>
  <Lines>507</Lines>
  <Paragraphs>576</Paragraphs>
  <TotalTime>2</TotalTime>
  <ScaleCrop>false</ScaleCrop>
  <LinksUpToDate>false</LinksUpToDate>
  <CharactersWithSpaces>5300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2025-05-15T00:25:00Z</dcterms:created>
  <dc:creator>RD400</dc:creator>
  <cp:lastModifiedBy>陌</cp:lastModifiedBy>
  <cp:lastPrinted>2025-06-23T19:16:00Z</cp:lastPrinted>
  <dcterms:modified xsi:type="dcterms:W3CDTF">2025-07-01T02:28:28Z</dcterms:modified>
  <dc:title>附录A    组合钢模板的用途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D5557923F62F4E97B4F7D83F12484278</vt:lpwstr>
  </property>
  <property fmtid="{D5CDD505-2E9C-101B-9397-08002B2CF9AE}" pid="4" name="KSOTemplateDocerSaveRecord">
    <vt:lpwstr>eyJoZGlkIjoiYmNhZDU5Nzc0MWRjZjgzYTk5MjI0N2JhZjg4OWRhMWIiLCJ1c2VySWQiOiIxMjA5OTQ0MDAwIn0=</vt:lpwstr>
  </property>
</Properties>
</file>