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CAADB">
      <w:pPr>
        <w:spacing w:beforeLines="0" w:line="360" w:lineRule="auto"/>
        <w:rPr>
          <w:rFonts w:ascii="仿宋_GB2312" w:eastAsia="仿宋_GB2312"/>
          <w:color w:val="auto"/>
          <w:sz w:val="32"/>
          <w:szCs w:val="32"/>
        </w:rPr>
      </w:pPr>
      <w:r>
        <w:rPr>
          <w:rFonts w:hint="eastAsia" w:ascii="仿宋_GB2312" w:eastAsia="仿宋_GB2312"/>
          <w:color w:val="auto"/>
          <w:sz w:val="32"/>
          <w:szCs w:val="32"/>
        </w:rPr>
        <w:t xml:space="preserve">    </w:t>
      </w:r>
    </w:p>
    <w:p w14:paraId="22D7F05A">
      <w:pPr>
        <w:pStyle w:val="9"/>
        <w:spacing w:beforeLines="0"/>
        <w:rPr>
          <w:color w:val="auto"/>
        </w:rPr>
      </w:pPr>
    </w:p>
    <w:p w14:paraId="0929FE03">
      <w:pPr>
        <w:pStyle w:val="9"/>
        <w:spacing w:beforeLines="0"/>
        <w:rPr>
          <w:color w:val="auto"/>
        </w:rPr>
      </w:pPr>
    </w:p>
    <w:p w14:paraId="25D00028">
      <w:pPr>
        <w:pageBreakBefore w:val="0"/>
        <w:kinsoku/>
        <w:wordWrap/>
        <w:overflowPunct/>
        <w:topLinePunct w:val="0"/>
        <w:bidi w:val="0"/>
        <w:spacing w:beforeLines="0" w:line="360" w:lineRule="auto"/>
        <w:jc w:val="center"/>
        <w:rPr>
          <w:rFonts w:hint="eastAsia" w:ascii="仿宋_GB2312" w:eastAsia="仿宋_GB2312"/>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项目</w:t>
      </w:r>
      <w:r>
        <w:rPr>
          <w:rFonts w:hint="eastAsia" w:ascii="方正小标宋简体" w:hAnsi="方正小标宋简体" w:eastAsia="方正小标宋简体" w:cs="方正小标宋简体"/>
          <w:color w:val="auto"/>
          <w:sz w:val="44"/>
          <w:szCs w:val="44"/>
          <w:highlight w:val="none"/>
        </w:rPr>
        <w:t>绩效自评报告</w:t>
      </w:r>
    </w:p>
    <w:p w14:paraId="2A2A4698">
      <w:pPr>
        <w:pageBreakBefore w:val="0"/>
        <w:kinsoku/>
        <w:wordWrap/>
        <w:overflowPunct/>
        <w:topLinePunct w:val="0"/>
        <w:bidi w:val="0"/>
        <w:spacing w:beforeLines="0" w:line="360" w:lineRule="auto"/>
        <w:ind w:firstLine="450" w:firstLineChars="150"/>
        <w:rPr>
          <w:rFonts w:hint="eastAsia" w:ascii="仿宋_GB2312" w:eastAsia="仿宋_GB2312"/>
          <w:color w:val="auto"/>
          <w:sz w:val="30"/>
          <w:szCs w:val="30"/>
          <w:highlight w:val="none"/>
        </w:rPr>
      </w:pPr>
    </w:p>
    <w:p w14:paraId="00C14131">
      <w:pPr>
        <w:pageBreakBefore w:val="0"/>
        <w:kinsoku/>
        <w:wordWrap/>
        <w:overflowPunct/>
        <w:topLinePunct w:val="0"/>
        <w:bidi w:val="0"/>
        <w:spacing w:beforeLines="0" w:line="360" w:lineRule="auto"/>
        <w:ind w:firstLine="450" w:firstLineChars="150"/>
        <w:rPr>
          <w:rFonts w:hint="eastAsia" w:ascii="仿宋_GB2312" w:eastAsia="仿宋_GB2312"/>
          <w:color w:val="auto"/>
          <w:sz w:val="30"/>
          <w:szCs w:val="30"/>
          <w:highlight w:val="none"/>
        </w:rPr>
      </w:pPr>
    </w:p>
    <w:p w14:paraId="5B967B86">
      <w:pPr>
        <w:pageBreakBefore w:val="0"/>
        <w:kinsoku/>
        <w:wordWrap/>
        <w:overflowPunct/>
        <w:topLinePunct w:val="0"/>
        <w:bidi w:val="0"/>
        <w:spacing w:beforeLines="0" w:line="360" w:lineRule="auto"/>
        <w:ind w:firstLine="450" w:firstLineChars="150"/>
        <w:rPr>
          <w:rFonts w:hint="eastAsia" w:ascii="仿宋_GB2312" w:eastAsia="仿宋_GB2312"/>
          <w:color w:val="auto"/>
          <w:sz w:val="30"/>
          <w:szCs w:val="30"/>
          <w:highlight w:val="none"/>
        </w:rPr>
      </w:pPr>
    </w:p>
    <w:p w14:paraId="6B3F7EF8">
      <w:pPr>
        <w:pStyle w:val="16"/>
        <w:rPr>
          <w:rFonts w:hint="eastAsia" w:ascii="仿宋_GB2312" w:eastAsia="仿宋_GB2312"/>
          <w:color w:val="auto"/>
          <w:sz w:val="30"/>
          <w:szCs w:val="30"/>
          <w:highlight w:val="none"/>
        </w:rPr>
      </w:pPr>
    </w:p>
    <w:p w14:paraId="1F7B7F30">
      <w:pPr>
        <w:rPr>
          <w:rFonts w:hint="eastAsia"/>
          <w:color w:val="auto"/>
        </w:rPr>
      </w:pPr>
    </w:p>
    <w:p w14:paraId="7292905E">
      <w:pPr>
        <w:pageBreakBefore w:val="0"/>
        <w:kinsoku/>
        <w:wordWrap/>
        <w:overflowPunct/>
        <w:topLinePunct w:val="0"/>
        <w:bidi w:val="0"/>
        <w:spacing w:beforeLines="0" w:line="360" w:lineRule="auto"/>
        <w:ind w:firstLine="450" w:firstLineChars="150"/>
        <w:rPr>
          <w:rFonts w:hint="eastAsia" w:ascii="仿宋_GB2312" w:eastAsia="仿宋_GB2312"/>
          <w:color w:val="auto"/>
          <w:sz w:val="30"/>
          <w:szCs w:val="30"/>
          <w:highlight w:val="none"/>
        </w:rPr>
      </w:pPr>
    </w:p>
    <w:p w14:paraId="56DEABCB">
      <w:pPr>
        <w:pageBreakBefore w:val="0"/>
        <w:kinsoku/>
        <w:wordWrap/>
        <w:overflowPunct/>
        <w:topLinePunct w:val="0"/>
        <w:bidi w:val="0"/>
        <w:spacing w:beforeLines="0" w:line="360" w:lineRule="auto"/>
        <w:ind w:firstLine="0" w:firstLineChars="0"/>
        <w:rPr>
          <w:rFonts w:hint="eastAsia" w:ascii="仿宋_GB2312" w:eastAsia="仿宋_GB2312"/>
          <w:color w:val="auto"/>
          <w:sz w:val="30"/>
          <w:szCs w:val="30"/>
          <w:highlight w:val="none"/>
        </w:rPr>
      </w:pPr>
    </w:p>
    <w:p w14:paraId="2C4B2585">
      <w:pPr>
        <w:pageBreakBefore w:val="0"/>
        <w:kinsoku/>
        <w:wordWrap/>
        <w:overflowPunct/>
        <w:topLinePunct w:val="0"/>
        <w:bidi w:val="0"/>
        <w:spacing w:beforeLines="0" w:line="360" w:lineRule="auto"/>
        <w:ind w:firstLine="450" w:firstLineChars="150"/>
        <w:rPr>
          <w:rFonts w:hint="eastAsia" w:ascii="仿宋_GB2312" w:eastAsia="仿宋_GB2312"/>
          <w:color w:val="auto"/>
          <w:sz w:val="30"/>
          <w:szCs w:val="30"/>
          <w:highlight w:val="none"/>
        </w:rPr>
      </w:pPr>
    </w:p>
    <w:p w14:paraId="2ED48760">
      <w:pPr>
        <w:widowControl/>
        <w:adjustRightInd w:val="0"/>
        <w:snapToGrid w:val="0"/>
        <w:spacing w:beforeLines="0" w:afterLines="0" w:line="360" w:lineRule="auto"/>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财政事权名称：住房和城乡建设管理</w:t>
      </w:r>
    </w:p>
    <w:p w14:paraId="33F412D4">
      <w:pPr>
        <w:widowControl/>
        <w:adjustRightInd w:val="0"/>
        <w:snapToGrid w:val="0"/>
        <w:spacing w:beforeLines="0" w:afterLines="0" w:line="360" w:lineRule="auto"/>
        <w:ind w:firstLine="640" w:firstLineChars="200"/>
        <w:jc w:val="left"/>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对应政策任务个数：</w:t>
      </w:r>
      <w:r>
        <w:rPr>
          <w:rFonts w:hint="default" w:ascii="Times New Roman" w:hAnsi="Times New Roman" w:eastAsia="仿宋_GB2312" w:cs="Times New Roman"/>
          <w:color w:val="auto"/>
          <w:sz w:val="32"/>
          <w:szCs w:val="32"/>
          <w:lang w:val="en-US" w:eastAsia="zh-CN" w:bidi="ar"/>
        </w:rPr>
        <w:t>1</w:t>
      </w:r>
      <w:r>
        <w:rPr>
          <w:rFonts w:hint="default" w:ascii="Times New Roman" w:hAnsi="Times New Roman" w:eastAsia="仿宋_GB2312" w:cs="Times New Roman"/>
          <w:color w:val="auto"/>
          <w:sz w:val="32"/>
          <w:szCs w:val="32"/>
          <w:lang w:bidi="ar"/>
        </w:rPr>
        <w:t xml:space="preserve">个 </w:t>
      </w:r>
    </w:p>
    <w:p w14:paraId="3F374A4A">
      <w:pPr>
        <w:widowControl/>
        <w:adjustRightInd w:val="0"/>
        <w:snapToGrid w:val="0"/>
        <w:spacing w:beforeLines="0" w:afterLines="0" w:line="360" w:lineRule="auto"/>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具体名称：</w:t>
      </w:r>
      <w:r>
        <w:rPr>
          <w:rFonts w:hint="default" w:ascii="Times New Roman" w:hAnsi="Times New Roman" w:eastAsia="仿宋_GB2312" w:cs="Times New Roman"/>
          <w:color w:val="auto"/>
          <w:sz w:val="32"/>
          <w:szCs w:val="32"/>
          <w:lang w:val="en-US" w:eastAsia="zh-CN" w:bidi="ar"/>
        </w:rPr>
        <w:t>2024年保障性安居工程专项资金</w:t>
      </w:r>
      <w:r>
        <w:rPr>
          <w:rFonts w:hint="default" w:ascii="Times New Roman" w:hAnsi="Times New Roman" w:eastAsia="仿宋_GB2312" w:cs="Times New Roman"/>
          <w:color w:val="auto"/>
          <w:sz w:val="32"/>
          <w:szCs w:val="32"/>
        </w:rPr>
        <w:t xml:space="preserve">    </w:t>
      </w:r>
    </w:p>
    <w:p w14:paraId="390FD5FD">
      <w:pPr>
        <w:widowControl/>
        <w:adjustRightInd w:val="0"/>
        <w:snapToGrid w:val="0"/>
        <w:spacing w:beforeLines="0" w:afterLines="0" w:line="360" w:lineRule="auto"/>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预算单位：（公章）</w:t>
      </w:r>
      <w:r>
        <w:rPr>
          <w:rFonts w:hint="default" w:ascii="Times New Roman" w:hAnsi="Times New Roman" w:eastAsia="仿宋_GB2312" w:cs="Times New Roman"/>
          <w:color w:val="auto"/>
          <w:sz w:val="32"/>
          <w:szCs w:val="32"/>
        </w:rPr>
        <w:t>广东省住房和城乡建设厅</w:t>
      </w:r>
    </w:p>
    <w:p w14:paraId="63019F82">
      <w:pPr>
        <w:adjustRightInd w:val="0"/>
        <w:snapToGrid w:val="0"/>
        <w:spacing w:beforeLines="0" w:afterLines="0" w:line="360" w:lineRule="auto"/>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填报人姓名：</w:t>
      </w:r>
      <w:r>
        <w:rPr>
          <w:rFonts w:hint="eastAsia" w:ascii="Times New Roman" w:hAnsi="Times New Roman" w:eastAsia="仿宋_GB2312" w:cs="Times New Roman"/>
          <w:color w:val="auto"/>
          <w:sz w:val="32"/>
          <w:szCs w:val="32"/>
          <w:lang w:eastAsia="zh-CN"/>
        </w:rPr>
        <w:t>白日平</w:t>
      </w:r>
    </w:p>
    <w:p w14:paraId="2242F10F">
      <w:pPr>
        <w:adjustRightInd w:val="0"/>
        <w:snapToGrid w:val="0"/>
        <w:spacing w:beforeLines="0" w:afterLines="0" w:line="360" w:lineRule="auto"/>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联系电话：</w:t>
      </w:r>
      <w:r>
        <w:rPr>
          <w:rFonts w:hint="eastAsia" w:ascii="Times New Roman" w:hAnsi="Times New Roman" w:eastAsia="仿宋_GB2312" w:cs="Times New Roman"/>
          <w:color w:val="auto"/>
          <w:sz w:val="32"/>
          <w:szCs w:val="32"/>
          <w:lang w:val="en-US" w:eastAsia="zh-CN"/>
        </w:rPr>
        <w:t>83133509</w:t>
      </w:r>
    </w:p>
    <w:p w14:paraId="389CA4CA">
      <w:pPr>
        <w:pStyle w:val="16"/>
        <w:spacing w:beforeLines="0"/>
        <w:ind w:left="0" w:leftChars="0" w:firstLine="640" w:firstLineChars="200"/>
        <w:rPr>
          <w:rFonts w:hint="eastAsia" w:ascii="仿宋_GB2312" w:eastAsia="仿宋_GB2312"/>
          <w:color w:val="auto"/>
          <w:sz w:val="30"/>
          <w:szCs w:val="30"/>
          <w:highlight w:val="none"/>
        </w:rPr>
      </w:pPr>
      <w:r>
        <w:rPr>
          <w:rFonts w:hint="default" w:ascii="Times New Roman" w:hAnsi="Times New Roman" w:eastAsia="仿宋_GB2312" w:cs="Times New Roman"/>
          <w:color w:val="auto"/>
          <w:sz w:val="32"/>
          <w:szCs w:val="32"/>
        </w:rPr>
        <w:t>填报日期：202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年5月</w:t>
      </w:r>
      <w:r>
        <w:rPr>
          <w:rFonts w:hint="eastAsia"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rPr>
        <w:t>日</w:t>
      </w:r>
    </w:p>
    <w:p w14:paraId="0469ECD3">
      <w:pPr>
        <w:spacing w:beforeLines="0"/>
        <w:rPr>
          <w:rFonts w:hint="eastAsia" w:ascii="仿宋_GB2312" w:eastAsia="仿宋_GB2312"/>
          <w:color w:val="auto"/>
          <w:sz w:val="30"/>
          <w:szCs w:val="30"/>
          <w:highlight w:val="none"/>
        </w:rPr>
      </w:pPr>
    </w:p>
    <w:p w14:paraId="0329124D">
      <w:pPr>
        <w:pStyle w:val="16"/>
        <w:spacing w:beforeLines="0"/>
        <w:rPr>
          <w:rFonts w:hint="eastAsia"/>
          <w:color w:val="auto"/>
        </w:rPr>
      </w:pPr>
    </w:p>
    <w:p w14:paraId="315E0683">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sdt>
      <w:sdtPr>
        <w:rPr>
          <w:rFonts w:ascii="宋体" w:hAnsi="宋体" w:eastAsia="宋体" w:cstheme="minorBidi"/>
          <w:color w:val="auto"/>
          <w:kern w:val="2"/>
          <w:sz w:val="21"/>
          <w:szCs w:val="24"/>
          <w:lang w:val="en-US" w:eastAsia="zh-CN" w:bidi="ar-SA"/>
        </w:rPr>
        <w:id w:val="147466197"/>
        <w15:color w:val="DBDBDB"/>
        <w:docPartObj>
          <w:docPartGallery w:val="Table of Contents"/>
          <w:docPartUnique/>
        </w:docPartObj>
      </w:sdtPr>
      <w:sdtEndPr>
        <w:rPr>
          <w:rFonts w:asciiTheme="minorHAnsi" w:hAnsiTheme="minorHAnsi" w:eastAsiaTheme="minorEastAsia" w:cstheme="minorBidi"/>
          <w:color w:val="auto"/>
          <w:kern w:val="2"/>
          <w:sz w:val="32"/>
          <w:szCs w:val="32"/>
          <w:lang w:val="en-US" w:eastAsia="zh-CN" w:bidi="ar-SA"/>
        </w:rPr>
      </w:sdtEndPr>
      <w:sdtContent>
        <w:p w14:paraId="6A2E33A3">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目录</w:t>
          </w:r>
        </w:p>
        <w:p w14:paraId="49C5F719">
          <w:pPr>
            <w:pStyle w:val="13"/>
            <w:tabs>
              <w:tab w:val="right" w:leader="dot" w:pos="8306"/>
            </w:tabs>
            <w:rPr>
              <w:color w:val="auto"/>
              <w:sz w:val="32"/>
              <w:szCs w:val="32"/>
            </w:rPr>
          </w:pPr>
          <w:r>
            <w:rPr>
              <w:color w:val="auto"/>
              <w:sz w:val="32"/>
              <w:szCs w:val="32"/>
            </w:rPr>
            <w:fldChar w:fldCharType="begin"/>
          </w:r>
          <w:r>
            <w:rPr>
              <w:color w:val="auto"/>
              <w:sz w:val="32"/>
              <w:szCs w:val="32"/>
            </w:rPr>
            <w:instrText xml:space="preserve">TOC \o "1-2" \h \u </w:instrText>
          </w:r>
          <w:r>
            <w:rPr>
              <w:color w:val="auto"/>
              <w:sz w:val="32"/>
              <w:szCs w:val="32"/>
            </w:rPr>
            <w:fldChar w:fldCharType="separate"/>
          </w:r>
          <w:r>
            <w:rPr>
              <w:color w:val="auto"/>
              <w:sz w:val="32"/>
              <w:szCs w:val="32"/>
            </w:rPr>
            <w:fldChar w:fldCharType="begin"/>
          </w:r>
          <w:r>
            <w:rPr>
              <w:color w:val="auto"/>
              <w:sz w:val="32"/>
              <w:szCs w:val="32"/>
            </w:rPr>
            <w:instrText xml:space="preserve"> HYPERLINK \l _Toc4077 </w:instrText>
          </w:r>
          <w:r>
            <w:rPr>
              <w:color w:val="auto"/>
              <w:sz w:val="32"/>
              <w:szCs w:val="32"/>
            </w:rPr>
            <w:fldChar w:fldCharType="separate"/>
          </w:r>
          <w:r>
            <w:rPr>
              <w:rFonts w:hint="eastAsia" w:ascii="黑体" w:hAnsi="黑体" w:eastAsia="黑体" w:cs="黑体"/>
              <w:color w:val="auto"/>
              <w:sz w:val="32"/>
              <w:szCs w:val="32"/>
            </w:rPr>
            <w:t>一、基本情况</w:t>
          </w:r>
          <w:r>
            <w:rPr>
              <w:color w:val="auto"/>
              <w:sz w:val="32"/>
              <w:szCs w:val="32"/>
            </w:rPr>
            <w:tab/>
          </w:r>
          <w:r>
            <w:rPr>
              <w:color w:val="auto"/>
              <w:sz w:val="32"/>
              <w:szCs w:val="32"/>
            </w:rPr>
            <w:fldChar w:fldCharType="begin"/>
          </w:r>
          <w:r>
            <w:rPr>
              <w:color w:val="auto"/>
              <w:sz w:val="32"/>
              <w:szCs w:val="32"/>
            </w:rPr>
            <w:instrText xml:space="preserve"> PAGEREF _Toc4077 \h </w:instrText>
          </w:r>
          <w:r>
            <w:rPr>
              <w:color w:val="auto"/>
              <w:sz w:val="32"/>
              <w:szCs w:val="32"/>
            </w:rPr>
            <w:fldChar w:fldCharType="separate"/>
          </w:r>
          <w:r>
            <w:rPr>
              <w:color w:val="auto"/>
              <w:sz w:val="32"/>
              <w:szCs w:val="32"/>
            </w:rPr>
            <w:t xml:space="preserve">- </w:t>
          </w:r>
          <w:r>
            <w:rPr>
              <w:rFonts w:hint="default" w:ascii="Times New Roman" w:hAnsi="Times New Roman" w:cs="Times New Roman"/>
              <w:color w:val="auto"/>
              <w:sz w:val="32"/>
              <w:szCs w:val="32"/>
            </w:rPr>
            <w:t>1</w:t>
          </w:r>
          <w:r>
            <w:rPr>
              <w:color w:val="auto"/>
              <w:sz w:val="32"/>
              <w:szCs w:val="32"/>
            </w:rPr>
            <w:t xml:space="preserve"> -</w:t>
          </w:r>
          <w:r>
            <w:rPr>
              <w:color w:val="auto"/>
              <w:sz w:val="32"/>
              <w:szCs w:val="32"/>
            </w:rPr>
            <w:fldChar w:fldCharType="end"/>
          </w:r>
          <w:r>
            <w:rPr>
              <w:color w:val="auto"/>
              <w:sz w:val="32"/>
              <w:szCs w:val="32"/>
            </w:rPr>
            <w:fldChar w:fldCharType="end"/>
          </w:r>
        </w:p>
        <w:p w14:paraId="2DDABF7F">
          <w:pPr>
            <w:pStyle w:val="16"/>
            <w:tabs>
              <w:tab w:val="right" w:leader="dot" w:pos="8306"/>
            </w:tabs>
            <w:rPr>
              <w:color w:val="auto"/>
              <w:sz w:val="32"/>
              <w:szCs w:val="32"/>
            </w:rPr>
          </w:pPr>
          <w:r>
            <w:rPr>
              <w:color w:val="auto"/>
              <w:sz w:val="32"/>
              <w:szCs w:val="32"/>
            </w:rPr>
            <w:fldChar w:fldCharType="begin"/>
          </w:r>
          <w:r>
            <w:rPr>
              <w:color w:val="auto"/>
              <w:sz w:val="32"/>
              <w:szCs w:val="32"/>
            </w:rPr>
            <w:instrText xml:space="preserve"> HYPERLINK \l _Toc17255 </w:instrText>
          </w:r>
          <w:r>
            <w:rPr>
              <w:color w:val="auto"/>
              <w:sz w:val="32"/>
              <w:szCs w:val="32"/>
            </w:rPr>
            <w:fldChar w:fldCharType="separate"/>
          </w:r>
          <w:r>
            <w:rPr>
              <w:rFonts w:hint="eastAsia" w:ascii="Times New Roman" w:hAnsi="Times New Roman" w:eastAsia="楷体_GB2312" w:cs="仿宋"/>
              <w:bCs/>
              <w:color w:val="auto"/>
              <w:kern w:val="0"/>
              <w:sz w:val="32"/>
              <w:szCs w:val="32"/>
            </w:rPr>
            <w:t>（</w:t>
          </w:r>
          <w:r>
            <w:rPr>
              <w:rFonts w:hint="eastAsia" w:ascii="Times New Roman" w:hAnsi="Times New Roman" w:eastAsia="楷体_GB2312" w:cs="仿宋"/>
              <w:bCs/>
              <w:color w:val="auto"/>
              <w:kern w:val="0"/>
              <w:sz w:val="32"/>
              <w:szCs w:val="32"/>
              <w:lang w:eastAsia="zh-CN"/>
            </w:rPr>
            <w:t>一</w:t>
          </w:r>
          <w:r>
            <w:rPr>
              <w:rFonts w:hint="eastAsia" w:ascii="Times New Roman" w:hAnsi="Times New Roman" w:eastAsia="楷体_GB2312" w:cs="仿宋"/>
              <w:bCs/>
              <w:color w:val="auto"/>
              <w:kern w:val="0"/>
              <w:sz w:val="32"/>
              <w:szCs w:val="32"/>
            </w:rPr>
            <w:t>）</w:t>
          </w:r>
          <w:r>
            <w:rPr>
              <w:rFonts w:hint="eastAsia" w:ascii="楷体_GB2312" w:hAnsi="楷体_GB2312" w:eastAsia="楷体_GB2312" w:cs="楷体_GB2312"/>
              <w:bCs/>
              <w:color w:val="auto"/>
              <w:sz w:val="32"/>
              <w:szCs w:val="32"/>
              <w:lang w:bidi="ar"/>
            </w:rPr>
            <w:t>资金安排情况</w:t>
          </w:r>
          <w:r>
            <w:rPr>
              <w:color w:val="auto"/>
              <w:sz w:val="32"/>
              <w:szCs w:val="32"/>
            </w:rPr>
            <w:tab/>
          </w:r>
          <w:r>
            <w:rPr>
              <w:color w:val="auto"/>
              <w:sz w:val="32"/>
              <w:szCs w:val="32"/>
            </w:rPr>
            <w:fldChar w:fldCharType="begin"/>
          </w:r>
          <w:r>
            <w:rPr>
              <w:color w:val="auto"/>
              <w:sz w:val="32"/>
              <w:szCs w:val="32"/>
            </w:rPr>
            <w:instrText xml:space="preserve"> PAGEREF _Toc17255 \h </w:instrText>
          </w:r>
          <w:r>
            <w:rPr>
              <w:color w:val="auto"/>
              <w:sz w:val="32"/>
              <w:szCs w:val="32"/>
            </w:rPr>
            <w:fldChar w:fldCharType="separate"/>
          </w:r>
          <w:r>
            <w:rPr>
              <w:color w:val="auto"/>
              <w:sz w:val="32"/>
              <w:szCs w:val="32"/>
            </w:rPr>
            <w:t xml:space="preserve">- </w:t>
          </w:r>
          <w:r>
            <w:rPr>
              <w:rFonts w:hint="default" w:ascii="Times New Roman" w:hAnsi="Times New Roman" w:cs="Times New Roman"/>
              <w:color w:val="auto"/>
              <w:sz w:val="32"/>
              <w:szCs w:val="32"/>
            </w:rPr>
            <w:t>1</w:t>
          </w:r>
          <w:r>
            <w:rPr>
              <w:color w:val="auto"/>
              <w:sz w:val="32"/>
              <w:szCs w:val="32"/>
            </w:rPr>
            <w:t xml:space="preserve"> -</w:t>
          </w:r>
          <w:r>
            <w:rPr>
              <w:color w:val="auto"/>
              <w:sz w:val="32"/>
              <w:szCs w:val="32"/>
            </w:rPr>
            <w:fldChar w:fldCharType="end"/>
          </w:r>
          <w:r>
            <w:rPr>
              <w:color w:val="auto"/>
              <w:sz w:val="32"/>
              <w:szCs w:val="32"/>
            </w:rPr>
            <w:fldChar w:fldCharType="end"/>
          </w:r>
        </w:p>
        <w:p w14:paraId="20EC3D6B">
          <w:pPr>
            <w:pStyle w:val="16"/>
            <w:tabs>
              <w:tab w:val="right" w:leader="dot" w:pos="8306"/>
            </w:tabs>
            <w:rPr>
              <w:color w:val="auto"/>
              <w:sz w:val="32"/>
              <w:szCs w:val="32"/>
            </w:rPr>
          </w:pPr>
          <w:r>
            <w:rPr>
              <w:color w:val="auto"/>
              <w:sz w:val="32"/>
              <w:szCs w:val="32"/>
            </w:rPr>
            <w:fldChar w:fldCharType="begin"/>
          </w:r>
          <w:r>
            <w:rPr>
              <w:color w:val="auto"/>
              <w:sz w:val="32"/>
              <w:szCs w:val="32"/>
            </w:rPr>
            <w:instrText xml:space="preserve"> HYPERLINK \l _Toc7675 </w:instrText>
          </w:r>
          <w:r>
            <w:rPr>
              <w:color w:val="auto"/>
              <w:sz w:val="32"/>
              <w:szCs w:val="32"/>
            </w:rPr>
            <w:fldChar w:fldCharType="separate"/>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val="en-US" w:eastAsia="zh-CN"/>
            </w:rPr>
            <w:t>二</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资金分配方式</w:t>
          </w:r>
          <w:r>
            <w:rPr>
              <w:color w:val="auto"/>
              <w:sz w:val="32"/>
              <w:szCs w:val="32"/>
            </w:rPr>
            <w:tab/>
          </w:r>
          <w:r>
            <w:rPr>
              <w:color w:val="auto"/>
              <w:sz w:val="32"/>
              <w:szCs w:val="32"/>
            </w:rPr>
            <w:fldChar w:fldCharType="begin"/>
          </w:r>
          <w:r>
            <w:rPr>
              <w:color w:val="auto"/>
              <w:sz w:val="32"/>
              <w:szCs w:val="32"/>
            </w:rPr>
            <w:instrText xml:space="preserve"> PAGEREF _Toc7675 \h </w:instrText>
          </w:r>
          <w:r>
            <w:rPr>
              <w:color w:val="auto"/>
              <w:sz w:val="32"/>
              <w:szCs w:val="32"/>
            </w:rPr>
            <w:fldChar w:fldCharType="separate"/>
          </w:r>
          <w:r>
            <w:rPr>
              <w:color w:val="auto"/>
              <w:sz w:val="32"/>
              <w:szCs w:val="32"/>
            </w:rPr>
            <w:t xml:space="preserve">- </w:t>
          </w:r>
          <w:r>
            <w:rPr>
              <w:rFonts w:hint="default" w:ascii="Times New Roman" w:hAnsi="Times New Roman" w:cs="Times New Roman"/>
              <w:color w:val="auto"/>
              <w:sz w:val="32"/>
              <w:szCs w:val="32"/>
            </w:rPr>
            <w:t>2</w:t>
          </w:r>
          <w:r>
            <w:rPr>
              <w:color w:val="auto"/>
              <w:sz w:val="32"/>
              <w:szCs w:val="32"/>
            </w:rPr>
            <w:t xml:space="preserve"> -</w:t>
          </w:r>
          <w:r>
            <w:rPr>
              <w:color w:val="auto"/>
              <w:sz w:val="32"/>
              <w:szCs w:val="32"/>
            </w:rPr>
            <w:fldChar w:fldCharType="end"/>
          </w:r>
          <w:r>
            <w:rPr>
              <w:color w:val="auto"/>
              <w:sz w:val="32"/>
              <w:szCs w:val="32"/>
            </w:rPr>
            <w:fldChar w:fldCharType="end"/>
          </w:r>
        </w:p>
        <w:p w14:paraId="7E2A4430">
          <w:pPr>
            <w:pStyle w:val="16"/>
            <w:tabs>
              <w:tab w:val="right" w:leader="dot" w:pos="8306"/>
            </w:tabs>
            <w:rPr>
              <w:color w:val="auto"/>
              <w:sz w:val="32"/>
              <w:szCs w:val="32"/>
            </w:rPr>
          </w:pPr>
          <w:r>
            <w:rPr>
              <w:color w:val="auto"/>
              <w:sz w:val="32"/>
              <w:szCs w:val="32"/>
            </w:rPr>
            <w:fldChar w:fldCharType="begin"/>
          </w:r>
          <w:r>
            <w:rPr>
              <w:color w:val="auto"/>
              <w:sz w:val="32"/>
              <w:szCs w:val="32"/>
            </w:rPr>
            <w:instrText xml:space="preserve"> HYPERLINK \l _Toc20139 </w:instrText>
          </w:r>
          <w:r>
            <w:rPr>
              <w:color w:val="auto"/>
              <w:sz w:val="32"/>
              <w:szCs w:val="32"/>
            </w:rPr>
            <w:fldChar w:fldCharType="separate"/>
          </w:r>
          <w:r>
            <w:rPr>
              <w:rFonts w:hint="eastAsia" w:ascii="Times New Roman" w:hAnsi="Times New Roman" w:eastAsia="楷体_GB2312" w:cs="仿宋"/>
              <w:bCs/>
              <w:color w:val="auto"/>
              <w:sz w:val="32"/>
              <w:szCs w:val="32"/>
            </w:rPr>
            <w:t xml:space="preserve">（二） </w:t>
          </w:r>
          <w:r>
            <w:rPr>
              <w:rFonts w:hint="eastAsia" w:ascii="Times New Roman" w:hAnsi="Times New Roman" w:eastAsia="楷体_GB2312" w:cs="仿宋"/>
              <w:bCs/>
              <w:color w:val="auto"/>
              <w:sz w:val="32"/>
              <w:szCs w:val="32"/>
              <w:highlight w:val="none"/>
            </w:rPr>
            <w:t>资金主要用途</w:t>
          </w:r>
          <w:r>
            <w:rPr>
              <w:color w:val="auto"/>
              <w:sz w:val="32"/>
              <w:szCs w:val="32"/>
            </w:rPr>
            <w:tab/>
          </w:r>
          <w:r>
            <w:rPr>
              <w:color w:val="auto"/>
              <w:sz w:val="32"/>
              <w:szCs w:val="32"/>
            </w:rPr>
            <w:fldChar w:fldCharType="begin"/>
          </w:r>
          <w:r>
            <w:rPr>
              <w:color w:val="auto"/>
              <w:sz w:val="32"/>
              <w:szCs w:val="32"/>
            </w:rPr>
            <w:instrText xml:space="preserve"> PAGEREF _Toc20139 \h </w:instrText>
          </w:r>
          <w:r>
            <w:rPr>
              <w:color w:val="auto"/>
              <w:sz w:val="32"/>
              <w:szCs w:val="32"/>
            </w:rPr>
            <w:fldChar w:fldCharType="separate"/>
          </w:r>
          <w:r>
            <w:rPr>
              <w:color w:val="auto"/>
              <w:sz w:val="32"/>
              <w:szCs w:val="32"/>
            </w:rPr>
            <w:t xml:space="preserve">- </w:t>
          </w:r>
          <w:r>
            <w:rPr>
              <w:rFonts w:hint="default" w:ascii="Times New Roman" w:hAnsi="Times New Roman" w:cs="Times New Roman"/>
              <w:color w:val="auto"/>
              <w:sz w:val="32"/>
              <w:szCs w:val="32"/>
            </w:rPr>
            <w:t>4</w:t>
          </w:r>
          <w:r>
            <w:rPr>
              <w:color w:val="auto"/>
              <w:sz w:val="32"/>
              <w:szCs w:val="32"/>
            </w:rPr>
            <w:t xml:space="preserve"> -</w:t>
          </w:r>
          <w:r>
            <w:rPr>
              <w:color w:val="auto"/>
              <w:sz w:val="32"/>
              <w:szCs w:val="32"/>
            </w:rPr>
            <w:fldChar w:fldCharType="end"/>
          </w:r>
          <w:r>
            <w:rPr>
              <w:color w:val="auto"/>
              <w:sz w:val="32"/>
              <w:szCs w:val="32"/>
            </w:rPr>
            <w:fldChar w:fldCharType="end"/>
          </w:r>
        </w:p>
        <w:p w14:paraId="1A5ED2A0">
          <w:pPr>
            <w:pStyle w:val="16"/>
            <w:tabs>
              <w:tab w:val="right" w:leader="dot" w:pos="8306"/>
            </w:tabs>
            <w:rPr>
              <w:color w:val="auto"/>
              <w:sz w:val="32"/>
              <w:szCs w:val="32"/>
            </w:rPr>
          </w:pPr>
          <w:r>
            <w:rPr>
              <w:color w:val="auto"/>
              <w:sz w:val="32"/>
              <w:szCs w:val="32"/>
            </w:rPr>
            <w:fldChar w:fldCharType="begin"/>
          </w:r>
          <w:r>
            <w:rPr>
              <w:color w:val="auto"/>
              <w:sz w:val="32"/>
              <w:szCs w:val="32"/>
            </w:rPr>
            <w:instrText xml:space="preserve"> HYPERLINK \l _Toc23811 </w:instrText>
          </w:r>
          <w:r>
            <w:rPr>
              <w:color w:val="auto"/>
              <w:sz w:val="32"/>
              <w:szCs w:val="32"/>
            </w:rPr>
            <w:fldChar w:fldCharType="separate"/>
          </w:r>
          <w:r>
            <w:rPr>
              <w:rFonts w:hint="eastAsia" w:ascii="Times New Roman" w:hAnsi="Times New Roman" w:eastAsia="楷体_GB2312" w:cs="仿宋"/>
              <w:bCs/>
              <w:color w:val="auto"/>
              <w:sz w:val="32"/>
              <w:szCs w:val="32"/>
              <w:highlight w:val="none"/>
            </w:rPr>
            <w:t>（</w:t>
          </w:r>
          <w:r>
            <w:rPr>
              <w:rFonts w:hint="eastAsia" w:ascii="Times New Roman" w:hAnsi="Times New Roman" w:eastAsia="楷体_GB2312" w:cs="仿宋"/>
              <w:bCs/>
              <w:color w:val="auto"/>
              <w:sz w:val="32"/>
              <w:szCs w:val="32"/>
              <w:highlight w:val="none"/>
              <w:lang w:val="en-US" w:eastAsia="zh-CN"/>
            </w:rPr>
            <w:t>四</w:t>
          </w:r>
          <w:r>
            <w:rPr>
              <w:rFonts w:hint="eastAsia" w:ascii="Times New Roman" w:hAnsi="Times New Roman" w:eastAsia="楷体_GB2312" w:cs="仿宋"/>
              <w:bCs/>
              <w:color w:val="auto"/>
              <w:sz w:val="32"/>
              <w:szCs w:val="32"/>
              <w:highlight w:val="none"/>
            </w:rPr>
            <w:t>）绩效目标</w:t>
          </w:r>
          <w:r>
            <w:rPr>
              <w:color w:val="auto"/>
              <w:sz w:val="32"/>
              <w:szCs w:val="32"/>
            </w:rPr>
            <w:tab/>
          </w:r>
          <w:r>
            <w:rPr>
              <w:color w:val="auto"/>
              <w:sz w:val="32"/>
              <w:szCs w:val="32"/>
            </w:rPr>
            <w:fldChar w:fldCharType="begin"/>
          </w:r>
          <w:r>
            <w:rPr>
              <w:color w:val="auto"/>
              <w:sz w:val="32"/>
              <w:szCs w:val="32"/>
            </w:rPr>
            <w:instrText xml:space="preserve"> PAGEREF _Toc23811 \h </w:instrText>
          </w:r>
          <w:r>
            <w:rPr>
              <w:color w:val="auto"/>
              <w:sz w:val="32"/>
              <w:szCs w:val="32"/>
            </w:rPr>
            <w:fldChar w:fldCharType="separate"/>
          </w:r>
          <w:r>
            <w:rPr>
              <w:color w:val="auto"/>
              <w:sz w:val="32"/>
              <w:szCs w:val="32"/>
            </w:rPr>
            <w:t xml:space="preserve">- </w:t>
          </w:r>
          <w:r>
            <w:rPr>
              <w:rFonts w:hint="default" w:ascii="Times New Roman" w:hAnsi="Times New Roman" w:cs="Times New Roman"/>
              <w:color w:val="auto"/>
              <w:sz w:val="32"/>
              <w:szCs w:val="32"/>
            </w:rPr>
            <w:t>4</w:t>
          </w:r>
          <w:r>
            <w:rPr>
              <w:color w:val="auto"/>
              <w:sz w:val="32"/>
              <w:szCs w:val="32"/>
            </w:rPr>
            <w:t xml:space="preserve"> -</w:t>
          </w:r>
          <w:r>
            <w:rPr>
              <w:color w:val="auto"/>
              <w:sz w:val="32"/>
              <w:szCs w:val="32"/>
            </w:rPr>
            <w:fldChar w:fldCharType="end"/>
          </w:r>
          <w:r>
            <w:rPr>
              <w:color w:val="auto"/>
              <w:sz w:val="32"/>
              <w:szCs w:val="32"/>
            </w:rPr>
            <w:fldChar w:fldCharType="end"/>
          </w:r>
        </w:p>
        <w:p w14:paraId="11F5C7F4">
          <w:pPr>
            <w:pStyle w:val="13"/>
            <w:tabs>
              <w:tab w:val="right" w:leader="dot" w:pos="8306"/>
            </w:tabs>
            <w:rPr>
              <w:color w:val="auto"/>
              <w:sz w:val="32"/>
              <w:szCs w:val="32"/>
            </w:rPr>
          </w:pPr>
          <w:r>
            <w:rPr>
              <w:color w:val="auto"/>
              <w:sz w:val="32"/>
              <w:szCs w:val="32"/>
            </w:rPr>
            <w:fldChar w:fldCharType="begin"/>
          </w:r>
          <w:r>
            <w:rPr>
              <w:color w:val="auto"/>
              <w:sz w:val="32"/>
              <w:szCs w:val="32"/>
            </w:rPr>
            <w:instrText xml:space="preserve"> HYPERLINK \l _Toc27566 </w:instrText>
          </w:r>
          <w:r>
            <w:rPr>
              <w:color w:val="auto"/>
              <w:sz w:val="32"/>
              <w:szCs w:val="32"/>
            </w:rPr>
            <w:fldChar w:fldCharType="separate"/>
          </w:r>
          <w:r>
            <w:rPr>
              <w:rFonts w:hint="eastAsia" w:eastAsia="黑体"/>
              <w:color w:val="auto"/>
              <w:kern w:val="0"/>
              <w:sz w:val="32"/>
              <w:szCs w:val="32"/>
              <w:lang w:val="en-US" w:eastAsia="zh-CN"/>
            </w:rPr>
            <w:t xml:space="preserve">二、 </w:t>
          </w:r>
          <w:r>
            <w:rPr>
              <w:rFonts w:hint="eastAsia" w:eastAsia="黑体"/>
              <w:color w:val="auto"/>
              <w:kern w:val="0"/>
              <w:sz w:val="32"/>
              <w:szCs w:val="32"/>
              <w:highlight w:val="none"/>
            </w:rPr>
            <w:t>自评</w:t>
          </w:r>
          <w:r>
            <w:rPr>
              <w:rFonts w:hint="eastAsia" w:eastAsia="黑体"/>
              <w:color w:val="auto"/>
              <w:kern w:val="0"/>
              <w:sz w:val="32"/>
              <w:szCs w:val="32"/>
              <w:highlight w:val="none"/>
              <w:lang w:val="en-US" w:eastAsia="zh-CN"/>
            </w:rPr>
            <w:t>情况</w:t>
          </w:r>
          <w:r>
            <w:rPr>
              <w:color w:val="auto"/>
              <w:sz w:val="32"/>
              <w:szCs w:val="32"/>
            </w:rPr>
            <w:tab/>
          </w:r>
          <w:r>
            <w:rPr>
              <w:color w:val="auto"/>
              <w:sz w:val="32"/>
              <w:szCs w:val="32"/>
            </w:rPr>
            <w:fldChar w:fldCharType="begin"/>
          </w:r>
          <w:r>
            <w:rPr>
              <w:color w:val="auto"/>
              <w:sz w:val="32"/>
              <w:szCs w:val="32"/>
            </w:rPr>
            <w:instrText xml:space="preserve"> PAGEREF _Toc27566 \h </w:instrText>
          </w:r>
          <w:r>
            <w:rPr>
              <w:color w:val="auto"/>
              <w:sz w:val="32"/>
              <w:szCs w:val="32"/>
            </w:rPr>
            <w:fldChar w:fldCharType="separate"/>
          </w:r>
          <w:r>
            <w:rPr>
              <w:color w:val="auto"/>
              <w:sz w:val="32"/>
              <w:szCs w:val="32"/>
            </w:rPr>
            <w:t xml:space="preserve">- </w:t>
          </w:r>
          <w:r>
            <w:rPr>
              <w:rFonts w:hint="default" w:ascii="Times New Roman" w:hAnsi="Times New Roman" w:cs="Times New Roman"/>
              <w:color w:val="auto"/>
              <w:sz w:val="32"/>
              <w:szCs w:val="32"/>
            </w:rPr>
            <w:t>5</w:t>
          </w:r>
          <w:r>
            <w:rPr>
              <w:color w:val="auto"/>
              <w:sz w:val="32"/>
              <w:szCs w:val="32"/>
            </w:rPr>
            <w:t xml:space="preserve"> -</w:t>
          </w:r>
          <w:r>
            <w:rPr>
              <w:color w:val="auto"/>
              <w:sz w:val="32"/>
              <w:szCs w:val="32"/>
            </w:rPr>
            <w:fldChar w:fldCharType="end"/>
          </w:r>
          <w:r>
            <w:rPr>
              <w:color w:val="auto"/>
              <w:sz w:val="32"/>
              <w:szCs w:val="32"/>
            </w:rPr>
            <w:fldChar w:fldCharType="end"/>
          </w:r>
        </w:p>
        <w:p w14:paraId="6CBC0F7E">
          <w:pPr>
            <w:pStyle w:val="16"/>
            <w:tabs>
              <w:tab w:val="right" w:leader="dot" w:pos="8306"/>
            </w:tabs>
            <w:rPr>
              <w:color w:val="auto"/>
              <w:sz w:val="32"/>
              <w:szCs w:val="32"/>
            </w:rPr>
          </w:pPr>
          <w:r>
            <w:rPr>
              <w:color w:val="auto"/>
              <w:sz w:val="32"/>
              <w:szCs w:val="32"/>
            </w:rPr>
            <w:fldChar w:fldCharType="begin"/>
          </w:r>
          <w:r>
            <w:rPr>
              <w:color w:val="auto"/>
              <w:sz w:val="32"/>
              <w:szCs w:val="32"/>
            </w:rPr>
            <w:instrText xml:space="preserve"> HYPERLINK \l _Toc456 </w:instrText>
          </w:r>
          <w:r>
            <w:rPr>
              <w:color w:val="auto"/>
              <w:sz w:val="32"/>
              <w:szCs w:val="32"/>
            </w:rPr>
            <w:fldChar w:fldCharType="separate"/>
          </w:r>
          <w:r>
            <w:rPr>
              <w:rFonts w:hint="eastAsia" w:ascii="楷体_GB2312" w:hAnsi="楷体_GB2312" w:eastAsia="楷体_GB2312" w:cs="楷体_GB2312"/>
              <w:bCs/>
              <w:color w:val="auto"/>
              <w:kern w:val="0"/>
              <w:sz w:val="32"/>
              <w:szCs w:val="32"/>
              <w:highlight w:val="none"/>
              <w:lang w:val="en-US" w:eastAsia="zh-CN"/>
            </w:rPr>
            <w:t>（一）自评结论</w:t>
          </w:r>
          <w:r>
            <w:rPr>
              <w:color w:val="auto"/>
              <w:sz w:val="32"/>
              <w:szCs w:val="32"/>
            </w:rPr>
            <w:tab/>
          </w:r>
          <w:r>
            <w:rPr>
              <w:color w:val="auto"/>
              <w:sz w:val="32"/>
              <w:szCs w:val="32"/>
            </w:rPr>
            <w:fldChar w:fldCharType="begin"/>
          </w:r>
          <w:r>
            <w:rPr>
              <w:color w:val="auto"/>
              <w:sz w:val="32"/>
              <w:szCs w:val="32"/>
            </w:rPr>
            <w:instrText xml:space="preserve"> PAGEREF _Toc456 \h </w:instrText>
          </w:r>
          <w:r>
            <w:rPr>
              <w:color w:val="auto"/>
              <w:sz w:val="32"/>
              <w:szCs w:val="32"/>
            </w:rPr>
            <w:fldChar w:fldCharType="separate"/>
          </w:r>
          <w:r>
            <w:rPr>
              <w:color w:val="auto"/>
              <w:sz w:val="32"/>
              <w:szCs w:val="32"/>
            </w:rPr>
            <w:t xml:space="preserve">- </w:t>
          </w:r>
          <w:r>
            <w:rPr>
              <w:rFonts w:hint="default" w:ascii="Times New Roman" w:hAnsi="Times New Roman" w:cs="Times New Roman"/>
              <w:color w:val="auto"/>
              <w:sz w:val="32"/>
              <w:szCs w:val="32"/>
            </w:rPr>
            <w:t>5</w:t>
          </w:r>
          <w:r>
            <w:rPr>
              <w:color w:val="auto"/>
              <w:sz w:val="32"/>
              <w:szCs w:val="32"/>
            </w:rPr>
            <w:t xml:space="preserve"> -</w:t>
          </w:r>
          <w:r>
            <w:rPr>
              <w:color w:val="auto"/>
              <w:sz w:val="32"/>
              <w:szCs w:val="32"/>
            </w:rPr>
            <w:fldChar w:fldCharType="end"/>
          </w:r>
          <w:r>
            <w:rPr>
              <w:color w:val="auto"/>
              <w:sz w:val="32"/>
              <w:szCs w:val="32"/>
            </w:rPr>
            <w:fldChar w:fldCharType="end"/>
          </w:r>
        </w:p>
        <w:p w14:paraId="0C5D37D2">
          <w:pPr>
            <w:pStyle w:val="16"/>
            <w:tabs>
              <w:tab w:val="right" w:leader="dot" w:pos="8306"/>
            </w:tabs>
            <w:rPr>
              <w:color w:val="auto"/>
              <w:sz w:val="32"/>
              <w:szCs w:val="32"/>
            </w:rPr>
          </w:pPr>
          <w:r>
            <w:rPr>
              <w:color w:val="auto"/>
              <w:sz w:val="32"/>
              <w:szCs w:val="32"/>
            </w:rPr>
            <w:fldChar w:fldCharType="begin"/>
          </w:r>
          <w:r>
            <w:rPr>
              <w:color w:val="auto"/>
              <w:sz w:val="32"/>
              <w:szCs w:val="32"/>
            </w:rPr>
            <w:instrText xml:space="preserve"> HYPERLINK \l _Toc27548 </w:instrText>
          </w:r>
          <w:r>
            <w:rPr>
              <w:color w:val="auto"/>
              <w:sz w:val="32"/>
              <w:szCs w:val="32"/>
            </w:rPr>
            <w:fldChar w:fldCharType="separate"/>
          </w:r>
          <w:r>
            <w:rPr>
              <w:rFonts w:hint="eastAsia" w:ascii="楷体_GB2312" w:hAnsi="楷体_GB2312" w:eastAsia="楷体_GB2312" w:cs="楷体_GB2312"/>
              <w:color w:val="auto"/>
              <w:sz w:val="32"/>
              <w:szCs w:val="32"/>
            </w:rPr>
            <w:t>（二）专项资金使用绩效</w:t>
          </w:r>
          <w:r>
            <w:rPr>
              <w:color w:val="auto"/>
              <w:sz w:val="32"/>
              <w:szCs w:val="32"/>
            </w:rPr>
            <w:tab/>
          </w:r>
          <w:r>
            <w:rPr>
              <w:color w:val="auto"/>
              <w:sz w:val="32"/>
              <w:szCs w:val="32"/>
            </w:rPr>
            <w:fldChar w:fldCharType="begin"/>
          </w:r>
          <w:r>
            <w:rPr>
              <w:color w:val="auto"/>
              <w:sz w:val="32"/>
              <w:szCs w:val="32"/>
            </w:rPr>
            <w:instrText xml:space="preserve"> PAGEREF _Toc27548 \h </w:instrText>
          </w:r>
          <w:r>
            <w:rPr>
              <w:color w:val="auto"/>
              <w:sz w:val="32"/>
              <w:szCs w:val="32"/>
            </w:rPr>
            <w:fldChar w:fldCharType="separate"/>
          </w:r>
          <w:r>
            <w:rPr>
              <w:color w:val="auto"/>
              <w:sz w:val="32"/>
              <w:szCs w:val="32"/>
            </w:rPr>
            <w:t xml:space="preserve">- </w:t>
          </w:r>
          <w:r>
            <w:rPr>
              <w:rFonts w:hint="default" w:ascii="Times New Roman" w:hAnsi="Times New Roman" w:cs="Times New Roman"/>
              <w:color w:val="auto"/>
              <w:sz w:val="32"/>
              <w:szCs w:val="32"/>
            </w:rPr>
            <w:t>10</w:t>
          </w:r>
          <w:r>
            <w:rPr>
              <w:color w:val="auto"/>
              <w:sz w:val="32"/>
              <w:szCs w:val="32"/>
            </w:rPr>
            <w:t xml:space="preserve"> -</w:t>
          </w:r>
          <w:r>
            <w:rPr>
              <w:color w:val="auto"/>
              <w:sz w:val="32"/>
              <w:szCs w:val="32"/>
            </w:rPr>
            <w:fldChar w:fldCharType="end"/>
          </w:r>
          <w:r>
            <w:rPr>
              <w:color w:val="auto"/>
              <w:sz w:val="32"/>
              <w:szCs w:val="32"/>
            </w:rPr>
            <w:fldChar w:fldCharType="end"/>
          </w:r>
        </w:p>
        <w:p w14:paraId="4D229B68">
          <w:pPr>
            <w:pStyle w:val="16"/>
            <w:tabs>
              <w:tab w:val="right" w:leader="dot" w:pos="8306"/>
            </w:tabs>
            <w:rPr>
              <w:color w:val="auto"/>
              <w:sz w:val="32"/>
              <w:szCs w:val="32"/>
            </w:rPr>
          </w:pPr>
          <w:r>
            <w:rPr>
              <w:color w:val="auto"/>
              <w:sz w:val="32"/>
              <w:szCs w:val="32"/>
            </w:rPr>
            <w:fldChar w:fldCharType="begin"/>
          </w:r>
          <w:r>
            <w:rPr>
              <w:color w:val="auto"/>
              <w:sz w:val="32"/>
              <w:szCs w:val="32"/>
            </w:rPr>
            <w:instrText xml:space="preserve"> HYPERLINK \l _Toc4711 </w:instrText>
          </w:r>
          <w:r>
            <w:rPr>
              <w:color w:val="auto"/>
              <w:sz w:val="32"/>
              <w:szCs w:val="32"/>
            </w:rPr>
            <w:fldChar w:fldCharType="separate"/>
          </w:r>
          <w:r>
            <w:rPr>
              <w:rFonts w:hint="eastAsia" w:ascii="楷体_GB2312" w:hAnsi="楷体_GB2312" w:eastAsia="楷体_GB2312" w:cs="楷体_GB2312"/>
              <w:color w:val="auto"/>
              <w:sz w:val="32"/>
              <w:szCs w:val="32"/>
            </w:rPr>
            <w:t>（三）专项资金使用绩效存在的问题</w:t>
          </w:r>
          <w:r>
            <w:rPr>
              <w:color w:val="auto"/>
              <w:sz w:val="32"/>
              <w:szCs w:val="32"/>
            </w:rPr>
            <w:tab/>
          </w:r>
          <w:r>
            <w:rPr>
              <w:color w:val="auto"/>
              <w:sz w:val="32"/>
              <w:szCs w:val="32"/>
            </w:rPr>
            <w:fldChar w:fldCharType="begin"/>
          </w:r>
          <w:r>
            <w:rPr>
              <w:color w:val="auto"/>
              <w:sz w:val="32"/>
              <w:szCs w:val="32"/>
            </w:rPr>
            <w:instrText xml:space="preserve"> PAGEREF _Toc4711 \h </w:instrText>
          </w:r>
          <w:r>
            <w:rPr>
              <w:color w:val="auto"/>
              <w:sz w:val="32"/>
              <w:szCs w:val="32"/>
            </w:rPr>
            <w:fldChar w:fldCharType="separate"/>
          </w:r>
          <w:r>
            <w:rPr>
              <w:color w:val="auto"/>
              <w:sz w:val="32"/>
              <w:szCs w:val="32"/>
            </w:rPr>
            <w:t xml:space="preserve">- </w:t>
          </w:r>
          <w:r>
            <w:rPr>
              <w:rFonts w:hint="default" w:ascii="Times New Roman" w:hAnsi="Times New Roman" w:cs="Times New Roman"/>
              <w:color w:val="auto"/>
              <w:sz w:val="32"/>
              <w:szCs w:val="32"/>
            </w:rPr>
            <w:t>14</w:t>
          </w:r>
          <w:r>
            <w:rPr>
              <w:color w:val="auto"/>
              <w:sz w:val="32"/>
              <w:szCs w:val="32"/>
            </w:rPr>
            <w:t xml:space="preserve"> -</w:t>
          </w:r>
          <w:r>
            <w:rPr>
              <w:color w:val="auto"/>
              <w:sz w:val="32"/>
              <w:szCs w:val="32"/>
            </w:rPr>
            <w:fldChar w:fldCharType="end"/>
          </w:r>
          <w:r>
            <w:rPr>
              <w:color w:val="auto"/>
              <w:sz w:val="32"/>
              <w:szCs w:val="32"/>
            </w:rPr>
            <w:fldChar w:fldCharType="end"/>
          </w:r>
        </w:p>
        <w:p w14:paraId="66F2C03C">
          <w:pPr>
            <w:pStyle w:val="13"/>
            <w:tabs>
              <w:tab w:val="right" w:leader="dot" w:pos="8306"/>
            </w:tabs>
            <w:rPr>
              <w:color w:val="auto"/>
              <w:sz w:val="32"/>
              <w:szCs w:val="32"/>
            </w:rPr>
          </w:pPr>
          <w:r>
            <w:rPr>
              <w:color w:val="auto"/>
              <w:sz w:val="32"/>
              <w:szCs w:val="32"/>
            </w:rPr>
            <w:fldChar w:fldCharType="begin"/>
          </w:r>
          <w:r>
            <w:rPr>
              <w:color w:val="auto"/>
              <w:sz w:val="32"/>
              <w:szCs w:val="32"/>
            </w:rPr>
            <w:instrText xml:space="preserve"> HYPERLINK \l _Toc30493 </w:instrText>
          </w:r>
          <w:r>
            <w:rPr>
              <w:color w:val="auto"/>
              <w:sz w:val="32"/>
              <w:szCs w:val="32"/>
            </w:rPr>
            <w:fldChar w:fldCharType="separate"/>
          </w:r>
          <w:r>
            <w:rPr>
              <w:rFonts w:hint="eastAsia" w:ascii="黑体" w:eastAsia="黑体"/>
              <w:color w:val="auto"/>
              <w:sz w:val="32"/>
              <w:szCs w:val="32"/>
            </w:rPr>
            <w:t>三、改进意见</w:t>
          </w:r>
          <w:r>
            <w:rPr>
              <w:color w:val="auto"/>
              <w:sz w:val="32"/>
              <w:szCs w:val="32"/>
            </w:rPr>
            <w:tab/>
          </w:r>
          <w:r>
            <w:rPr>
              <w:color w:val="auto"/>
              <w:sz w:val="32"/>
              <w:szCs w:val="32"/>
            </w:rPr>
            <w:fldChar w:fldCharType="begin"/>
          </w:r>
          <w:r>
            <w:rPr>
              <w:color w:val="auto"/>
              <w:sz w:val="32"/>
              <w:szCs w:val="32"/>
            </w:rPr>
            <w:instrText xml:space="preserve"> PAGEREF _Toc30493 \h </w:instrText>
          </w:r>
          <w:r>
            <w:rPr>
              <w:color w:val="auto"/>
              <w:sz w:val="32"/>
              <w:szCs w:val="32"/>
            </w:rPr>
            <w:fldChar w:fldCharType="separate"/>
          </w:r>
          <w:r>
            <w:rPr>
              <w:color w:val="auto"/>
              <w:sz w:val="32"/>
              <w:szCs w:val="32"/>
            </w:rPr>
            <w:t xml:space="preserve">- </w:t>
          </w:r>
          <w:r>
            <w:rPr>
              <w:rFonts w:hint="default" w:ascii="Times New Roman" w:hAnsi="Times New Roman" w:cs="Times New Roman"/>
              <w:color w:val="auto"/>
              <w:sz w:val="32"/>
              <w:szCs w:val="32"/>
            </w:rPr>
            <w:t>15</w:t>
          </w:r>
          <w:r>
            <w:rPr>
              <w:color w:val="auto"/>
              <w:sz w:val="32"/>
              <w:szCs w:val="32"/>
            </w:rPr>
            <w:t xml:space="preserve"> -</w:t>
          </w:r>
          <w:r>
            <w:rPr>
              <w:color w:val="auto"/>
              <w:sz w:val="32"/>
              <w:szCs w:val="32"/>
            </w:rPr>
            <w:fldChar w:fldCharType="end"/>
          </w:r>
          <w:r>
            <w:rPr>
              <w:color w:val="auto"/>
              <w:sz w:val="32"/>
              <w:szCs w:val="32"/>
            </w:rPr>
            <w:fldChar w:fldCharType="end"/>
          </w:r>
        </w:p>
        <w:p w14:paraId="16442CE9">
          <w:pPr>
            <w:pStyle w:val="13"/>
            <w:tabs>
              <w:tab w:val="right" w:leader="dot" w:pos="8306"/>
            </w:tabs>
            <w:rPr>
              <w:color w:val="auto"/>
              <w:sz w:val="32"/>
              <w:szCs w:val="32"/>
            </w:rPr>
          </w:pPr>
          <w:r>
            <w:rPr>
              <w:color w:val="auto"/>
              <w:sz w:val="32"/>
              <w:szCs w:val="32"/>
            </w:rPr>
            <w:fldChar w:fldCharType="begin"/>
          </w:r>
          <w:r>
            <w:rPr>
              <w:color w:val="auto"/>
              <w:sz w:val="32"/>
              <w:szCs w:val="32"/>
            </w:rPr>
            <w:instrText xml:space="preserve"> HYPERLINK \l _Toc27627 </w:instrText>
          </w:r>
          <w:r>
            <w:rPr>
              <w:color w:val="auto"/>
              <w:sz w:val="32"/>
              <w:szCs w:val="32"/>
            </w:rPr>
            <w:fldChar w:fldCharType="separate"/>
          </w:r>
          <w:r>
            <w:rPr>
              <w:rFonts w:hint="eastAsia" w:ascii="仿宋_GB2312" w:hAnsi="仿宋_GB2312" w:eastAsia="仿宋_GB2312" w:cs="仿宋_GB2312"/>
              <w:color w:val="auto"/>
              <w:sz w:val="32"/>
              <w:szCs w:val="32"/>
              <w:highlight w:val="none"/>
            </w:rPr>
            <w:t>附件</w:t>
          </w:r>
          <w:r>
            <w:rPr>
              <w:rFonts w:hint="default" w:ascii="Times New Roman" w:hAnsi="Times New Roman" w:eastAsia="仿宋_GB2312" w:cs="Times New Roman"/>
              <w:color w:val="auto"/>
              <w:kern w:val="0"/>
              <w:sz w:val="32"/>
              <w:szCs w:val="32"/>
              <w:highlight w:val="none"/>
              <w:lang w:val="en-US" w:eastAsia="zh-CN"/>
            </w:rPr>
            <w:t>1</w:t>
          </w:r>
          <w:r>
            <w:rPr>
              <w:color w:val="auto"/>
              <w:sz w:val="32"/>
              <w:szCs w:val="32"/>
            </w:rPr>
            <w:tab/>
          </w:r>
          <w:r>
            <w:rPr>
              <w:color w:val="auto"/>
              <w:sz w:val="32"/>
              <w:szCs w:val="32"/>
            </w:rPr>
            <w:fldChar w:fldCharType="begin"/>
          </w:r>
          <w:r>
            <w:rPr>
              <w:color w:val="auto"/>
              <w:sz w:val="32"/>
              <w:szCs w:val="32"/>
            </w:rPr>
            <w:instrText xml:space="preserve"> PAGEREF _Toc27627 \h </w:instrText>
          </w:r>
          <w:r>
            <w:rPr>
              <w:color w:val="auto"/>
              <w:sz w:val="32"/>
              <w:szCs w:val="32"/>
            </w:rPr>
            <w:fldChar w:fldCharType="separate"/>
          </w:r>
          <w:r>
            <w:rPr>
              <w:color w:val="auto"/>
              <w:sz w:val="32"/>
              <w:szCs w:val="32"/>
            </w:rPr>
            <w:t xml:space="preserve">- </w:t>
          </w:r>
          <w:r>
            <w:rPr>
              <w:rFonts w:hint="default" w:ascii="Times New Roman" w:hAnsi="Times New Roman" w:cs="Times New Roman"/>
              <w:color w:val="auto"/>
              <w:sz w:val="32"/>
              <w:szCs w:val="32"/>
            </w:rPr>
            <w:t>18</w:t>
          </w:r>
          <w:r>
            <w:rPr>
              <w:color w:val="auto"/>
              <w:sz w:val="32"/>
              <w:szCs w:val="32"/>
            </w:rPr>
            <w:t xml:space="preserve"> -</w:t>
          </w:r>
          <w:r>
            <w:rPr>
              <w:color w:val="auto"/>
              <w:sz w:val="32"/>
              <w:szCs w:val="32"/>
            </w:rPr>
            <w:fldChar w:fldCharType="end"/>
          </w:r>
          <w:r>
            <w:rPr>
              <w:color w:val="auto"/>
              <w:sz w:val="32"/>
              <w:szCs w:val="32"/>
            </w:rPr>
            <w:fldChar w:fldCharType="end"/>
          </w:r>
        </w:p>
        <w:p w14:paraId="29BE4F8D">
          <w:pPr>
            <w:pStyle w:val="13"/>
            <w:tabs>
              <w:tab w:val="right" w:leader="dot" w:pos="8306"/>
            </w:tabs>
            <w:rPr>
              <w:color w:val="auto"/>
              <w:sz w:val="32"/>
              <w:szCs w:val="32"/>
            </w:rPr>
          </w:pPr>
          <w:r>
            <w:rPr>
              <w:color w:val="auto"/>
              <w:sz w:val="32"/>
              <w:szCs w:val="32"/>
            </w:rPr>
            <w:fldChar w:fldCharType="begin"/>
          </w:r>
          <w:r>
            <w:rPr>
              <w:color w:val="auto"/>
              <w:sz w:val="32"/>
              <w:szCs w:val="32"/>
            </w:rPr>
            <w:instrText xml:space="preserve"> HYPERLINK \l _Toc23075 </w:instrText>
          </w:r>
          <w:r>
            <w:rPr>
              <w:color w:val="auto"/>
              <w:sz w:val="32"/>
              <w:szCs w:val="32"/>
            </w:rPr>
            <w:fldChar w:fldCharType="separate"/>
          </w:r>
          <w:r>
            <w:rPr>
              <w:rFonts w:hint="eastAsia" w:ascii="Times New Roman" w:hAnsi="Times New Roman" w:eastAsia="仿宋_GB2312" w:cs="Times New Roman"/>
              <w:color w:val="auto"/>
              <w:sz w:val="32"/>
              <w:szCs w:val="32"/>
              <w:highlight w:val="none"/>
              <w:lang w:val="en-US" w:eastAsia="zh-CN"/>
            </w:rPr>
            <w:t>附件</w:t>
          </w:r>
          <w:r>
            <w:rPr>
              <w:rFonts w:hint="default" w:ascii="Times New Roman" w:hAnsi="Times New Roman" w:eastAsia="仿宋_GB2312" w:cs="Times New Roman"/>
              <w:color w:val="auto"/>
              <w:sz w:val="32"/>
              <w:szCs w:val="32"/>
              <w:highlight w:val="none"/>
              <w:lang w:val="en-US" w:eastAsia="zh-CN"/>
            </w:rPr>
            <w:t>2</w:t>
          </w:r>
          <w:r>
            <w:rPr>
              <w:color w:val="auto"/>
              <w:sz w:val="32"/>
              <w:szCs w:val="32"/>
            </w:rPr>
            <w:tab/>
          </w:r>
          <w:r>
            <w:rPr>
              <w:color w:val="auto"/>
              <w:sz w:val="32"/>
              <w:szCs w:val="32"/>
            </w:rPr>
            <w:fldChar w:fldCharType="begin"/>
          </w:r>
          <w:r>
            <w:rPr>
              <w:color w:val="auto"/>
              <w:sz w:val="32"/>
              <w:szCs w:val="32"/>
            </w:rPr>
            <w:instrText xml:space="preserve"> PAGEREF _Toc23075 \h </w:instrText>
          </w:r>
          <w:r>
            <w:rPr>
              <w:color w:val="auto"/>
              <w:sz w:val="32"/>
              <w:szCs w:val="32"/>
            </w:rPr>
            <w:fldChar w:fldCharType="separate"/>
          </w:r>
          <w:r>
            <w:rPr>
              <w:color w:val="auto"/>
              <w:sz w:val="32"/>
              <w:szCs w:val="32"/>
            </w:rPr>
            <w:t xml:space="preserve">- </w:t>
          </w:r>
          <w:r>
            <w:rPr>
              <w:rFonts w:hint="default" w:ascii="Times New Roman" w:hAnsi="Times New Roman" w:cs="Times New Roman"/>
              <w:color w:val="auto"/>
              <w:sz w:val="32"/>
              <w:szCs w:val="32"/>
            </w:rPr>
            <w:t>20</w:t>
          </w:r>
          <w:r>
            <w:rPr>
              <w:color w:val="auto"/>
              <w:sz w:val="32"/>
              <w:szCs w:val="32"/>
            </w:rPr>
            <w:t xml:space="preserve"> -</w:t>
          </w:r>
          <w:r>
            <w:rPr>
              <w:color w:val="auto"/>
              <w:sz w:val="32"/>
              <w:szCs w:val="32"/>
            </w:rPr>
            <w:fldChar w:fldCharType="end"/>
          </w:r>
          <w:r>
            <w:rPr>
              <w:color w:val="auto"/>
              <w:sz w:val="32"/>
              <w:szCs w:val="32"/>
            </w:rPr>
            <w:fldChar w:fldCharType="end"/>
          </w:r>
        </w:p>
        <w:p w14:paraId="1175DFA2">
          <w:pPr>
            <w:pStyle w:val="13"/>
            <w:tabs>
              <w:tab w:val="right" w:leader="dot" w:pos="8306"/>
            </w:tabs>
            <w:rPr>
              <w:color w:val="auto"/>
              <w:sz w:val="32"/>
              <w:szCs w:val="32"/>
            </w:rPr>
          </w:pPr>
          <w:r>
            <w:rPr>
              <w:color w:val="auto"/>
              <w:sz w:val="32"/>
              <w:szCs w:val="32"/>
            </w:rPr>
            <w:fldChar w:fldCharType="begin"/>
          </w:r>
          <w:r>
            <w:rPr>
              <w:color w:val="auto"/>
              <w:sz w:val="32"/>
              <w:szCs w:val="32"/>
            </w:rPr>
            <w:instrText xml:space="preserve"> HYPERLINK \l _Toc18750 </w:instrText>
          </w:r>
          <w:r>
            <w:rPr>
              <w:color w:val="auto"/>
              <w:sz w:val="32"/>
              <w:szCs w:val="32"/>
            </w:rPr>
            <w:fldChar w:fldCharType="separate"/>
          </w:r>
          <w:r>
            <w:rPr>
              <w:rFonts w:hint="eastAsia" w:ascii="Times New Roman" w:hAnsi="Times New Roman" w:eastAsia="仿宋_GB2312" w:cs="Times New Roman"/>
              <w:color w:val="auto"/>
              <w:kern w:val="0"/>
              <w:sz w:val="32"/>
              <w:szCs w:val="32"/>
              <w:highlight w:val="none"/>
              <w:lang w:val="en-US" w:eastAsia="zh-CN"/>
            </w:rPr>
            <w:t>附件</w:t>
          </w:r>
          <w:r>
            <w:rPr>
              <w:rFonts w:hint="default" w:ascii="Times New Roman" w:hAnsi="Times New Roman" w:eastAsia="仿宋_GB2312" w:cs="Times New Roman"/>
              <w:color w:val="auto"/>
              <w:kern w:val="0"/>
              <w:sz w:val="32"/>
              <w:szCs w:val="32"/>
              <w:highlight w:val="none"/>
              <w:lang w:val="en-US" w:eastAsia="zh-CN"/>
            </w:rPr>
            <w:t>3</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1</w:t>
          </w:r>
          <w:r>
            <w:rPr>
              <w:color w:val="auto"/>
              <w:sz w:val="32"/>
              <w:szCs w:val="32"/>
            </w:rPr>
            <w:tab/>
          </w:r>
          <w:r>
            <w:rPr>
              <w:color w:val="auto"/>
              <w:sz w:val="32"/>
              <w:szCs w:val="32"/>
            </w:rPr>
            <w:fldChar w:fldCharType="begin"/>
          </w:r>
          <w:r>
            <w:rPr>
              <w:color w:val="auto"/>
              <w:sz w:val="32"/>
              <w:szCs w:val="32"/>
            </w:rPr>
            <w:instrText xml:space="preserve"> PAGEREF _Toc18750 \h </w:instrText>
          </w:r>
          <w:r>
            <w:rPr>
              <w:color w:val="auto"/>
              <w:sz w:val="32"/>
              <w:szCs w:val="32"/>
            </w:rPr>
            <w:fldChar w:fldCharType="separate"/>
          </w:r>
          <w:r>
            <w:rPr>
              <w:color w:val="auto"/>
              <w:sz w:val="32"/>
              <w:szCs w:val="32"/>
            </w:rPr>
            <w:t xml:space="preserve">- </w:t>
          </w:r>
          <w:r>
            <w:rPr>
              <w:rFonts w:hint="default" w:ascii="Times New Roman" w:hAnsi="Times New Roman" w:cs="Times New Roman"/>
              <w:color w:val="auto"/>
              <w:sz w:val="32"/>
              <w:szCs w:val="32"/>
            </w:rPr>
            <w:t>22</w:t>
          </w:r>
          <w:r>
            <w:rPr>
              <w:color w:val="auto"/>
              <w:sz w:val="32"/>
              <w:szCs w:val="32"/>
            </w:rPr>
            <w:t xml:space="preserve"> -</w:t>
          </w:r>
          <w:r>
            <w:rPr>
              <w:color w:val="auto"/>
              <w:sz w:val="32"/>
              <w:szCs w:val="32"/>
            </w:rPr>
            <w:fldChar w:fldCharType="end"/>
          </w:r>
          <w:r>
            <w:rPr>
              <w:color w:val="auto"/>
              <w:sz w:val="32"/>
              <w:szCs w:val="32"/>
            </w:rPr>
            <w:fldChar w:fldCharType="end"/>
          </w:r>
        </w:p>
        <w:p w14:paraId="1325BB0C">
          <w:pPr>
            <w:pStyle w:val="13"/>
            <w:tabs>
              <w:tab w:val="right" w:leader="dot" w:pos="8306"/>
            </w:tabs>
            <w:rPr>
              <w:color w:val="auto"/>
              <w:sz w:val="32"/>
              <w:szCs w:val="32"/>
            </w:rPr>
          </w:pPr>
          <w:r>
            <w:rPr>
              <w:color w:val="auto"/>
              <w:sz w:val="32"/>
              <w:szCs w:val="32"/>
            </w:rPr>
            <w:fldChar w:fldCharType="begin"/>
          </w:r>
          <w:r>
            <w:rPr>
              <w:color w:val="auto"/>
              <w:sz w:val="32"/>
              <w:szCs w:val="32"/>
            </w:rPr>
            <w:instrText xml:space="preserve"> HYPERLINK \l _Toc12180 </w:instrText>
          </w:r>
          <w:r>
            <w:rPr>
              <w:color w:val="auto"/>
              <w:sz w:val="32"/>
              <w:szCs w:val="32"/>
            </w:rPr>
            <w:fldChar w:fldCharType="separate"/>
          </w:r>
          <w:r>
            <w:rPr>
              <w:rFonts w:hint="eastAsia" w:ascii="Times New Roman" w:hAnsi="Times New Roman" w:eastAsia="仿宋_GB2312" w:cs="Times New Roman"/>
              <w:color w:val="auto"/>
              <w:kern w:val="0"/>
              <w:sz w:val="32"/>
              <w:szCs w:val="32"/>
              <w:highlight w:val="none"/>
              <w:lang w:val="en-US" w:eastAsia="zh-CN"/>
            </w:rPr>
            <w:t>附件</w:t>
          </w:r>
          <w:r>
            <w:rPr>
              <w:rFonts w:hint="default" w:ascii="Times New Roman" w:hAnsi="Times New Roman" w:eastAsia="仿宋_GB2312" w:cs="Times New Roman"/>
              <w:color w:val="auto"/>
              <w:kern w:val="0"/>
              <w:sz w:val="32"/>
              <w:szCs w:val="32"/>
              <w:highlight w:val="none"/>
              <w:lang w:val="en-US" w:eastAsia="zh-CN"/>
            </w:rPr>
            <w:t>3</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2</w:t>
          </w:r>
          <w:r>
            <w:rPr>
              <w:color w:val="auto"/>
              <w:sz w:val="32"/>
              <w:szCs w:val="32"/>
            </w:rPr>
            <w:tab/>
          </w:r>
          <w:r>
            <w:rPr>
              <w:color w:val="auto"/>
              <w:sz w:val="32"/>
              <w:szCs w:val="32"/>
            </w:rPr>
            <w:fldChar w:fldCharType="begin"/>
          </w:r>
          <w:r>
            <w:rPr>
              <w:color w:val="auto"/>
              <w:sz w:val="32"/>
              <w:szCs w:val="32"/>
            </w:rPr>
            <w:instrText xml:space="preserve"> PAGEREF _Toc12180 \h </w:instrText>
          </w:r>
          <w:r>
            <w:rPr>
              <w:color w:val="auto"/>
              <w:sz w:val="32"/>
              <w:szCs w:val="32"/>
            </w:rPr>
            <w:fldChar w:fldCharType="separate"/>
          </w:r>
          <w:r>
            <w:rPr>
              <w:color w:val="auto"/>
              <w:sz w:val="32"/>
              <w:szCs w:val="32"/>
            </w:rPr>
            <w:t xml:space="preserve">- </w:t>
          </w:r>
          <w:r>
            <w:rPr>
              <w:rFonts w:hint="default" w:ascii="Times New Roman" w:hAnsi="Times New Roman" w:cs="Times New Roman"/>
              <w:color w:val="auto"/>
              <w:sz w:val="32"/>
              <w:szCs w:val="32"/>
            </w:rPr>
            <w:t>24</w:t>
          </w:r>
          <w:r>
            <w:rPr>
              <w:color w:val="auto"/>
              <w:sz w:val="32"/>
              <w:szCs w:val="32"/>
            </w:rPr>
            <w:t xml:space="preserve"> -</w:t>
          </w:r>
          <w:r>
            <w:rPr>
              <w:color w:val="auto"/>
              <w:sz w:val="32"/>
              <w:szCs w:val="32"/>
            </w:rPr>
            <w:fldChar w:fldCharType="end"/>
          </w:r>
          <w:r>
            <w:rPr>
              <w:color w:val="auto"/>
              <w:sz w:val="32"/>
              <w:szCs w:val="32"/>
            </w:rPr>
            <w:fldChar w:fldCharType="end"/>
          </w:r>
        </w:p>
        <w:p w14:paraId="1327DFE6">
          <w:pPr>
            <w:rPr>
              <w:rFonts w:asciiTheme="minorHAnsi" w:hAnsiTheme="minorHAnsi" w:eastAsiaTheme="minorEastAsia" w:cstheme="minorBidi"/>
              <w:color w:val="auto"/>
              <w:kern w:val="2"/>
              <w:sz w:val="32"/>
              <w:szCs w:val="32"/>
              <w:lang w:val="en-US" w:eastAsia="zh-CN" w:bidi="ar-SA"/>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r>
            <w:rPr>
              <w:color w:val="auto"/>
              <w:sz w:val="32"/>
              <w:szCs w:val="32"/>
            </w:rPr>
            <w:fldChar w:fldCharType="end"/>
          </w:r>
        </w:p>
      </w:sdtContent>
    </w:sdt>
    <w:p w14:paraId="20645440">
      <w:pPr>
        <w:pStyle w:val="45"/>
        <w:pageBreakBefore w:val="0"/>
        <w:kinsoku/>
        <w:wordWrap/>
        <w:overflowPunct/>
        <w:topLinePunct w:val="0"/>
        <w:autoSpaceDE/>
        <w:autoSpaceDN/>
        <w:bidi w:val="0"/>
        <w:adjustRightInd w:val="0"/>
        <w:snapToGrid w:val="0"/>
        <w:spacing w:before="0" w:after="0" w:line="360" w:lineRule="auto"/>
        <w:ind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为检验</w:t>
      </w:r>
      <w:r>
        <w:rPr>
          <w:rFonts w:hint="default" w:ascii="Times New Roman" w:hAnsi="Times New Roman" w:eastAsia="仿宋_GB2312" w:cs="Times New Roman"/>
          <w:color w:val="auto"/>
          <w:kern w:val="0"/>
          <w:sz w:val="32"/>
          <w:szCs w:val="32"/>
          <w:highlight w:val="none"/>
        </w:rPr>
        <w:t>202</w:t>
      </w:r>
      <w:r>
        <w:rPr>
          <w:rFonts w:hint="default" w:ascii="Times New Roman" w:hAnsi="Times New Roman" w:eastAsia="仿宋_GB2312" w:cs="Times New Roman"/>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保障性安居工程</w:t>
      </w:r>
      <w:r>
        <w:rPr>
          <w:rFonts w:hint="eastAsia" w:ascii="仿宋_GB2312" w:hAnsi="仿宋_GB2312" w:eastAsia="仿宋_GB2312" w:cs="仿宋_GB2312"/>
          <w:color w:val="auto"/>
          <w:kern w:val="0"/>
          <w:sz w:val="32"/>
          <w:szCs w:val="32"/>
          <w:highlight w:val="none"/>
          <w:lang w:eastAsia="zh-CN"/>
        </w:rPr>
        <w:t>专项资金</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以下简称</w:t>
      </w:r>
      <w:r>
        <w:rPr>
          <w:rFonts w:hint="eastAsia" w:ascii="仿宋_GB2312" w:hAnsi="仿宋_GB2312" w:eastAsia="仿宋_GB2312" w:cs="仿宋_GB2312"/>
          <w:color w:val="auto"/>
          <w:kern w:val="0"/>
          <w:sz w:val="32"/>
          <w:szCs w:val="32"/>
          <w:highlight w:val="none"/>
        </w:rPr>
        <w:t>专项资金）使用效益，考核绩效目标实现程度、支出效率和综合效果，进一步强化绩效管理，根据《广东省财政厅关于开展</w:t>
      </w:r>
      <w:r>
        <w:rPr>
          <w:rFonts w:hint="default" w:ascii="Times New Roman" w:hAnsi="Times New Roman" w:eastAsia="仿宋_GB2312" w:cs="Times New Roman"/>
          <w:color w:val="auto"/>
          <w:kern w:val="0"/>
          <w:sz w:val="32"/>
          <w:szCs w:val="32"/>
          <w:highlight w:val="none"/>
        </w:rPr>
        <w:t>2025</w:t>
      </w:r>
      <w:r>
        <w:rPr>
          <w:rFonts w:hint="eastAsia" w:ascii="仿宋_GB2312" w:hAnsi="仿宋_GB2312" w:eastAsia="仿宋_GB2312" w:cs="仿宋_GB2312"/>
          <w:color w:val="auto"/>
          <w:kern w:val="0"/>
          <w:sz w:val="32"/>
          <w:szCs w:val="32"/>
          <w:highlight w:val="none"/>
        </w:rPr>
        <w:t>年省级财政资金绩效自评工作的通知》</w:t>
      </w:r>
      <w:r>
        <w:rPr>
          <w:rFonts w:hint="eastAsia" w:ascii="仿宋_GB2312" w:hAnsi="仿宋_GB2312" w:eastAsia="仿宋_GB2312" w:cs="仿宋_GB2312"/>
          <w:color w:val="auto"/>
          <w:kern w:val="0"/>
          <w:sz w:val="32"/>
          <w:szCs w:val="32"/>
          <w:highlight w:val="none"/>
          <w:lang w:eastAsia="zh-CN"/>
        </w:rPr>
        <w:t>，我厅对</w:t>
      </w:r>
      <w:r>
        <w:rPr>
          <w:rFonts w:hint="eastAsia" w:ascii="仿宋_GB2312" w:hAnsi="仿宋_GB2312" w:eastAsia="仿宋_GB2312" w:cs="仿宋_GB2312"/>
          <w:color w:val="auto"/>
          <w:kern w:val="0"/>
          <w:sz w:val="32"/>
          <w:szCs w:val="32"/>
          <w:highlight w:val="none"/>
          <w:lang w:val="en-US" w:eastAsia="zh-CN"/>
        </w:rPr>
        <w:t>专项</w:t>
      </w:r>
      <w:r>
        <w:rPr>
          <w:rFonts w:hint="eastAsia" w:ascii="仿宋_GB2312" w:hAnsi="仿宋_GB2312" w:eastAsia="仿宋_GB2312" w:cs="仿宋_GB2312"/>
          <w:color w:val="auto"/>
          <w:kern w:val="0"/>
          <w:sz w:val="32"/>
          <w:szCs w:val="32"/>
        </w:rPr>
        <w:t>资金</w:t>
      </w:r>
      <w:r>
        <w:rPr>
          <w:rFonts w:hint="eastAsia" w:ascii="仿宋_GB2312" w:hAnsi="仿宋_GB2312" w:eastAsia="仿宋_GB2312" w:cs="仿宋_GB2312"/>
          <w:color w:val="auto"/>
          <w:kern w:val="0"/>
          <w:sz w:val="32"/>
          <w:szCs w:val="32"/>
          <w:highlight w:val="none"/>
          <w:lang w:eastAsia="zh-CN"/>
        </w:rPr>
        <w:t>使用情况组织开展了绩效自评。</w:t>
      </w:r>
    </w:p>
    <w:p w14:paraId="2F01B4E2">
      <w:pPr>
        <w:pStyle w:val="45"/>
        <w:pageBreakBefore w:val="0"/>
        <w:kinsoku/>
        <w:wordWrap/>
        <w:overflowPunct/>
        <w:topLinePunct w:val="0"/>
        <w:autoSpaceDE/>
        <w:autoSpaceDN/>
        <w:bidi w:val="0"/>
        <w:adjustRightInd w:val="0"/>
        <w:snapToGrid w:val="0"/>
        <w:spacing w:before="0" w:after="0" w:line="36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评价基准日为</w:t>
      </w:r>
      <w:r>
        <w:rPr>
          <w:rFonts w:hint="default" w:ascii="Times New Roman" w:hAnsi="Times New Roman" w:eastAsia="仿宋_GB2312" w:cs="Times New Roman"/>
          <w:color w:val="auto"/>
          <w:kern w:val="0"/>
          <w:sz w:val="32"/>
          <w:szCs w:val="32"/>
          <w:highlight w:val="none"/>
        </w:rPr>
        <w:t>202</w:t>
      </w:r>
      <w:r>
        <w:rPr>
          <w:rFonts w:hint="default" w:ascii="Times New Roman" w:hAnsi="Times New Roman" w:eastAsia="仿宋_GB2312" w:cs="Times New Roman"/>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年</w:t>
      </w:r>
      <w:r>
        <w:rPr>
          <w:rFonts w:hint="default" w:ascii="Times New Roman" w:hAnsi="Times New Roman" w:eastAsia="仿宋_GB2312" w:cs="Times New Roman"/>
          <w:color w:val="auto"/>
          <w:kern w:val="0"/>
          <w:sz w:val="32"/>
          <w:szCs w:val="32"/>
          <w:highlight w:val="none"/>
        </w:rPr>
        <w:t>12</w:t>
      </w:r>
      <w:r>
        <w:rPr>
          <w:rFonts w:hint="eastAsia" w:ascii="仿宋_GB2312" w:hAnsi="仿宋_GB2312" w:eastAsia="仿宋_GB2312" w:cs="仿宋_GB2312"/>
          <w:color w:val="auto"/>
          <w:kern w:val="0"/>
          <w:sz w:val="32"/>
          <w:szCs w:val="32"/>
          <w:highlight w:val="none"/>
        </w:rPr>
        <w:t>月</w:t>
      </w:r>
      <w:r>
        <w:rPr>
          <w:rFonts w:hint="default" w:ascii="Times New Roman" w:hAnsi="Times New Roman" w:eastAsia="仿宋_GB2312" w:cs="Times New Roman"/>
          <w:color w:val="auto"/>
          <w:kern w:val="0"/>
          <w:sz w:val="32"/>
          <w:szCs w:val="32"/>
          <w:highlight w:val="none"/>
        </w:rPr>
        <w:t>31</w:t>
      </w:r>
      <w:r>
        <w:rPr>
          <w:rFonts w:hint="eastAsia" w:ascii="仿宋_GB2312" w:hAnsi="仿宋_GB2312" w:eastAsia="仿宋_GB2312" w:cs="仿宋_GB2312"/>
          <w:color w:val="auto"/>
          <w:kern w:val="0"/>
          <w:sz w:val="32"/>
          <w:szCs w:val="32"/>
          <w:highlight w:val="none"/>
        </w:rPr>
        <w:t>日。</w:t>
      </w:r>
    </w:p>
    <w:p w14:paraId="5A32C8B1">
      <w:pPr>
        <w:pageBreakBefore w:val="0"/>
        <w:kinsoku/>
        <w:wordWrap/>
        <w:overflowPunct/>
        <w:topLinePunct w:val="0"/>
        <w:autoSpaceDE/>
        <w:autoSpaceDN/>
        <w:bidi w:val="0"/>
        <w:adjustRightInd w:val="0"/>
        <w:snapToGrid w:val="0"/>
        <w:spacing w:line="360" w:lineRule="auto"/>
        <w:ind w:firstLine="640" w:firstLineChars="200"/>
        <w:textAlignment w:val="auto"/>
        <w:outlineLvl w:val="0"/>
        <w:rPr>
          <w:rFonts w:eastAsia="楷体_GB2312"/>
          <w:b/>
          <w:bCs/>
          <w:color w:val="auto"/>
          <w:sz w:val="32"/>
        </w:rPr>
      </w:pPr>
      <w:bookmarkStart w:id="0" w:name="_Toc20669"/>
      <w:bookmarkStart w:id="1" w:name="_Toc9903"/>
      <w:bookmarkStart w:id="2" w:name="_Toc4077"/>
      <w:r>
        <w:rPr>
          <w:rFonts w:hint="eastAsia" w:ascii="黑体" w:hAnsi="黑体" w:eastAsia="黑体" w:cs="黑体"/>
          <w:color w:val="auto"/>
          <w:sz w:val="32"/>
          <w:szCs w:val="32"/>
        </w:rPr>
        <w:t>一、基本情况</w:t>
      </w:r>
      <w:bookmarkEnd w:id="0"/>
      <w:bookmarkEnd w:id="1"/>
      <w:bookmarkEnd w:id="2"/>
      <w:bookmarkStart w:id="3" w:name="_Toc62248802"/>
    </w:p>
    <w:p w14:paraId="5F55031F">
      <w:pPr>
        <w:widowControl/>
        <w:snapToGrid w:val="0"/>
        <w:spacing w:line="360" w:lineRule="auto"/>
        <w:ind w:firstLine="643" w:firstLineChars="200"/>
        <w:outlineLvl w:val="1"/>
        <w:rPr>
          <w:rFonts w:hint="eastAsia" w:ascii="楷体_GB2312" w:hAnsi="楷体_GB2312" w:eastAsia="楷体_GB2312" w:cs="楷体_GB2312"/>
          <w:b/>
          <w:bCs/>
          <w:color w:val="auto"/>
          <w:sz w:val="32"/>
          <w:szCs w:val="32"/>
          <w:lang w:bidi="ar"/>
        </w:rPr>
      </w:pPr>
      <w:bookmarkStart w:id="4" w:name="_Toc15195"/>
      <w:bookmarkStart w:id="5" w:name="_Toc29650"/>
      <w:bookmarkStart w:id="6" w:name="_Toc512491956"/>
      <w:bookmarkStart w:id="7" w:name="_Toc14529"/>
      <w:bookmarkStart w:id="8" w:name="_Toc17255"/>
      <w:bookmarkStart w:id="9" w:name="_Toc11032"/>
      <w:r>
        <w:rPr>
          <w:rFonts w:hint="eastAsia" w:ascii="Times New Roman" w:hAnsi="Times New Roman" w:eastAsia="楷体_GB2312" w:cs="仿宋"/>
          <w:b/>
          <w:bCs/>
          <w:color w:val="auto"/>
          <w:kern w:val="0"/>
          <w:sz w:val="32"/>
          <w:szCs w:val="32"/>
        </w:rPr>
        <w:t>（</w:t>
      </w:r>
      <w:r>
        <w:rPr>
          <w:rFonts w:hint="eastAsia" w:ascii="Times New Roman" w:hAnsi="Times New Roman" w:eastAsia="楷体_GB2312" w:cs="仿宋"/>
          <w:b/>
          <w:bCs/>
          <w:color w:val="auto"/>
          <w:kern w:val="0"/>
          <w:sz w:val="32"/>
          <w:szCs w:val="32"/>
          <w:lang w:eastAsia="zh-CN"/>
        </w:rPr>
        <w:t>一</w:t>
      </w:r>
      <w:r>
        <w:rPr>
          <w:rFonts w:hint="eastAsia" w:ascii="Times New Roman" w:hAnsi="Times New Roman" w:eastAsia="楷体_GB2312" w:cs="仿宋"/>
          <w:b/>
          <w:bCs/>
          <w:color w:val="auto"/>
          <w:kern w:val="0"/>
          <w:sz w:val="32"/>
          <w:szCs w:val="32"/>
        </w:rPr>
        <w:t>）</w:t>
      </w:r>
      <w:bookmarkEnd w:id="4"/>
      <w:bookmarkEnd w:id="5"/>
      <w:bookmarkEnd w:id="6"/>
      <w:bookmarkEnd w:id="7"/>
      <w:r>
        <w:rPr>
          <w:rFonts w:hint="eastAsia" w:ascii="楷体_GB2312" w:hAnsi="楷体_GB2312" w:eastAsia="楷体_GB2312" w:cs="楷体_GB2312"/>
          <w:b/>
          <w:bCs/>
          <w:color w:val="auto"/>
          <w:sz w:val="32"/>
          <w:szCs w:val="32"/>
          <w:lang w:bidi="ar"/>
        </w:rPr>
        <w:t>资金安排情况</w:t>
      </w:r>
      <w:bookmarkEnd w:id="8"/>
    </w:p>
    <w:p w14:paraId="75B86918">
      <w:pPr>
        <w:pStyle w:val="17"/>
        <w:keepNext w:val="0"/>
        <w:keepLines w:val="0"/>
        <w:pageBreakBefore w:val="0"/>
        <w:widowControl/>
        <w:suppressLineNumbers w:val="0"/>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color w:val="auto"/>
          <w:kern w:val="0"/>
          <w:sz w:val="32"/>
          <w:szCs w:val="32"/>
          <w:lang w:val="en-US" w:eastAsia="zh-CN"/>
        </w:rPr>
      </w:pPr>
      <w:bookmarkStart w:id="10" w:name="_Toc14411"/>
      <w:r>
        <w:rPr>
          <w:rFonts w:hint="eastAsia" w:ascii="仿宋_GB2312" w:hAnsi="仿宋_GB2312" w:eastAsia="仿宋_GB2312" w:cs="仿宋_GB2312"/>
          <w:color w:val="auto"/>
          <w:sz w:val="32"/>
          <w:szCs w:val="32"/>
          <w:lang w:bidi="ar"/>
        </w:rPr>
        <w:t>保障性安居工程是一项重大的民生工程，关系经济社会发展全局，惠及广大人民群众。为贯彻落实党中央、国务院决策部署，根据</w:t>
      </w:r>
      <w:r>
        <w:rPr>
          <w:rFonts w:hint="default" w:ascii="仿宋_GB2312" w:hAnsi="仿宋_GB2312" w:eastAsia="仿宋_GB2312" w:cs="仿宋_GB2312"/>
          <w:color w:val="auto"/>
          <w:kern w:val="0"/>
          <w:sz w:val="32"/>
          <w:szCs w:val="32"/>
          <w:highlight w:val="none"/>
          <w:lang w:val="en-US" w:eastAsia="zh-CN"/>
        </w:rPr>
        <w:t>《关于加快发展保障性租赁住房的实施意见》（粤府办〔</w:t>
      </w:r>
      <w:r>
        <w:rPr>
          <w:rFonts w:hint="default" w:ascii="Times New Roman" w:hAnsi="Times New Roman" w:eastAsia="仿宋_GB2312" w:cs="Times New Roman"/>
          <w:color w:val="auto"/>
          <w:kern w:val="0"/>
          <w:sz w:val="32"/>
          <w:szCs w:val="32"/>
          <w:highlight w:val="none"/>
          <w:lang w:val="en-US" w:eastAsia="zh-CN"/>
        </w:rPr>
        <w:t>2021</w:t>
      </w:r>
      <w:r>
        <w:rPr>
          <w:rFonts w:hint="default" w:ascii="仿宋_GB2312" w:hAnsi="仿宋_GB2312" w:eastAsia="仿宋_GB2312" w:cs="仿宋_GB2312"/>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39</w:t>
      </w:r>
      <w:r>
        <w:rPr>
          <w:rFonts w:hint="default" w:ascii="仿宋_GB2312" w:hAnsi="仿宋_GB2312" w:eastAsia="仿宋_GB2312" w:cs="仿宋_GB2312"/>
          <w:color w:val="auto"/>
          <w:kern w:val="0"/>
          <w:sz w:val="32"/>
          <w:szCs w:val="32"/>
          <w:highlight w:val="none"/>
          <w:lang w:val="en-US" w:eastAsia="zh-CN"/>
        </w:rPr>
        <w:t>号）</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《广东省住房和城乡建设厅 广东省发展和改革委员会 广东省财政厅 广东省人民政府国有资产监督管理委员会关于印发</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广东省城市危旧房摸底调查工作方案</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的通知》（粤建保〔</w:t>
      </w:r>
      <w:r>
        <w:rPr>
          <w:rFonts w:hint="default" w:ascii="Times New Roman" w:hAnsi="Times New Roman" w:eastAsia="仿宋_GB2312" w:cs="Times New Roman"/>
          <w:color w:val="auto"/>
          <w:kern w:val="0"/>
          <w:sz w:val="32"/>
          <w:szCs w:val="32"/>
          <w:highlight w:val="none"/>
          <w:lang w:val="en-US" w:eastAsia="zh-CN"/>
        </w:rPr>
        <w:t>2023</w:t>
      </w:r>
      <w:r>
        <w:rPr>
          <w:rFonts w:hint="default" w:ascii="仿宋_GB2312" w:hAnsi="仿宋_GB2312" w:eastAsia="仿宋_GB2312" w:cs="仿宋_GB2312"/>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114</w:t>
      </w:r>
      <w:r>
        <w:rPr>
          <w:rFonts w:hint="default" w:ascii="仿宋_GB2312" w:hAnsi="仿宋_GB2312" w:eastAsia="仿宋_GB2312" w:cs="仿宋_GB2312"/>
          <w:color w:val="auto"/>
          <w:kern w:val="0"/>
          <w:sz w:val="32"/>
          <w:szCs w:val="32"/>
          <w:highlight w:val="none"/>
          <w:lang w:val="en-US" w:eastAsia="zh-CN"/>
        </w:rPr>
        <w:t>号）</w:t>
      </w:r>
      <w:r>
        <w:rPr>
          <w:rFonts w:hint="eastAsia" w:ascii="仿宋_GB2312" w:hAnsi="仿宋_GB2312" w:eastAsia="仿宋_GB2312" w:cs="仿宋_GB2312"/>
          <w:color w:val="auto"/>
          <w:kern w:val="0"/>
          <w:sz w:val="32"/>
          <w:szCs w:val="32"/>
          <w:highlight w:val="none"/>
          <w:lang w:val="en-US" w:eastAsia="zh-CN"/>
        </w:rPr>
        <w:t>、</w:t>
      </w:r>
      <w:r>
        <w:rPr>
          <w:rFonts w:hint="default" w:ascii="Times New Roman" w:hAnsi="Times New Roman" w:eastAsia="仿宋_GB2312" w:cs="Times New Roman"/>
          <w:color w:val="auto"/>
          <w:sz w:val="32"/>
          <w:szCs w:val="32"/>
        </w:rPr>
        <w:t>《广东省自建房安全专项整治工作实施方案》（粤府办明电〔2022〕13号）</w:t>
      </w:r>
      <w:r>
        <w:rPr>
          <w:rFonts w:hint="eastAsia" w:ascii="仿宋_GB2312" w:hAnsi="仿宋_GB2312" w:eastAsia="仿宋_GB2312" w:cs="仿宋_GB2312"/>
          <w:color w:val="auto"/>
          <w:kern w:val="0"/>
          <w:sz w:val="32"/>
          <w:szCs w:val="32"/>
          <w:highlight w:val="none"/>
          <w:lang w:val="en-US" w:eastAsia="zh-CN"/>
        </w:rPr>
        <w:t>等</w:t>
      </w:r>
      <w:r>
        <w:rPr>
          <w:rFonts w:hint="eastAsia" w:ascii="仿宋_GB2312" w:hAnsi="仿宋_GB2312" w:eastAsia="仿宋_GB2312" w:cs="仿宋_GB2312"/>
          <w:color w:val="auto"/>
          <w:sz w:val="32"/>
          <w:szCs w:val="32"/>
          <w:lang w:bidi="ar"/>
        </w:rPr>
        <w:t>文件精神和工作要求，</w:t>
      </w:r>
      <w:r>
        <w:rPr>
          <w:rFonts w:hint="default" w:ascii="Times New Roman" w:hAnsi="Times New Roman" w:eastAsia="仿宋_GB2312" w:cs="Times New Roman"/>
          <w:color w:val="auto"/>
          <w:sz w:val="32"/>
          <w:szCs w:val="32"/>
          <w:lang w:bidi="ar"/>
        </w:rPr>
        <w:t>202</w:t>
      </w:r>
      <w:r>
        <w:rPr>
          <w:rFonts w:hint="default" w:ascii="Times New Roman" w:hAnsi="Times New Roman" w:eastAsia="仿宋_GB2312" w:cs="Times New Roman"/>
          <w:color w:val="auto"/>
          <w:sz w:val="32"/>
          <w:szCs w:val="32"/>
          <w:lang w:val="en-US" w:eastAsia="zh-CN" w:bidi="ar"/>
        </w:rPr>
        <w:t>4</w:t>
      </w:r>
      <w:r>
        <w:rPr>
          <w:rFonts w:hint="eastAsia" w:ascii="仿宋_GB2312" w:hAnsi="仿宋_GB2312" w:eastAsia="仿宋_GB2312" w:cs="仿宋_GB2312"/>
          <w:color w:val="auto"/>
          <w:sz w:val="32"/>
          <w:szCs w:val="32"/>
          <w:lang w:bidi="ar"/>
        </w:rPr>
        <w:t>年省财政共安排专项资金</w:t>
      </w:r>
      <w:r>
        <w:rPr>
          <w:rFonts w:hint="default" w:ascii="Times New Roman" w:hAnsi="Times New Roman" w:eastAsia="仿宋_GB2312" w:cs="Times New Roman"/>
          <w:color w:val="auto"/>
          <w:kern w:val="0"/>
          <w:sz w:val="32"/>
          <w:szCs w:val="32"/>
          <w:highlight w:val="none"/>
          <w:lang w:val="en-US" w:eastAsia="zh-CN"/>
        </w:rPr>
        <w:t>54</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635</w:t>
      </w:r>
      <w:r>
        <w:rPr>
          <w:rFonts w:hint="eastAsia" w:ascii="Times New Roman" w:hAnsi="Times New Roman" w:eastAsia="仿宋_GB2312" w:cs="Times New Roman"/>
          <w:color w:val="auto"/>
          <w:sz w:val="32"/>
          <w:szCs w:val="32"/>
          <w:lang w:val="en-US" w:eastAsia="zh-CN" w:bidi="ar"/>
        </w:rPr>
        <w:t>万</w:t>
      </w:r>
      <w:r>
        <w:rPr>
          <w:rFonts w:hint="eastAsia" w:ascii="仿宋_GB2312" w:hAnsi="仿宋_GB2312" w:eastAsia="仿宋_GB2312" w:cs="仿宋_GB2312"/>
          <w:color w:val="auto"/>
          <w:sz w:val="32"/>
          <w:szCs w:val="32"/>
          <w:lang w:bidi="ar"/>
        </w:rPr>
        <w:t>元</w:t>
      </w:r>
      <w:r>
        <w:rPr>
          <w:rFonts w:hint="eastAsia" w:ascii="仿宋_GB2312" w:hAnsi="仿宋_GB2312" w:eastAsia="仿宋_GB2312" w:cs="仿宋_GB2312"/>
          <w:color w:val="auto"/>
          <w:kern w:val="0"/>
          <w:sz w:val="32"/>
          <w:szCs w:val="32"/>
        </w:rPr>
        <w:t>用于支持我省</w:t>
      </w:r>
      <w:r>
        <w:rPr>
          <w:rFonts w:hint="default" w:ascii="Times New Roman" w:hAnsi="Times New Roman" w:eastAsia="仿宋_GB2312" w:cs="Times New Roman"/>
          <w:color w:val="auto"/>
          <w:kern w:val="0"/>
          <w:sz w:val="32"/>
          <w:szCs w:val="32"/>
        </w:rPr>
        <w:t>2024</w:t>
      </w:r>
      <w:r>
        <w:rPr>
          <w:rFonts w:hint="eastAsia" w:ascii="仿宋_GB2312" w:hAnsi="仿宋_GB2312" w:eastAsia="仿宋_GB2312" w:cs="仿宋_GB2312"/>
          <w:color w:val="auto"/>
          <w:kern w:val="0"/>
          <w:sz w:val="32"/>
          <w:szCs w:val="32"/>
        </w:rPr>
        <w:t>年开展保障性安居工程、危旧房改造</w:t>
      </w:r>
      <w:r>
        <w:rPr>
          <w:rFonts w:hint="eastAsia" w:ascii="仿宋_GB2312" w:hAnsi="仿宋_GB2312" w:eastAsia="仿宋_GB2312" w:cs="仿宋_GB2312"/>
          <w:color w:val="auto"/>
          <w:kern w:val="0"/>
          <w:sz w:val="32"/>
          <w:szCs w:val="32"/>
          <w:lang w:eastAsia="zh-CN"/>
        </w:rPr>
        <w:t>、</w:t>
      </w:r>
      <w:r>
        <w:rPr>
          <w:rFonts w:hint="default" w:ascii="Times New Roman" w:hAnsi="Times New Roman" w:eastAsia="仿宋_GB2312" w:cs="Times New Roman"/>
          <w:color w:val="auto"/>
          <w:sz w:val="32"/>
          <w:szCs w:val="32"/>
          <w:lang w:val="en-US" w:eastAsia="zh-CN"/>
        </w:rPr>
        <w:t>自建房安全专项整治</w:t>
      </w:r>
      <w:r>
        <w:rPr>
          <w:rFonts w:hint="eastAsia" w:ascii="仿宋_GB2312" w:hAnsi="仿宋_GB2312" w:eastAsia="仿宋_GB2312" w:cs="仿宋_GB2312"/>
          <w:color w:val="auto"/>
          <w:kern w:val="0"/>
          <w:sz w:val="32"/>
          <w:szCs w:val="32"/>
        </w:rPr>
        <w:t>等相关工作</w:t>
      </w:r>
      <w:r>
        <w:rPr>
          <w:rFonts w:hint="eastAsia" w:ascii="仿宋_GB2312" w:hAnsi="仿宋_GB2312" w:eastAsia="仿宋_GB2312" w:cs="仿宋_GB2312"/>
          <w:color w:val="auto"/>
          <w:kern w:val="0"/>
          <w:sz w:val="32"/>
          <w:szCs w:val="32"/>
          <w:lang w:val="en-US" w:eastAsia="zh-CN"/>
        </w:rPr>
        <w:t>,其中转移支付至市县</w:t>
      </w:r>
      <w:r>
        <w:rPr>
          <w:rFonts w:hint="default" w:ascii="Times New Roman" w:hAnsi="Times New Roman" w:eastAsia="仿宋_GB2312" w:cs="Times New Roman"/>
          <w:color w:val="auto"/>
          <w:kern w:val="0"/>
          <w:sz w:val="32"/>
          <w:szCs w:val="32"/>
          <w:lang w:val="en-US" w:eastAsia="zh-CN"/>
        </w:rPr>
        <w:t>52,395</w:t>
      </w:r>
      <w:r>
        <w:rPr>
          <w:rFonts w:hint="eastAsia" w:ascii="Times New Roman" w:hAnsi="Times New Roman" w:eastAsia="仿宋_GB2312" w:cs="Times New Roman"/>
          <w:color w:val="auto"/>
          <w:kern w:val="0"/>
          <w:sz w:val="32"/>
          <w:szCs w:val="32"/>
          <w:lang w:val="en-US" w:eastAsia="zh-CN"/>
        </w:rPr>
        <w:t>万</w:t>
      </w:r>
      <w:r>
        <w:rPr>
          <w:rFonts w:hint="eastAsia" w:ascii="仿宋_GB2312" w:hAnsi="仿宋_GB2312" w:eastAsia="仿宋_GB2312" w:cs="仿宋_GB2312"/>
          <w:color w:val="auto"/>
          <w:kern w:val="0"/>
          <w:sz w:val="32"/>
          <w:szCs w:val="32"/>
          <w:lang w:val="en-US" w:eastAsia="zh-CN"/>
        </w:rPr>
        <w:t>元、省级工作经费</w:t>
      </w:r>
      <w:r>
        <w:rPr>
          <w:rFonts w:hint="default" w:ascii="Times New Roman" w:hAnsi="Times New Roman" w:eastAsia="仿宋_GB2312" w:cs="Times New Roman"/>
          <w:color w:val="auto"/>
          <w:kern w:val="0"/>
          <w:sz w:val="32"/>
          <w:szCs w:val="32"/>
          <w:lang w:val="en-US" w:eastAsia="zh-CN"/>
        </w:rPr>
        <w:t>890</w:t>
      </w:r>
      <w:r>
        <w:rPr>
          <w:rFonts w:hint="eastAsia" w:ascii="仿宋_GB2312" w:hAnsi="仿宋_GB2312" w:eastAsia="仿宋_GB2312" w:cs="仿宋_GB2312"/>
          <w:color w:val="auto"/>
          <w:kern w:val="0"/>
          <w:sz w:val="32"/>
          <w:szCs w:val="32"/>
          <w:lang w:val="en-US" w:eastAsia="zh-CN"/>
        </w:rPr>
        <w:t>万元，被省财政收回</w:t>
      </w:r>
      <w:r>
        <w:rPr>
          <w:rFonts w:hint="eastAsia" w:ascii="仿宋_GB2312" w:hAnsi="仿宋_GB2312" w:eastAsia="仿宋_GB2312" w:cs="仿宋_GB2312"/>
          <w:strike w:val="0"/>
          <w:dstrike w:val="0"/>
          <w:color w:val="auto"/>
          <w:kern w:val="0"/>
          <w:sz w:val="32"/>
          <w:szCs w:val="32"/>
          <w:lang w:val="en-US" w:eastAsia="zh-CN"/>
        </w:rPr>
        <w:t>“数字住建”提质增效项目（一期）重点信息化建设</w:t>
      </w:r>
      <w:r>
        <w:rPr>
          <w:rFonts w:hint="default" w:ascii="Times New Roman" w:hAnsi="Times New Roman" w:eastAsia="仿宋_GB2312" w:cs="Times New Roman"/>
          <w:strike w:val="0"/>
          <w:dstrike w:val="0"/>
          <w:color w:val="auto"/>
          <w:kern w:val="0"/>
          <w:sz w:val="32"/>
          <w:szCs w:val="32"/>
          <w:lang w:val="en-US" w:eastAsia="zh-CN"/>
        </w:rPr>
        <w:t>1</w:t>
      </w:r>
      <w:r>
        <w:rPr>
          <w:rFonts w:hint="eastAsia" w:ascii="Times New Roman" w:hAnsi="Times New Roman" w:eastAsia="仿宋_GB2312" w:cs="Times New Roman"/>
          <w:strike w:val="0"/>
          <w:dstrike w:val="0"/>
          <w:color w:val="auto"/>
          <w:kern w:val="0"/>
          <w:sz w:val="32"/>
          <w:szCs w:val="32"/>
          <w:lang w:val="en-US" w:eastAsia="zh-CN"/>
        </w:rPr>
        <w:t>,</w:t>
      </w:r>
      <w:r>
        <w:rPr>
          <w:rFonts w:hint="default" w:ascii="Times New Roman" w:hAnsi="Times New Roman" w:eastAsia="仿宋_GB2312" w:cs="Times New Roman"/>
          <w:strike w:val="0"/>
          <w:dstrike w:val="0"/>
          <w:color w:val="auto"/>
          <w:kern w:val="0"/>
          <w:sz w:val="32"/>
          <w:szCs w:val="32"/>
          <w:lang w:val="en-US" w:eastAsia="zh-CN"/>
        </w:rPr>
        <w:t>350</w:t>
      </w:r>
      <w:r>
        <w:rPr>
          <w:rFonts w:hint="eastAsia" w:ascii="Times New Roman" w:hAnsi="Times New Roman" w:eastAsia="仿宋_GB2312" w:cs="Times New Roman"/>
          <w:strike w:val="0"/>
          <w:dstrike w:val="0"/>
          <w:color w:val="auto"/>
          <w:kern w:val="0"/>
          <w:sz w:val="32"/>
          <w:szCs w:val="32"/>
          <w:lang w:val="en-US" w:eastAsia="zh-CN"/>
        </w:rPr>
        <w:t>万</w:t>
      </w:r>
      <w:r>
        <w:rPr>
          <w:rFonts w:hint="eastAsia" w:ascii="仿宋_GB2312" w:hAnsi="仿宋_GB2312" w:eastAsia="仿宋_GB2312" w:cs="仿宋_GB2312"/>
          <w:strike w:val="0"/>
          <w:dstrike w:val="0"/>
          <w:color w:val="auto"/>
          <w:kern w:val="0"/>
          <w:sz w:val="32"/>
          <w:szCs w:val="32"/>
          <w:lang w:val="en-US" w:eastAsia="zh-CN"/>
        </w:rPr>
        <w:t>元（《广东省财政厅关于收回部分项目资金的通知》（粤财预〔</w:t>
      </w:r>
      <w:r>
        <w:rPr>
          <w:rFonts w:hint="default" w:ascii="Times New Roman" w:hAnsi="Times New Roman" w:eastAsia="仿宋_GB2312" w:cs="Times New Roman"/>
          <w:strike w:val="0"/>
          <w:dstrike w:val="0"/>
          <w:color w:val="auto"/>
          <w:kern w:val="0"/>
          <w:sz w:val="32"/>
          <w:szCs w:val="32"/>
          <w:lang w:val="en-US" w:eastAsia="zh-CN"/>
        </w:rPr>
        <w:t>2024</w:t>
      </w:r>
      <w:r>
        <w:rPr>
          <w:rFonts w:hint="eastAsia" w:ascii="仿宋_GB2312" w:hAnsi="仿宋_GB2312" w:eastAsia="仿宋_GB2312" w:cs="仿宋_GB2312"/>
          <w:strike w:val="0"/>
          <w:dstrike w:val="0"/>
          <w:color w:val="auto"/>
          <w:kern w:val="0"/>
          <w:sz w:val="32"/>
          <w:szCs w:val="32"/>
          <w:lang w:val="en-US" w:eastAsia="zh-CN"/>
        </w:rPr>
        <w:t>〕</w:t>
      </w:r>
      <w:r>
        <w:rPr>
          <w:rFonts w:hint="default" w:ascii="Times New Roman" w:hAnsi="Times New Roman" w:eastAsia="仿宋_GB2312" w:cs="Times New Roman"/>
          <w:strike w:val="0"/>
          <w:dstrike w:val="0"/>
          <w:color w:val="auto"/>
          <w:kern w:val="0"/>
          <w:sz w:val="32"/>
          <w:szCs w:val="32"/>
          <w:lang w:val="en-US" w:eastAsia="zh-CN"/>
        </w:rPr>
        <w:t>7</w:t>
      </w:r>
      <w:r>
        <w:rPr>
          <w:rFonts w:hint="eastAsia" w:ascii="仿宋_GB2312" w:hAnsi="仿宋_GB2312" w:eastAsia="仿宋_GB2312" w:cs="仿宋_GB2312"/>
          <w:strike w:val="0"/>
          <w:dstrike w:val="0"/>
          <w:color w:val="auto"/>
          <w:kern w:val="0"/>
          <w:sz w:val="32"/>
          <w:szCs w:val="32"/>
          <w:lang w:val="en-US" w:eastAsia="zh-CN"/>
        </w:rPr>
        <w:t>号）</w:t>
      </w:r>
      <w:bookmarkEnd w:id="10"/>
      <w:r>
        <w:rPr>
          <w:rFonts w:hint="eastAsia" w:ascii="仿宋_GB2312" w:hAnsi="仿宋_GB2312" w:eastAsia="仿宋_GB2312" w:cs="仿宋_GB2312"/>
          <w:strike w:val="0"/>
          <w:dstrike w:val="0"/>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扣除被收回的预算资金，</w:t>
      </w:r>
      <w:r>
        <w:rPr>
          <w:rFonts w:hint="default" w:ascii="Times New Roman" w:hAnsi="Times New Roman" w:eastAsia="仿宋_GB2312" w:cs="Times New Roman"/>
          <w:color w:val="auto"/>
          <w:kern w:val="0"/>
          <w:sz w:val="32"/>
          <w:szCs w:val="32"/>
          <w:lang w:val="en-US" w:eastAsia="zh-CN"/>
        </w:rPr>
        <w:t>2024</w:t>
      </w:r>
      <w:r>
        <w:rPr>
          <w:rFonts w:hint="eastAsia" w:ascii="仿宋_GB2312" w:hAnsi="仿宋_GB2312" w:eastAsia="仿宋_GB2312" w:cs="仿宋_GB2312"/>
          <w:color w:val="auto"/>
          <w:kern w:val="0"/>
          <w:sz w:val="32"/>
          <w:szCs w:val="32"/>
          <w:lang w:val="en-US" w:eastAsia="zh-CN"/>
        </w:rPr>
        <w:t>年实际安排专项资金</w:t>
      </w:r>
      <w:r>
        <w:rPr>
          <w:rFonts w:hint="eastAsia" w:ascii="仿宋_GB2312" w:hAnsi="仿宋_GB2312" w:eastAsia="仿宋_GB2312" w:cs="仿宋_GB2312"/>
          <w:color w:val="auto"/>
          <w:kern w:val="0"/>
          <w:sz w:val="32"/>
          <w:szCs w:val="32"/>
          <w:highlight w:val="none"/>
          <w:lang w:val="en-US" w:eastAsia="zh-CN"/>
        </w:rPr>
        <w:t>为</w:t>
      </w:r>
      <w:r>
        <w:rPr>
          <w:rFonts w:hint="default" w:ascii="Times New Roman" w:hAnsi="Times New Roman" w:eastAsia="仿宋_GB2312" w:cs="Times New Roman"/>
          <w:color w:val="auto"/>
          <w:kern w:val="0"/>
          <w:sz w:val="32"/>
          <w:szCs w:val="32"/>
          <w:highlight w:val="none"/>
          <w:lang w:val="en-US" w:eastAsia="zh-CN"/>
        </w:rPr>
        <w:t>53</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285</w:t>
      </w:r>
      <w:r>
        <w:rPr>
          <w:rFonts w:hint="eastAsia" w:ascii="Times New Roman" w:hAnsi="Times New Roman" w:eastAsia="仿宋_GB2312" w:cs="Times New Roman"/>
          <w:color w:val="auto"/>
          <w:kern w:val="0"/>
          <w:sz w:val="32"/>
          <w:szCs w:val="32"/>
          <w:highlight w:val="none"/>
          <w:lang w:val="en-US" w:eastAsia="zh-CN"/>
        </w:rPr>
        <w:t>万</w:t>
      </w:r>
      <w:r>
        <w:rPr>
          <w:rFonts w:hint="eastAsia" w:ascii="仿宋_GB2312" w:hAnsi="仿宋_GB2312" w:eastAsia="仿宋_GB2312" w:cs="仿宋_GB2312"/>
          <w:color w:val="auto"/>
          <w:kern w:val="0"/>
          <w:sz w:val="32"/>
          <w:szCs w:val="32"/>
          <w:highlight w:val="none"/>
          <w:lang w:val="en-US" w:eastAsia="zh-CN"/>
        </w:rPr>
        <w:t>元。</w:t>
      </w:r>
    </w:p>
    <w:p w14:paraId="2E67CFC4">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firstLine="643" w:firstLineChars="200"/>
        <w:jc w:val="both"/>
        <w:textAlignment w:val="auto"/>
        <w:outlineLvl w:val="1"/>
        <w:rPr>
          <w:rFonts w:hint="eastAsia" w:ascii="楷体_GB2312" w:hAnsi="楷体_GB2312" w:eastAsia="楷体_GB2312" w:cs="楷体_GB2312"/>
          <w:b/>
          <w:bCs/>
          <w:color w:val="auto"/>
          <w:sz w:val="32"/>
          <w:szCs w:val="32"/>
        </w:rPr>
      </w:pPr>
      <w:bookmarkStart w:id="11" w:name="_Toc2459"/>
      <w:bookmarkStart w:id="12" w:name="_Toc7675"/>
      <w:bookmarkStart w:id="13" w:name="_Toc7470"/>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资金分配方式</w:t>
      </w:r>
      <w:bookmarkEnd w:id="11"/>
      <w:bookmarkEnd w:id="12"/>
      <w:bookmarkEnd w:id="13"/>
    </w:p>
    <w:p w14:paraId="3F2241C7">
      <w:pPr>
        <w:pStyle w:val="17"/>
        <w:keepNext w:val="0"/>
        <w:keepLines w:val="0"/>
        <w:pageBreakBefore w:val="0"/>
        <w:widowControl/>
        <w:suppressLineNumbers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eastAsia="仿宋_GB2312"/>
          <w:color w:val="auto"/>
          <w:sz w:val="32"/>
          <w:szCs w:val="32"/>
          <w:lang w:eastAsia="zh-CN"/>
        </w:rPr>
      </w:pPr>
      <w:r>
        <w:rPr>
          <w:rFonts w:hint="eastAsia" w:ascii="仿宋_GB2312" w:hAnsi="仿宋_GB2312" w:eastAsia="仿宋_GB2312" w:cs="仿宋_GB2312"/>
          <w:color w:val="auto"/>
          <w:kern w:val="0"/>
          <w:sz w:val="32"/>
          <w:szCs w:val="32"/>
          <w:highlight w:val="none"/>
          <w:lang w:val="en-US" w:eastAsia="zh-CN"/>
        </w:rPr>
        <w:t>我厅根据</w:t>
      </w:r>
      <w:r>
        <w:rPr>
          <w:rFonts w:hint="default" w:ascii="Times New Roman" w:hAnsi="Times New Roman" w:eastAsia="仿宋_GB2312" w:cs="Times New Roman"/>
          <w:color w:val="auto"/>
          <w:kern w:val="0"/>
          <w:sz w:val="32"/>
          <w:szCs w:val="32"/>
          <w:highlight w:val="none"/>
          <w:lang w:val="en-US" w:eastAsia="zh-CN"/>
        </w:rPr>
        <w:t>2024</w:t>
      </w:r>
      <w:r>
        <w:rPr>
          <w:rFonts w:hint="eastAsia" w:ascii="仿宋_GB2312" w:hAnsi="仿宋_GB2312" w:eastAsia="仿宋_GB2312" w:cs="仿宋_GB2312"/>
          <w:color w:val="auto"/>
          <w:kern w:val="0"/>
          <w:sz w:val="32"/>
          <w:szCs w:val="32"/>
          <w:highlight w:val="none"/>
          <w:lang w:val="en-US" w:eastAsia="zh-CN"/>
        </w:rPr>
        <w:t>年全省保障性安居工程省级专项资金总盘子和各市申报的计划任务，采用因素法与</w:t>
      </w:r>
      <w:r>
        <w:rPr>
          <w:rFonts w:hint="default" w:ascii="Times New Roman" w:hAnsi="Times New Roman" w:eastAsia="仿宋_GB2312" w:cs="Times New Roman"/>
          <w:color w:val="auto"/>
          <w:sz w:val="32"/>
          <w:szCs w:val="32"/>
        </w:rPr>
        <w:t>项目制</w:t>
      </w:r>
      <w:r>
        <w:rPr>
          <w:rFonts w:hint="eastAsia" w:ascii="Times New Roman" w:hAnsi="Times New Roman" w:eastAsia="仿宋_GB2312" w:cs="Times New Roman"/>
          <w:color w:val="auto"/>
          <w:sz w:val="32"/>
          <w:szCs w:val="32"/>
          <w:lang w:eastAsia="zh-CN"/>
        </w:rPr>
        <w:t>相结合</w:t>
      </w:r>
      <w:r>
        <w:rPr>
          <w:rFonts w:hint="default" w:ascii="Times New Roman" w:hAnsi="Times New Roman" w:eastAsia="仿宋_GB2312" w:cs="Times New Roman"/>
          <w:color w:val="auto"/>
          <w:sz w:val="32"/>
          <w:szCs w:val="32"/>
        </w:rPr>
        <w:t>方式</w:t>
      </w:r>
      <w:r>
        <w:rPr>
          <w:rFonts w:hint="eastAsia" w:ascii="仿宋_GB2312" w:hAnsi="仿宋_GB2312" w:eastAsia="仿宋_GB2312" w:cs="仿宋_GB2312"/>
          <w:color w:val="auto"/>
          <w:kern w:val="0"/>
          <w:sz w:val="32"/>
          <w:szCs w:val="32"/>
          <w:highlight w:val="none"/>
          <w:lang w:val="en-US" w:eastAsia="zh-CN"/>
        </w:rPr>
        <w:t>，以各市申报的年度配售型保障性住房、保障性租赁住房、公租房筹集建设套数，租赁补贴发放户数、危旧房改造套数、保障性安居工程计划、项目申报成熟度评分，住建部归集平台上显示存在安全隐患的经营性自建房数量、平均每栋经营性自建房面积、灾普调查城镇和农村房屋满足一定条件的数量等因素，结合综合财力系数、年度绩效评价调节系数、工作进度进行资金分配。经集体研究，</w:t>
      </w:r>
      <w:r>
        <w:rPr>
          <w:rFonts w:hint="default" w:ascii="Times New Roman" w:hAnsi="Times New Roman" w:eastAsia="仿宋_GB2312" w:cs="Times New Roman"/>
          <w:color w:val="auto"/>
          <w:kern w:val="0"/>
          <w:sz w:val="32"/>
          <w:szCs w:val="32"/>
          <w:highlight w:val="none"/>
          <w:lang w:val="en-US" w:eastAsia="zh-CN"/>
        </w:rPr>
        <w:t>2023</w:t>
      </w:r>
      <w:r>
        <w:rPr>
          <w:rFonts w:hint="eastAsia" w:ascii="仿宋_GB2312" w:hAnsi="仿宋_GB2312" w:eastAsia="仿宋_GB2312" w:cs="仿宋_GB2312"/>
          <w:color w:val="auto"/>
          <w:kern w:val="0"/>
          <w:sz w:val="32"/>
          <w:szCs w:val="32"/>
          <w:highlight w:val="none"/>
          <w:lang w:val="en-US" w:eastAsia="zh-CN"/>
        </w:rPr>
        <w:t>年</w:t>
      </w:r>
      <w:r>
        <w:rPr>
          <w:rFonts w:hint="default" w:ascii="Times New Roman" w:hAnsi="Times New Roman" w:eastAsia="仿宋_GB2312" w:cs="Times New Roman"/>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lang w:val="en-US" w:eastAsia="zh-CN"/>
        </w:rPr>
        <w:t>月向省财政厅报送专项资金分配方案。</w:t>
      </w:r>
      <w:r>
        <w:rPr>
          <w:rFonts w:hint="default" w:ascii="Times New Roman" w:hAnsi="Times New Roman" w:eastAsia="仿宋_GB2312" w:cs="Times New Roman"/>
          <w:color w:val="auto"/>
          <w:kern w:val="0"/>
          <w:sz w:val="32"/>
          <w:szCs w:val="32"/>
          <w:highlight w:val="none"/>
          <w:lang w:val="en-US" w:eastAsia="zh-CN"/>
        </w:rPr>
        <w:t>2023</w:t>
      </w:r>
      <w:r>
        <w:rPr>
          <w:rFonts w:hint="eastAsia" w:ascii="仿宋_GB2312" w:hAnsi="仿宋_GB2312" w:eastAsia="仿宋_GB2312" w:cs="仿宋_GB2312"/>
          <w:color w:val="auto"/>
          <w:kern w:val="0"/>
          <w:sz w:val="32"/>
          <w:szCs w:val="32"/>
          <w:highlight w:val="none"/>
          <w:lang w:val="en-US" w:eastAsia="zh-CN"/>
        </w:rPr>
        <w:t>年</w:t>
      </w:r>
      <w:r>
        <w:rPr>
          <w:rFonts w:hint="default" w:ascii="Times New Roman" w:hAnsi="Times New Roman" w:eastAsia="仿宋_GB2312" w:cs="Times New Roman"/>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lang w:val="en-US" w:eastAsia="zh-CN"/>
        </w:rPr>
        <w:t>月</w:t>
      </w:r>
      <w:r>
        <w:rPr>
          <w:rFonts w:hint="default" w:ascii="Times New Roman" w:hAnsi="Times New Roman" w:eastAsia="仿宋_GB2312" w:cs="Times New Roman"/>
          <w:color w:val="auto"/>
          <w:kern w:val="0"/>
          <w:sz w:val="32"/>
          <w:szCs w:val="32"/>
          <w:highlight w:val="none"/>
          <w:lang w:val="en-US" w:eastAsia="zh-CN"/>
        </w:rPr>
        <w:t>26</w:t>
      </w:r>
      <w:r>
        <w:rPr>
          <w:rFonts w:hint="eastAsia" w:ascii="仿宋_GB2312" w:hAnsi="仿宋_GB2312" w:eastAsia="仿宋_GB2312" w:cs="仿宋_GB2312"/>
          <w:color w:val="auto"/>
          <w:kern w:val="0"/>
          <w:sz w:val="32"/>
          <w:szCs w:val="32"/>
          <w:highlight w:val="none"/>
          <w:lang w:val="en-US" w:eastAsia="zh-CN"/>
        </w:rPr>
        <w:t>日，经省级财政资金预算管理程序，《广东省财政厅关于提前下达</w:t>
      </w:r>
      <w:r>
        <w:rPr>
          <w:rFonts w:hint="default" w:ascii="Times New Roman" w:hAnsi="Times New Roman" w:eastAsia="仿宋_GB2312" w:cs="Times New Roman"/>
          <w:color w:val="auto"/>
          <w:kern w:val="0"/>
          <w:sz w:val="32"/>
          <w:szCs w:val="32"/>
          <w:highlight w:val="none"/>
          <w:lang w:val="en-US" w:eastAsia="zh-CN"/>
        </w:rPr>
        <w:t>2024</w:t>
      </w:r>
      <w:r>
        <w:rPr>
          <w:rFonts w:hint="eastAsia" w:ascii="仿宋_GB2312" w:hAnsi="仿宋_GB2312" w:eastAsia="仿宋_GB2312" w:cs="仿宋_GB2312"/>
          <w:color w:val="auto"/>
          <w:kern w:val="0"/>
          <w:sz w:val="32"/>
          <w:szCs w:val="32"/>
          <w:highlight w:val="none"/>
          <w:lang w:val="en-US" w:eastAsia="zh-CN"/>
        </w:rPr>
        <w:t>年省住房城乡建设厅主管专项资金的通知》（粤财建〔</w:t>
      </w:r>
      <w:r>
        <w:rPr>
          <w:rFonts w:hint="default" w:ascii="Times New Roman" w:hAnsi="Times New Roman" w:eastAsia="仿宋_GB2312" w:cs="Times New Roman"/>
          <w:color w:val="auto"/>
          <w:kern w:val="0"/>
          <w:sz w:val="32"/>
          <w:szCs w:val="32"/>
          <w:highlight w:val="none"/>
          <w:lang w:val="en-US" w:eastAsia="zh-CN"/>
        </w:rPr>
        <w:t>2023</w:t>
      </w:r>
      <w:r>
        <w:rPr>
          <w:rFonts w:hint="eastAsia" w:ascii="仿宋_GB2312" w:hAnsi="仿宋_GB2312" w:eastAsia="仿宋_GB2312" w:cs="仿宋_GB2312"/>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77</w:t>
      </w:r>
      <w:r>
        <w:rPr>
          <w:rFonts w:hint="eastAsia" w:ascii="仿宋_GB2312" w:hAnsi="仿宋_GB2312" w:eastAsia="仿宋_GB2312" w:cs="仿宋_GB2312"/>
          <w:color w:val="auto"/>
          <w:kern w:val="0"/>
          <w:sz w:val="32"/>
          <w:szCs w:val="32"/>
          <w:highlight w:val="none"/>
          <w:lang w:val="en-US" w:eastAsia="zh-CN"/>
        </w:rPr>
        <w:t>号）下达了转移支付专项资金</w:t>
      </w:r>
      <w:r>
        <w:rPr>
          <w:rFonts w:hint="default" w:ascii="Times New Roman" w:hAnsi="Times New Roman" w:eastAsia="仿宋_GB2312" w:cs="Times New Roman"/>
          <w:color w:val="auto"/>
          <w:kern w:val="0"/>
          <w:sz w:val="32"/>
          <w:szCs w:val="32"/>
          <w:lang w:val="en-US" w:eastAsia="zh-CN"/>
        </w:rPr>
        <w:t>52,395</w:t>
      </w:r>
      <w:r>
        <w:rPr>
          <w:rFonts w:hint="eastAsia" w:ascii="Times New Roman" w:hAnsi="Times New Roman" w:eastAsia="仿宋_GB2312" w:cs="Times New Roman"/>
          <w:color w:val="auto"/>
          <w:kern w:val="0"/>
          <w:sz w:val="32"/>
          <w:szCs w:val="32"/>
          <w:highlight w:val="none"/>
          <w:lang w:val="en-US" w:eastAsia="zh-CN"/>
        </w:rPr>
        <w:t>万</w:t>
      </w:r>
      <w:r>
        <w:rPr>
          <w:rFonts w:hint="eastAsia" w:ascii="仿宋_GB2312" w:hAnsi="仿宋_GB2312" w:eastAsia="仿宋_GB2312" w:cs="仿宋_GB2312"/>
          <w:color w:val="auto"/>
          <w:kern w:val="0"/>
          <w:sz w:val="32"/>
          <w:szCs w:val="32"/>
          <w:highlight w:val="none"/>
          <w:lang w:val="en-US" w:eastAsia="zh-CN"/>
        </w:rPr>
        <w:t>元，主要用于开展保障性安居工程、危旧房改造与自建房安全专项整治等相关工作。</w:t>
      </w:r>
      <w:r>
        <w:rPr>
          <w:rFonts w:hint="default" w:ascii="Times New Roman" w:hAnsi="Times New Roman" w:eastAsia="仿宋_GB2312" w:cs="Times New Roman"/>
          <w:color w:val="auto"/>
          <w:kern w:val="0"/>
          <w:sz w:val="32"/>
          <w:szCs w:val="32"/>
          <w:highlight w:val="none"/>
          <w:lang w:val="en-US" w:eastAsia="zh-CN"/>
        </w:rPr>
        <w:t>2024</w:t>
      </w:r>
      <w:r>
        <w:rPr>
          <w:rFonts w:hint="eastAsia" w:ascii="仿宋_GB2312" w:hAnsi="仿宋_GB2312" w:eastAsia="仿宋_GB2312" w:cs="仿宋_GB2312"/>
          <w:color w:val="auto"/>
          <w:kern w:val="0"/>
          <w:sz w:val="32"/>
          <w:szCs w:val="32"/>
          <w:highlight w:val="none"/>
          <w:lang w:val="en-US" w:eastAsia="zh-CN"/>
        </w:rPr>
        <w:t>年</w:t>
      </w:r>
      <w:r>
        <w:rPr>
          <w:rFonts w:hint="default" w:ascii="Times New Roman" w:hAnsi="Times New Roman" w:eastAsia="仿宋_GB2312" w:cs="Times New Roman"/>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val="en-US" w:eastAsia="zh-CN"/>
        </w:rPr>
        <w:t>月</w:t>
      </w:r>
      <w:r>
        <w:rPr>
          <w:rFonts w:hint="default" w:ascii="Times New Roman" w:hAnsi="Times New Roman" w:eastAsia="仿宋_GB2312" w:cs="Times New Roman"/>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lang w:val="en-US" w:eastAsia="zh-CN"/>
        </w:rPr>
        <w:t>日，《广东省住房和城乡建设厅等关于印发</w:t>
      </w:r>
      <w:r>
        <w:rPr>
          <w:rFonts w:hint="default" w:ascii="Times New Roman" w:hAnsi="Times New Roman" w:eastAsia="仿宋_GB2312" w:cs="Times New Roman"/>
          <w:color w:val="auto"/>
          <w:kern w:val="0"/>
          <w:sz w:val="32"/>
          <w:szCs w:val="32"/>
          <w:highlight w:val="none"/>
          <w:lang w:val="en-US" w:eastAsia="zh-CN"/>
        </w:rPr>
        <w:t>2024</w:t>
      </w:r>
      <w:r>
        <w:rPr>
          <w:rFonts w:hint="eastAsia" w:ascii="仿宋_GB2312" w:hAnsi="仿宋_GB2312" w:eastAsia="仿宋_GB2312" w:cs="仿宋_GB2312"/>
          <w:color w:val="auto"/>
          <w:kern w:val="0"/>
          <w:sz w:val="32"/>
          <w:szCs w:val="32"/>
          <w:highlight w:val="none"/>
          <w:lang w:val="en-US" w:eastAsia="zh-CN"/>
        </w:rPr>
        <w:t>年配售型保障性住房、配租型保障性住房（保障性租赁住房、公租房保障）和棚户区（城市危旧房）改造等计划的通知》（粤建保〔</w:t>
      </w:r>
      <w:r>
        <w:rPr>
          <w:rFonts w:hint="default" w:ascii="Times New Roman" w:hAnsi="Times New Roman" w:eastAsia="仿宋_GB2312" w:cs="Times New Roman"/>
          <w:color w:val="auto"/>
          <w:kern w:val="0"/>
          <w:sz w:val="32"/>
          <w:szCs w:val="32"/>
          <w:highlight w:val="none"/>
          <w:lang w:val="en-US" w:eastAsia="zh-CN"/>
        </w:rPr>
        <w:t>2024</w:t>
      </w:r>
      <w:r>
        <w:rPr>
          <w:rFonts w:hint="eastAsia" w:ascii="仿宋_GB2312" w:hAnsi="仿宋_GB2312" w:eastAsia="仿宋_GB2312" w:cs="仿宋_GB2312"/>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38</w:t>
      </w:r>
      <w:r>
        <w:rPr>
          <w:rFonts w:hint="eastAsia" w:ascii="仿宋_GB2312" w:hAnsi="仿宋_GB2312" w:eastAsia="仿宋_GB2312" w:cs="仿宋_GB2312"/>
          <w:color w:val="auto"/>
          <w:kern w:val="0"/>
          <w:sz w:val="32"/>
          <w:szCs w:val="32"/>
          <w:highlight w:val="none"/>
          <w:lang w:val="en-US" w:eastAsia="zh-CN"/>
        </w:rPr>
        <w:t>号）向各市下达了配售型保障性住房、配租型保障性住房（保障性租赁住房、公租房保障）和棚户区（城市危旧房）改造等计划任务。转移支付专项资金和计划任务逐级下达到市县后，由有关市县住房城乡建设主管部门组织实施。省级组织实施项目和省本级工作经费</w:t>
      </w:r>
      <w:r>
        <w:rPr>
          <w:rFonts w:hint="default" w:ascii="Times New Roman" w:hAnsi="Times New Roman" w:eastAsia="仿宋_GB2312" w:cs="Times New Roman"/>
          <w:color w:val="auto"/>
          <w:kern w:val="0"/>
          <w:sz w:val="32"/>
          <w:szCs w:val="32"/>
          <w:highlight w:val="none"/>
          <w:lang w:val="en-US" w:eastAsia="zh-CN"/>
        </w:rPr>
        <w:t>890</w:t>
      </w:r>
      <w:r>
        <w:rPr>
          <w:rFonts w:hint="eastAsia" w:ascii="仿宋_GB2312" w:hAnsi="仿宋_GB2312" w:eastAsia="仿宋_GB2312" w:cs="仿宋_GB2312"/>
          <w:color w:val="auto"/>
          <w:kern w:val="0"/>
          <w:sz w:val="32"/>
          <w:szCs w:val="32"/>
          <w:highlight w:val="none"/>
          <w:lang w:val="en-US" w:eastAsia="zh-CN"/>
        </w:rPr>
        <w:t>万元在</w:t>
      </w:r>
      <w:r>
        <w:rPr>
          <w:rFonts w:hint="default" w:ascii="Times New Roman" w:hAnsi="Times New Roman" w:eastAsia="仿宋_GB2312" w:cs="Times New Roman"/>
          <w:color w:val="auto"/>
          <w:kern w:val="0"/>
          <w:sz w:val="32"/>
          <w:szCs w:val="32"/>
          <w:highlight w:val="none"/>
          <w:lang w:val="en-US" w:eastAsia="zh-CN"/>
        </w:rPr>
        <w:t>2024</w:t>
      </w:r>
      <w:r>
        <w:rPr>
          <w:rFonts w:hint="eastAsia" w:ascii="仿宋_GB2312" w:hAnsi="仿宋_GB2312" w:eastAsia="仿宋_GB2312" w:cs="仿宋_GB2312"/>
          <w:color w:val="auto"/>
          <w:kern w:val="0"/>
          <w:sz w:val="32"/>
          <w:szCs w:val="32"/>
          <w:highlight w:val="none"/>
          <w:lang w:val="en-US" w:eastAsia="zh-CN"/>
        </w:rPr>
        <w:t>年省住房城乡建设厅部门预算转列。</w:t>
      </w:r>
      <w:r>
        <w:rPr>
          <w:rFonts w:hint="eastAsia" w:ascii="仿宋_GB2312" w:eastAsia="仿宋_GB2312"/>
          <w:color w:val="auto"/>
          <w:sz w:val="32"/>
          <w:szCs w:val="32"/>
        </w:rPr>
        <w:t>（详见表</w:t>
      </w: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w:t>
      </w:r>
    </w:p>
    <w:p w14:paraId="1B2B149C">
      <w:pPr>
        <w:spacing w:line="360" w:lineRule="auto"/>
        <w:jc w:val="center"/>
        <w:rPr>
          <w:rFonts w:hint="eastAsia" w:ascii="黑体" w:hAnsi="宋体" w:eastAsia="黑体" w:cs="黑体"/>
          <w:color w:val="auto"/>
          <w:sz w:val="28"/>
          <w:szCs w:val="28"/>
          <w:lang w:bidi="ar"/>
        </w:rPr>
      </w:pPr>
      <w:r>
        <w:rPr>
          <w:rFonts w:hint="eastAsia" w:ascii="黑体" w:hAnsi="宋体" w:eastAsia="黑体" w:cs="黑体"/>
          <w:color w:val="auto"/>
          <w:sz w:val="28"/>
          <w:szCs w:val="28"/>
          <w:lang w:bidi="ar"/>
        </w:rPr>
        <w:t>表</w:t>
      </w:r>
      <w:r>
        <w:rPr>
          <w:rFonts w:hint="default" w:ascii="Times New Roman" w:hAnsi="Times New Roman" w:eastAsia="黑体" w:cs="Times New Roman"/>
          <w:color w:val="auto"/>
          <w:sz w:val="28"/>
          <w:szCs w:val="28"/>
          <w:lang w:bidi="ar"/>
        </w:rPr>
        <w:t>1</w:t>
      </w:r>
      <w:r>
        <w:rPr>
          <w:rFonts w:hint="eastAsia" w:ascii="黑体" w:hAnsi="宋体" w:eastAsia="黑体" w:cs="黑体"/>
          <w:color w:val="auto"/>
          <w:sz w:val="28"/>
          <w:szCs w:val="28"/>
          <w:lang w:bidi="ar"/>
        </w:rPr>
        <w:t>-</w:t>
      </w:r>
      <w:r>
        <w:rPr>
          <w:rFonts w:hint="default" w:ascii="Times New Roman" w:hAnsi="Times New Roman" w:eastAsia="黑体" w:cs="Times New Roman"/>
          <w:color w:val="auto"/>
          <w:sz w:val="28"/>
          <w:szCs w:val="28"/>
          <w:lang w:bidi="ar"/>
        </w:rPr>
        <w:t>1</w:t>
      </w:r>
      <w:r>
        <w:rPr>
          <w:rFonts w:hint="eastAsia" w:ascii="黑体" w:hAnsi="宋体" w:eastAsia="黑体" w:cs="黑体"/>
          <w:color w:val="auto"/>
          <w:sz w:val="28"/>
          <w:szCs w:val="28"/>
          <w:lang w:bidi="ar"/>
        </w:rPr>
        <w:t xml:space="preserve"> 专项资金分配情况表</w:t>
      </w:r>
    </w:p>
    <w:p w14:paraId="3EF89869">
      <w:pPr>
        <w:pStyle w:val="17"/>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单位：万元</w:t>
      </w:r>
    </w:p>
    <w:tbl>
      <w:tblPr>
        <w:tblStyle w:val="21"/>
        <w:tblW w:w="9458"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2"/>
        <w:gridCol w:w="1410"/>
        <w:gridCol w:w="1550"/>
        <w:gridCol w:w="1423"/>
        <w:gridCol w:w="1550"/>
        <w:gridCol w:w="1437"/>
        <w:gridCol w:w="1436"/>
      </w:tblGrid>
      <w:tr w14:paraId="36DF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blHeader/>
        </w:trPr>
        <w:tc>
          <w:tcPr>
            <w:tcW w:w="652" w:type="dxa"/>
            <w:vMerge w:val="restart"/>
            <w:tcBorders>
              <w:top w:val="single" w:color="000000" w:sz="4" w:space="0"/>
              <w:left w:val="single" w:color="000000" w:sz="4" w:space="0"/>
              <w:right w:val="single" w:color="000000" w:sz="4" w:space="0"/>
            </w:tcBorders>
            <w:shd w:val="clear" w:color="auto" w:fill="auto"/>
            <w:vAlign w:val="center"/>
          </w:tcPr>
          <w:p w14:paraId="2FF4E8D8">
            <w:pPr>
              <w:widowControl/>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b/>
                <w:bCs/>
                <w:color w:val="auto"/>
                <w:kern w:val="0"/>
                <w:sz w:val="24"/>
                <w:szCs w:val="24"/>
                <w:lang w:bidi="ar"/>
              </w:rPr>
              <w:t>序号</w:t>
            </w:r>
          </w:p>
        </w:tc>
        <w:tc>
          <w:tcPr>
            <w:tcW w:w="1410" w:type="dxa"/>
            <w:vMerge w:val="restart"/>
            <w:tcBorders>
              <w:top w:val="single" w:color="000000" w:sz="4" w:space="0"/>
              <w:left w:val="single" w:color="000000" w:sz="4" w:space="0"/>
              <w:right w:val="single" w:color="000000" w:sz="4" w:space="0"/>
            </w:tcBorders>
            <w:shd w:val="clear" w:color="auto" w:fill="auto"/>
            <w:vAlign w:val="center"/>
          </w:tcPr>
          <w:p w14:paraId="6ADDFB93">
            <w:pPr>
              <w:widowControl/>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b/>
                <w:bCs/>
                <w:color w:val="auto"/>
                <w:kern w:val="0"/>
                <w:sz w:val="24"/>
                <w:szCs w:val="24"/>
                <w:lang w:bidi="ar"/>
              </w:rPr>
              <w:t>县（区/市）名称</w:t>
            </w:r>
          </w:p>
        </w:tc>
        <w:tc>
          <w:tcPr>
            <w:tcW w:w="59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AD91A6">
            <w:pPr>
              <w:widowControl/>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b/>
                <w:bCs/>
                <w:color w:val="auto"/>
                <w:kern w:val="0"/>
                <w:sz w:val="24"/>
                <w:szCs w:val="24"/>
                <w:lang w:bidi="ar"/>
              </w:rPr>
              <w:t>预算金额</w:t>
            </w:r>
          </w:p>
        </w:tc>
        <w:tc>
          <w:tcPr>
            <w:tcW w:w="1436" w:type="dxa"/>
            <w:vMerge w:val="restart"/>
            <w:tcBorders>
              <w:top w:val="single" w:color="000000" w:sz="4" w:space="0"/>
              <w:left w:val="single" w:color="000000" w:sz="4" w:space="0"/>
              <w:right w:val="single" w:color="000000" w:sz="4" w:space="0"/>
            </w:tcBorders>
            <w:shd w:val="clear" w:color="auto" w:fill="auto"/>
            <w:vAlign w:val="center"/>
          </w:tcPr>
          <w:p w14:paraId="224A8B57">
            <w:pPr>
              <w:widowControl/>
              <w:spacing w:line="240" w:lineRule="auto"/>
              <w:jc w:val="center"/>
              <w:textAlignment w:val="center"/>
              <w:rPr>
                <w:rFonts w:hint="eastAsia" w:ascii="仿宋_GB2312" w:hAnsi="仿宋_GB2312" w:eastAsia="仿宋_GB2312" w:cs="仿宋_GB2312"/>
                <w:b/>
                <w:bCs/>
                <w:color w:val="auto"/>
                <w:kern w:val="0"/>
                <w:sz w:val="24"/>
                <w:szCs w:val="24"/>
                <w:lang w:bidi="ar"/>
              </w:rPr>
            </w:pPr>
            <w:r>
              <w:rPr>
                <w:rFonts w:hint="eastAsia" w:ascii="仿宋_GB2312" w:hAnsi="仿宋_GB2312" w:eastAsia="仿宋_GB2312" w:cs="仿宋_GB2312"/>
                <w:b/>
                <w:bCs/>
                <w:color w:val="auto"/>
                <w:kern w:val="0"/>
                <w:sz w:val="24"/>
                <w:szCs w:val="24"/>
                <w:lang w:bidi="ar"/>
              </w:rPr>
              <w:t>实际下达金额</w:t>
            </w:r>
          </w:p>
        </w:tc>
      </w:tr>
      <w:tr w14:paraId="429B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blHeader/>
        </w:trPr>
        <w:tc>
          <w:tcPr>
            <w:tcW w:w="652" w:type="dxa"/>
            <w:vMerge w:val="continue"/>
            <w:tcBorders>
              <w:left w:val="single" w:color="000000" w:sz="4" w:space="0"/>
              <w:bottom w:val="single" w:color="000000" w:sz="4" w:space="0"/>
              <w:right w:val="single" w:color="000000" w:sz="4" w:space="0"/>
            </w:tcBorders>
            <w:shd w:val="clear" w:color="auto" w:fill="auto"/>
            <w:vAlign w:val="center"/>
          </w:tcPr>
          <w:p w14:paraId="56465141">
            <w:pPr>
              <w:widowControl/>
              <w:spacing w:line="360" w:lineRule="exact"/>
              <w:jc w:val="center"/>
              <w:textAlignment w:val="center"/>
              <w:rPr>
                <w:rFonts w:hint="eastAsia" w:ascii="仿宋_GB2312" w:hAnsi="仿宋_GB2312" w:eastAsia="仿宋_GB2312" w:cs="仿宋_GB2312"/>
                <w:b/>
                <w:bCs/>
                <w:color w:val="auto"/>
                <w:kern w:val="0"/>
                <w:sz w:val="24"/>
                <w:szCs w:val="24"/>
                <w:lang w:bidi="ar"/>
              </w:rPr>
            </w:pPr>
          </w:p>
        </w:tc>
        <w:tc>
          <w:tcPr>
            <w:tcW w:w="1410" w:type="dxa"/>
            <w:vMerge w:val="continue"/>
            <w:tcBorders>
              <w:left w:val="single" w:color="000000" w:sz="4" w:space="0"/>
              <w:bottom w:val="single" w:color="000000" w:sz="4" w:space="0"/>
              <w:right w:val="single" w:color="000000" w:sz="4" w:space="0"/>
            </w:tcBorders>
            <w:shd w:val="clear" w:color="auto" w:fill="auto"/>
            <w:vAlign w:val="center"/>
          </w:tcPr>
          <w:p w14:paraId="4001F7B6">
            <w:pPr>
              <w:widowControl/>
              <w:spacing w:line="360" w:lineRule="exact"/>
              <w:jc w:val="center"/>
              <w:textAlignment w:val="center"/>
              <w:rPr>
                <w:rFonts w:hint="eastAsia" w:ascii="仿宋_GB2312" w:hAnsi="仿宋_GB2312" w:eastAsia="仿宋_GB2312" w:cs="仿宋_GB2312"/>
                <w:b/>
                <w:bCs/>
                <w:color w:val="auto"/>
                <w:kern w:val="0"/>
                <w:sz w:val="24"/>
                <w:szCs w:val="24"/>
                <w:lang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4B4F">
            <w:pPr>
              <w:widowControl/>
              <w:spacing w:line="360" w:lineRule="exact"/>
              <w:jc w:val="center"/>
              <w:textAlignment w:val="center"/>
              <w:rPr>
                <w:rFonts w:hint="eastAsia" w:ascii="仿宋_GB2312" w:hAnsi="仿宋_GB2312" w:eastAsia="仿宋_GB2312" w:cs="仿宋_GB2312"/>
                <w:b/>
                <w:bCs/>
                <w:color w:val="auto"/>
                <w:kern w:val="0"/>
                <w:sz w:val="24"/>
                <w:szCs w:val="24"/>
                <w:lang w:bidi="ar"/>
              </w:rPr>
            </w:pPr>
            <w:r>
              <w:rPr>
                <w:rFonts w:hint="eastAsia" w:ascii="仿宋_GB2312" w:hAnsi="仿宋_GB2312" w:eastAsia="仿宋_GB2312" w:cs="仿宋_GB2312"/>
                <w:b/>
                <w:bCs/>
                <w:color w:val="auto"/>
                <w:kern w:val="0"/>
                <w:sz w:val="24"/>
                <w:szCs w:val="24"/>
                <w:lang w:bidi="ar"/>
              </w:rPr>
              <w:t>保障性安居工程</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9C95">
            <w:pPr>
              <w:widowControl/>
              <w:spacing w:line="360" w:lineRule="exact"/>
              <w:jc w:val="center"/>
              <w:textAlignment w:val="center"/>
              <w:rPr>
                <w:rFonts w:hint="eastAsia" w:ascii="仿宋_GB2312" w:hAnsi="仿宋_GB2312" w:eastAsia="仿宋_GB2312" w:cs="仿宋_GB2312"/>
                <w:b/>
                <w:bCs/>
                <w:color w:val="auto"/>
                <w:kern w:val="0"/>
                <w:sz w:val="24"/>
                <w:szCs w:val="24"/>
                <w:lang w:bidi="ar"/>
              </w:rPr>
            </w:pPr>
            <w:r>
              <w:rPr>
                <w:rFonts w:hint="eastAsia" w:ascii="仿宋_GB2312" w:hAnsi="仿宋_GB2312" w:eastAsia="仿宋_GB2312" w:cs="仿宋_GB2312"/>
                <w:b/>
                <w:bCs/>
                <w:color w:val="auto"/>
                <w:kern w:val="0"/>
                <w:sz w:val="24"/>
                <w:szCs w:val="24"/>
                <w:lang w:bidi="ar"/>
              </w:rPr>
              <w:t>城市危旧房摸底调查</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1231">
            <w:pPr>
              <w:widowControl/>
              <w:spacing w:line="360" w:lineRule="exact"/>
              <w:jc w:val="center"/>
              <w:textAlignment w:val="center"/>
              <w:rPr>
                <w:rFonts w:hint="eastAsia" w:ascii="仿宋_GB2312" w:hAnsi="仿宋_GB2312" w:eastAsia="仿宋_GB2312" w:cs="仿宋_GB2312"/>
                <w:b/>
                <w:bCs/>
                <w:color w:val="auto"/>
                <w:kern w:val="0"/>
                <w:sz w:val="24"/>
                <w:szCs w:val="24"/>
                <w:lang w:val="en-US" w:eastAsia="zh-CN" w:bidi="ar"/>
              </w:rPr>
            </w:pPr>
            <w:r>
              <w:rPr>
                <w:rFonts w:hint="default" w:ascii="仿宋_GB2312" w:hAnsi="仿宋_GB2312" w:eastAsia="仿宋_GB2312" w:cs="仿宋_GB2312"/>
                <w:b/>
                <w:bCs/>
                <w:color w:val="auto"/>
                <w:kern w:val="0"/>
                <w:sz w:val="24"/>
                <w:szCs w:val="24"/>
                <w:lang w:bidi="ar"/>
              </w:rPr>
              <w:t>自建房</w:t>
            </w:r>
            <w:r>
              <w:rPr>
                <w:rFonts w:hint="eastAsia" w:ascii="仿宋_GB2312" w:hAnsi="仿宋_GB2312" w:eastAsia="仿宋_GB2312" w:cs="仿宋_GB2312"/>
                <w:b/>
                <w:bCs/>
                <w:color w:val="auto"/>
                <w:kern w:val="0"/>
                <w:sz w:val="24"/>
                <w:szCs w:val="24"/>
                <w:lang w:val="en-US" w:eastAsia="zh-CN" w:bidi="ar"/>
              </w:rPr>
              <w:t>安全专项</w:t>
            </w:r>
            <w:r>
              <w:rPr>
                <w:rFonts w:hint="default" w:ascii="仿宋_GB2312" w:hAnsi="仿宋_GB2312" w:eastAsia="仿宋_GB2312" w:cs="仿宋_GB2312"/>
                <w:b/>
                <w:bCs/>
                <w:color w:val="auto"/>
                <w:kern w:val="0"/>
                <w:sz w:val="24"/>
                <w:szCs w:val="24"/>
                <w:lang w:bidi="ar"/>
              </w:rPr>
              <w:t>整治</w:t>
            </w:r>
          </w:p>
        </w:tc>
        <w:tc>
          <w:tcPr>
            <w:tcW w:w="1437" w:type="dxa"/>
            <w:tcBorders>
              <w:left w:val="single" w:color="000000" w:sz="4" w:space="0"/>
              <w:bottom w:val="single" w:color="000000" w:sz="4" w:space="0"/>
              <w:right w:val="single" w:color="000000" w:sz="4" w:space="0"/>
            </w:tcBorders>
            <w:shd w:val="clear" w:color="auto" w:fill="auto"/>
            <w:vAlign w:val="center"/>
          </w:tcPr>
          <w:p w14:paraId="4BFF56F4">
            <w:pPr>
              <w:widowControl/>
              <w:spacing w:line="360" w:lineRule="exact"/>
              <w:jc w:val="center"/>
              <w:textAlignment w:val="center"/>
              <w:rPr>
                <w:rFonts w:hint="eastAsia" w:ascii="仿宋_GB2312" w:hAnsi="仿宋_GB2312" w:eastAsia="仿宋_GB2312" w:cs="仿宋_GB2312"/>
                <w:b/>
                <w:bCs/>
                <w:color w:val="auto"/>
                <w:kern w:val="0"/>
                <w:sz w:val="24"/>
                <w:szCs w:val="24"/>
                <w:lang w:bidi="ar"/>
              </w:rPr>
            </w:pPr>
            <w:r>
              <w:rPr>
                <w:rFonts w:hint="eastAsia" w:ascii="仿宋_GB2312" w:hAnsi="仿宋_GB2312" w:eastAsia="仿宋_GB2312" w:cs="仿宋_GB2312"/>
                <w:b/>
                <w:bCs/>
                <w:color w:val="auto"/>
                <w:kern w:val="0"/>
                <w:sz w:val="24"/>
                <w:szCs w:val="24"/>
                <w:lang w:val="en-US" w:eastAsia="zh-CN" w:bidi="ar"/>
              </w:rPr>
              <w:t>合计</w:t>
            </w:r>
          </w:p>
        </w:tc>
        <w:tc>
          <w:tcPr>
            <w:tcW w:w="1436" w:type="dxa"/>
            <w:vMerge w:val="continue"/>
            <w:tcBorders>
              <w:left w:val="single" w:color="000000" w:sz="4" w:space="0"/>
              <w:bottom w:val="single" w:color="000000" w:sz="4" w:space="0"/>
              <w:right w:val="single" w:color="000000" w:sz="4" w:space="0"/>
            </w:tcBorders>
            <w:shd w:val="clear" w:color="auto" w:fill="auto"/>
            <w:vAlign w:val="center"/>
          </w:tcPr>
          <w:p w14:paraId="77631A0E">
            <w:pPr>
              <w:keepNext w:val="0"/>
              <w:keepLines w:val="0"/>
              <w:widowControl/>
              <w:suppressLineNumbers w:val="0"/>
              <w:jc w:val="right"/>
              <w:textAlignment w:val="center"/>
              <w:rPr>
                <w:rFonts w:hint="eastAsia" w:ascii="仿宋_GB2312" w:hAnsi="仿宋_GB2312" w:eastAsia="仿宋_GB2312" w:cs="仿宋_GB2312"/>
                <w:b/>
                <w:bCs/>
                <w:color w:val="auto"/>
                <w:kern w:val="0"/>
                <w:sz w:val="24"/>
                <w:szCs w:val="24"/>
                <w:lang w:bidi="ar"/>
              </w:rPr>
            </w:pPr>
          </w:p>
        </w:tc>
      </w:tr>
      <w:tr w14:paraId="37FC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197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99A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广州市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DA4F">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74</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373</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71</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812F">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E277">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4EA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23,375.95 </w:t>
            </w:r>
          </w:p>
        </w:tc>
        <w:tc>
          <w:tcPr>
            <w:tcW w:w="1436" w:type="dxa"/>
            <w:tcBorders>
              <w:top w:val="nil"/>
              <w:left w:val="single" w:color="000000" w:sz="4" w:space="0"/>
              <w:bottom w:val="single" w:color="000000" w:sz="4" w:space="0"/>
              <w:right w:val="single" w:color="000000" w:sz="4" w:space="0"/>
            </w:tcBorders>
            <w:shd w:val="clear" w:color="auto" w:fill="auto"/>
            <w:vAlign w:val="center"/>
          </w:tcPr>
          <w:p w14:paraId="46336FC2">
            <w:pPr>
              <w:keepNext w:val="0"/>
              <w:keepLines w:val="0"/>
              <w:widowControl/>
              <w:suppressLineNumbers w:val="0"/>
              <w:jc w:val="center"/>
              <w:textAlignment w:val="center"/>
              <w:rPr>
                <w:rFonts w:hint="eastAsia" w:ascii="仿宋_GB2312" w:hAnsi="仿宋_GB2312" w:eastAsia="仿宋_GB2312" w:cs="仿宋_GB2312"/>
                <w:b/>
                <w:bCs/>
                <w:color w:val="auto"/>
                <w:kern w:val="0"/>
                <w:sz w:val="24"/>
                <w:szCs w:val="24"/>
                <w:lang w:bidi="ar"/>
              </w:rPr>
            </w:pPr>
            <w:r>
              <w:rPr>
                <w:rFonts w:hint="default" w:ascii="Times New Roman" w:hAnsi="Times New Roman" w:eastAsia="宋体" w:cs="Times New Roman"/>
                <w:i w:val="0"/>
                <w:iCs w:val="0"/>
                <w:color w:val="auto"/>
                <w:kern w:val="0"/>
                <w:sz w:val="24"/>
                <w:szCs w:val="24"/>
                <w:u w:val="none"/>
                <w:lang w:val="en-US" w:eastAsia="zh-CN" w:bidi="ar"/>
              </w:rPr>
              <w:t xml:space="preserve">23,375.95 </w:t>
            </w:r>
          </w:p>
        </w:tc>
      </w:tr>
      <w:tr w14:paraId="4E45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669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1B7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珠海市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8EC4">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472</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71</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3EB1">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28C8">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DBF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 3,381.24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1D7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3,381.24 </w:t>
            </w:r>
          </w:p>
        </w:tc>
      </w:tr>
      <w:tr w14:paraId="0E2A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5AA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C24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汕头市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4B01">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10</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609</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74</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BD05">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106</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19</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E0F9">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22</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53</w:t>
            </w:r>
            <w:r>
              <w:rPr>
                <w:rFonts w:hint="eastAsia" w:ascii="Times New Roman" w:hAnsi="Times New Roman" w:eastAsia="仿宋_GB2312" w:cs="Times New Roman"/>
                <w:i w:val="0"/>
                <w:iCs w:val="0"/>
                <w:color w:val="auto"/>
                <w:kern w:val="0"/>
                <w:sz w:val="24"/>
                <w:szCs w:val="24"/>
                <w:u w:val="none"/>
                <w:lang w:val="en-US" w:eastAsia="zh-CN" w:bidi="ar"/>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5CC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 966.17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ED1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966.17 </w:t>
            </w:r>
          </w:p>
        </w:tc>
      </w:tr>
      <w:tr w14:paraId="2432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338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1FA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佛山市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C6FE">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911</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72</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C3C6">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9606">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019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 6,747.30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6EE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6,747.30 </w:t>
            </w:r>
          </w:p>
        </w:tc>
      </w:tr>
      <w:tr w14:paraId="1A940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698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90C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韶关市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76EF">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23</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824</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58</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EEC7">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130</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51</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5A60">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112</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87</w:t>
            </w:r>
            <w:r>
              <w:rPr>
                <w:rFonts w:hint="eastAsia" w:ascii="Times New Roman" w:hAnsi="Times New Roman" w:eastAsia="仿宋_GB2312" w:cs="Times New Roman"/>
                <w:i w:val="0"/>
                <w:iCs w:val="0"/>
                <w:color w:val="auto"/>
                <w:kern w:val="0"/>
                <w:sz w:val="24"/>
                <w:szCs w:val="24"/>
                <w:u w:val="none"/>
                <w:lang w:val="en-US" w:eastAsia="zh-CN" w:bidi="ar"/>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992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 753.13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128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753.13 </w:t>
            </w:r>
          </w:p>
        </w:tc>
      </w:tr>
      <w:tr w14:paraId="5F7B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E4A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A30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河源市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AE57">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3</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205</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01</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ADF7">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55</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73</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B746">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157</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93</w:t>
            </w:r>
            <w:r>
              <w:rPr>
                <w:rFonts w:hint="eastAsia" w:ascii="Times New Roman" w:hAnsi="Times New Roman" w:eastAsia="仿宋_GB2312" w:cs="Times New Roman"/>
                <w:i w:val="0"/>
                <w:iCs w:val="0"/>
                <w:color w:val="auto"/>
                <w:kern w:val="0"/>
                <w:sz w:val="24"/>
                <w:szCs w:val="24"/>
                <w:u w:val="none"/>
                <w:lang w:val="en-US" w:eastAsia="zh-CN" w:bidi="ar"/>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D62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 559.24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07F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559.24 </w:t>
            </w:r>
          </w:p>
        </w:tc>
      </w:tr>
      <w:tr w14:paraId="1B63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051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47A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梅州市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CF58">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483</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13</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684F">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45</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58</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4863">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93</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74</w:t>
            </w:r>
            <w:r>
              <w:rPr>
                <w:rFonts w:hint="eastAsia" w:ascii="Times New Roman" w:hAnsi="Times New Roman" w:eastAsia="仿宋_GB2312" w:cs="Times New Roman"/>
                <w:i w:val="0"/>
                <w:iCs w:val="0"/>
                <w:color w:val="auto"/>
                <w:kern w:val="0"/>
                <w:sz w:val="24"/>
                <w:szCs w:val="24"/>
                <w:u w:val="none"/>
                <w:lang w:val="en-US" w:eastAsia="zh-CN" w:bidi="ar"/>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9A1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 496.78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9E1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496.78 </w:t>
            </w:r>
          </w:p>
        </w:tc>
      </w:tr>
      <w:tr w14:paraId="0C9B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CDA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025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惠州市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F10A">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103</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61</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D808">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29</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76</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CB28">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590</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44</w:t>
            </w:r>
            <w:r>
              <w:rPr>
                <w:rFonts w:hint="eastAsia" w:ascii="Times New Roman" w:hAnsi="Times New Roman" w:eastAsia="仿宋_GB2312" w:cs="Times New Roman"/>
                <w:i w:val="0"/>
                <w:iCs w:val="0"/>
                <w:color w:val="auto"/>
                <w:kern w:val="0"/>
                <w:sz w:val="24"/>
                <w:szCs w:val="24"/>
                <w:u w:val="none"/>
                <w:lang w:val="en-US" w:eastAsia="zh-CN" w:bidi="ar"/>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63C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 2,857.37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6A1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2,857.37 </w:t>
            </w:r>
          </w:p>
        </w:tc>
      </w:tr>
      <w:tr w14:paraId="5B0B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233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157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汕尾市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93FE">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3</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903</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47</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C576">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26</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69</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36A0">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99</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49</w:t>
            </w:r>
            <w:r>
              <w:rPr>
                <w:rFonts w:hint="eastAsia" w:ascii="Times New Roman" w:hAnsi="Times New Roman" w:eastAsia="仿宋_GB2312" w:cs="Times New Roman"/>
                <w:i w:val="0"/>
                <w:iCs w:val="0"/>
                <w:color w:val="auto"/>
                <w:kern w:val="0"/>
                <w:sz w:val="24"/>
                <w:szCs w:val="24"/>
                <w:u w:val="none"/>
                <w:lang w:val="en-US" w:eastAsia="zh-CN" w:bidi="ar"/>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969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 297.53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5F7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297.53 </w:t>
            </w:r>
          </w:p>
        </w:tc>
      </w:tr>
      <w:tr w14:paraId="16462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8F9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ECD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东莞市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E710">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7</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459</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01</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6528">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CD4C">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CF4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 4,809.71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1D6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4,809.71 </w:t>
            </w:r>
          </w:p>
        </w:tc>
      </w:tr>
      <w:tr w14:paraId="468B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0CC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B64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中山市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8507">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180</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61</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6789">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975A">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CEF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 838.14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CCB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838.14 </w:t>
            </w:r>
          </w:p>
        </w:tc>
      </w:tr>
      <w:tr w14:paraId="583B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284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1F4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江门市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875A">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584</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90</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6C7B">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134</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94</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40C5">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140</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37</w:t>
            </w:r>
            <w:r>
              <w:rPr>
                <w:rFonts w:hint="eastAsia" w:ascii="Times New Roman" w:hAnsi="Times New Roman" w:eastAsia="仿宋_GB2312" w:cs="Times New Roman"/>
                <w:i w:val="0"/>
                <w:iCs w:val="0"/>
                <w:color w:val="auto"/>
                <w:kern w:val="0"/>
                <w:sz w:val="24"/>
                <w:szCs w:val="24"/>
                <w:u w:val="none"/>
                <w:lang w:val="en-US" w:eastAsia="zh-CN" w:bidi="ar"/>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011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 1,567.07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861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1,567.07 </w:t>
            </w:r>
          </w:p>
        </w:tc>
      </w:tr>
      <w:tr w14:paraId="0B613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9F1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F98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阳江市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D734">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136</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04</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DE46">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44</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16</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F823">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53</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96</w:t>
            </w:r>
            <w:r>
              <w:rPr>
                <w:rFonts w:hint="eastAsia" w:ascii="Times New Roman" w:hAnsi="Times New Roman" w:eastAsia="仿宋_GB2312" w:cs="Times New Roman"/>
                <w:i w:val="0"/>
                <w:iCs w:val="0"/>
                <w:color w:val="auto"/>
                <w:kern w:val="0"/>
                <w:sz w:val="24"/>
                <w:szCs w:val="24"/>
                <w:u w:val="none"/>
                <w:lang w:val="en-US" w:eastAsia="zh-CN" w:bidi="ar"/>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E54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 470.46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870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470.46 </w:t>
            </w:r>
          </w:p>
        </w:tc>
      </w:tr>
      <w:tr w14:paraId="515D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8CF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E57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湛江市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30FE">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74</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23</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3FFB">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113</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80</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00E1">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124</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39</w:t>
            </w:r>
            <w:r>
              <w:rPr>
                <w:rFonts w:hint="eastAsia" w:ascii="Times New Roman" w:hAnsi="Times New Roman" w:eastAsia="仿宋_GB2312" w:cs="Times New Roman"/>
                <w:i w:val="0"/>
                <w:iCs w:val="0"/>
                <w:color w:val="auto"/>
                <w:kern w:val="0"/>
                <w:sz w:val="24"/>
                <w:szCs w:val="24"/>
                <w:u w:val="none"/>
                <w:lang w:val="en-US" w:eastAsia="zh-CN" w:bidi="ar"/>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6D2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 1,391.69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6DD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1,391.69 </w:t>
            </w:r>
          </w:p>
        </w:tc>
      </w:tr>
      <w:tr w14:paraId="7C0CD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420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63E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茂名市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3FA6">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897</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08</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4A5D">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22</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55</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CE04">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129</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57</w:t>
            </w:r>
            <w:r>
              <w:rPr>
                <w:rFonts w:hint="eastAsia" w:ascii="Times New Roman" w:hAnsi="Times New Roman" w:eastAsia="仿宋_GB2312" w:cs="Times New Roman"/>
                <w:i w:val="0"/>
                <w:iCs w:val="0"/>
                <w:color w:val="auto"/>
                <w:kern w:val="0"/>
                <w:sz w:val="24"/>
                <w:szCs w:val="24"/>
                <w:u w:val="none"/>
                <w:lang w:val="en-US" w:eastAsia="zh-CN" w:bidi="ar"/>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058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 618.74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545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618.74 </w:t>
            </w:r>
          </w:p>
        </w:tc>
      </w:tr>
      <w:tr w14:paraId="4847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549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62A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肇庆市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2294">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17</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788</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05</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692B">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23</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22</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032C">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100</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98</w:t>
            </w:r>
            <w:r>
              <w:rPr>
                <w:rFonts w:hint="eastAsia" w:ascii="Times New Roman" w:hAnsi="Times New Roman" w:eastAsia="仿宋_GB2312" w:cs="Times New Roman"/>
                <w:i w:val="0"/>
                <w:iCs w:val="0"/>
                <w:color w:val="auto"/>
                <w:kern w:val="0"/>
                <w:sz w:val="24"/>
                <w:szCs w:val="24"/>
                <w:u w:val="none"/>
                <w:lang w:val="en-US" w:eastAsia="zh-CN" w:bidi="ar"/>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5F3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 872.15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D17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872.15 </w:t>
            </w:r>
          </w:p>
        </w:tc>
      </w:tr>
      <w:tr w14:paraId="5887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34E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862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清远市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E053">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513</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29</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6ED4">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57</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72</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DE83">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302</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92</w:t>
            </w:r>
            <w:r>
              <w:rPr>
                <w:rFonts w:hint="eastAsia" w:ascii="Times New Roman" w:hAnsi="Times New Roman" w:eastAsia="仿宋_GB2312" w:cs="Times New Roman"/>
                <w:i w:val="0"/>
                <w:iCs w:val="0"/>
                <w:color w:val="auto"/>
                <w:kern w:val="0"/>
                <w:sz w:val="24"/>
                <w:szCs w:val="24"/>
                <w:u w:val="none"/>
                <w:lang w:val="en-US" w:eastAsia="zh-CN" w:bidi="ar"/>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FB8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 936.58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28F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936.58 </w:t>
            </w:r>
          </w:p>
        </w:tc>
      </w:tr>
      <w:tr w14:paraId="70BF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E59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D90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潮州市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5480">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350</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14</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4918">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19</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63</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751D">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90</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00</w:t>
            </w:r>
            <w:r>
              <w:rPr>
                <w:rFonts w:hint="eastAsia" w:ascii="Times New Roman" w:hAnsi="Times New Roman" w:eastAsia="仿宋_GB2312" w:cs="Times New Roman"/>
                <w:i w:val="0"/>
                <w:iCs w:val="0"/>
                <w:color w:val="auto"/>
                <w:kern w:val="0"/>
                <w:sz w:val="24"/>
                <w:szCs w:val="24"/>
                <w:u w:val="none"/>
                <w:lang w:val="en-US" w:eastAsia="zh-CN" w:bidi="ar"/>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0D4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 513.21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A55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513.21 </w:t>
            </w:r>
          </w:p>
        </w:tc>
      </w:tr>
      <w:tr w14:paraId="16FE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8FB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285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揭阳市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6692">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51</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20</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EC2B">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37</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04</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A8F2">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13</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35</w:t>
            </w:r>
            <w:r>
              <w:rPr>
                <w:rFonts w:hint="eastAsia" w:ascii="Times New Roman" w:hAnsi="Times New Roman" w:eastAsia="仿宋_GB2312" w:cs="Times New Roman"/>
                <w:i w:val="0"/>
                <w:iCs w:val="0"/>
                <w:color w:val="auto"/>
                <w:kern w:val="0"/>
                <w:sz w:val="24"/>
                <w:szCs w:val="24"/>
                <w:u w:val="none"/>
                <w:lang w:val="en-US" w:eastAsia="zh-CN" w:bidi="ar"/>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21E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 510.77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BFB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510.77 </w:t>
            </w:r>
          </w:p>
        </w:tc>
      </w:tr>
      <w:tr w14:paraId="41E9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7B1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970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云浮市</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4241">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568</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17</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D8B0">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5</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48</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96AF">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29</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46</w:t>
            </w:r>
            <w:r>
              <w:rPr>
                <w:rFonts w:hint="eastAsia" w:ascii="Times New Roman" w:hAnsi="Times New Roman" w:eastAsia="仿宋_GB2312" w:cs="Times New Roman"/>
                <w:i w:val="0"/>
                <w:iCs w:val="0"/>
                <w:color w:val="auto"/>
                <w:kern w:val="0"/>
                <w:sz w:val="24"/>
                <w:szCs w:val="24"/>
                <w:u w:val="none"/>
                <w:lang w:val="en-US" w:eastAsia="zh-CN" w:bidi="ar"/>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9E2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 xml:space="preserve"> 431.77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9E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431.77 </w:t>
            </w:r>
          </w:p>
        </w:tc>
      </w:tr>
      <w:tr w14:paraId="3D4B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810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FA1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省本级</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81CD">
            <w:pPr>
              <w:keepNext w:val="0"/>
              <w:keepLines w:val="0"/>
              <w:widowControl/>
              <w:suppressLineNumbers w:val="0"/>
              <w:jc w:val="right"/>
              <w:textAlignment w:val="center"/>
              <w:rPr>
                <w:rFonts w:hint="eastAsia" w:ascii="仿宋_GB2312" w:hAnsi="仿宋_GB2312" w:eastAsia="仿宋_GB2312" w:cs="仿宋_GB2312"/>
                <w:i w:val="0"/>
                <w:iCs w:val="0"/>
                <w:color w:val="auto"/>
                <w:sz w:val="24"/>
                <w:szCs w:val="24"/>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06A9">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82BC">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0AB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890.00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60F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 890.00 </w:t>
            </w:r>
          </w:p>
        </w:tc>
      </w:tr>
      <w:tr w14:paraId="5CAB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B72B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合计</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0CC2">
            <w:pPr>
              <w:keepNext w:val="0"/>
              <w:keepLines w:val="0"/>
              <w:widowControl/>
              <w:suppressLineNumbers w:val="0"/>
              <w:jc w:val="right"/>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49</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480</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00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8217">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853</w:t>
            </w:r>
            <w:r>
              <w:rPr>
                <w:rFonts w:hint="eastAsia" w:ascii="仿宋_GB2312" w:hAnsi="仿宋_GB2312" w:eastAsia="仿宋_GB2312" w:cs="仿宋_GB2312"/>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00</w:t>
            </w: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624B">
            <w:pPr>
              <w:keepNext w:val="0"/>
              <w:keepLines w:val="0"/>
              <w:widowControl/>
              <w:suppressLineNumbers w:val="0"/>
              <w:jc w:val="righ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062</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00</w:t>
            </w:r>
            <w:r>
              <w:rPr>
                <w:rFonts w:hint="eastAsia" w:ascii="Times New Roman" w:hAnsi="Times New Roman" w:eastAsia="仿宋_GB2312" w:cs="Times New Roman"/>
                <w:i w:val="0"/>
                <w:iCs w:val="0"/>
                <w:color w:val="auto"/>
                <w:kern w:val="0"/>
                <w:sz w:val="24"/>
                <w:szCs w:val="24"/>
                <w:u w:val="none"/>
                <w:lang w:val="en-US" w:eastAsia="zh-CN" w:bidi="ar"/>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1BB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53,285.00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398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53,285.00 </w:t>
            </w:r>
          </w:p>
        </w:tc>
      </w:tr>
      <w:bookmarkEnd w:id="3"/>
      <w:bookmarkEnd w:id="9"/>
    </w:tbl>
    <w:p w14:paraId="2D6E7224">
      <w:pPr>
        <w:pStyle w:val="16"/>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43" w:firstLineChars="200"/>
        <w:textAlignment w:val="auto"/>
        <w:outlineLvl w:val="1"/>
        <w:rPr>
          <w:rFonts w:hint="eastAsia" w:ascii="Times New Roman" w:hAnsi="Times New Roman" w:eastAsia="楷体_GB2312" w:cs="仿宋"/>
          <w:b/>
          <w:bCs/>
          <w:color w:val="auto"/>
          <w:sz w:val="32"/>
          <w:highlight w:val="none"/>
        </w:rPr>
      </w:pPr>
      <w:bookmarkStart w:id="14" w:name="_Toc31256"/>
      <w:bookmarkStart w:id="15" w:name="_Toc20139"/>
      <w:bookmarkStart w:id="16" w:name="_Toc25838"/>
      <w:r>
        <w:rPr>
          <w:rFonts w:hint="eastAsia" w:ascii="Times New Roman" w:hAnsi="Times New Roman" w:eastAsia="楷体_GB2312" w:cs="仿宋"/>
          <w:b/>
          <w:bCs/>
          <w:color w:val="auto"/>
          <w:sz w:val="32"/>
          <w:highlight w:val="none"/>
        </w:rPr>
        <w:t>资金主要用途</w:t>
      </w:r>
      <w:bookmarkEnd w:id="14"/>
      <w:bookmarkEnd w:id="15"/>
      <w:bookmarkEnd w:id="16"/>
    </w:p>
    <w:p w14:paraId="2F2DAB65">
      <w:pPr>
        <w:pageBreakBefore w:val="0"/>
        <w:widowControl/>
        <w:numPr>
          <w:ilvl w:val="-1"/>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Times New Roman" w:eastAsia="仿宋_GB2312"/>
          <w:color w:val="auto"/>
          <w:sz w:val="32"/>
          <w:szCs w:val="32"/>
        </w:rPr>
      </w:pPr>
      <w:r>
        <w:rPr>
          <w:rFonts w:hint="eastAsia" w:ascii="仿宋_GB2312" w:hAnsi="仿宋_GB2312" w:eastAsia="仿宋_GB2312" w:cs="仿宋_GB2312"/>
          <w:color w:val="auto"/>
          <w:sz w:val="32"/>
          <w:szCs w:val="32"/>
          <w:lang w:val="en-US" w:eastAsia="zh-CN"/>
        </w:rPr>
        <w:t>专项</w:t>
      </w:r>
      <w:r>
        <w:rPr>
          <w:rFonts w:hint="eastAsia" w:ascii="仿宋_GB2312" w:hAnsi="仿宋_GB2312" w:eastAsia="仿宋_GB2312" w:cs="仿宋_GB2312"/>
          <w:color w:val="auto"/>
          <w:sz w:val="32"/>
          <w:szCs w:val="32"/>
        </w:rPr>
        <w:t>资金主要用途：</w:t>
      </w:r>
      <w:r>
        <w:rPr>
          <w:rFonts w:hint="eastAsia" w:ascii="仿宋_GB2312" w:hAnsi="Times New Roman" w:eastAsia="仿宋_GB2312"/>
          <w:color w:val="auto"/>
          <w:sz w:val="32"/>
          <w:szCs w:val="32"/>
          <w:lang w:val="en-US" w:eastAsia="zh-CN"/>
        </w:rPr>
        <w:t>主要用于开展保障性安居工程、危旧房改造与自建房排查鉴定等相关工作。包括用于配售型保障性住房、配租型保障性住房（保障性租赁住房、公共租赁住房）等保障性住房的筹集建设、发放租赁补贴、棚户区（危旧房）改造相关支出、保障性住房配套设施建设、政府投资类别的保障性住房运营维护管理方面相关支出等。</w:t>
      </w:r>
    </w:p>
    <w:p w14:paraId="401D09EF">
      <w:pPr>
        <w:pStyle w:val="16"/>
        <w:pageBreakBefore w:val="0"/>
        <w:kinsoku/>
        <w:wordWrap/>
        <w:overflowPunct/>
        <w:topLinePunct w:val="0"/>
        <w:autoSpaceDE/>
        <w:autoSpaceDN/>
        <w:bidi w:val="0"/>
        <w:adjustRightInd w:val="0"/>
        <w:snapToGrid w:val="0"/>
        <w:spacing w:line="360" w:lineRule="auto"/>
        <w:ind w:left="0" w:leftChars="0" w:firstLine="643" w:firstLineChars="200"/>
        <w:textAlignment w:val="auto"/>
        <w:outlineLvl w:val="1"/>
        <w:rPr>
          <w:rFonts w:ascii="Times New Roman" w:hAnsi="Times New Roman" w:eastAsia="楷体_GB2312" w:cs="仿宋"/>
          <w:b/>
          <w:bCs/>
          <w:color w:val="auto"/>
          <w:sz w:val="32"/>
          <w:highlight w:val="none"/>
        </w:rPr>
      </w:pPr>
      <w:bookmarkStart w:id="17" w:name="_Toc542"/>
      <w:bookmarkStart w:id="18" w:name="_Toc17300"/>
      <w:bookmarkStart w:id="19" w:name="_Toc23811"/>
      <w:r>
        <w:rPr>
          <w:rFonts w:hint="eastAsia" w:ascii="Times New Roman" w:hAnsi="Times New Roman" w:eastAsia="楷体_GB2312" w:cs="仿宋"/>
          <w:b/>
          <w:bCs/>
          <w:color w:val="auto"/>
          <w:sz w:val="32"/>
          <w:highlight w:val="none"/>
        </w:rPr>
        <w:t>（</w:t>
      </w:r>
      <w:r>
        <w:rPr>
          <w:rFonts w:hint="eastAsia" w:ascii="Times New Roman" w:hAnsi="Times New Roman" w:eastAsia="楷体_GB2312" w:cs="仿宋"/>
          <w:b/>
          <w:bCs/>
          <w:color w:val="auto"/>
          <w:sz w:val="32"/>
          <w:highlight w:val="none"/>
          <w:lang w:val="en-US" w:eastAsia="zh-CN"/>
        </w:rPr>
        <w:t>四</w:t>
      </w:r>
      <w:r>
        <w:rPr>
          <w:rFonts w:hint="eastAsia" w:ascii="Times New Roman" w:hAnsi="Times New Roman" w:eastAsia="楷体_GB2312" w:cs="仿宋"/>
          <w:b/>
          <w:bCs/>
          <w:color w:val="auto"/>
          <w:sz w:val="32"/>
          <w:highlight w:val="none"/>
        </w:rPr>
        <w:t>）绩效目标</w:t>
      </w:r>
      <w:bookmarkEnd w:id="17"/>
      <w:bookmarkEnd w:id="18"/>
      <w:bookmarkEnd w:id="19"/>
    </w:p>
    <w:p w14:paraId="2720CB7A">
      <w:pPr>
        <w:pageBreakBefore w:val="0"/>
        <w:widowControl/>
        <w:numPr>
          <w:ilvl w:val="-1"/>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Times New Roman" w:eastAsia="仿宋_GB2312"/>
          <w:color w:val="auto"/>
          <w:sz w:val="32"/>
          <w:lang w:eastAsia="zh-CN"/>
        </w:rPr>
      </w:pPr>
      <w:r>
        <w:rPr>
          <w:rFonts w:hint="eastAsia" w:ascii="仿宋_GB2312" w:hAnsi="Times New Roman" w:eastAsia="仿宋_GB2312"/>
          <w:color w:val="auto"/>
          <w:sz w:val="32"/>
        </w:rPr>
        <w:t>总体绩效目标</w:t>
      </w:r>
      <w:r>
        <w:rPr>
          <w:rFonts w:hint="eastAsia" w:ascii="仿宋_GB2312" w:hAnsi="Times New Roman" w:eastAsia="仿宋_GB2312" w:cstheme="minorBidi"/>
          <w:color w:val="auto"/>
          <w:kern w:val="2"/>
          <w:sz w:val="32"/>
          <w:szCs w:val="24"/>
          <w:lang w:val="en-US" w:eastAsia="zh-CN" w:bidi="ar"/>
        </w:rPr>
        <w:t>是：主要用于</w:t>
      </w:r>
      <w:r>
        <w:rPr>
          <w:rFonts w:hint="default" w:ascii="Times New Roman" w:hAnsi="Times New Roman" w:eastAsia="仿宋_GB2312" w:cs="Times New Roman"/>
          <w:color w:val="auto"/>
          <w:kern w:val="2"/>
          <w:sz w:val="32"/>
          <w:szCs w:val="24"/>
          <w:lang w:val="en-US" w:eastAsia="zh-CN" w:bidi="ar"/>
        </w:rPr>
        <w:t>2024</w:t>
      </w:r>
      <w:r>
        <w:rPr>
          <w:rFonts w:hint="eastAsia" w:ascii="仿宋_GB2312" w:hAnsi="Times New Roman" w:eastAsia="仿宋_GB2312" w:cstheme="minorBidi"/>
          <w:color w:val="auto"/>
          <w:kern w:val="2"/>
          <w:sz w:val="32"/>
          <w:szCs w:val="24"/>
          <w:lang w:val="en-US" w:eastAsia="zh-CN" w:bidi="ar"/>
        </w:rPr>
        <w:t>年开展保障性安居工程、危旧房改造与自建房排查鉴定等相关工作。</w:t>
      </w:r>
      <w:r>
        <w:rPr>
          <w:rFonts w:hint="eastAsia" w:ascii="仿宋_GB2312" w:hAnsi="Times New Roman" w:eastAsia="仿宋_GB2312" w:cstheme="minorBidi"/>
          <w:color w:val="auto"/>
          <w:kern w:val="2"/>
          <w:sz w:val="32"/>
          <w:szCs w:val="32"/>
          <w:lang w:val="en-US" w:eastAsia="zh-CN" w:bidi="ar"/>
        </w:rPr>
        <w:t>支持符合条件的城镇居民保障其基本居住需求，改善其居住条件，实现房住不炒、住有所居。</w:t>
      </w:r>
      <w:r>
        <w:rPr>
          <w:rFonts w:hint="eastAsia" w:ascii="仿宋_GB2312" w:hAnsi="Times New Roman" w:eastAsia="仿宋_GB2312"/>
          <w:color w:val="auto"/>
          <w:sz w:val="32"/>
        </w:rPr>
        <w:t>具体绩效指标</w:t>
      </w:r>
      <w:r>
        <w:rPr>
          <w:rFonts w:hint="eastAsia" w:ascii="仿宋_GB2312" w:hAnsi="Times New Roman" w:eastAsia="仿宋_GB2312"/>
          <w:color w:val="auto"/>
          <w:sz w:val="32"/>
          <w:lang w:eastAsia="zh-CN"/>
        </w:rPr>
        <w:t>见</w:t>
      </w:r>
      <w:r>
        <w:rPr>
          <w:rFonts w:hint="eastAsia" w:ascii="仿宋_GB2312" w:hAnsi="Times New Roman" w:eastAsia="仿宋_GB2312"/>
          <w:color w:val="auto"/>
          <w:sz w:val="32"/>
        </w:rPr>
        <w:t>表</w:t>
      </w:r>
      <w:r>
        <w:rPr>
          <w:rFonts w:hint="default" w:ascii="Times New Roman" w:hAnsi="Times New Roman" w:eastAsia="仿宋_GB2312" w:cs="Times New Roman"/>
          <w:color w:val="auto"/>
          <w:sz w:val="32"/>
          <w:lang w:val="en-US" w:eastAsia="zh-CN"/>
        </w:rPr>
        <w:t>1</w:t>
      </w:r>
      <w:r>
        <w:rPr>
          <w:rFonts w:hint="eastAsia" w:ascii="仿宋_GB2312" w:hAnsi="Times New Roman" w:eastAsia="仿宋_GB2312"/>
          <w:color w:val="auto"/>
          <w:sz w:val="32"/>
          <w:lang w:val="en-US" w:eastAsia="zh-CN"/>
        </w:rPr>
        <w:t>-</w:t>
      </w:r>
      <w:r>
        <w:rPr>
          <w:rFonts w:hint="default" w:ascii="Times New Roman" w:hAnsi="Times New Roman" w:eastAsia="仿宋_GB2312" w:cs="Times New Roman"/>
          <w:color w:val="auto"/>
          <w:sz w:val="32"/>
        </w:rPr>
        <w:t>1</w:t>
      </w:r>
      <w:r>
        <w:rPr>
          <w:rFonts w:hint="eastAsia" w:ascii="仿宋_GB2312" w:hAnsi="Times New Roman" w:eastAsia="仿宋_GB2312"/>
          <w:color w:val="auto"/>
          <w:sz w:val="32"/>
          <w:lang w:eastAsia="zh-CN"/>
        </w:rPr>
        <w:t>。</w:t>
      </w:r>
    </w:p>
    <w:p w14:paraId="054EB89D">
      <w:pPr>
        <w:widowControl/>
        <w:numPr>
          <w:ilvl w:val="255"/>
          <w:numId w:val="0"/>
        </w:numPr>
        <w:spacing w:beforeLines="0"/>
        <w:jc w:val="center"/>
        <w:rPr>
          <w:rFonts w:hint="eastAsia" w:ascii="黑体" w:hAnsi="黑体" w:eastAsia="黑体" w:cs="黑体"/>
          <w:color w:val="auto"/>
          <w:sz w:val="28"/>
          <w:szCs w:val="28"/>
        </w:rPr>
      </w:pPr>
      <w:r>
        <w:rPr>
          <w:rFonts w:hint="eastAsia" w:ascii="黑体" w:hAnsi="黑体" w:eastAsia="黑体" w:cs="黑体"/>
          <w:color w:val="auto"/>
          <w:sz w:val="28"/>
          <w:szCs w:val="28"/>
        </w:rPr>
        <w:t>表</w:t>
      </w:r>
      <w:r>
        <w:rPr>
          <w:rFonts w:hint="default" w:ascii="Times New Roman" w:hAnsi="Times New Roman" w:eastAsia="黑体" w:cs="Times New Roman"/>
          <w:color w:val="auto"/>
          <w:sz w:val="28"/>
          <w:szCs w:val="28"/>
          <w:lang w:val="en-US" w:eastAsia="zh-CN"/>
        </w:rPr>
        <w:t>1</w:t>
      </w:r>
      <w:r>
        <w:rPr>
          <w:rFonts w:hint="eastAsia" w:ascii="黑体" w:hAnsi="黑体" w:eastAsia="黑体" w:cs="黑体"/>
          <w:color w:val="auto"/>
          <w:sz w:val="28"/>
          <w:szCs w:val="28"/>
          <w:lang w:val="en-US" w:eastAsia="zh-CN"/>
        </w:rPr>
        <w:t>-</w:t>
      </w:r>
      <w:r>
        <w:rPr>
          <w:rFonts w:hint="default" w:ascii="Times New Roman" w:hAnsi="Times New Roman" w:eastAsia="黑体" w:cs="Times New Roman"/>
          <w:color w:val="auto"/>
          <w:sz w:val="28"/>
          <w:szCs w:val="28"/>
        </w:rPr>
        <w:t>1</w:t>
      </w:r>
      <w:r>
        <w:rPr>
          <w:rFonts w:hint="eastAsia" w:ascii="黑体" w:hAnsi="黑体" w:eastAsia="黑体" w:cs="黑体"/>
          <w:color w:val="auto"/>
          <w:sz w:val="28"/>
          <w:szCs w:val="28"/>
        </w:rPr>
        <w:t xml:space="preserve"> </w:t>
      </w:r>
      <w:r>
        <w:rPr>
          <w:rFonts w:hint="default" w:ascii="Times New Roman" w:hAnsi="Times New Roman" w:eastAsia="黑体" w:cs="Times New Roman"/>
          <w:color w:val="auto"/>
          <w:sz w:val="28"/>
          <w:szCs w:val="28"/>
          <w:lang w:eastAsia="zh-CN"/>
        </w:rPr>
        <w:t>2023</w:t>
      </w:r>
      <w:r>
        <w:rPr>
          <w:rFonts w:hint="eastAsia" w:ascii="Times New Roman" w:hAnsi="Times New Roman" w:eastAsia="黑体" w:cs="Times New Roman"/>
          <w:color w:val="auto"/>
          <w:sz w:val="28"/>
          <w:szCs w:val="28"/>
          <w:lang w:eastAsia="zh-CN"/>
        </w:rPr>
        <w:t>年</w:t>
      </w:r>
      <w:r>
        <w:rPr>
          <w:rFonts w:hint="eastAsia" w:ascii="黑体" w:hAnsi="黑体" w:eastAsia="黑体" w:cs="黑体"/>
          <w:color w:val="auto"/>
          <w:sz w:val="28"/>
          <w:szCs w:val="28"/>
          <w:lang w:val="en-US" w:eastAsia="zh-CN"/>
        </w:rPr>
        <w:t>保障性安居工程</w:t>
      </w:r>
      <w:r>
        <w:rPr>
          <w:rFonts w:hint="eastAsia" w:ascii="黑体" w:hAnsi="黑体" w:eastAsia="黑体" w:cs="黑体"/>
          <w:color w:val="auto"/>
          <w:sz w:val="28"/>
          <w:szCs w:val="28"/>
          <w:lang w:eastAsia="zh-CN"/>
        </w:rPr>
        <w:t>专项</w:t>
      </w:r>
      <w:r>
        <w:rPr>
          <w:rFonts w:hint="eastAsia" w:ascii="黑体" w:hAnsi="黑体" w:eastAsia="黑体" w:cs="黑体"/>
          <w:color w:val="auto"/>
          <w:sz w:val="28"/>
          <w:szCs w:val="28"/>
        </w:rPr>
        <w:t>补助</w:t>
      </w:r>
      <w:r>
        <w:rPr>
          <w:rFonts w:hint="eastAsia" w:ascii="黑体" w:hAnsi="黑体" w:eastAsia="黑体" w:cs="黑体"/>
          <w:color w:val="auto"/>
          <w:sz w:val="28"/>
          <w:szCs w:val="28"/>
          <w:lang w:eastAsia="zh-CN"/>
        </w:rPr>
        <w:t>资金</w:t>
      </w:r>
      <w:r>
        <w:rPr>
          <w:rFonts w:hint="eastAsia" w:ascii="黑体" w:hAnsi="黑体" w:eastAsia="黑体" w:cs="黑体"/>
          <w:color w:val="auto"/>
          <w:sz w:val="28"/>
          <w:szCs w:val="28"/>
        </w:rPr>
        <w:t>绩效</w:t>
      </w:r>
      <w:r>
        <w:rPr>
          <w:rFonts w:hint="eastAsia" w:ascii="黑体" w:hAnsi="黑体" w:eastAsia="黑体" w:cs="黑体"/>
          <w:color w:val="auto"/>
          <w:sz w:val="28"/>
          <w:szCs w:val="28"/>
          <w:lang w:eastAsia="zh-CN"/>
        </w:rPr>
        <w:t>指</w:t>
      </w:r>
      <w:r>
        <w:rPr>
          <w:rFonts w:hint="eastAsia" w:ascii="黑体" w:hAnsi="黑体" w:eastAsia="黑体" w:cs="黑体"/>
          <w:color w:val="auto"/>
          <w:sz w:val="28"/>
          <w:szCs w:val="28"/>
        </w:rPr>
        <w:t>标表</w:t>
      </w:r>
      <w:r>
        <w:rPr>
          <w:rStyle w:val="28"/>
          <w:rFonts w:hint="eastAsia" w:ascii="黑体" w:hAnsi="黑体" w:eastAsia="黑体" w:cs="黑体"/>
          <w:color w:val="auto"/>
          <w:sz w:val="28"/>
          <w:szCs w:val="28"/>
        </w:rPr>
        <w:footnoteReference w:id="0"/>
      </w:r>
    </w:p>
    <w:tbl>
      <w:tblPr>
        <w:tblStyle w:val="22"/>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954"/>
        <w:gridCol w:w="3489"/>
        <w:gridCol w:w="2967"/>
      </w:tblGrid>
      <w:tr w14:paraId="7C17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blHeader/>
          <w:jc w:val="center"/>
        </w:trPr>
        <w:tc>
          <w:tcPr>
            <w:tcW w:w="890" w:type="dxa"/>
            <w:vAlign w:val="center"/>
          </w:tcPr>
          <w:p w14:paraId="5D5B26E2">
            <w:pPr>
              <w:widowControl/>
              <w:numPr>
                <w:ilvl w:val="255"/>
                <w:numId w:val="0"/>
              </w:numPr>
              <w:spacing w:beforeLine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一级指标</w:t>
            </w:r>
          </w:p>
        </w:tc>
        <w:tc>
          <w:tcPr>
            <w:tcW w:w="1954" w:type="dxa"/>
            <w:vAlign w:val="center"/>
          </w:tcPr>
          <w:p w14:paraId="7DDEE64E">
            <w:pPr>
              <w:widowControl/>
              <w:numPr>
                <w:ilvl w:val="255"/>
                <w:numId w:val="0"/>
              </w:numPr>
              <w:spacing w:beforeLine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二级指标</w:t>
            </w:r>
          </w:p>
        </w:tc>
        <w:tc>
          <w:tcPr>
            <w:tcW w:w="3489" w:type="dxa"/>
            <w:vAlign w:val="center"/>
          </w:tcPr>
          <w:p w14:paraId="761976DD">
            <w:pPr>
              <w:widowControl/>
              <w:numPr>
                <w:ilvl w:val="255"/>
                <w:numId w:val="0"/>
              </w:numPr>
              <w:spacing w:beforeLine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三级指标</w:t>
            </w:r>
          </w:p>
        </w:tc>
        <w:tc>
          <w:tcPr>
            <w:tcW w:w="2967" w:type="dxa"/>
            <w:vAlign w:val="center"/>
          </w:tcPr>
          <w:p w14:paraId="25064EEC">
            <w:pPr>
              <w:widowControl/>
              <w:numPr>
                <w:ilvl w:val="255"/>
                <w:numId w:val="0"/>
              </w:numPr>
              <w:spacing w:beforeLine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指标值</w:t>
            </w:r>
          </w:p>
        </w:tc>
      </w:tr>
      <w:tr w14:paraId="23E1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90" w:type="dxa"/>
            <w:vMerge w:val="restart"/>
            <w:vAlign w:val="center"/>
          </w:tcPr>
          <w:p w14:paraId="0BDEDD6E">
            <w:pPr>
              <w:widowControl/>
              <w:numPr>
                <w:ilvl w:val="255"/>
                <w:numId w:val="0"/>
              </w:numPr>
              <w:spacing w:beforeLine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产出指标</w:t>
            </w:r>
          </w:p>
        </w:tc>
        <w:tc>
          <w:tcPr>
            <w:tcW w:w="1954" w:type="dxa"/>
            <w:vMerge w:val="restart"/>
            <w:vAlign w:val="center"/>
          </w:tcPr>
          <w:p w14:paraId="490EECF5">
            <w:pPr>
              <w:widowControl/>
              <w:numPr>
                <w:ilvl w:val="255"/>
                <w:numId w:val="0"/>
              </w:numPr>
              <w:spacing w:beforeLine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数量指标</w:t>
            </w:r>
          </w:p>
        </w:tc>
        <w:tc>
          <w:tcPr>
            <w:tcW w:w="3489" w:type="dxa"/>
            <w:vAlign w:val="center"/>
          </w:tcPr>
          <w:p w14:paraId="571239BD">
            <w:pPr>
              <w:keepNext w:val="0"/>
              <w:keepLines w:val="0"/>
              <w:widowControl/>
              <w:suppressLineNumbers w:val="0"/>
              <w:jc w:val="center"/>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新筹建公共租赁住房（万套）</w:t>
            </w:r>
          </w:p>
        </w:tc>
        <w:tc>
          <w:tcPr>
            <w:tcW w:w="2967" w:type="dxa"/>
            <w:vAlign w:val="center"/>
          </w:tcPr>
          <w:p w14:paraId="18706CB5">
            <w:pPr>
              <w:keepNext w:val="0"/>
              <w:keepLines w:val="0"/>
              <w:widowControl/>
              <w:suppressLineNumbers w:val="0"/>
              <w:jc w:val="center"/>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0.05</w:t>
            </w:r>
          </w:p>
        </w:tc>
      </w:tr>
      <w:tr w14:paraId="64F9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90" w:type="dxa"/>
            <w:vMerge w:val="continue"/>
            <w:vAlign w:val="center"/>
          </w:tcPr>
          <w:p w14:paraId="7A37279B">
            <w:pPr>
              <w:widowControl/>
              <w:numPr>
                <w:ilvl w:val="255"/>
                <w:numId w:val="0"/>
              </w:numPr>
              <w:spacing w:beforeLines="0"/>
              <w:jc w:val="center"/>
              <w:rPr>
                <w:rFonts w:hint="eastAsia" w:ascii="仿宋_GB2312" w:hAnsi="仿宋_GB2312" w:eastAsia="仿宋_GB2312" w:cs="仿宋_GB2312"/>
                <w:color w:val="auto"/>
                <w:sz w:val="24"/>
                <w:szCs w:val="24"/>
              </w:rPr>
            </w:pPr>
          </w:p>
        </w:tc>
        <w:tc>
          <w:tcPr>
            <w:tcW w:w="1954" w:type="dxa"/>
            <w:vMerge w:val="continue"/>
            <w:vAlign w:val="center"/>
          </w:tcPr>
          <w:p w14:paraId="196E3F0E">
            <w:pPr>
              <w:widowControl/>
              <w:numPr>
                <w:ilvl w:val="255"/>
                <w:numId w:val="0"/>
              </w:numPr>
              <w:spacing w:beforeLines="0"/>
              <w:jc w:val="center"/>
              <w:rPr>
                <w:rFonts w:hint="eastAsia" w:ascii="仿宋_GB2312" w:hAnsi="仿宋_GB2312" w:eastAsia="仿宋_GB2312" w:cs="仿宋_GB2312"/>
                <w:color w:val="auto"/>
                <w:sz w:val="24"/>
                <w:szCs w:val="24"/>
              </w:rPr>
            </w:pPr>
          </w:p>
        </w:tc>
        <w:tc>
          <w:tcPr>
            <w:tcW w:w="3489" w:type="dxa"/>
            <w:vAlign w:val="center"/>
          </w:tcPr>
          <w:p w14:paraId="0F148242">
            <w:pPr>
              <w:keepNext w:val="0"/>
              <w:keepLines w:val="0"/>
              <w:widowControl/>
              <w:suppressLineNumbers w:val="0"/>
              <w:jc w:val="center"/>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发放租赁补贴（万户）</w:t>
            </w:r>
          </w:p>
        </w:tc>
        <w:tc>
          <w:tcPr>
            <w:tcW w:w="2967" w:type="dxa"/>
            <w:vAlign w:val="center"/>
          </w:tcPr>
          <w:p w14:paraId="114B0F14">
            <w:pPr>
              <w:keepNext w:val="0"/>
              <w:keepLines w:val="0"/>
              <w:widowControl/>
              <w:suppressLineNumbers w:val="0"/>
              <w:jc w:val="center"/>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4.8</w:t>
            </w:r>
          </w:p>
        </w:tc>
      </w:tr>
      <w:tr w14:paraId="2530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90" w:type="dxa"/>
            <w:vMerge w:val="continue"/>
            <w:vAlign w:val="center"/>
          </w:tcPr>
          <w:p w14:paraId="393D90FA">
            <w:pPr>
              <w:widowControl/>
              <w:numPr>
                <w:ilvl w:val="255"/>
                <w:numId w:val="0"/>
              </w:numPr>
              <w:spacing w:beforeLines="0"/>
              <w:jc w:val="center"/>
              <w:rPr>
                <w:rFonts w:hint="eastAsia" w:ascii="仿宋_GB2312" w:hAnsi="仿宋_GB2312" w:eastAsia="仿宋_GB2312" w:cs="仿宋_GB2312"/>
                <w:color w:val="auto"/>
                <w:sz w:val="24"/>
                <w:szCs w:val="24"/>
              </w:rPr>
            </w:pPr>
          </w:p>
        </w:tc>
        <w:tc>
          <w:tcPr>
            <w:tcW w:w="1954" w:type="dxa"/>
            <w:vMerge w:val="continue"/>
            <w:vAlign w:val="center"/>
          </w:tcPr>
          <w:p w14:paraId="4C71AC23">
            <w:pPr>
              <w:widowControl/>
              <w:numPr>
                <w:ilvl w:val="255"/>
                <w:numId w:val="0"/>
              </w:numPr>
              <w:spacing w:beforeLines="0"/>
              <w:jc w:val="center"/>
              <w:rPr>
                <w:rFonts w:hint="eastAsia" w:ascii="仿宋_GB2312" w:hAnsi="仿宋_GB2312" w:eastAsia="仿宋_GB2312" w:cs="仿宋_GB2312"/>
                <w:color w:val="auto"/>
                <w:sz w:val="24"/>
                <w:szCs w:val="24"/>
              </w:rPr>
            </w:pPr>
          </w:p>
        </w:tc>
        <w:tc>
          <w:tcPr>
            <w:tcW w:w="3489" w:type="dxa"/>
            <w:vAlign w:val="center"/>
          </w:tcPr>
          <w:p w14:paraId="638D5F16">
            <w:pPr>
              <w:keepNext w:val="0"/>
              <w:keepLines w:val="0"/>
              <w:widowControl/>
              <w:suppressLineNumbers w:val="0"/>
              <w:jc w:val="center"/>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筹建保障性租赁住房（万套）</w:t>
            </w:r>
          </w:p>
        </w:tc>
        <w:tc>
          <w:tcPr>
            <w:tcW w:w="2967" w:type="dxa"/>
            <w:vAlign w:val="center"/>
          </w:tcPr>
          <w:p w14:paraId="493C0E71">
            <w:pPr>
              <w:keepNext w:val="0"/>
              <w:keepLines w:val="0"/>
              <w:widowControl/>
              <w:suppressLineNumbers w:val="0"/>
              <w:jc w:val="center"/>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12</w:t>
            </w:r>
          </w:p>
        </w:tc>
      </w:tr>
      <w:tr w14:paraId="7208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90" w:type="dxa"/>
            <w:vMerge w:val="continue"/>
            <w:vAlign w:val="center"/>
          </w:tcPr>
          <w:p w14:paraId="08D64FB1">
            <w:pPr>
              <w:widowControl/>
              <w:numPr>
                <w:ilvl w:val="255"/>
                <w:numId w:val="0"/>
              </w:numPr>
              <w:spacing w:beforeLines="0"/>
              <w:jc w:val="center"/>
              <w:rPr>
                <w:rFonts w:hint="eastAsia" w:ascii="仿宋_GB2312" w:hAnsi="仿宋_GB2312" w:eastAsia="仿宋_GB2312" w:cs="仿宋_GB2312"/>
                <w:color w:val="auto"/>
                <w:sz w:val="24"/>
                <w:szCs w:val="24"/>
              </w:rPr>
            </w:pPr>
          </w:p>
        </w:tc>
        <w:tc>
          <w:tcPr>
            <w:tcW w:w="1954" w:type="dxa"/>
            <w:vMerge w:val="restart"/>
            <w:vAlign w:val="center"/>
          </w:tcPr>
          <w:p w14:paraId="1ED8D641">
            <w:pPr>
              <w:widowControl/>
              <w:numPr>
                <w:ilvl w:val="255"/>
                <w:numId w:val="0"/>
              </w:numPr>
              <w:spacing w:beforeLine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质量指标</w:t>
            </w:r>
          </w:p>
        </w:tc>
        <w:tc>
          <w:tcPr>
            <w:tcW w:w="3489" w:type="dxa"/>
            <w:vAlign w:val="center"/>
          </w:tcPr>
          <w:p w14:paraId="5ECB7C0F">
            <w:pPr>
              <w:keepNext w:val="0"/>
              <w:keepLines w:val="0"/>
              <w:widowControl/>
              <w:suppressLineNumbers w:val="0"/>
              <w:jc w:val="center"/>
              <w:textAlignment w:val="center"/>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工程质量是否符合标准（是/否）</w:t>
            </w:r>
          </w:p>
        </w:tc>
        <w:tc>
          <w:tcPr>
            <w:tcW w:w="2967" w:type="dxa"/>
            <w:vAlign w:val="center"/>
          </w:tcPr>
          <w:p w14:paraId="06BB3980">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是</w:t>
            </w:r>
          </w:p>
        </w:tc>
      </w:tr>
      <w:tr w14:paraId="23E8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vMerge w:val="continue"/>
            <w:vAlign w:val="center"/>
          </w:tcPr>
          <w:p w14:paraId="045A0DDF">
            <w:pPr>
              <w:widowControl/>
              <w:numPr>
                <w:ilvl w:val="255"/>
                <w:numId w:val="0"/>
              </w:numPr>
              <w:spacing w:beforeLines="0"/>
              <w:jc w:val="center"/>
              <w:rPr>
                <w:rFonts w:hint="eastAsia" w:ascii="仿宋_GB2312" w:hAnsi="仿宋_GB2312" w:eastAsia="仿宋_GB2312" w:cs="仿宋_GB2312"/>
                <w:color w:val="auto"/>
                <w:sz w:val="24"/>
                <w:szCs w:val="24"/>
              </w:rPr>
            </w:pPr>
          </w:p>
        </w:tc>
        <w:tc>
          <w:tcPr>
            <w:tcW w:w="1954" w:type="dxa"/>
            <w:vMerge w:val="continue"/>
            <w:vAlign w:val="center"/>
          </w:tcPr>
          <w:p w14:paraId="1DA61F92">
            <w:pPr>
              <w:widowControl/>
              <w:numPr>
                <w:ilvl w:val="255"/>
                <w:numId w:val="0"/>
              </w:numPr>
              <w:spacing w:beforeLines="0"/>
              <w:jc w:val="center"/>
              <w:rPr>
                <w:rFonts w:hint="eastAsia" w:ascii="仿宋_GB2312" w:hAnsi="仿宋_GB2312" w:eastAsia="仿宋_GB2312" w:cs="仿宋_GB2312"/>
                <w:color w:val="auto"/>
                <w:sz w:val="24"/>
                <w:szCs w:val="24"/>
              </w:rPr>
            </w:pPr>
          </w:p>
        </w:tc>
        <w:tc>
          <w:tcPr>
            <w:tcW w:w="3489" w:type="dxa"/>
            <w:vAlign w:val="center"/>
          </w:tcPr>
          <w:p w14:paraId="68A9BB53">
            <w:pPr>
              <w:keepNext w:val="0"/>
              <w:keepLines w:val="0"/>
              <w:widowControl/>
              <w:suppressLineNumbers w:val="0"/>
              <w:jc w:val="center"/>
              <w:textAlignment w:val="center"/>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验收及时率（%）</w:t>
            </w:r>
          </w:p>
        </w:tc>
        <w:tc>
          <w:tcPr>
            <w:tcW w:w="2967" w:type="dxa"/>
            <w:vAlign w:val="center"/>
          </w:tcPr>
          <w:p w14:paraId="6F00289B">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≥90%</w:t>
            </w:r>
          </w:p>
        </w:tc>
      </w:tr>
      <w:tr w14:paraId="28DE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90" w:type="dxa"/>
            <w:vMerge w:val="continue"/>
            <w:vAlign w:val="center"/>
          </w:tcPr>
          <w:p w14:paraId="1A6CF84D">
            <w:pPr>
              <w:widowControl/>
              <w:numPr>
                <w:ilvl w:val="255"/>
                <w:numId w:val="0"/>
              </w:numPr>
              <w:spacing w:beforeLines="0"/>
              <w:jc w:val="center"/>
              <w:rPr>
                <w:rFonts w:hint="eastAsia" w:ascii="仿宋_GB2312" w:hAnsi="仿宋_GB2312" w:eastAsia="仿宋_GB2312" w:cs="仿宋_GB2312"/>
                <w:color w:val="auto"/>
                <w:sz w:val="24"/>
                <w:szCs w:val="24"/>
              </w:rPr>
            </w:pPr>
          </w:p>
        </w:tc>
        <w:tc>
          <w:tcPr>
            <w:tcW w:w="1954" w:type="dxa"/>
            <w:vMerge w:val="continue"/>
            <w:vAlign w:val="center"/>
          </w:tcPr>
          <w:p w14:paraId="76408F47">
            <w:pPr>
              <w:widowControl/>
              <w:numPr>
                <w:ilvl w:val="255"/>
                <w:numId w:val="0"/>
              </w:numPr>
              <w:spacing w:beforeLines="0"/>
              <w:jc w:val="center"/>
              <w:rPr>
                <w:rFonts w:hint="eastAsia" w:ascii="仿宋_GB2312" w:hAnsi="仿宋_GB2312" w:eastAsia="仿宋_GB2312" w:cs="仿宋_GB2312"/>
                <w:color w:val="auto"/>
                <w:sz w:val="24"/>
                <w:szCs w:val="24"/>
              </w:rPr>
            </w:pPr>
          </w:p>
        </w:tc>
        <w:tc>
          <w:tcPr>
            <w:tcW w:w="3489" w:type="dxa"/>
            <w:vAlign w:val="center"/>
          </w:tcPr>
          <w:p w14:paraId="621A9EF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归集平台中初判存在安全隐患的经营性自建房鉴定完成率（%）</w:t>
            </w:r>
          </w:p>
        </w:tc>
        <w:tc>
          <w:tcPr>
            <w:tcW w:w="2967" w:type="dxa"/>
            <w:vAlign w:val="center"/>
          </w:tcPr>
          <w:p w14:paraId="3833231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100%</w:t>
            </w:r>
          </w:p>
        </w:tc>
      </w:tr>
      <w:tr w14:paraId="546B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90" w:type="dxa"/>
            <w:vMerge w:val="continue"/>
            <w:vAlign w:val="center"/>
          </w:tcPr>
          <w:p w14:paraId="4A7EEEA7">
            <w:pPr>
              <w:widowControl/>
              <w:numPr>
                <w:ilvl w:val="255"/>
                <w:numId w:val="0"/>
              </w:numPr>
              <w:spacing w:beforeLines="0"/>
              <w:jc w:val="center"/>
              <w:rPr>
                <w:rFonts w:hint="eastAsia" w:ascii="仿宋_GB2312" w:hAnsi="仿宋_GB2312" w:eastAsia="仿宋_GB2312" w:cs="仿宋_GB2312"/>
                <w:color w:val="auto"/>
                <w:sz w:val="24"/>
                <w:szCs w:val="24"/>
              </w:rPr>
            </w:pPr>
          </w:p>
        </w:tc>
        <w:tc>
          <w:tcPr>
            <w:tcW w:w="1954" w:type="dxa"/>
            <w:vMerge w:val="restart"/>
            <w:vAlign w:val="center"/>
          </w:tcPr>
          <w:p w14:paraId="1398C005">
            <w:pPr>
              <w:widowControl/>
              <w:numPr>
                <w:ilvl w:val="255"/>
                <w:numId w:val="0"/>
              </w:numPr>
              <w:spacing w:beforeLine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时效指标</w:t>
            </w:r>
          </w:p>
        </w:tc>
        <w:tc>
          <w:tcPr>
            <w:tcW w:w="3489" w:type="dxa"/>
            <w:shd w:val="clear" w:color="auto" w:fill="auto"/>
            <w:vAlign w:val="center"/>
          </w:tcPr>
          <w:p w14:paraId="2C8B294B">
            <w:pPr>
              <w:keepNext w:val="0"/>
              <w:keepLines w:val="0"/>
              <w:widowControl/>
              <w:suppressLineNumbers w:val="0"/>
              <w:jc w:val="center"/>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在年底前完成年度目标（是/否）</w:t>
            </w:r>
          </w:p>
        </w:tc>
        <w:tc>
          <w:tcPr>
            <w:tcW w:w="2967" w:type="dxa"/>
            <w:shd w:val="clear" w:color="auto" w:fill="auto"/>
            <w:vAlign w:val="center"/>
          </w:tcPr>
          <w:p w14:paraId="6C8B07CC">
            <w:pPr>
              <w:keepNext w:val="0"/>
              <w:keepLines w:val="0"/>
              <w:widowControl/>
              <w:suppressLineNumbers w:val="0"/>
              <w:jc w:val="center"/>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是</w:t>
            </w:r>
          </w:p>
        </w:tc>
      </w:tr>
      <w:tr w14:paraId="495C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90" w:type="dxa"/>
            <w:vMerge w:val="continue"/>
            <w:vAlign w:val="center"/>
          </w:tcPr>
          <w:p w14:paraId="50D6BA4A">
            <w:pPr>
              <w:widowControl/>
              <w:numPr>
                <w:ilvl w:val="255"/>
                <w:numId w:val="0"/>
              </w:numPr>
              <w:spacing w:beforeLines="0"/>
              <w:jc w:val="center"/>
              <w:rPr>
                <w:rFonts w:hint="eastAsia" w:ascii="仿宋_GB2312" w:hAnsi="仿宋_GB2312" w:eastAsia="仿宋_GB2312" w:cs="仿宋_GB2312"/>
                <w:color w:val="auto"/>
                <w:sz w:val="24"/>
                <w:szCs w:val="24"/>
              </w:rPr>
            </w:pPr>
          </w:p>
        </w:tc>
        <w:tc>
          <w:tcPr>
            <w:tcW w:w="1954" w:type="dxa"/>
            <w:vMerge w:val="continue"/>
            <w:vAlign w:val="center"/>
          </w:tcPr>
          <w:p w14:paraId="43A9D868">
            <w:pPr>
              <w:widowControl/>
              <w:numPr>
                <w:ilvl w:val="255"/>
                <w:numId w:val="0"/>
              </w:numPr>
              <w:spacing w:beforeLines="0"/>
              <w:jc w:val="center"/>
              <w:rPr>
                <w:rFonts w:hint="eastAsia" w:ascii="仿宋_GB2312" w:hAnsi="仿宋_GB2312" w:eastAsia="仿宋_GB2312" w:cs="仿宋_GB2312"/>
                <w:color w:val="auto"/>
                <w:sz w:val="24"/>
                <w:szCs w:val="24"/>
              </w:rPr>
            </w:pPr>
          </w:p>
        </w:tc>
        <w:tc>
          <w:tcPr>
            <w:tcW w:w="3489" w:type="dxa"/>
            <w:vAlign w:val="center"/>
          </w:tcPr>
          <w:p w14:paraId="190EB851">
            <w:pPr>
              <w:keepNext w:val="0"/>
              <w:keepLines w:val="0"/>
              <w:widowControl/>
              <w:suppressLineNumbers w:val="0"/>
              <w:jc w:val="center"/>
              <w:textAlignment w:val="center"/>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城市危旧房计划排查鉴定完成时间</w:t>
            </w:r>
          </w:p>
        </w:tc>
        <w:tc>
          <w:tcPr>
            <w:tcW w:w="2967" w:type="dxa"/>
            <w:vAlign w:val="center"/>
          </w:tcPr>
          <w:p w14:paraId="70323094">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i w:val="0"/>
                <w:iCs w:val="0"/>
                <w:color w:val="auto"/>
                <w:kern w:val="0"/>
                <w:sz w:val="24"/>
                <w:szCs w:val="24"/>
                <w:u w:val="none"/>
                <w:lang w:val="en-US" w:eastAsia="zh-CN" w:bidi="ar"/>
              </w:rPr>
              <w:t>2024年12月</w:t>
            </w:r>
          </w:p>
        </w:tc>
      </w:tr>
      <w:tr w14:paraId="401C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90" w:type="dxa"/>
            <w:vMerge w:val="continue"/>
            <w:vAlign w:val="center"/>
          </w:tcPr>
          <w:p w14:paraId="131B657B">
            <w:pPr>
              <w:widowControl/>
              <w:numPr>
                <w:ilvl w:val="255"/>
                <w:numId w:val="0"/>
              </w:numPr>
              <w:spacing w:beforeLines="0"/>
              <w:jc w:val="center"/>
              <w:rPr>
                <w:rFonts w:hint="eastAsia" w:ascii="仿宋_GB2312" w:hAnsi="仿宋_GB2312" w:eastAsia="仿宋_GB2312" w:cs="仿宋_GB2312"/>
                <w:color w:val="auto"/>
                <w:sz w:val="24"/>
                <w:szCs w:val="24"/>
              </w:rPr>
            </w:pPr>
          </w:p>
        </w:tc>
        <w:tc>
          <w:tcPr>
            <w:tcW w:w="1954" w:type="dxa"/>
            <w:vMerge w:val="continue"/>
            <w:vAlign w:val="center"/>
          </w:tcPr>
          <w:p w14:paraId="117A1670">
            <w:pPr>
              <w:widowControl/>
              <w:numPr>
                <w:ilvl w:val="255"/>
                <w:numId w:val="0"/>
              </w:numPr>
              <w:spacing w:beforeLines="0"/>
              <w:jc w:val="center"/>
              <w:rPr>
                <w:rFonts w:hint="eastAsia" w:ascii="仿宋_GB2312" w:hAnsi="仿宋_GB2312" w:eastAsia="仿宋_GB2312" w:cs="仿宋_GB2312"/>
                <w:color w:val="auto"/>
                <w:sz w:val="24"/>
                <w:szCs w:val="24"/>
              </w:rPr>
            </w:pPr>
          </w:p>
        </w:tc>
        <w:tc>
          <w:tcPr>
            <w:tcW w:w="3489" w:type="dxa"/>
            <w:vAlign w:val="center"/>
          </w:tcPr>
          <w:p w14:paraId="2AFC319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全省初判存在安全隐患的经营性自建房鉴定工作完成时间</w:t>
            </w:r>
          </w:p>
        </w:tc>
        <w:tc>
          <w:tcPr>
            <w:tcW w:w="2967" w:type="dxa"/>
            <w:vAlign w:val="center"/>
          </w:tcPr>
          <w:p w14:paraId="1D27422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2024年</w:t>
            </w:r>
          </w:p>
        </w:tc>
      </w:tr>
      <w:tr w14:paraId="2E50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90" w:type="dxa"/>
            <w:vMerge w:val="restart"/>
            <w:vAlign w:val="center"/>
          </w:tcPr>
          <w:p w14:paraId="66BD060B">
            <w:pPr>
              <w:widowControl/>
              <w:numPr>
                <w:ilvl w:val="255"/>
                <w:numId w:val="0"/>
              </w:numPr>
              <w:spacing w:beforeLine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效益指标</w:t>
            </w:r>
          </w:p>
        </w:tc>
        <w:tc>
          <w:tcPr>
            <w:tcW w:w="1954" w:type="dxa"/>
            <w:vAlign w:val="center"/>
          </w:tcPr>
          <w:p w14:paraId="0E1FE8C2">
            <w:pPr>
              <w:widowControl/>
              <w:numPr>
                <w:ilvl w:val="255"/>
                <w:numId w:val="0"/>
              </w:numPr>
              <w:spacing w:beforeLine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社会效益指标</w:t>
            </w:r>
          </w:p>
        </w:tc>
        <w:tc>
          <w:tcPr>
            <w:tcW w:w="3489" w:type="dxa"/>
            <w:vAlign w:val="center"/>
          </w:tcPr>
          <w:p w14:paraId="3D52FB2E">
            <w:pPr>
              <w:keepNext w:val="0"/>
              <w:keepLines w:val="0"/>
              <w:widowControl/>
              <w:suppressLineNumbers w:val="0"/>
              <w:jc w:val="center"/>
              <w:textAlignment w:val="center"/>
              <w:rPr>
                <w:rFonts w:hint="default" w:ascii="Times New Roman" w:hAnsi="Times New Roman" w:eastAsia="仿宋_GB2312" w:cs="Times New Roman"/>
                <w:b/>
                <w:bCs/>
                <w:color w:val="auto"/>
                <w:spacing w:val="-6"/>
                <w:sz w:val="24"/>
                <w:szCs w:val="24"/>
              </w:rPr>
            </w:pPr>
            <w:r>
              <w:rPr>
                <w:rFonts w:hint="default" w:ascii="Times New Roman" w:hAnsi="Times New Roman" w:eastAsia="仿宋_GB2312" w:cs="Times New Roman"/>
                <w:i w:val="0"/>
                <w:iCs w:val="0"/>
                <w:color w:val="auto"/>
                <w:kern w:val="0"/>
                <w:sz w:val="24"/>
                <w:szCs w:val="24"/>
                <w:u w:val="none"/>
                <w:lang w:val="en-US" w:eastAsia="zh-CN" w:bidi="ar"/>
              </w:rPr>
              <w:t>存在安全隐患的经营性自建房数量</w:t>
            </w:r>
          </w:p>
        </w:tc>
        <w:tc>
          <w:tcPr>
            <w:tcW w:w="2967" w:type="dxa"/>
            <w:vAlign w:val="center"/>
          </w:tcPr>
          <w:p w14:paraId="6623772B">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逐年下降</w:t>
            </w:r>
          </w:p>
        </w:tc>
      </w:tr>
      <w:tr w14:paraId="0892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0" w:type="dxa"/>
            <w:vMerge w:val="continue"/>
            <w:vAlign w:val="center"/>
          </w:tcPr>
          <w:p w14:paraId="07368475">
            <w:pPr>
              <w:widowControl/>
              <w:numPr>
                <w:ilvl w:val="255"/>
                <w:numId w:val="0"/>
              </w:numPr>
              <w:spacing w:beforeLines="0"/>
              <w:jc w:val="center"/>
              <w:rPr>
                <w:rFonts w:hint="eastAsia" w:ascii="仿宋_GB2312" w:hAnsi="仿宋_GB2312" w:eastAsia="仿宋_GB2312" w:cs="仿宋_GB2312"/>
                <w:color w:val="auto"/>
                <w:sz w:val="24"/>
                <w:szCs w:val="24"/>
                <w:highlight w:val="none"/>
              </w:rPr>
            </w:pPr>
          </w:p>
        </w:tc>
        <w:tc>
          <w:tcPr>
            <w:tcW w:w="1954" w:type="dxa"/>
            <w:vAlign w:val="center"/>
          </w:tcPr>
          <w:p w14:paraId="6D25AA9B">
            <w:pPr>
              <w:widowControl/>
              <w:numPr>
                <w:ilvl w:val="255"/>
                <w:numId w:val="0"/>
              </w:numPr>
              <w:spacing w:beforeLine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可持续影响指</w:t>
            </w:r>
            <w:r>
              <w:rPr>
                <w:rFonts w:hint="eastAsia" w:ascii="仿宋_GB2312" w:hAnsi="仿宋_GB2312" w:eastAsia="仿宋_GB2312" w:cs="仿宋_GB2312"/>
                <w:color w:val="auto"/>
                <w:sz w:val="24"/>
                <w:szCs w:val="24"/>
                <w:highlight w:val="none"/>
                <w:lang w:val="en-US" w:eastAsia="zh-CN"/>
              </w:rPr>
              <w:t>标</w:t>
            </w:r>
          </w:p>
        </w:tc>
        <w:tc>
          <w:tcPr>
            <w:tcW w:w="3489" w:type="dxa"/>
            <w:vAlign w:val="center"/>
          </w:tcPr>
          <w:p w14:paraId="32E1ACFC">
            <w:pPr>
              <w:keepNext w:val="0"/>
              <w:keepLines w:val="0"/>
              <w:widowControl/>
              <w:suppressLineNumbers w:val="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城市危旧房通过危险性房屋鉴定为 C、D级（栋）</w:t>
            </w:r>
          </w:p>
        </w:tc>
        <w:tc>
          <w:tcPr>
            <w:tcW w:w="2967" w:type="dxa"/>
            <w:vAlign w:val="center"/>
          </w:tcPr>
          <w:p w14:paraId="4CCE473A">
            <w:pPr>
              <w:keepNext w:val="0"/>
              <w:keepLines w:val="0"/>
              <w:widowControl/>
              <w:suppressLineNumbers w:val="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u w:val="none"/>
                <w:lang w:val="en-US" w:eastAsia="zh-CN" w:bidi="ar"/>
              </w:rPr>
              <w:t>约500</w:t>
            </w:r>
          </w:p>
        </w:tc>
      </w:tr>
      <w:tr w14:paraId="427D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0" w:type="dxa"/>
            <w:vMerge w:val="continue"/>
            <w:vAlign w:val="center"/>
          </w:tcPr>
          <w:p w14:paraId="140B71CB">
            <w:pPr>
              <w:widowControl/>
              <w:numPr>
                <w:ilvl w:val="255"/>
                <w:numId w:val="0"/>
              </w:numPr>
              <w:spacing w:beforeLines="0"/>
              <w:jc w:val="center"/>
              <w:rPr>
                <w:rFonts w:hint="eastAsia" w:ascii="仿宋_GB2312" w:hAnsi="仿宋_GB2312" w:eastAsia="仿宋_GB2312" w:cs="仿宋_GB2312"/>
                <w:color w:val="auto"/>
                <w:sz w:val="24"/>
                <w:szCs w:val="24"/>
                <w:highlight w:val="none"/>
              </w:rPr>
            </w:pPr>
          </w:p>
        </w:tc>
        <w:tc>
          <w:tcPr>
            <w:tcW w:w="1954" w:type="dxa"/>
            <w:vMerge w:val="restart"/>
            <w:vAlign w:val="center"/>
          </w:tcPr>
          <w:p w14:paraId="5DBEBC42">
            <w:pPr>
              <w:widowControl/>
              <w:numPr>
                <w:ilvl w:val="255"/>
                <w:numId w:val="0"/>
              </w:numPr>
              <w:spacing w:beforeLine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满意度指标</w:t>
            </w:r>
          </w:p>
        </w:tc>
        <w:tc>
          <w:tcPr>
            <w:tcW w:w="3489" w:type="dxa"/>
            <w:vAlign w:val="center"/>
          </w:tcPr>
          <w:p w14:paraId="5F832C43">
            <w:pPr>
              <w:keepNext w:val="0"/>
              <w:keepLines w:val="0"/>
              <w:widowControl/>
              <w:suppressLineNumbers w:val="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u w:val="none"/>
                <w:lang w:val="en-US" w:eastAsia="zh-CN" w:bidi="ar"/>
              </w:rPr>
              <w:t>城镇住房保障家庭抽查满意度（%）</w:t>
            </w:r>
          </w:p>
        </w:tc>
        <w:tc>
          <w:tcPr>
            <w:tcW w:w="2967" w:type="dxa"/>
            <w:vAlign w:val="center"/>
          </w:tcPr>
          <w:p w14:paraId="6F9511A2">
            <w:pPr>
              <w:keepNext w:val="0"/>
              <w:keepLines w:val="0"/>
              <w:widowControl/>
              <w:suppressLineNumbers w:val="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u w:val="none"/>
                <w:lang w:val="en-US" w:eastAsia="zh-CN" w:bidi="ar"/>
              </w:rPr>
              <w:t>≥80%</w:t>
            </w:r>
          </w:p>
        </w:tc>
      </w:tr>
      <w:tr w14:paraId="6043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0" w:type="dxa"/>
            <w:vMerge w:val="continue"/>
            <w:vAlign w:val="center"/>
          </w:tcPr>
          <w:p w14:paraId="715D749F">
            <w:pPr>
              <w:widowControl/>
              <w:numPr>
                <w:ilvl w:val="255"/>
                <w:numId w:val="0"/>
              </w:numPr>
              <w:spacing w:beforeLines="0"/>
              <w:jc w:val="center"/>
              <w:rPr>
                <w:rFonts w:hint="eastAsia" w:ascii="仿宋_GB2312" w:hAnsi="仿宋_GB2312" w:eastAsia="仿宋_GB2312" w:cs="仿宋_GB2312"/>
                <w:color w:val="auto"/>
                <w:sz w:val="24"/>
                <w:szCs w:val="24"/>
                <w:highlight w:val="none"/>
              </w:rPr>
            </w:pPr>
          </w:p>
        </w:tc>
        <w:tc>
          <w:tcPr>
            <w:tcW w:w="1954" w:type="dxa"/>
            <w:vMerge w:val="continue"/>
            <w:vAlign w:val="center"/>
          </w:tcPr>
          <w:p w14:paraId="3A6BF34B">
            <w:pPr>
              <w:widowControl/>
              <w:numPr>
                <w:ilvl w:val="255"/>
                <w:numId w:val="0"/>
              </w:numPr>
              <w:spacing w:beforeLines="0"/>
              <w:jc w:val="center"/>
              <w:rPr>
                <w:rFonts w:hint="eastAsia" w:ascii="仿宋_GB2312" w:hAnsi="仿宋_GB2312" w:eastAsia="仿宋_GB2312" w:cs="仿宋_GB2312"/>
                <w:color w:val="auto"/>
                <w:sz w:val="24"/>
                <w:szCs w:val="24"/>
                <w:highlight w:val="none"/>
              </w:rPr>
            </w:pPr>
          </w:p>
        </w:tc>
        <w:tc>
          <w:tcPr>
            <w:tcW w:w="3489" w:type="dxa"/>
            <w:vAlign w:val="center"/>
          </w:tcPr>
          <w:p w14:paraId="6906CF7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省市住建主管部门对自建房安全专项排查工作开展情况满意度（%）</w:t>
            </w:r>
          </w:p>
        </w:tc>
        <w:tc>
          <w:tcPr>
            <w:tcW w:w="2967" w:type="dxa"/>
            <w:vAlign w:val="center"/>
          </w:tcPr>
          <w:p w14:paraId="09CEE1A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≥95%</w:t>
            </w:r>
          </w:p>
        </w:tc>
      </w:tr>
    </w:tbl>
    <w:p w14:paraId="696D75F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default" w:ascii="仿宋_GB2312" w:hAnsi="仿宋" w:eastAsia="仿宋_GB2312" w:cs="仿宋"/>
          <w:color w:val="auto"/>
          <w:spacing w:val="-6"/>
          <w:sz w:val="21"/>
          <w:szCs w:val="18"/>
          <w:lang w:val="en-US" w:eastAsia="zh-CN"/>
        </w:rPr>
      </w:pPr>
    </w:p>
    <w:p w14:paraId="14F6A7E3">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640" w:firstLineChars="200"/>
        <w:textAlignment w:val="auto"/>
        <w:outlineLvl w:val="0"/>
        <w:rPr>
          <w:rFonts w:hint="eastAsia" w:eastAsia="黑体"/>
          <w:color w:val="auto"/>
          <w:kern w:val="0"/>
          <w:sz w:val="32"/>
          <w:szCs w:val="32"/>
          <w:highlight w:val="none"/>
          <w:lang w:val="en-US" w:eastAsia="zh-CN"/>
        </w:rPr>
      </w:pPr>
      <w:bookmarkStart w:id="20" w:name="_Toc18563"/>
      <w:bookmarkStart w:id="21" w:name="_Toc31936"/>
      <w:bookmarkStart w:id="22" w:name="_Toc5290"/>
      <w:bookmarkStart w:id="23" w:name="_Toc27566"/>
      <w:r>
        <w:rPr>
          <w:rFonts w:hint="eastAsia" w:eastAsia="黑体"/>
          <w:color w:val="auto"/>
          <w:kern w:val="0"/>
          <w:sz w:val="32"/>
          <w:szCs w:val="32"/>
          <w:highlight w:val="none"/>
        </w:rPr>
        <w:t>自评</w:t>
      </w:r>
      <w:bookmarkEnd w:id="20"/>
      <w:bookmarkEnd w:id="21"/>
      <w:bookmarkEnd w:id="22"/>
      <w:r>
        <w:rPr>
          <w:rFonts w:hint="eastAsia" w:eastAsia="黑体"/>
          <w:color w:val="auto"/>
          <w:kern w:val="0"/>
          <w:sz w:val="32"/>
          <w:szCs w:val="32"/>
          <w:highlight w:val="none"/>
          <w:lang w:val="en-US" w:eastAsia="zh-CN"/>
        </w:rPr>
        <w:t>情况</w:t>
      </w:r>
      <w:bookmarkEnd w:id="23"/>
    </w:p>
    <w:p w14:paraId="3965053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1"/>
        <w:rPr>
          <w:rFonts w:hint="eastAsia" w:ascii="楷体_GB2312" w:hAnsi="楷体_GB2312" w:eastAsia="楷体_GB2312" w:cs="楷体_GB2312"/>
          <w:b/>
          <w:bCs/>
          <w:color w:val="auto"/>
          <w:kern w:val="0"/>
          <w:sz w:val="32"/>
          <w:szCs w:val="32"/>
          <w:highlight w:val="none"/>
          <w:lang w:val="en-US" w:eastAsia="zh-CN"/>
        </w:rPr>
      </w:pPr>
      <w:bookmarkStart w:id="24" w:name="_Toc456"/>
      <w:r>
        <w:rPr>
          <w:rFonts w:hint="eastAsia" w:ascii="楷体_GB2312" w:hAnsi="楷体_GB2312" w:eastAsia="楷体_GB2312" w:cs="楷体_GB2312"/>
          <w:b/>
          <w:bCs/>
          <w:color w:val="auto"/>
          <w:kern w:val="0"/>
          <w:sz w:val="32"/>
          <w:szCs w:val="32"/>
          <w:highlight w:val="none"/>
          <w:lang w:val="en-US" w:eastAsia="zh-CN"/>
        </w:rPr>
        <w:t>（一）自评结论</w:t>
      </w:r>
      <w:bookmarkEnd w:id="24"/>
    </w:p>
    <w:p w14:paraId="2844805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综合分析</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rPr>
        <w:t>年保障性安居工程专项资金项目的过程、产出和效益，项目基本完成了预期目标任务，取得了较好成效。但由于</w:t>
      </w:r>
      <w:r>
        <w:rPr>
          <w:rFonts w:hint="eastAsia" w:ascii="仿宋_GB2312" w:eastAsia="仿宋_GB2312"/>
          <w:color w:val="auto"/>
          <w:sz w:val="32"/>
          <w:szCs w:val="32"/>
          <w:lang w:val="en-US" w:eastAsia="zh-CN"/>
        </w:rPr>
        <w:t>部分地市财政紧张、</w:t>
      </w:r>
      <w:r>
        <w:rPr>
          <w:rFonts w:hint="eastAsia" w:ascii="仿宋_GB2312" w:eastAsia="仿宋_GB2312"/>
          <w:color w:val="auto"/>
          <w:sz w:val="32"/>
          <w:szCs w:val="32"/>
        </w:rPr>
        <w:t>项目前期工作</w:t>
      </w:r>
      <w:r>
        <w:rPr>
          <w:rFonts w:hint="eastAsia" w:ascii="仿宋_GB2312" w:eastAsia="仿宋_GB2312"/>
          <w:color w:val="auto"/>
          <w:sz w:val="32"/>
          <w:szCs w:val="32"/>
          <w:lang w:val="en-US" w:eastAsia="zh-CN"/>
        </w:rPr>
        <w:t>不足及多地危旧房改造面临诸多难题、</w:t>
      </w:r>
      <w:r>
        <w:rPr>
          <w:rFonts w:hint="default" w:ascii="Times New Roman" w:hAnsi="Times New Roman" w:eastAsia="仿宋_GB2312" w:cs="Times New Roman"/>
          <w:color w:val="auto"/>
          <w:sz w:val="32"/>
          <w:szCs w:val="32"/>
        </w:rPr>
        <w:t>自建房整治项目执行存在梗阻</w:t>
      </w:r>
      <w:r>
        <w:rPr>
          <w:rFonts w:hint="eastAsia" w:ascii="仿宋_GB2312" w:eastAsia="仿宋_GB2312"/>
          <w:color w:val="auto"/>
          <w:sz w:val="32"/>
          <w:szCs w:val="32"/>
          <w:lang w:val="en-US" w:eastAsia="zh-CN"/>
        </w:rPr>
        <w:t>等原因，部分地市</w:t>
      </w:r>
      <w:r>
        <w:rPr>
          <w:rFonts w:hint="eastAsia" w:ascii="仿宋_GB2312" w:eastAsia="仿宋_GB2312"/>
          <w:color w:val="auto"/>
          <w:sz w:val="32"/>
          <w:szCs w:val="32"/>
        </w:rPr>
        <w:t>资金支出</w:t>
      </w:r>
      <w:r>
        <w:rPr>
          <w:rFonts w:hint="eastAsia" w:ascii="仿宋_GB2312" w:eastAsia="仿宋_GB2312"/>
          <w:color w:val="auto"/>
          <w:sz w:val="32"/>
          <w:szCs w:val="32"/>
          <w:lang w:val="en-US" w:eastAsia="zh-CN"/>
        </w:rPr>
        <w:t>率</w:t>
      </w:r>
      <w:r>
        <w:rPr>
          <w:rFonts w:hint="eastAsia" w:ascii="仿宋_GB2312" w:eastAsia="仿宋_GB2312"/>
          <w:color w:val="auto"/>
          <w:sz w:val="32"/>
          <w:szCs w:val="32"/>
        </w:rPr>
        <w:t>较</w:t>
      </w:r>
      <w:r>
        <w:rPr>
          <w:rFonts w:hint="eastAsia" w:ascii="仿宋_GB2312" w:eastAsia="仿宋_GB2312"/>
          <w:color w:val="auto"/>
          <w:sz w:val="32"/>
          <w:szCs w:val="32"/>
          <w:lang w:eastAsia="zh-CN"/>
        </w:rPr>
        <w:t>低</w:t>
      </w:r>
      <w:r>
        <w:rPr>
          <w:rFonts w:hint="eastAsia" w:ascii="仿宋_GB2312" w:eastAsia="仿宋_GB2312"/>
          <w:color w:val="auto"/>
          <w:sz w:val="32"/>
          <w:szCs w:val="32"/>
        </w:rPr>
        <w:t>。</w:t>
      </w:r>
    </w:p>
    <w:p w14:paraId="062B4ED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color w:val="auto"/>
          <w:sz w:val="32"/>
        </w:rPr>
      </w:pPr>
      <w:r>
        <w:rPr>
          <w:rFonts w:hint="eastAsia" w:ascii="仿宋_GB2312" w:eastAsia="仿宋_GB2312"/>
          <w:color w:val="auto"/>
          <w:sz w:val="32"/>
          <w:szCs w:val="32"/>
        </w:rPr>
        <w:t>根据对资金使用</w:t>
      </w:r>
      <w:r>
        <w:rPr>
          <w:rFonts w:hint="eastAsia" w:ascii="仿宋_GB2312" w:eastAsia="仿宋_GB2312"/>
          <w:color w:val="auto"/>
          <w:sz w:val="32"/>
          <w:szCs w:val="32"/>
          <w:lang w:val="en-US" w:eastAsia="zh-CN"/>
        </w:rPr>
        <w:t>单位</w:t>
      </w:r>
      <w:r>
        <w:rPr>
          <w:rFonts w:hint="eastAsia" w:ascii="仿宋_GB2312" w:eastAsia="仿宋_GB2312"/>
          <w:color w:val="auto"/>
          <w:sz w:val="32"/>
          <w:szCs w:val="32"/>
        </w:rPr>
        <w:t>自评材料的审核分析，综合项目实施</w:t>
      </w:r>
      <w:r>
        <w:rPr>
          <w:rFonts w:hint="eastAsia" w:ascii="仿宋_GB2312" w:eastAsia="仿宋_GB2312"/>
          <w:color w:val="auto"/>
          <w:sz w:val="32"/>
        </w:rPr>
        <w:t>情况，按照既定的评价指标体系，专项资金使用绩效为</w:t>
      </w:r>
      <w:r>
        <w:rPr>
          <w:rFonts w:hint="eastAsia" w:ascii="仿宋_GB2312" w:eastAsia="仿宋_GB2312"/>
          <w:color w:val="auto"/>
          <w:sz w:val="32"/>
          <w:lang w:val="en-US" w:eastAsia="zh-CN"/>
        </w:rPr>
        <w:t>优良</w:t>
      </w:r>
      <w:r>
        <w:rPr>
          <w:rFonts w:hint="eastAsia" w:ascii="仿宋_GB2312" w:eastAsia="仿宋_GB2312"/>
          <w:color w:val="auto"/>
          <w:sz w:val="32"/>
        </w:rPr>
        <w:t>。</w:t>
      </w:r>
    </w:p>
    <w:p w14:paraId="2F6DD5C5">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eastAsia="仿宋_GB2312"/>
          <w:strike/>
          <w:dstrike w:val="0"/>
          <w:color w:val="auto"/>
          <w:sz w:val="32"/>
        </w:rPr>
      </w:pPr>
      <w:r>
        <w:rPr>
          <w:rFonts w:hint="default" w:ascii="Times New Roman" w:hAnsi="Times New Roman" w:eastAsia="仿宋_GB2312" w:cs="Times New Roman"/>
          <w:b/>
          <w:bCs/>
          <w:color w:val="auto"/>
          <w:sz w:val="32"/>
        </w:rPr>
        <w:t>1</w:t>
      </w:r>
      <w:r>
        <w:rPr>
          <w:rFonts w:hint="eastAsia" w:ascii="仿宋_GB2312" w:eastAsia="仿宋_GB2312"/>
          <w:b/>
          <w:bCs/>
          <w:color w:val="auto"/>
          <w:sz w:val="32"/>
        </w:rPr>
        <w:t>.过程。</w:t>
      </w:r>
      <w:r>
        <w:rPr>
          <w:rFonts w:hint="eastAsia" w:ascii="仿宋_GB2312" w:eastAsia="仿宋_GB2312"/>
          <w:color w:val="auto"/>
          <w:sz w:val="32"/>
        </w:rPr>
        <w:t>该指标主要从资金管理和事项管理两个方面考核项目资金支付情况和监管的有效性。</w:t>
      </w:r>
    </w:p>
    <w:p w14:paraId="5FB8DFA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color w:val="auto"/>
          <w:sz w:val="32"/>
          <w:lang w:val="en-US" w:eastAsia="zh-CN"/>
        </w:rPr>
      </w:pPr>
      <w:r>
        <w:rPr>
          <w:rFonts w:hint="eastAsia" w:ascii="仿宋_GB2312" w:eastAsia="仿宋_GB2312"/>
          <w:color w:val="auto"/>
          <w:sz w:val="32"/>
        </w:rPr>
        <w:t>（</w:t>
      </w:r>
      <w:r>
        <w:rPr>
          <w:rFonts w:hint="default" w:ascii="Times New Roman" w:hAnsi="Times New Roman" w:eastAsia="仿宋_GB2312" w:cs="Times New Roman"/>
          <w:color w:val="auto"/>
          <w:sz w:val="32"/>
        </w:rPr>
        <w:t>1</w:t>
      </w:r>
      <w:r>
        <w:rPr>
          <w:rFonts w:hint="eastAsia" w:ascii="仿宋_GB2312" w:eastAsia="仿宋_GB2312"/>
          <w:color w:val="auto"/>
          <w:sz w:val="32"/>
        </w:rPr>
        <w:t>）资金管理。省财政厅足额下达</w:t>
      </w:r>
      <w:r>
        <w:rPr>
          <w:rFonts w:hint="eastAsia" w:ascii="仿宋_GB2312" w:eastAsia="仿宋_GB2312"/>
          <w:color w:val="auto"/>
          <w:sz w:val="32"/>
          <w:lang w:val="en-US" w:eastAsia="zh-CN"/>
        </w:rPr>
        <w:t>专项资金</w:t>
      </w:r>
      <w:r>
        <w:rPr>
          <w:rFonts w:hint="default" w:ascii="Times New Roman" w:hAnsi="Times New Roman" w:eastAsia="仿宋_GB2312" w:cs="Times New Roman"/>
          <w:color w:val="auto"/>
          <w:sz w:val="32"/>
          <w:lang w:val="en-US" w:eastAsia="zh-CN"/>
        </w:rPr>
        <w:t>53</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285</w:t>
      </w:r>
      <w:r>
        <w:rPr>
          <w:rFonts w:hint="eastAsia" w:ascii="Times New Roman" w:hAnsi="Times New Roman" w:eastAsia="仿宋_GB2312" w:cs="Times New Roman"/>
          <w:color w:val="auto"/>
          <w:sz w:val="32"/>
          <w:lang w:val="en-US" w:eastAsia="zh-CN"/>
        </w:rPr>
        <w:t>万</w:t>
      </w:r>
      <w:r>
        <w:rPr>
          <w:rFonts w:hint="eastAsia" w:ascii="仿宋_GB2312" w:eastAsia="仿宋_GB2312"/>
          <w:color w:val="auto"/>
          <w:sz w:val="32"/>
        </w:rPr>
        <w:t>元，截至</w:t>
      </w:r>
      <w:r>
        <w:rPr>
          <w:rFonts w:hint="default" w:ascii="Times New Roman" w:hAnsi="Times New Roman" w:eastAsia="仿宋_GB2312" w:cs="Times New Roman"/>
          <w:color w:val="auto"/>
          <w:sz w:val="32"/>
        </w:rPr>
        <w:t>202</w:t>
      </w:r>
      <w:r>
        <w:rPr>
          <w:rFonts w:hint="default" w:ascii="Times New Roman" w:hAnsi="Times New Roman" w:eastAsia="仿宋_GB2312" w:cs="Times New Roman"/>
          <w:color w:val="auto"/>
          <w:sz w:val="32"/>
          <w:lang w:val="en-US" w:eastAsia="zh-CN"/>
        </w:rPr>
        <w:t>4</w:t>
      </w:r>
      <w:r>
        <w:rPr>
          <w:rFonts w:hint="eastAsia" w:ascii="仿宋_GB2312" w:eastAsia="仿宋_GB2312"/>
          <w:color w:val="auto"/>
          <w:sz w:val="32"/>
        </w:rPr>
        <w:t>年</w:t>
      </w:r>
      <w:r>
        <w:rPr>
          <w:rFonts w:hint="default" w:ascii="Times New Roman" w:hAnsi="Times New Roman" w:eastAsia="仿宋_GB2312" w:cs="Times New Roman"/>
          <w:color w:val="auto"/>
          <w:sz w:val="32"/>
        </w:rPr>
        <w:t>12</w:t>
      </w:r>
      <w:r>
        <w:rPr>
          <w:rFonts w:hint="eastAsia" w:ascii="仿宋_GB2312" w:eastAsia="仿宋_GB2312"/>
          <w:color w:val="auto"/>
          <w:sz w:val="32"/>
        </w:rPr>
        <w:t>月</w:t>
      </w:r>
      <w:r>
        <w:rPr>
          <w:rFonts w:hint="default" w:ascii="Times New Roman" w:hAnsi="Times New Roman" w:eastAsia="仿宋_GB2312" w:cs="Times New Roman"/>
          <w:color w:val="auto"/>
          <w:sz w:val="32"/>
        </w:rPr>
        <w:t>31</w:t>
      </w:r>
      <w:r>
        <w:rPr>
          <w:rFonts w:hint="eastAsia" w:ascii="仿宋_GB2312" w:eastAsia="仿宋_GB2312"/>
          <w:color w:val="auto"/>
          <w:sz w:val="32"/>
        </w:rPr>
        <w:t>日，</w:t>
      </w:r>
      <w:r>
        <w:rPr>
          <w:rFonts w:hint="eastAsia" w:ascii="仿宋_GB2312" w:eastAsia="仿宋_GB2312"/>
          <w:color w:val="auto"/>
          <w:sz w:val="32"/>
          <w:lang w:val="en-US" w:eastAsia="zh-CN"/>
        </w:rPr>
        <w:t>省本级和市县共支出</w:t>
      </w:r>
      <w:r>
        <w:rPr>
          <w:rFonts w:hint="eastAsia"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lang w:val="en-US" w:eastAsia="zh-CN"/>
        </w:rPr>
        <w:t>44</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870</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64</w:t>
      </w:r>
      <w:r>
        <w:rPr>
          <w:rFonts w:hint="eastAsia" w:ascii="Times New Roman" w:hAnsi="Times New Roman" w:eastAsia="仿宋_GB2312" w:cs="Times New Roman"/>
          <w:color w:val="auto"/>
          <w:sz w:val="32"/>
          <w:lang w:val="en-US" w:eastAsia="zh-CN"/>
        </w:rPr>
        <w:t xml:space="preserve"> </w:t>
      </w:r>
      <w:r>
        <w:rPr>
          <w:rFonts w:hint="eastAsia" w:ascii="仿宋_GB2312" w:eastAsia="仿宋_GB2312"/>
          <w:color w:val="auto"/>
          <w:sz w:val="32"/>
          <w:lang w:val="en-US" w:eastAsia="zh-CN"/>
        </w:rPr>
        <w:t>万元，</w:t>
      </w:r>
      <w:r>
        <w:rPr>
          <w:rFonts w:hint="eastAsia" w:ascii="仿宋_GB2312" w:eastAsia="仿宋_GB2312"/>
          <w:color w:val="auto"/>
          <w:sz w:val="32"/>
        </w:rPr>
        <w:t>资金支出率</w:t>
      </w:r>
      <w:r>
        <w:rPr>
          <w:rFonts w:hint="eastAsia" w:ascii="仿宋_GB2312" w:eastAsia="仿宋_GB2312"/>
          <w:color w:val="auto"/>
          <w:sz w:val="32"/>
          <w:lang w:val="en-US" w:eastAsia="zh-CN"/>
        </w:rPr>
        <w:t>为</w:t>
      </w:r>
      <w:r>
        <w:rPr>
          <w:rFonts w:hint="default" w:ascii="Times New Roman" w:hAnsi="Times New Roman" w:eastAsia="仿宋_GB2312" w:cs="Times New Roman"/>
          <w:color w:val="auto"/>
          <w:sz w:val="32"/>
          <w:lang w:val="en-US" w:eastAsia="zh-CN"/>
        </w:rPr>
        <w:t>84</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21</w:t>
      </w:r>
      <w:r>
        <w:rPr>
          <w:rFonts w:hint="eastAsia" w:ascii="仿宋_GB2312" w:eastAsia="仿宋_GB2312"/>
          <w:color w:val="auto"/>
          <w:sz w:val="32"/>
          <w:lang w:val="en-US" w:eastAsia="zh-CN"/>
        </w:rPr>
        <w:t>%，其中保障性安居工程支出</w:t>
      </w:r>
      <w:r>
        <w:rPr>
          <w:rFonts w:hint="default" w:ascii="Times New Roman" w:hAnsi="Times New Roman" w:eastAsia="仿宋_GB2312" w:cs="Times New Roman"/>
          <w:color w:val="auto"/>
          <w:sz w:val="32"/>
          <w:lang w:val="en-US" w:eastAsia="zh-CN"/>
        </w:rPr>
        <w:t>42</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541</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48</w:t>
      </w:r>
      <w:r>
        <w:rPr>
          <w:rFonts w:hint="eastAsia" w:ascii="仿宋_GB2312" w:eastAsia="仿宋_GB2312"/>
          <w:color w:val="auto"/>
          <w:sz w:val="32"/>
          <w:lang w:val="en-US" w:eastAsia="zh-CN"/>
        </w:rPr>
        <w:t>万元（支出率</w:t>
      </w:r>
      <w:r>
        <w:rPr>
          <w:rFonts w:hint="default" w:ascii="Times New Roman" w:hAnsi="Times New Roman" w:eastAsia="仿宋_GB2312" w:cs="Times New Roman"/>
          <w:color w:val="auto"/>
          <w:sz w:val="32"/>
          <w:lang w:val="en-US" w:eastAsia="zh-CN"/>
        </w:rPr>
        <w:t>85</w:t>
      </w:r>
      <w:r>
        <w:rPr>
          <w:rFonts w:hint="eastAsia" w:ascii="仿宋_GB2312" w:eastAsia="仿宋_GB2312"/>
          <w:color w:val="auto"/>
          <w:sz w:val="32"/>
          <w:lang w:val="en-US" w:eastAsia="zh-CN"/>
        </w:rPr>
        <w:t>.</w:t>
      </w:r>
      <w:r>
        <w:rPr>
          <w:rFonts w:hint="default" w:ascii="Times New Roman" w:hAnsi="Times New Roman" w:eastAsia="仿宋_GB2312" w:cs="Times New Roman"/>
          <w:color w:val="auto"/>
          <w:sz w:val="32"/>
          <w:lang w:val="en-US" w:eastAsia="zh-CN"/>
        </w:rPr>
        <w:t>98</w:t>
      </w:r>
      <w:r>
        <w:rPr>
          <w:rFonts w:hint="eastAsia" w:ascii="仿宋_GB2312" w:eastAsia="仿宋_GB2312"/>
          <w:color w:val="auto"/>
          <w:sz w:val="32"/>
          <w:lang w:val="en-US" w:eastAsia="zh-CN"/>
        </w:rPr>
        <w:t>%）、城市危旧房摸底调查支出</w:t>
      </w:r>
      <w:r>
        <w:rPr>
          <w:rFonts w:hint="default" w:ascii="Times New Roman" w:hAnsi="Times New Roman" w:eastAsia="仿宋_GB2312" w:cs="Times New Roman"/>
          <w:color w:val="auto"/>
          <w:sz w:val="32"/>
          <w:lang w:val="en-US" w:eastAsia="zh-CN"/>
        </w:rPr>
        <w:t>368</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39</w:t>
      </w:r>
      <w:r>
        <w:rPr>
          <w:rFonts w:hint="eastAsia" w:ascii="仿宋_GB2312" w:eastAsia="仿宋_GB2312"/>
          <w:color w:val="auto"/>
          <w:sz w:val="32"/>
          <w:lang w:val="en-US" w:eastAsia="zh-CN"/>
        </w:rPr>
        <w:t>万元（支出率</w:t>
      </w:r>
      <w:r>
        <w:rPr>
          <w:rFonts w:hint="default" w:ascii="Times New Roman" w:hAnsi="Times New Roman" w:eastAsia="仿宋_GB2312" w:cs="Times New Roman"/>
          <w:color w:val="auto"/>
          <w:sz w:val="32"/>
          <w:lang w:val="en-US" w:eastAsia="zh-CN"/>
        </w:rPr>
        <w:t>43</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19</w:t>
      </w:r>
      <w:r>
        <w:rPr>
          <w:rFonts w:hint="eastAsia" w:ascii="仿宋_GB2312" w:eastAsia="仿宋_GB2312"/>
          <w:color w:val="auto"/>
          <w:sz w:val="32"/>
          <w:lang w:val="en-US" w:eastAsia="zh-CN"/>
        </w:rPr>
        <w:t>%）、自建房安全专项整治支出</w:t>
      </w:r>
      <w:r>
        <w:rPr>
          <w:rFonts w:hint="default" w:ascii="Times New Roman" w:hAnsi="Times New Roman" w:eastAsia="仿宋_GB2312" w:cs="Times New Roman"/>
          <w:color w:val="auto"/>
          <w:sz w:val="32"/>
          <w:lang w:val="en-US" w:eastAsia="zh-CN"/>
        </w:rPr>
        <w:t>1,071</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14</w:t>
      </w:r>
      <w:r>
        <w:rPr>
          <w:rFonts w:hint="eastAsia" w:ascii="Times New Roman" w:hAnsi="Times New Roman" w:eastAsia="仿宋_GB2312" w:cs="Times New Roman"/>
          <w:color w:val="auto"/>
          <w:sz w:val="32"/>
          <w:lang w:val="en-US" w:eastAsia="zh-CN"/>
        </w:rPr>
        <w:t>万元（支出率</w:t>
      </w:r>
      <w:r>
        <w:rPr>
          <w:rFonts w:hint="default" w:ascii="Times New Roman" w:hAnsi="Times New Roman" w:eastAsia="仿宋_GB2312" w:cs="Times New Roman"/>
          <w:color w:val="auto"/>
          <w:sz w:val="32"/>
          <w:lang w:val="en-US" w:eastAsia="zh-CN"/>
        </w:rPr>
        <w:t>51</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95</w:t>
      </w:r>
      <w:r>
        <w:rPr>
          <w:rFonts w:hint="eastAsia" w:ascii="Times New Roman" w:hAnsi="Times New Roman" w:eastAsia="仿宋_GB2312" w:cs="Times New Roman"/>
          <w:color w:val="auto"/>
          <w:sz w:val="32"/>
          <w:lang w:val="en-US" w:eastAsia="zh-CN"/>
        </w:rPr>
        <w:t>%）、</w:t>
      </w:r>
      <w:r>
        <w:rPr>
          <w:rFonts w:hint="eastAsia" w:ascii="仿宋_GB2312" w:eastAsia="仿宋_GB2312"/>
          <w:color w:val="auto"/>
          <w:sz w:val="32"/>
          <w:lang w:val="en-US" w:eastAsia="zh-CN"/>
        </w:rPr>
        <w:t>省级工作经费支出</w:t>
      </w:r>
      <w:r>
        <w:rPr>
          <w:rFonts w:hint="default" w:ascii="Times New Roman" w:hAnsi="Times New Roman" w:eastAsia="仿宋_GB2312" w:cs="Times New Roman"/>
          <w:color w:val="auto"/>
          <w:sz w:val="32"/>
          <w:lang w:val="en-US" w:eastAsia="zh-CN"/>
        </w:rPr>
        <w:t>889</w:t>
      </w:r>
      <w:r>
        <w:rPr>
          <w:rFonts w:hint="eastAsia" w:ascii="仿宋_GB2312" w:eastAsia="仿宋_GB2312"/>
          <w:color w:val="auto"/>
          <w:sz w:val="32"/>
          <w:lang w:val="en-US" w:eastAsia="zh-CN"/>
        </w:rPr>
        <w:t>.</w:t>
      </w:r>
      <w:r>
        <w:rPr>
          <w:rFonts w:hint="default" w:ascii="Times New Roman" w:hAnsi="Times New Roman" w:eastAsia="仿宋_GB2312" w:cs="Times New Roman"/>
          <w:color w:val="auto"/>
          <w:sz w:val="32"/>
          <w:lang w:val="en-US" w:eastAsia="zh-CN"/>
        </w:rPr>
        <w:t>64</w:t>
      </w:r>
      <w:r>
        <w:rPr>
          <w:rFonts w:hint="eastAsia" w:ascii="仿宋_GB2312" w:eastAsia="仿宋_GB2312"/>
          <w:color w:val="auto"/>
          <w:sz w:val="32"/>
          <w:lang w:val="en-US" w:eastAsia="zh-CN"/>
        </w:rPr>
        <w:t>万元（支出率</w:t>
      </w:r>
      <w:r>
        <w:rPr>
          <w:rFonts w:hint="default" w:ascii="Times New Roman" w:hAnsi="Times New Roman" w:eastAsia="仿宋_GB2312" w:cs="Times New Roman"/>
          <w:color w:val="auto"/>
          <w:sz w:val="32"/>
          <w:lang w:val="en-US" w:eastAsia="zh-CN"/>
        </w:rPr>
        <w:t>99</w:t>
      </w:r>
      <w:r>
        <w:rPr>
          <w:rFonts w:hint="eastAsia" w:ascii="仿宋_GB2312" w:eastAsia="仿宋_GB2312"/>
          <w:color w:val="auto"/>
          <w:sz w:val="32"/>
          <w:lang w:val="en-US" w:eastAsia="zh-CN"/>
        </w:rPr>
        <w:t>.</w:t>
      </w:r>
      <w:r>
        <w:rPr>
          <w:rFonts w:hint="default" w:ascii="Times New Roman" w:hAnsi="Times New Roman" w:eastAsia="仿宋_GB2312" w:cs="Times New Roman"/>
          <w:color w:val="auto"/>
          <w:sz w:val="32"/>
          <w:lang w:val="en-US" w:eastAsia="zh-CN"/>
        </w:rPr>
        <w:t>96</w:t>
      </w:r>
      <w:r>
        <w:rPr>
          <w:rFonts w:hint="eastAsia" w:ascii="仿宋_GB2312" w:eastAsia="仿宋_GB2312"/>
          <w:color w:val="auto"/>
          <w:sz w:val="32"/>
          <w:lang w:val="en-US" w:eastAsia="zh-CN"/>
        </w:rPr>
        <w:t>%）。</w:t>
      </w:r>
      <w:r>
        <w:rPr>
          <w:rFonts w:hint="eastAsia" w:ascii="仿宋_GB2312" w:eastAsia="仿宋_GB2312"/>
          <w:color w:val="auto"/>
          <w:sz w:val="32"/>
        </w:rPr>
        <w:t>资金支出率</w:t>
      </w:r>
      <w:r>
        <w:rPr>
          <w:rFonts w:hint="eastAsia" w:ascii="仿宋_GB2312" w:eastAsia="仿宋_GB2312"/>
          <w:color w:val="auto"/>
          <w:sz w:val="32"/>
          <w:lang w:val="en-US" w:eastAsia="zh-CN"/>
        </w:rPr>
        <w:t>未达预期</w:t>
      </w:r>
      <w:r>
        <w:rPr>
          <w:rFonts w:hint="eastAsia" w:ascii="仿宋_GB2312" w:eastAsia="仿宋_GB2312"/>
          <w:color w:val="auto"/>
          <w:sz w:val="32"/>
        </w:rPr>
        <w:t>的</w:t>
      </w:r>
      <w:r>
        <w:rPr>
          <w:rFonts w:hint="eastAsia" w:ascii="仿宋_GB2312" w:eastAsia="仿宋_GB2312"/>
          <w:color w:val="auto"/>
          <w:sz w:val="32"/>
          <w:lang w:val="en-US" w:eastAsia="zh-CN"/>
        </w:rPr>
        <w:t>主要</w:t>
      </w:r>
      <w:r>
        <w:rPr>
          <w:rFonts w:hint="eastAsia" w:ascii="仿宋_GB2312" w:eastAsia="仿宋_GB2312"/>
          <w:color w:val="auto"/>
          <w:sz w:val="32"/>
        </w:rPr>
        <w:t>原因：</w:t>
      </w:r>
      <w:r>
        <w:rPr>
          <w:rFonts w:hint="eastAsia" w:ascii="仿宋_GB2312" w:eastAsia="仿宋_GB2312"/>
          <w:b/>
          <w:bCs/>
          <w:color w:val="auto"/>
          <w:sz w:val="32"/>
          <w:lang w:val="en-US" w:eastAsia="zh-CN"/>
        </w:rPr>
        <w:t>一是</w:t>
      </w:r>
      <w:r>
        <w:rPr>
          <w:rFonts w:hint="eastAsia" w:ascii="仿宋_GB2312" w:eastAsia="仿宋_GB2312"/>
          <w:color w:val="auto"/>
          <w:sz w:val="32"/>
          <w:lang w:val="en-US" w:eastAsia="zh-CN"/>
        </w:rPr>
        <w:t>财政支付问题。部分市县财政资金紧张，资金拨付不及时；部分市县财政部门审核拨款周期长、流程繁琐，且资金来源单一，配套资金不足，影响项目推进与支付。</w:t>
      </w:r>
      <w:r>
        <w:rPr>
          <w:rFonts w:hint="eastAsia" w:ascii="仿宋_GB2312" w:eastAsia="仿宋_GB2312"/>
          <w:b/>
          <w:bCs/>
          <w:color w:val="auto"/>
          <w:sz w:val="32"/>
          <w:lang w:val="en-US" w:eastAsia="zh-CN"/>
        </w:rPr>
        <w:t>二是</w:t>
      </w:r>
      <w:r>
        <w:rPr>
          <w:rFonts w:hint="eastAsia" w:ascii="仿宋_GB2312" w:eastAsia="仿宋_GB2312"/>
          <w:color w:val="auto"/>
          <w:sz w:val="32"/>
          <w:lang w:val="en-US" w:eastAsia="zh-CN"/>
        </w:rPr>
        <w:t>项目前期工作问题。部分市县项目前期准备不足，实施周期长、审批繁琐，导致进度滞后，影响资金拨付。</w:t>
      </w:r>
      <w:r>
        <w:rPr>
          <w:rFonts w:hint="eastAsia" w:ascii="仿宋_GB2312" w:eastAsia="仿宋_GB2312"/>
          <w:b/>
          <w:bCs/>
          <w:color w:val="auto"/>
          <w:sz w:val="32"/>
          <w:lang w:val="en-US" w:eastAsia="zh-CN"/>
        </w:rPr>
        <w:t>三是</w:t>
      </w:r>
      <w:r>
        <w:rPr>
          <w:rFonts w:hint="eastAsia" w:ascii="仿宋_GB2312" w:eastAsia="仿宋_GB2312"/>
          <w:color w:val="auto"/>
          <w:sz w:val="32"/>
          <w:lang w:val="en-US" w:eastAsia="zh-CN"/>
        </w:rPr>
        <w:t>外部环境及协作问题。部分市县跨部门协作不畅、资源保障不足等外部因素制约项目推进。</w:t>
      </w:r>
      <w:r>
        <w:rPr>
          <w:rFonts w:hint="eastAsia" w:ascii="仿宋_GB2312" w:eastAsia="仿宋_GB2312"/>
          <w:b/>
          <w:bCs/>
          <w:color w:val="auto"/>
          <w:sz w:val="32"/>
          <w:lang w:val="en-US" w:eastAsia="zh-CN"/>
        </w:rPr>
        <w:t>四是</w:t>
      </w:r>
      <w:r>
        <w:rPr>
          <w:rFonts w:hint="eastAsia" w:ascii="仿宋_GB2312" w:eastAsia="仿宋_GB2312"/>
          <w:color w:val="auto"/>
          <w:sz w:val="32"/>
          <w:lang w:val="en-US" w:eastAsia="zh-CN"/>
        </w:rPr>
        <w:t>危旧房改造和</w:t>
      </w:r>
      <w:r>
        <w:rPr>
          <w:rFonts w:hint="default" w:ascii="Times New Roman" w:hAnsi="Times New Roman" w:eastAsia="仿宋_GB2312" w:cs="Times New Roman"/>
          <w:color w:val="auto"/>
          <w:sz w:val="32"/>
          <w:szCs w:val="32"/>
        </w:rPr>
        <w:t>自建房整治项目</w:t>
      </w:r>
      <w:r>
        <w:rPr>
          <w:rFonts w:hint="eastAsia" w:ascii="仿宋_GB2312" w:eastAsia="仿宋_GB2312"/>
          <w:color w:val="auto"/>
          <w:sz w:val="32"/>
          <w:lang w:val="en-US" w:eastAsia="zh-CN"/>
        </w:rPr>
        <w:t>特殊问题。危旧房改造难度大、</w:t>
      </w:r>
      <w:r>
        <w:rPr>
          <w:rFonts w:hint="default" w:ascii="Times New Roman" w:hAnsi="Times New Roman" w:eastAsia="仿宋_GB2312" w:cs="Times New Roman"/>
          <w:color w:val="auto"/>
          <w:sz w:val="32"/>
          <w:szCs w:val="32"/>
        </w:rPr>
        <w:t>自建房整治工程管理流程复杂</w:t>
      </w:r>
      <w:r>
        <w:rPr>
          <w:rFonts w:hint="eastAsia" w:ascii="仿宋_GB2312" w:eastAsia="仿宋_GB2312"/>
          <w:color w:val="auto"/>
          <w:sz w:val="32"/>
          <w:lang w:val="en-US" w:eastAsia="zh-CN"/>
        </w:rPr>
        <w:t>，专项资金使用用途有一定局限性，影响改造工作推进与资金支付。</w:t>
      </w:r>
    </w:p>
    <w:p w14:paraId="140C2FE3">
      <w:pPr>
        <w:widowControl w:val="0"/>
        <w:numPr>
          <w:ilvl w:val="0"/>
          <w:numId w:val="0"/>
        </w:numPr>
        <w:bidi w:val="0"/>
        <w:adjustRightInd w:val="0"/>
        <w:snapToGrid w:val="0"/>
        <w:spacing w:line="360" w:lineRule="auto"/>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eastAsia="仿宋_GB2312"/>
          <w:color w:val="auto"/>
          <w:sz w:val="32"/>
        </w:rPr>
        <w:t>（</w:t>
      </w:r>
      <w:r>
        <w:rPr>
          <w:rFonts w:hint="default" w:ascii="Times New Roman" w:hAnsi="Times New Roman" w:eastAsia="仿宋_GB2312" w:cs="Times New Roman"/>
          <w:color w:val="auto"/>
          <w:sz w:val="32"/>
        </w:rPr>
        <w:t>2</w:t>
      </w:r>
      <w:r>
        <w:rPr>
          <w:rFonts w:hint="eastAsia" w:ascii="仿宋_GB2312" w:eastAsia="仿宋_GB2312"/>
          <w:color w:val="auto"/>
          <w:sz w:val="32"/>
        </w:rPr>
        <w:t>）事项管理。主要考核项目的监督</w:t>
      </w:r>
      <w:r>
        <w:rPr>
          <w:rFonts w:hint="eastAsia" w:ascii="仿宋_GB2312" w:eastAsia="仿宋_GB2312"/>
          <w:color w:val="auto"/>
          <w:sz w:val="32"/>
          <w:lang w:val="en-US" w:eastAsia="zh-CN"/>
        </w:rPr>
        <w:t>管理</w:t>
      </w:r>
      <w:r>
        <w:rPr>
          <w:rFonts w:hint="eastAsia" w:ascii="仿宋_GB2312" w:eastAsia="仿宋_GB2312"/>
          <w:color w:val="auto"/>
          <w:sz w:val="32"/>
        </w:rPr>
        <w:t>工作。</w:t>
      </w:r>
      <w:r>
        <w:rPr>
          <w:rFonts w:hint="eastAsia" w:ascii="仿宋_GB2312" w:hAnsi="仿宋_GB2312" w:eastAsia="仿宋_GB2312" w:cs="仿宋_GB2312"/>
          <w:b/>
          <w:bCs/>
          <w:color w:val="auto"/>
          <w:sz w:val="32"/>
          <w:szCs w:val="32"/>
          <w:highlight w:val="none"/>
        </w:rPr>
        <w:t>一是</w:t>
      </w:r>
      <w:r>
        <w:rPr>
          <w:rFonts w:hint="eastAsia" w:ascii="仿宋_GB2312" w:hAnsi="仿宋_GB2312" w:eastAsia="仿宋_GB2312" w:cs="仿宋_GB2312"/>
          <w:color w:val="auto"/>
          <w:sz w:val="32"/>
          <w:szCs w:val="32"/>
          <w:highlight w:val="none"/>
        </w:rPr>
        <w:t>省级业务主管部门能够认真做好项目实施监管，开展预算执行监控，及时掌握并督促项目建设进度。</w:t>
      </w:r>
      <w:r>
        <w:rPr>
          <w:rFonts w:hint="eastAsia" w:ascii="仿宋_GB2312" w:hAnsi="仿宋_GB2312" w:eastAsia="仿宋_GB2312" w:cs="仿宋_GB2312"/>
          <w:b/>
          <w:bCs/>
          <w:color w:val="auto"/>
          <w:sz w:val="32"/>
          <w:szCs w:val="32"/>
          <w:highlight w:val="none"/>
        </w:rPr>
        <w:t>二是</w:t>
      </w:r>
      <w:r>
        <w:rPr>
          <w:rFonts w:hint="eastAsia" w:ascii="仿宋_GB2312" w:hAnsi="仿宋_GB2312" w:eastAsia="仿宋_GB2312" w:cs="仿宋_GB2312"/>
          <w:color w:val="auto"/>
          <w:sz w:val="32"/>
          <w:szCs w:val="32"/>
          <w:highlight w:val="none"/>
        </w:rPr>
        <w:t>有关市县能够按照专项资金管理制度规定，建立健全管理制度，落实</w:t>
      </w:r>
      <w:r>
        <w:rPr>
          <w:rFonts w:hint="eastAsia" w:ascii="仿宋_GB2312" w:hAnsi="仿宋_GB2312" w:eastAsia="仿宋_GB2312" w:cs="仿宋_GB2312"/>
          <w:color w:val="auto"/>
          <w:sz w:val="32"/>
          <w:szCs w:val="32"/>
          <w:highlight w:val="none"/>
          <w:lang w:val="en-US" w:eastAsia="zh-CN"/>
        </w:rPr>
        <w:t>监督</w:t>
      </w:r>
      <w:r>
        <w:rPr>
          <w:rFonts w:hint="eastAsia" w:ascii="仿宋_GB2312" w:hAnsi="仿宋_GB2312" w:eastAsia="仿宋_GB2312" w:cs="仿宋_GB2312"/>
          <w:color w:val="auto"/>
          <w:sz w:val="32"/>
          <w:szCs w:val="32"/>
          <w:highlight w:val="none"/>
        </w:rPr>
        <w:t>管理责任，保障完成项目绩效目标</w:t>
      </w:r>
      <w:r>
        <w:rPr>
          <w:rFonts w:hint="eastAsia" w:ascii="仿宋_GB2312" w:eastAsia="仿宋_GB2312"/>
          <w:color w:val="auto"/>
          <w:sz w:val="32"/>
        </w:rPr>
        <w:t>，未发现虚列支出、截留、</w:t>
      </w:r>
      <w:r>
        <w:rPr>
          <w:rFonts w:hint="eastAsia" w:ascii="仿宋_GB2312" w:hAnsi="仿宋_GB2312" w:eastAsia="仿宋_GB2312" w:cs="仿宋_GB2312"/>
          <w:color w:val="auto"/>
          <w:sz w:val="32"/>
          <w:szCs w:val="32"/>
          <w:highlight w:val="none"/>
        </w:rPr>
        <w:t>挤占、挪用资金的情况。</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整改情况报告。</w:t>
      </w:r>
      <w:r>
        <w:rPr>
          <w:rFonts w:hint="default" w:ascii="仿宋_GB2312" w:hAnsi="仿宋_GB2312" w:eastAsia="仿宋_GB2312" w:cs="Calibri"/>
          <w:color w:val="auto"/>
          <w:kern w:val="0"/>
          <w:sz w:val="32"/>
          <w:szCs w:val="32"/>
          <w:lang w:val="en-US" w:eastAsia="zh-CN" w:bidi="ar-SA"/>
        </w:rPr>
        <w:t>根据《</w:t>
      </w:r>
      <w:r>
        <w:rPr>
          <w:rFonts w:hint="default" w:ascii="Times New Roman" w:hAnsi="Times New Roman" w:eastAsia="仿宋_GB2312" w:cs="Times New Roman"/>
          <w:color w:val="auto"/>
          <w:kern w:val="0"/>
          <w:sz w:val="32"/>
          <w:szCs w:val="32"/>
          <w:lang w:val="en-US" w:eastAsia="zh-CN" w:bidi="ar-SA"/>
        </w:rPr>
        <w:t>2023</w:t>
      </w:r>
      <w:r>
        <w:rPr>
          <w:rFonts w:hint="default" w:ascii="仿宋_GB2312" w:hAnsi="仿宋_GB2312" w:eastAsia="仿宋_GB2312" w:cs="Calibri"/>
          <w:color w:val="auto"/>
          <w:kern w:val="0"/>
          <w:sz w:val="32"/>
          <w:szCs w:val="32"/>
          <w:lang w:val="en-US" w:eastAsia="zh-CN" w:bidi="ar-SA"/>
        </w:rPr>
        <w:t>年广东省十件民生实事（第三件：持续推进城镇保障性安居工程建设）绩效评价报告》，省财政厅就我厅保障性安居工程建设项目共指出</w:t>
      </w:r>
      <w:r>
        <w:rPr>
          <w:rFonts w:hint="default" w:ascii="Times New Roman" w:hAnsi="Times New Roman" w:eastAsia="仿宋_GB2312" w:cs="Times New Roman"/>
          <w:color w:val="auto"/>
          <w:kern w:val="0"/>
          <w:sz w:val="32"/>
          <w:szCs w:val="32"/>
          <w:lang w:val="en-US" w:eastAsia="zh-CN" w:bidi="ar-SA"/>
        </w:rPr>
        <w:t>20</w:t>
      </w:r>
      <w:r>
        <w:rPr>
          <w:rFonts w:hint="default" w:ascii="仿宋_GB2312" w:hAnsi="仿宋_GB2312" w:eastAsia="仿宋_GB2312" w:cs="Calibri"/>
          <w:color w:val="auto"/>
          <w:kern w:val="0"/>
          <w:sz w:val="32"/>
          <w:szCs w:val="32"/>
          <w:lang w:val="en-US" w:eastAsia="zh-CN" w:bidi="ar-SA"/>
        </w:rPr>
        <w:t>个问题，其中省本级</w:t>
      </w:r>
      <w:r>
        <w:rPr>
          <w:rFonts w:hint="default" w:ascii="Times New Roman" w:hAnsi="Times New Roman" w:eastAsia="仿宋_GB2312" w:cs="Times New Roman"/>
          <w:color w:val="auto"/>
          <w:kern w:val="0"/>
          <w:sz w:val="32"/>
          <w:szCs w:val="32"/>
          <w:lang w:val="en-US" w:eastAsia="zh-CN" w:bidi="ar-SA"/>
        </w:rPr>
        <w:t>5</w:t>
      </w:r>
      <w:r>
        <w:rPr>
          <w:rFonts w:hint="default" w:ascii="仿宋_GB2312" w:hAnsi="仿宋_GB2312" w:eastAsia="仿宋_GB2312" w:cs="Calibri"/>
          <w:color w:val="auto"/>
          <w:kern w:val="0"/>
          <w:sz w:val="32"/>
          <w:szCs w:val="32"/>
          <w:lang w:val="en-US" w:eastAsia="zh-CN" w:bidi="ar-SA"/>
        </w:rPr>
        <w:t>个、地市</w:t>
      </w:r>
      <w:r>
        <w:rPr>
          <w:rFonts w:hint="default" w:ascii="Times New Roman" w:hAnsi="Times New Roman" w:eastAsia="仿宋_GB2312" w:cs="Times New Roman"/>
          <w:color w:val="auto"/>
          <w:kern w:val="0"/>
          <w:sz w:val="32"/>
          <w:szCs w:val="32"/>
          <w:lang w:val="en-US" w:eastAsia="zh-CN" w:bidi="ar-SA"/>
        </w:rPr>
        <w:t>15</w:t>
      </w:r>
      <w:r>
        <w:rPr>
          <w:rFonts w:hint="default" w:ascii="仿宋_GB2312" w:hAnsi="仿宋_GB2312" w:eastAsia="仿宋_GB2312" w:cs="Calibri"/>
          <w:color w:val="auto"/>
          <w:kern w:val="0"/>
          <w:sz w:val="32"/>
          <w:szCs w:val="32"/>
          <w:lang w:val="en-US" w:eastAsia="zh-CN" w:bidi="ar-SA"/>
        </w:rPr>
        <w:t>个。我厅对此高度重视，迅速行动，积极落实整改工作。截至目前，已圆满完成</w:t>
      </w:r>
      <w:r>
        <w:rPr>
          <w:rFonts w:hint="default" w:ascii="Times New Roman" w:hAnsi="Times New Roman" w:eastAsia="仿宋_GB2312" w:cs="Times New Roman"/>
          <w:color w:val="auto"/>
          <w:kern w:val="0"/>
          <w:sz w:val="32"/>
          <w:szCs w:val="32"/>
          <w:lang w:val="en-US" w:eastAsia="zh-CN" w:bidi="ar-SA"/>
        </w:rPr>
        <w:t>15</w:t>
      </w:r>
      <w:r>
        <w:rPr>
          <w:rFonts w:hint="default" w:ascii="仿宋_GB2312" w:hAnsi="仿宋_GB2312" w:eastAsia="仿宋_GB2312" w:cs="Calibri"/>
          <w:color w:val="auto"/>
          <w:kern w:val="0"/>
          <w:sz w:val="32"/>
          <w:szCs w:val="32"/>
          <w:lang w:val="en-US" w:eastAsia="zh-CN" w:bidi="ar-SA"/>
        </w:rPr>
        <w:t>项问题的整改任务，另有</w:t>
      </w:r>
      <w:r>
        <w:rPr>
          <w:rFonts w:hint="default" w:ascii="Times New Roman" w:hAnsi="Times New Roman" w:eastAsia="仿宋_GB2312" w:cs="Times New Roman"/>
          <w:color w:val="auto"/>
          <w:kern w:val="0"/>
          <w:sz w:val="32"/>
          <w:szCs w:val="32"/>
          <w:lang w:val="en-US" w:eastAsia="zh-CN" w:bidi="ar-SA"/>
        </w:rPr>
        <w:t>5</w:t>
      </w:r>
      <w:r>
        <w:rPr>
          <w:rFonts w:hint="default" w:ascii="仿宋_GB2312" w:hAnsi="仿宋_GB2312" w:eastAsia="仿宋_GB2312" w:cs="Calibri"/>
          <w:color w:val="auto"/>
          <w:kern w:val="0"/>
          <w:sz w:val="32"/>
          <w:szCs w:val="32"/>
          <w:lang w:val="en-US" w:eastAsia="zh-CN" w:bidi="ar-SA"/>
        </w:rPr>
        <w:t>项问题的整改工作正在稳步推进中。</w:t>
      </w:r>
    </w:p>
    <w:p w14:paraId="6577089A">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b/>
          <w:bCs/>
          <w:color w:val="auto"/>
          <w:sz w:val="32"/>
          <w:szCs w:val="32"/>
          <w:highlight w:val="none"/>
        </w:rPr>
        <w:t>2</w:t>
      </w:r>
      <w:r>
        <w:rPr>
          <w:rFonts w:hint="eastAsia" w:ascii="仿宋_GB2312" w:hAnsi="仿宋_GB2312" w:eastAsia="仿宋_GB2312" w:cs="仿宋_GB2312"/>
          <w:b/>
          <w:bCs/>
          <w:color w:val="auto"/>
          <w:sz w:val="32"/>
          <w:szCs w:val="32"/>
          <w:highlight w:val="none"/>
        </w:rPr>
        <w:t>.产出。</w:t>
      </w:r>
      <w:r>
        <w:rPr>
          <w:rFonts w:hint="eastAsia" w:ascii="仿宋_GB2312" w:hAnsi="仿宋_GB2312" w:eastAsia="仿宋_GB2312" w:cs="仿宋_GB2312"/>
          <w:color w:val="auto"/>
          <w:sz w:val="32"/>
          <w:szCs w:val="32"/>
          <w:highlight w:val="none"/>
        </w:rPr>
        <w:t>该指标主要从数量、质量、时效三个方面考察项目完成的进度、质量等产出情况。</w:t>
      </w:r>
    </w:p>
    <w:p w14:paraId="135615F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Times New Roman" w:eastAsia="仿宋_GB2312"/>
          <w:color w:val="auto"/>
          <w:sz w:val="32"/>
        </w:rPr>
      </w:pP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）数量指标。</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b w:val="0"/>
          <w:bCs w:val="0"/>
          <w:color w:val="auto"/>
          <w:kern w:val="2"/>
          <w:sz w:val="32"/>
          <w:szCs w:val="32"/>
          <w:highlight w:val="none"/>
          <w:lang w:val="en-US" w:eastAsia="zh-CN" w:bidi="ar-SA"/>
        </w:rPr>
        <w:t>新筹建公共租赁住房（万套）。</w:t>
      </w:r>
      <w:r>
        <w:rPr>
          <w:rFonts w:hint="eastAsia" w:ascii="仿宋_GB2312" w:hAnsi="仿宋_GB2312" w:eastAsia="仿宋_GB2312" w:cs="仿宋_GB2312"/>
          <w:color w:val="auto"/>
          <w:kern w:val="2"/>
          <w:sz w:val="32"/>
          <w:szCs w:val="32"/>
          <w:highlight w:val="none"/>
          <w:lang w:val="en-US" w:eastAsia="zh-CN" w:bidi="ar-SA"/>
        </w:rPr>
        <w:t>评价年度预期值</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05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仿宋_GB2312" w:hAnsi="Times New Roman" w:eastAsia="仿宋_GB2312"/>
          <w:color w:val="auto"/>
          <w:sz w:val="32"/>
        </w:rPr>
        <w:t>套，截至</w:t>
      </w:r>
      <w:r>
        <w:rPr>
          <w:rFonts w:hint="default" w:ascii="Times New Roman" w:hAnsi="Times New Roman" w:eastAsia="仿宋_GB2312" w:cs="Times New Roman"/>
          <w:color w:val="auto"/>
          <w:sz w:val="32"/>
        </w:rPr>
        <w:t>202</w:t>
      </w:r>
      <w:r>
        <w:rPr>
          <w:rFonts w:hint="default" w:ascii="Times New Roman" w:hAnsi="Times New Roman" w:eastAsia="仿宋_GB2312" w:cs="Times New Roman"/>
          <w:color w:val="auto"/>
          <w:sz w:val="32"/>
          <w:lang w:val="en-US" w:eastAsia="zh-CN"/>
        </w:rPr>
        <w:t>4</w:t>
      </w:r>
      <w:r>
        <w:rPr>
          <w:rFonts w:hint="eastAsia" w:ascii="仿宋_GB2312" w:hAnsi="Times New Roman" w:eastAsia="仿宋_GB2312"/>
          <w:color w:val="auto"/>
          <w:sz w:val="32"/>
        </w:rPr>
        <w:t>年</w:t>
      </w:r>
      <w:r>
        <w:rPr>
          <w:rFonts w:hint="default" w:ascii="Times New Roman" w:hAnsi="Times New Roman" w:eastAsia="仿宋_GB2312" w:cs="Times New Roman"/>
          <w:color w:val="auto"/>
          <w:sz w:val="32"/>
        </w:rPr>
        <w:t>12</w:t>
      </w:r>
      <w:r>
        <w:rPr>
          <w:rFonts w:hint="eastAsia" w:ascii="仿宋_GB2312" w:hAnsi="Times New Roman" w:eastAsia="仿宋_GB2312"/>
          <w:color w:val="auto"/>
          <w:sz w:val="32"/>
        </w:rPr>
        <w:t>月</w:t>
      </w:r>
      <w:r>
        <w:rPr>
          <w:rFonts w:hint="default" w:ascii="Times New Roman" w:hAnsi="Times New Roman" w:eastAsia="仿宋_GB2312" w:cs="Times New Roman"/>
          <w:color w:val="auto"/>
          <w:sz w:val="32"/>
        </w:rPr>
        <w:t>31</w:t>
      </w:r>
      <w:r>
        <w:rPr>
          <w:rFonts w:hint="eastAsia" w:ascii="仿宋_GB2312" w:hAnsi="Times New Roman" w:eastAsia="仿宋_GB2312"/>
          <w:color w:val="auto"/>
          <w:sz w:val="32"/>
        </w:rPr>
        <w:t>日，实际</w:t>
      </w:r>
      <w:r>
        <w:rPr>
          <w:rFonts w:hint="eastAsia" w:ascii="仿宋_GB2312" w:hAnsi="仿宋_GB2312" w:eastAsia="仿宋_GB2312" w:cs="仿宋_GB2312"/>
          <w:color w:val="auto"/>
          <w:kern w:val="2"/>
          <w:sz w:val="32"/>
          <w:szCs w:val="32"/>
          <w:highlight w:val="none"/>
          <w:lang w:val="en-US" w:eastAsia="zh-CN" w:bidi="ar-SA"/>
        </w:rPr>
        <w:t>新筹建公共租赁住房</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07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仿宋_GB2312" w:hAnsi="Times New Roman" w:eastAsia="仿宋_GB2312"/>
          <w:color w:val="auto"/>
          <w:sz w:val="32"/>
        </w:rPr>
        <w:t>套，实际筹集建设数为年度计划的</w:t>
      </w:r>
      <w:r>
        <w:rPr>
          <w:rFonts w:hint="default" w:ascii="Times New Roman" w:hAnsi="Times New Roman" w:eastAsia="仿宋_GB2312" w:cs="Times New Roman"/>
          <w:color w:val="auto"/>
          <w:sz w:val="32"/>
          <w:lang w:val="en-US" w:eastAsia="zh-CN"/>
        </w:rPr>
        <w:t>140</w:t>
      </w:r>
      <w:r>
        <w:rPr>
          <w:rFonts w:hint="eastAsia" w:ascii="仿宋_GB2312" w:hAnsi="Times New Roman" w:eastAsia="仿宋_GB2312"/>
          <w:color w:val="auto"/>
          <w:sz w:val="32"/>
        </w:rPr>
        <w:t>%。</w:t>
      </w:r>
      <w:r>
        <w:rPr>
          <w:rFonts w:hint="eastAsia" w:ascii="仿宋_GB2312" w:hAnsi="Times New Roman" w:eastAsia="仿宋_GB2312"/>
          <w:b/>
          <w:bCs/>
          <w:color w:val="auto"/>
          <w:sz w:val="32"/>
          <w:lang w:val="en-US" w:eastAsia="zh-CN"/>
        </w:rPr>
        <w:t>二是</w:t>
      </w:r>
      <w:r>
        <w:rPr>
          <w:rFonts w:hint="eastAsia" w:ascii="仿宋_GB2312" w:hAnsi="Times New Roman" w:eastAsia="仿宋_GB2312"/>
          <w:b w:val="0"/>
          <w:bCs w:val="0"/>
          <w:color w:val="auto"/>
          <w:sz w:val="32"/>
        </w:rPr>
        <w:t>发放租赁补贴（万户）</w:t>
      </w:r>
      <w:r>
        <w:rPr>
          <w:rFonts w:hint="eastAsia" w:ascii="仿宋_GB2312" w:hAnsi="Times New Roman" w:eastAsia="仿宋_GB2312"/>
          <w:b/>
          <w:bCs/>
          <w:color w:val="auto"/>
          <w:sz w:val="32"/>
          <w:lang w:eastAsia="zh-CN"/>
        </w:rPr>
        <w:t>。</w:t>
      </w:r>
      <w:r>
        <w:rPr>
          <w:rFonts w:hint="eastAsia" w:ascii="仿宋_GB2312" w:hAnsi="仿宋_GB2312" w:eastAsia="仿宋_GB2312" w:cs="仿宋_GB2312"/>
          <w:color w:val="auto"/>
          <w:kern w:val="2"/>
          <w:sz w:val="32"/>
          <w:szCs w:val="32"/>
          <w:highlight w:val="none"/>
          <w:lang w:val="en-US" w:eastAsia="zh-CN" w:bidi="ar-SA"/>
        </w:rPr>
        <w:t>评价年度预期值</w:t>
      </w:r>
      <w:r>
        <w:rPr>
          <w:rFonts w:hint="default" w:ascii="Times New Roman" w:hAnsi="Times New Roman" w:eastAsia="仿宋_GB2312" w:cs="Times New Roman"/>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80</w:t>
      </w:r>
      <w:r>
        <w:rPr>
          <w:rFonts w:hint="eastAsia" w:ascii="仿宋_GB2312" w:hAnsi="仿宋_GB2312" w:eastAsia="仿宋_GB2312" w:cs="仿宋_GB2312"/>
          <w:color w:val="auto"/>
          <w:kern w:val="2"/>
          <w:sz w:val="32"/>
          <w:szCs w:val="32"/>
          <w:highlight w:val="none"/>
          <w:lang w:val="en-US" w:eastAsia="zh-CN" w:bidi="ar-SA"/>
        </w:rPr>
        <w:t>万户</w:t>
      </w:r>
      <w:r>
        <w:rPr>
          <w:rFonts w:hint="eastAsia" w:ascii="仿宋_GB2312" w:hAnsi="Times New Roman" w:eastAsia="仿宋_GB2312"/>
          <w:color w:val="auto"/>
          <w:sz w:val="32"/>
        </w:rPr>
        <w:t>，截至</w:t>
      </w:r>
      <w:r>
        <w:rPr>
          <w:rFonts w:hint="default" w:ascii="Times New Roman" w:hAnsi="Times New Roman" w:eastAsia="仿宋_GB2312" w:cs="Times New Roman"/>
          <w:color w:val="auto"/>
          <w:sz w:val="32"/>
        </w:rPr>
        <w:t>202</w:t>
      </w:r>
      <w:r>
        <w:rPr>
          <w:rFonts w:hint="default" w:ascii="Times New Roman" w:hAnsi="Times New Roman" w:eastAsia="仿宋_GB2312" w:cs="Times New Roman"/>
          <w:color w:val="auto"/>
          <w:sz w:val="32"/>
          <w:lang w:val="en-US" w:eastAsia="zh-CN"/>
        </w:rPr>
        <w:t>4</w:t>
      </w:r>
      <w:r>
        <w:rPr>
          <w:rFonts w:hint="eastAsia" w:ascii="仿宋_GB2312" w:hAnsi="Times New Roman" w:eastAsia="仿宋_GB2312"/>
          <w:color w:val="auto"/>
          <w:sz w:val="32"/>
        </w:rPr>
        <w:t>年</w:t>
      </w:r>
      <w:r>
        <w:rPr>
          <w:rFonts w:hint="default" w:ascii="Times New Roman" w:hAnsi="Times New Roman" w:eastAsia="仿宋_GB2312" w:cs="Times New Roman"/>
          <w:color w:val="auto"/>
          <w:sz w:val="32"/>
        </w:rPr>
        <w:t>12</w:t>
      </w:r>
      <w:r>
        <w:rPr>
          <w:rFonts w:hint="eastAsia" w:ascii="仿宋_GB2312" w:hAnsi="Times New Roman" w:eastAsia="仿宋_GB2312"/>
          <w:color w:val="auto"/>
          <w:sz w:val="32"/>
        </w:rPr>
        <w:t>月</w:t>
      </w:r>
      <w:r>
        <w:rPr>
          <w:rFonts w:hint="default" w:ascii="Times New Roman" w:hAnsi="Times New Roman" w:eastAsia="仿宋_GB2312" w:cs="Times New Roman"/>
          <w:color w:val="auto"/>
          <w:sz w:val="32"/>
        </w:rPr>
        <w:t>31</w:t>
      </w:r>
      <w:r>
        <w:rPr>
          <w:rFonts w:hint="eastAsia" w:ascii="仿宋_GB2312" w:hAnsi="Times New Roman" w:eastAsia="仿宋_GB2312"/>
          <w:color w:val="auto"/>
          <w:sz w:val="32"/>
        </w:rPr>
        <w:t>日，实际发放租赁补贴</w:t>
      </w:r>
      <w:r>
        <w:rPr>
          <w:rFonts w:hint="default" w:ascii="Times New Roman" w:hAnsi="Times New Roman" w:eastAsia="仿宋_GB2312" w:cs="Times New Roman"/>
          <w:color w:val="auto"/>
          <w:kern w:val="2"/>
          <w:sz w:val="32"/>
          <w:szCs w:val="32"/>
          <w:highlight w:val="none"/>
          <w:lang w:val="en-US" w:eastAsia="zh-CN" w:bidi="ar-SA"/>
        </w:rPr>
        <w:t>6</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10</w:t>
      </w:r>
      <w:r>
        <w:rPr>
          <w:rFonts w:hint="eastAsia" w:ascii="仿宋_GB2312" w:hAnsi="仿宋_GB2312" w:eastAsia="仿宋_GB2312" w:cs="仿宋_GB2312"/>
          <w:color w:val="auto"/>
          <w:kern w:val="2"/>
          <w:sz w:val="32"/>
          <w:szCs w:val="32"/>
          <w:highlight w:val="none"/>
          <w:lang w:val="en-US" w:eastAsia="zh-CN" w:bidi="ar-SA"/>
        </w:rPr>
        <w:t>万户</w:t>
      </w:r>
      <w:r>
        <w:rPr>
          <w:rFonts w:hint="eastAsia" w:ascii="仿宋_GB2312" w:hAnsi="Times New Roman" w:eastAsia="仿宋_GB2312"/>
          <w:color w:val="auto"/>
          <w:sz w:val="32"/>
        </w:rPr>
        <w:t>，实际发放租赁补贴</w:t>
      </w:r>
      <w:r>
        <w:rPr>
          <w:rFonts w:hint="eastAsia" w:ascii="仿宋_GB2312" w:hAnsi="Times New Roman" w:eastAsia="仿宋_GB2312"/>
          <w:color w:val="auto"/>
          <w:sz w:val="32"/>
          <w:lang w:val="en-US" w:eastAsia="zh-CN"/>
        </w:rPr>
        <w:t>数量</w:t>
      </w:r>
      <w:r>
        <w:rPr>
          <w:rFonts w:hint="eastAsia" w:ascii="仿宋_GB2312" w:hAnsi="Times New Roman" w:eastAsia="仿宋_GB2312"/>
          <w:color w:val="auto"/>
          <w:sz w:val="32"/>
        </w:rPr>
        <w:t>为年度计划的</w:t>
      </w:r>
      <w:r>
        <w:rPr>
          <w:rFonts w:hint="default" w:ascii="Times New Roman" w:hAnsi="Times New Roman" w:eastAsia="仿宋_GB2312" w:cs="Times New Roman"/>
          <w:color w:val="auto"/>
          <w:sz w:val="32"/>
          <w:lang w:val="en-US" w:eastAsia="zh-CN"/>
        </w:rPr>
        <w:t>127</w:t>
      </w:r>
      <w:r>
        <w:rPr>
          <w:rFonts w:hint="eastAsia" w:ascii="仿宋_GB2312" w:hAnsi="Times New Roman" w:eastAsia="仿宋_GB2312"/>
          <w:color w:val="auto"/>
          <w:sz w:val="32"/>
        </w:rPr>
        <w:t>%。</w:t>
      </w:r>
      <w:r>
        <w:rPr>
          <w:rFonts w:hint="eastAsia" w:ascii="仿宋_GB2312" w:hAnsi="Times New Roman" w:eastAsia="仿宋_GB2312"/>
          <w:b/>
          <w:bCs/>
          <w:color w:val="auto"/>
          <w:sz w:val="32"/>
          <w:lang w:val="en-US" w:eastAsia="zh-CN"/>
        </w:rPr>
        <w:t>三是</w:t>
      </w:r>
      <w:r>
        <w:rPr>
          <w:rFonts w:hint="eastAsia" w:ascii="仿宋_GB2312" w:hAnsi="Times New Roman" w:eastAsia="仿宋_GB2312"/>
          <w:b w:val="0"/>
          <w:bCs w:val="0"/>
          <w:color w:val="auto"/>
          <w:sz w:val="32"/>
        </w:rPr>
        <w:t>筹建保障性租赁住房（万套）</w:t>
      </w:r>
      <w:r>
        <w:rPr>
          <w:rFonts w:hint="eastAsia" w:ascii="仿宋_GB2312" w:hAnsi="Times New Roman" w:eastAsia="仿宋_GB2312"/>
          <w:b w:val="0"/>
          <w:bCs w:val="0"/>
          <w:color w:val="auto"/>
          <w:sz w:val="32"/>
          <w:lang w:eastAsia="zh-CN"/>
        </w:rPr>
        <w:t>。</w:t>
      </w:r>
      <w:r>
        <w:rPr>
          <w:rFonts w:hint="eastAsia" w:ascii="仿宋_GB2312" w:hAnsi="仿宋_GB2312" w:eastAsia="仿宋_GB2312" w:cs="仿宋_GB2312"/>
          <w:b w:val="0"/>
          <w:bCs w:val="0"/>
          <w:color w:val="auto"/>
          <w:kern w:val="2"/>
          <w:sz w:val="32"/>
          <w:szCs w:val="32"/>
          <w:highlight w:val="none"/>
          <w:lang w:val="en-US" w:eastAsia="zh-CN" w:bidi="ar-SA"/>
        </w:rPr>
        <w:t>评价年度预期值</w:t>
      </w:r>
      <w:r>
        <w:rPr>
          <w:rFonts w:hint="default" w:ascii="Times New Roman" w:hAnsi="Times New Roman" w:eastAsia="仿宋_GB2312" w:cs="Times New Roman"/>
          <w:b w:val="0"/>
          <w:bCs w:val="0"/>
          <w:color w:val="auto"/>
          <w:kern w:val="2"/>
          <w:sz w:val="32"/>
          <w:szCs w:val="32"/>
          <w:highlight w:val="none"/>
          <w:lang w:val="en-US" w:eastAsia="zh-CN" w:bidi="ar-SA"/>
        </w:rPr>
        <w:t>12</w:t>
      </w:r>
      <w:r>
        <w:rPr>
          <w:rFonts w:hint="eastAsia" w:ascii="仿宋_GB2312" w:hAnsi="仿宋_GB2312" w:eastAsia="仿宋_GB2312" w:cs="仿宋_GB2312"/>
          <w:b w:val="0"/>
          <w:bCs w:val="0"/>
          <w:color w:val="auto"/>
          <w:kern w:val="2"/>
          <w:sz w:val="32"/>
          <w:szCs w:val="32"/>
          <w:highlight w:val="none"/>
          <w:lang w:val="en-US" w:eastAsia="zh-CN" w:bidi="ar-SA"/>
        </w:rPr>
        <w:t>万套</w:t>
      </w:r>
      <w:r>
        <w:rPr>
          <w:rFonts w:hint="eastAsia" w:ascii="仿宋_GB2312" w:hAnsi="Times New Roman" w:eastAsia="仿宋_GB2312"/>
          <w:b w:val="0"/>
          <w:bCs w:val="0"/>
          <w:color w:val="auto"/>
          <w:sz w:val="32"/>
        </w:rPr>
        <w:t>，</w:t>
      </w:r>
      <w:r>
        <w:rPr>
          <w:rFonts w:hint="eastAsia" w:ascii="仿宋_GB2312" w:hAnsi="Times New Roman" w:eastAsia="仿宋_GB2312"/>
          <w:color w:val="auto"/>
          <w:sz w:val="32"/>
        </w:rPr>
        <w:t>截至</w:t>
      </w:r>
      <w:r>
        <w:rPr>
          <w:rFonts w:hint="default" w:ascii="Times New Roman" w:hAnsi="Times New Roman" w:eastAsia="仿宋_GB2312" w:cs="Times New Roman"/>
          <w:color w:val="auto"/>
          <w:sz w:val="32"/>
        </w:rPr>
        <w:t>202</w:t>
      </w:r>
      <w:r>
        <w:rPr>
          <w:rFonts w:hint="default" w:ascii="Times New Roman" w:hAnsi="Times New Roman" w:eastAsia="仿宋_GB2312" w:cs="Times New Roman"/>
          <w:color w:val="auto"/>
          <w:sz w:val="32"/>
          <w:lang w:val="en-US" w:eastAsia="zh-CN"/>
        </w:rPr>
        <w:t>4</w:t>
      </w:r>
      <w:r>
        <w:rPr>
          <w:rFonts w:hint="eastAsia" w:ascii="仿宋_GB2312" w:hAnsi="Times New Roman" w:eastAsia="仿宋_GB2312"/>
          <w:color w:val="auto"/>
          <w:sz w:val="32"/>
        </w:rPr>
        <w:t>年</w:t>
      </w:r>
      <w:r>
        <w:rPr>
          <w:rFonts w:hint="default" w:ascii="Times New Roman" w:hAnsi="Times New Roman" w:eastAsia="仿宋_GB2312" w:cs="Times New Roman"/>
          <w:color w:val="auto"/>
          <w:sz w:val="32"/>
        </w:rPr>
        <w:t>12</w:t>
      </w:r>
      <w:r>
        <w:rPr>
          <w:rFonts w:hint="eastAsia" w:ascii="仿宋_GB2312" w:hAnsi="Times New Roman" w:eastAsia="仿宋_GB2312"/>
          <w:color w:val="auto"/>
          <w:sz w:val="32"/>
        </w:rPr>
        <w:t>月</w:t>
      </w:r>
      <w:r>
        <w:rPr>
          <w:rFonts w:hint="default" w:ascii="Times New Roman" w:hAnsi="Times New Roman" w:eastAsia="仿宋_GB2312" w:cs="Times New Roman"/>
          <w:color w:val="auto"/>
          <w:sz w:val="32"/>
        </w:rPr>
        <w:t>31</w:t>
      </w:r>
      <w:r>
        <w:rPr>
          <w:rFonts w:hint="eastAsia" w:ascii="仿宋_GB2312" w:hAnsi="Times New Roman" w:eastAsia="仿宋_GB2312"/>
          <w:color w:val="auto"/>
          <w:sz w:val="32"/>
        </w:rPr>
        <w:t>日，实际</w:t>
      </w:r>
      <w:r>
        <w:rPr>
          <w:rFonts w:hint="eastAsia" w:ascii="仿宋_GB2312" w:hAnsi="Times New Roman" w:eastAsia="仿宋_GB2312"/>
          <w:b w:val="0"/>
          <w:bCs w:val="0"/>
          <w:color w:val="auto"/>
          <w:sz w:val="32"/>
        </w:rPr>
        <w:t>筹建保障性租赁住房</w:t>
      </w:r>
      <w:r>
        <w:rPr>
          <w:rFonts w:hint="default" w:ascii="Times New Roman" w:hAnsi="Times New Roman" w:eastAsia="仿宋_GB2312" w:cs="Times New Roman"/>
          <w:color w:val="auto"/>
          <w:kern w:val="2"/>
          <w:sz w:val="32"/>
          <w:szCs w:val="32"/>
          <w:highlight w:val="none"/>
          <w:lang w:val="en-US" w:eastAsia="zh-CN" w:bidi="ar-SA"/>
        </w:rPr>
        <w:t>18</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45</w:t>
      </w:r>
      <w:r>
        <w:rPr>
          <w:rFonts w:hint="eastAsia" w:ascii="仿宋_GB2312" w:hAnsi="仿宋_GB2312" w:eastAsia="仿宋_GB2312" w:cs="仿宋_GB2312"/>
          <w:color w:val="auto"/>
          <w:kern w:val="2"/>
          <w:sz w:val="32"/>
          <w:szCs w:val="32"/>
          <w:highlight w:val="none"/>
          <w:lang w:val="en-US" w:eastAsia="zh-CN" w:bidi="ar-SA"/>
        </w:rPr>
        <w:t>万套</w:t>
      </w:r>
      <w:r>
        <w:rPr>
          <w:rFonts w:hint="eastAsia" w:ascii="仿宋_GB2312" w:hAnsi="Times New Roman" w:eastAsia="仿宋_GB2312"/>
          <w:color w:val="auto"/>
          <w:sz w:val="32"/>
        </w:rPr>
        <w:t>，实际筹集建设数为年度计划的</w:t>
      </w:r>
      <w:r>
        <w:rPr>
          <w:rFonts w:hint="default" w:ascii="Times New Roman" w:hAnsi="Times New Roman" w:eastAsia="仿宋_GB2312" w:cs="Times New Roman"/>
          <w:color w:val="auto"/>
          <w:sz w:val="32"/>
          <w:lang w:val="en-US" w:eastAsia="zh-CN"/>
        </w:rPr>
        <w:t>154</w:t>
      </w:r>
      <w:r>
        <w:rPr>
          <w:rFonts w:hint="eastAsia" w:ascii="仿宋_GB2312" w:hAnsi="Times New Roman" w:eastAsia="仿宋_GB2312"/>
          <w:color w:val="auto"/>
          <w:sz w:val="32"/>
        </w:rPr>
        <w:t>%。</w:t>
      </w:r>
    </w:p>
    <w:p w14:paraId="17989695">
      <w:pPr>
        <w:adjustRightInd w:val="0"/>
        <w:snapToGrid w:val="0"/>
        <w:spacing w:beforeLines="0" w:afterLines="0" w:line="360" w:lineRule="auto"/>
        <w:ind w:firstLine="640" w:firstLineChars="200"/>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）质量指标。</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rPr>
        <w:t>工程质量是否符合标准（是/否）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评价年度预期值为“是”，实际完成率为</w:t>
      </w:r>
      <w:r>
        <w:rPr>
          <w:rFonts w:hint="default" w:ascii="Times New Roman" w:hAnsi="Times New Roman" w:eastAsia="仿宋_GB2312" w:cs="Times New Roman"/>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Times New Roman" w:eastAsia="仿宋_GB2312"/>
          <w:color w:val="auto"/>
          <w:sz w:val="32"/>
          <w:lang w:val="en-US" w:eastAsia="zh-CN"/>
        </w:rPr>
        <w:t>专项资金</w:t>
      </w:r>
      <w:r>
        <w:rPr>
          <w:rFonts w:hint="eastAsia" w:ascii="仿宋_GB2312" w:hAnsi="Times New Roman" w:eastAsia="仿宋_GB2312"/>
          <w:color w:val="auto"/>
          <w:sz w:val="32"/>
        </w:rPr>
        <w:t>项目实施单位严格执行《广东省建设工程质量管理条例》《广东省建设项目安全设施监督管理办法》等规定</w:t>
      </w:r>
      <w:r>
        <w:rPr>
          <w:rFonts w:hint="eastAsia" w:ascii="仿宋_GB2312" w:hAnsi="Times New Roman" w:eastAsia="仿宋_GB2312"/>
          <w:color w:val="auto"/>
          <w:sz w:val="32"/>
          <w:lang w:eastAsia="zh-CN"/>
        </w:rPr>
        <w:t>。</w:t>
      </w:r>
      <w:r>
        <w:rPr>
          <w:rFonts w:hint="eastAsia" w:ascii="仿宋_GB2312" w:hAnsi="Times New Roman" w:eastAsia="仿宋_GB2312"/>
          <w:color w:val="auto"/>
          <w:sz w:val="32"/>
        </w:rPr>
        <w:t>各市县结合保障性住房和公租房项目实际，制定并落实有针对性的规章制度，完善工程质量安全</w:t>
      </w:r>
      <w:r>
        <w:rPr>
          <w:rFonts w:hint="eastAsia" w:ascii="仿宋_GB2312" w:hAnsi="Times New Roman" w:eastAsia="仿宋_GB2312"/>
          <w:color w:val="auto"/>
          <w:sz w:val="32"/>
          <w:lang w:val="en-US" w:eastAsia="zh-CN"/>
        </w:rPr>
        <w:t>事前</w:t>
      </w:r>
      <w:r>
        <w:rPr>
          <w:rFonts w:hint="eastAsia" w:ascii="仿宋_GB2312" w:hAnsi="Times New Roman" w:eastAsia="仿宋_GB2312"/>
          <w:color w:val="auto"/>
          <w:sz w:val="32"/>
        </w:rPr>
        <w:t>事中事后监管机制，压实建设单位、设计单位、施工单位、监理单位等参建单位质量安全责任，工程质量符合标准。住房城乡建设等</w:t>
      </w:r>
      <w:r>
        <w:rPr>
          <w:rFonts w:hint="eastAsia" w:ascii="仿宋_GB2312" w:hAnsi="Times New Roman" w:eastAsia="仿宋_GB2312"/>
          <w:color w:val="auto"/>
          <w:sz w:val="32"/>
          <w:lang w:val="en-US" w:eastAsia="zh-CN"/>
        </w:rPr>
        <w:t>主管</w:t>
      </w:r>
      <w:r>
        <w:rPr>
          <w:rFonts w:hint="eastAsia" w:ascii="仿宋_GB2312" w:hAnsi="Times New Roman" w:eastAsia="仿宋_GB2312"/>
          <w:color w:val="auto"/>
          <w:sz w:val="32"/>
        </w:rPr>
        <w:t>部门</w:t>
      </w:r>
      <w:r>
        <w:rPr>
          <w:rFonts w:hint="eastAsia" w:ascii="仿宋_GB2312" w:hAnsi="Times New Roman" w:eastAsia="仿宋_GB2312"/>
          <w:color w:val="auto"/>
          <w:sz w:val="32"/>
          <w:lang w:val="en-US" w:eastAsia="zh-CN"/>
        </w:rPr>
        <w:t>的</w:t>
      </w:r>
      <w:r>
        <w:rPr>
          <w:rFonts w:hint="eastAsia" w:ascii="仿宋_GB2312" w:hAnsi="Times New Roman" w:eastAsia="仿宋_GB2312"/>
          <w:color w:val="auto"/>
          <w:sz w:val="32"/>
        </w:rPr>
        <w:t>检查、审计中，未发现存在工程质量问题，也未发现经群众举报、媒体曝光等存在工程质量问题。</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验收及时率（%）。</w:t>
      </w:r>
      <w:r>
        <w:rPr>
          <w:rFonts w:hint="eastAsia" w:ascii="仿宋_GB2312" w:hAnsi="仿宋_GB2312" w:eastAsia="仿宋_GB2312" w:cs="仿宋_GB2312"/>
          <w:color w:val="auto"/>
          <w:kern w:val="2"/>
          <w:sz w:val="32"/>
          <w:szCs w:val="32"/>
          <w:highlight w:val="none"/>
          <w:lang w:val="en-US" w:eastAsia="zh-CN" w:bidi="ar-SA"/>
        </w:rPr>
        <w:t>评价年度预期值为≥</w:t>
      </w:r>
      <w:r>
        <w:rPr>
          <w:rFonts w:hint="default" w:ascii="Times New Roman" w:hAnsi="Times New Roman" w:eastAsia="仿宋_GB2312" w:cs="Times New Roman"/>
          <w:color w:val="auto"/>
          <w:kern w:val="2"/>
          <w:sz w:val="32"/>
          <w:szCs w:val="32"/>
          <w:highlight w:val="none"/>
          <w:lang w:val="en-US" w:eastAsia="zh-CN" w:bidi="ar-SA"/>
        </w:rPr>
        <w:t>90</w:t>
      </w:r>
      <w:r>
        <w:rPr>
          <w:rFonts w:hint="eastAsia" w:ascii="仿宋_GB2312" w:hAnsi="仿宋_GB2312" w:eastAsia="仿宋_GB2312" w:cs="仿宋_GB2312"/>
          <w:color w:val="auto"/>
          <w:kern w:val="2"/>
          <w:sz w:val="32"/>
          <w:szCs w:val="32"/>
          <w:highlight w:val="none"/>
          <w:lang w:val="en-US" w:eastAsia="zh-CN" w:bidi="ar-SA"/>
        </w:rPr>
        <w:t>%，实际完成率为</w:t>
      </w:r>
      <w:r>
        <w:rPr>
          <w:rFonts w:hint="default" w:ascii="Times New Roman" w:hAnsi="Times New Roman" w:eastAsia="仿宋_GB2312" w:cs="Times New Roman"/>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en-US" w:eastAsia="zh-CN" w:bidi="ar-SA"/>
        </w:rPr>
        <w:t>%。有关市县按照《广东省财政厅 广东省住房和城乡建设厅关于印发广东省住房城乡建设领域专项资金管理办法(</w:t>
      </w:r>
      <w:r>
        <w:rPr>
          <w:rFonts w:hint="default" w:ascii="Times New Roman" w:hAnsi="Times New Roman" w:eastAsia="仿宋_GB2312" w:cs="Times New Roman"/>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highlight w:val="none"/>
          <w:lang w:val="en-US" w:eastAsia="zh-CN" w:bidi="ar-SA"/>
        </w:rPr>
        <w:t>年修订)的通知》（粤财建〔</w:t>
      </w:r>
      <w:r>
        <w:rPr>
          <w:rFonts w:hint="default" w:ascii="Times New Roman" w:hAnsi="Times New Roman" w:eastAsia="仿宋_GB2312" w:cs="Times New Roman"/>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号）等文件要求，及时开展项目验收工作，确保项目按时按质完成。所有完工项目均在规定时间内完成验收，</w:t>
      </w:r>
      <w:r>
        <w:rPr>
          <w:rFonts w:hint="eastAsia" w:ascii="仿宋_GB2312" w:hAnsi="Times New Roman" w:eastAsia="仿宋_GB2312"/>
          <w:color w:val="auto"/>
          <w:sz w:val="32"/>
        </w:rPr>
        <w:t>未发现</w:t>
      </w:r>
      <w:r>
        <w:rPr>
          <w:rFonts w:hint="eastAsia" w:ascii="仿宋_GB2312" w:hAnsi="仿宋_GB2312" w:eastAsia="仿宋_GB2312" w:cs="仿宋_GB2312"/>
          <w:color w:val="auto"/>
          <w:kern w:val="2"/>
          <w:sz w:val="32"/>
          <w:szCs w:val="32"/>
          <w:highlight w:val="none"/>
          <w:lang w:val="en-US" w:eastAsia="zh-CN" w:bidi="ar-SA"/>
        </w:rPr>
        <w:t>延迟验收情况。</w:t>
      </w:r>
      <w:r>
        <w:rPr>
          <w:rFonts w:hint="eastAsia" w:ascii="仿宋_GB2312" w:hAnsi="仿宋_GB2312" w:eastAsia="仿宋_GB2312" w:cs="仿宋_GB2312"/>
          <w:b/>
          <w:bCs/>
          <w:color w:val="auto"/>
          <w:kern w:val="2"/>
          <w:sz w:val="32"/>
          <w:szCs w:val="32"/>
          <w:highlight w:val="none"/>
          <w:lang w:val="en-US" w:eastAsia="zh-CN" w:bidi="ar-SA"/>
        </w:rPr>
        <w:t>三是</w:t>
      </w:r>
      <w:r>
        <w:rPr>
          <w:rFonts w:hint="eastAsia" w:ascii="仿宋_GB2312" w:hAnsi="仿宋_GB2312" w:eastAsia="仿宋_GB2312" w:cs="仿宋_GB2312"/>
          <w:color w:val="auto"/>
          <w:kern w:val="2"/>
          <w:sz w:val="32"/>
          <w:szCs w:val="32"/>
          <w:highlight w:val="none"/>
          <w:lang w:val="en-US" w:eastAsia="zh-CN" w:bidi="ar-SA"/>
        </w:rPr>
        <w:t>归集平台中初判存在安全隐患的经营性自建房鉴定完成率（%）。评价年度预期值为</w:t>
      </w:r>
      <w:r>
        <w:rPr>
          <w:rFonts w:hint="default" w:ascii="Times New Roman" w:hAnsi="Times New Roman" w:eastAsia="仿宋_GB2312" w:cs="Times New Roman"/>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en-US" w:eastAsia="zh-CN" w:bidi="ar-SA"/>
        </w:rPr>
        <w:t>%，实际完成率为</w:t>
      </w:r>
      <w:r>
        <w:rPr>
          <w:rFonts w:hint="default" w:ascii="Times New Roman" w:hAnsi="Times New Roman" w:eastAsia="仿宋_GB2312" w:cs="Times New Roman"/>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lang w:val="en-US" w:eastAsia="zh-CN"/>
        </w:rPr>
        <w:t>各地市对初判存在隐患的房屋进行复核确认，将符合标准的房屋纳入整治清单，并按照“一栋一策”原则逐栋制定整治方案。经统计，2024年初判存在安全隐患的经营性自建房整治销号比例为99.83%，未完成整治销号的经营性自建房处于安全管控状态，实现安全隐患动态清零目标，切实保障房屋使用安全。</w:t>
      </w:r>
    </w:p>
    <w:p w14:paraId="032FC1D9">
      <w:pPr>
        <w:adjustRightInd w:val="0"/>
        <w:snapToGrid w:val="0"/>
        <w:spacing w:beforeLines="0" w:afterLines="0" w:line="360" w:lineRule="auto"/>
        <w:ind w:firstLine="640" w:firstLineChars="200"/>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）时效指标。</w:t>
      </w:r>
      <w:r>
        <w:rPr>
          <w:rFonts w:hint="eastAsia" w:ascii="仿宋_GB2312" w:hAnsi="仿宋_GB2312" w:eastAsia="仿宋_GB2312" w:cs="仿宋_GB2312"/>
          <w:b/>
          <w:bCs/>
          <w:color w:val="auto"/>
          <w:kern w:val="2"/>
          <w:sz w:val="32"/>
          <w:szCs w:val="32"/>
          <w:highlight w:val="none"/>
          <w:lang w:val="en-US" w:eastAsia="zh-CN" w:bidi="ar-SA"/>
        </w:rPr>
        <w:t>一是</w:t>
      </w:r>
      <w:r>
        <w:rPr>
          <w:rFonts w:hint="eastAsia" w:ascii="仿宋_GB2312" w:hAnsi="仿宋_GB2312" w:eastAsia="仿宋_GB2312" w:cs="仿宋_GB2312"/>
          <w:color w:val="auto"/>
          <w:kern w:val="2"/>
          <w:sz w:val="32"/>
          <w:szCs w:val="32"/>
          <w:highlight w:val="none"/>
          <w:lang w:val="en-US" w:eastAsia="zh-CN" w:bidi="ar-SA"/>
        </w:rPr>
        <w:t>在年底前完成年度目标（是/否）。评价年度预期值为“是”，项目在年底前均按计划完成了年度目标，完成率为</w:t>
      </w:r>
      <w:r>
        <w:rPr>
          <w:rFonts w:hint="default" w:ascii="Times New Roman" w:hAnsi="Times New Roman" w:eastAsia="仿宋_GB2312" w:cs="Times New Roman"/>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
          <w:bCs/>
          <w:color w:val="auto"/>
          <w:kern w:val="2"/>
          <w:sz w:val="32"/>
          <w:szCs w:val="32"/>
          <w:highlight w:val="none"/>
          <w:lang w:val="en-US" w:eastAsia="zh-CN" w:bidi="ar-SA"/>
        </w:rPr>
        <w:t>二是</w:t>
      </w:r>
      <w:r>
        <w:rPr>
          <w:rFonts w:hint="eastAsia" w:ascii="仿宋_GB2312" w:hAnsi="仿宋_GB2312" w:eastAsia="仿宋_GB2312" w:cs="仿宋_GB2312"/>
          <w:color w:val="auto"/>
          <w:kern w:val="2"/>
          <w:sz w:val="32"/>
          <w:szCs w:val="32"/>
          <w:highlight w:val="none"/>
          <w:lang w:val="en-US" w:eastAsia="zh-CN" w:bidi="ar-SA"/>
        </w:rPr>
        <w:t>城市危旧房计划排查鉴定完成时间。评价年度预期值为</w:t>
      </w:r>
      <w:r>
        <w:rPr>
          <w:rFonts w:hint="default" w:ascii="Times New Roman" w:hAnsi="Times New Roman" w:eastAsia="仿宋_GB2312" w:cs="Times New Roman"/>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highlight w:val="none"/>
          <w:lang w:val="en-US" w:eastAsia="zh-CN" w:bidi="ar-SA"/>
        </w:rPr>
        <w:t>年</w:t>
      </w:r>
      <w:r>
        <w:rPr>
          <w:rFonts w:hint="default" w:ascii="Times New Roman" w:hAnsi="Times New Roman" w:eastAsia="仿宋_GB2312" w:cs="Times New Roman"/>
          <w:color w:val="auto"/>
          <w:kern w:val="2"/>
          <w:sz w:val="32"/>
          <w:szCs w:val="32"/>
          <w:highlight w:val="none"/>
          <w:lang w:val="en-US" w:eastAsia="zh-CN" w:bidi="ar-SA"/>
        </w:rPr>
        <w:t>12</w:t>
      </w:r>
      <w:r>
        <w:rPr>
          <w:rFonts w:hint="eastAsia" w:ascii="仿宋_GB2312" w:hAnsi="仿宋_GB2312" w:eastAsia="仿宋_GB2312" w:cs="仿宋_GB2312"/>
          <w:color w:val="auto"/>
          <w:kern w:val="2"/>
          <w:sz w:val="32"/>
          <w:szCs w:val="32"/>
          <w:highlight w:val="none"/>
          <w:lang w:val="en-US" w:eastAsia="zh-CN" w:bidi="ar-SA"/>
        </w:rPr>
        <w:t>月，城市危旧房实际排查鉴定均在</w:t>
      </w:r>
      <w:r>
        <w:rPr>
          <w:rFonts w:hint="default" w:ascii="Times New Roman" w:hAnsi="Times New Roman" w:eastAsia="仿宋_GB2312" w:cs="Times New Roman"/>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highlight w:val="none"/>
          <w:lang w:val="en-US" w:eastAsia="zh-CN" w:bidi="ar-SA"/>
        </w:rPr>
        <w:t>年</w:t>
      </w:r>
      <w:r>
        <w:rPr>
          <w:rFonts w:hint="default" w:ascii="Times New Roman" w:hAnsi="Times New Roman" w:eastAsia="仿宋_GB2312" w:cs="Times New Roman"/>
          <w:color w:val="auto"/>
          <w:kern w:val="2"/>
          <w:sz w:val="32"/>
          <w:szCs w:val="32"/>
          <w:highlight w:val="none"/>
          <w:lang w:val="en-US" w:eastAsia="zh-CN" w:bidi="ar-SA"/>
        </w:rPr>
        <w:t>12</w:t>
      </w:r>
      <w:r>
        <w:rPr>
          <w:rFonts w:hint="eastAsia" w:ascii="仿宋_GB2312" w:hAnsi="仿宋_GB2312" w:eastAsia="仿宋_GB2312" w:cs="仿宋_GB2312"/>
          <w:color w:val="auto"/>
          <w:kern w:val="2"/>
          <w:sz w:val="32"/>
          <w:szCs w:val="32"/>
          <w:highlight w:val="none"/>
          <w:lang w:val="en-US" w:eastAsia="zh-CN" w:bidi="ar-SA"/>
        </w:rPr>
        <w:t>月前完成。所有排查鉴定工作均严格按照相关规定和标准执行，确保了数据的准确性和完整性。通过此次排查鉴定，及时发现并处理了潜在的安全隐患，为后续的改造和治理工作提供了有力的支持。同时，也进一步增强了居民对住房安全的信心，提升了政府的公信力和形象。</w:t>
      </w:r>
      <w:r>
        <w:rPr>
          <w:rFonts w:hint="eastAsia" w:ascii="仿宋_GB2312" w:hAnsi="仿宋_GB2312" w:eastAsia="仿宋_GB2312" w:cs="仿宋_GB2312"/>
          <w:b/>
          <w:bCs/>
          <w:color w:val="auto"/>
          <w:kern w:val="2"/>
          <w:sz w:val="32"/>
          <w:szCs w:val="32"/>
          <w:highlight w:val="none"/>
          <w:lang w:val="en-US" w:eastAsia="zh-CN" w:bidi="ar-SA"/>
        </w:rPr>
        <w:t>三是</w:t>
      </w:r>
      <w:r>
        <w:rPr>
          <w:rFonts w:hint="eastAsia" w:ascii="仿宋_GB2312" w:hAnsi="仿宋_GB2312" w:eastAsia="仿宋_GB2312" w:cs="仿宋_GB2312"/>
          <w:color w:val="auto"/>
          <w:kern w:val="2"/>
          <w:sz w:val="32"/>
          <w:szCs w:val="32"/>
          <w:highlight w:val="none"/>
          <w:lang w:val="en-US" w:eastAsia="zh-CN" w:bidi="ar-SA"/>
        </w:rPr>
        <w:t>全省初判存在安全隐患的经营性自建房鉴定工作完成时间。评价年度预期值为</w:t>
      </w:r>
      <w:r>
        <w:rPr>
          <w:rFonts w:hint="default" w:ascii="Times New Roman" w:hAnsi="Times New Roman" w:eastAsia="仿宋_GB2312" w:cs="Times New Roman"/>
          <w:color w:val="auto"/>
          <w:kern w:val="2"/>
          <w:sz w:val="32"/>
          <w:szCs w:val="32"/>
          <w:highlight w:val="none"/>
          <w:lang w:val="en-US" w:eastAsia="zh-CN" w:bidi="ar-SA"/>
        </w:rPr>
        <w:t>计划于</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auto"/>
          <w:kern w:val="2"/>
          <w:sz w:val="32"/>
          <w:szCs w:val="32"/>
          <w:highlight w:val="none"/>
          <w:lang w:val="en-US" w:eastAsia="zh-CN" w:bidi="ar-SA"/>
        </w:rPr>
        <w:t>前完成</w:t>
      </w:r>
      <w:r>
        <w:rPr>
          <w:rFonts w:hint="eastAsia" w:ascii="仿宋_GB2312" w:hAnsi="仿宋_GB2312" w:eastAsia="仿宋_GB2312" w:cs="仿宋_GB2312"/>
          <w:color w:val="auto"/>
          <w:kern w:val="2"/>
          <w:sz w:val="32"/>
          <w:szCs w:val="32"/>
          <w:highlight w:val="none"/>
          <w:lang w:val="en-US" w:eastAsia="zh-CN" w:bidi="ar-SA"/>
        </w:rPr>
        <w:t>，项目</w:t>
      </w:r>
      <w:r>
        <w:rPr>
          <w:rFonts w:hint="eastAsia" w:ascii="Times New Roman" w:hAnsi="Times New Roman" w:eastAsia="仿宋_GB2312" w:cs="Times New Roman"/>
          <w:color w:val="auto"/>
          <w:sz w:val="32"/>
          <w:szCs w:val="32"/>
          <w:highlight w:val="none"/>
          <w:lang w:val="en-US" w:eastAsia="zh-CN"/>
        </w:rPr>
        <w:t>工作均</w:t>
      </w:r>
      <w:r>
        <w:rPr>
          <w:rFonts w:hint="default" w:ascii="Times New Roman" w:hAnsi="Times New Roman" w:eastAsia="仿宋_GB2312" w:cs="Times New Roman"/>
          <w:color w:val="auto"/>
          <w:sz w:val="32"/>
          <w:szCs w:val="32"/>
          <w:highlight w:val="none"/>
        </w:rPr>
        <w:t>在202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年1</w:t>
      </w:r>
      <w:r>
        <w:rPr>
          <w:rFonts w:hint="default" w:ascii="Times New Roman" w:hAnsi="Times New Roman" w:eastAsia="仿宋_GB2312" w:cs="Times New Roman"/>
          <w:color w:val="auto"/>
          <w:sz w:val="32"/>
          <w:szCs w:val="32"/>
        </w:rPr>
        <w:t>2月31日前完成</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完成率为</w:t>
      </w:r>
      <w:r>
        <w:rPr>
          <w:rFonts w:hint="default" w:ascii="Times New Roman" w:hAnsi="Times New Roman" w:eastAsia="仿宋_GB2312" w:cs="Times New Roman"/>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rPr>
        <w:t>。</w:t>
      </w:r>
    </w:p>
    <w:p w14:paraId="4C75D750">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color w:val="auto"/>
          <w:lang w:val="en-US" w:eastAsia="zh-CN"/>
        </w:rPr>
      </w:pP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）社会效益指标。主要考察存在安全隐患的经营性自建房数量。评价年度预期值为逐年下降，完成率为</w:t>
      </w:r>
      <w:r>
        <w:rPr>
          <w:rFonts w:hint="default" w:ascii="Times New Roman" w:hAnsi="Times New Roman" w:eastAsia="仿宋_GB2312" w:cs="Times New Roman"/>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i w:val="0"/>
          <w:iCs w:val="0"/>
          <w:caps w:val="0"/>
          <w:color w:val="auto"/>
          <w:spacing w:val="0"/>
          <w:kern w:val="0"/>
          <w:sz w:val="31"/>
          <w:szCs w:val="31"/>
          <w:shd w:val="clear" w:color="auto" w:fill="auto"/>
          <w:lang w:val="en-US" w:eastAsia="zh-CN" w:bidi="ar"/>
        </w:rPr>
        <w:t>统计数据显示，截至2023年12月底，我省存有安全隐患的经营性自建房为39,204栋，已完成整治销号38,949栋，整治销号比例为99.39%。截至2024年12月底，我省全面完成2,150.15万栋自建房的排查摸底工作。其中，累计排查经营性自建房309.85万栋，针对排查出存在安全隐患的3.92万栋经营性自建房，整治销号比例为99.83%，</w:t>
      </w:r>
      <w:r>
        <w:rPr>
          <w:rFonts w:hint="default" w:ascii="Times New Roman" w:hAnsi="Times New Roman" w:eastAsia="仿宋_GB2312" w:cs="Times New Roman"/>
          <w:color w:val="auto"/>
          <w:sz w:val="32"/>
          <w:szCs w:val="32"/>
          <w:lang w:val="en-US" w:eastAsia="zh-CN"/>
        </w:rPr>
        <w:t>未完成整治销号的经营性自建房处于安全管控状态</w:t>
      </w:r>
      <w:r>
        <w:rPr>
          <w:rFonts w:hint="default" w:ascii="Times New Roman" w:hAnsi="Times New Roman" w:eastAsia="仿宋_GB2312" w:cs="Times New Roman"/>
          <w:i w:val="0"/>
          <w:iCs w:val="0"/>
          <w:caps w:val="0"/>
          <w:color w:val="auto"/>
          <w:spacing w:val="0"/>
          <w:kern w:val="0"/>
          <w:sz w:val="31"/>
          <w:szCs w:val="31"/>
          <w:shd w:val="clear" w:color="auto" w:fill="auto"/>
          <w:lang w:val="en-US" w:eastAsia="zh-CN" w:bidi="ar"/>
        </w:rPr>
        <w:t>。此外，通过督促各区、县级市深入开展“回头看”行动，严格落实“一户一档”管理，实现存在安全隐患的经营性自建房数量逐年递减，自建房安全整治工作取得显著成效。</w:t>
      </w:r>
    </w:p>
    <w:p w14:paraId="59800ACE">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）可持续发展指标。主要考核城市危旧房通过危险性房屋鉴定为 C、D级（栋）指标。评价年度预期值为约</w:t>
      </w:r>
      <w:r>
        <w:rPr>
          <w:rFonts w:hint="default" w:ascii="Times New Roman" w:hAnsi="Times New Roman" w:eastAsia="仿宋_GB2312" w:cs="Times New Roman"/>
          <w:color w:val="auto"/>
          <w:kern w:val="2"/>
          <w:sz w:val="32"/>
          <w:szCs w:val="32"/>
          <w:highlight w:val="none"/>
          <w:lang w:val="en-US" w:eastAsia="zh-CN" w:bidi="ar-SA"/>
        </w:rPr>
        <w:t>500</w:t>
      </w:r>
      <w:r>
        <w:rPr>
          <w:rFonts w:hint="eastAsia" w:ascii="仿宋_GB2312" w:hAnsi="仿宋_GB2312" w:eastAsia="仿宋_GB2312" w:cs="仿宋_GB2312"/>
          <w:color w:val="auto"/>
          <w:kern w:val="2"/>
          <w:sz w:val="32"/>
          <w:szCs w:val="32"/>
          <w:highlight w:val="none"/>
          <w:lang w:val="en-US" w:eastAsia="zh-CN" w:bidi="ar-SA"/>
        </w:rPr>
        <w:t>栋，实际完成</w:t>
      </w:r>
      <w:r>
        <w:rPr>
          <w:rFonts w:hint="default" w:ascii="Times New Roman" w:hAnsi="Times New Roman" w:eastAsia="仿宋_GB2312" w:cs="Times New Roman"/>
          <w:color w:val="auto"/>
          <w:kern w:val="2"/>
          <w:sz w:val="32"/>
          <w:szCs w:val="32"/>
          <w:highlight w:val="none"/>
          <w:lang w:val="en-US" w:eastAsia="zh-CN" w:bidi="ar-SA"/>
        </w:rPr>
        <w:t>506</w:t>
      </w:r>
      <w:r>
        <w:rPr>
          <w:rFonts w:hint="eastAsia" w:ascii="仿宋_GB2312" w:hAnsi="仿宋_GB2312" w:eastAsia="仿宋_GB2312" w:cs="仿宋_GB2312"/>
          <w:color w:val="auto"/>
          <w:kern w:val="2"/>
          <w:sz w:val="32"/>
          <w:szCs w:val="32"/>
          <w:highlight w:val="none"/>
          <w:lang w:val="en-US" w:eastAsia="zh-CN" w:bidi="ar-SA"/>
        </w:rPr>
        <w:t>栋，完成率为</w:t>
      </w:r>
      <w:r>
        <w:rPr>
          <w:rFonts w:hint="default" w:ascii="Times New Roman" w:hAnsi="Times New Roman" w:eastAsia="仿宋_GB2312" w:cs="Times New Roman"/>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en-US" w:eastAsia="zh-CN" w:bidi="ar-SA"/>
        </w:rPr>
        <w:t>%。通过危险性房屋鉴定，及时发现了C、D级危旧房，为后续的改造升级提供了精准的数据支持。同时，也为城市的可持续发展奠定了坚实基础，有助于提升城市形象，改善居民居住条件，进一步推动社会的和谐稳定。</w:t>
      </w:r>
    </w:p>
    <w:p w14:paraId="4C9B2E21">
      <w:pPr>
        <w:adjustRightInd w:val="0"/>
        <w:snapToGrid w:val="0"/>
        <w:spacing w:beforeLines="0" w:afterLines="0" w:line="360" w:lineRule="auto"/>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6</w:t>
      </w:r>
      <w:r>
        <w:rPr>
          <w:rFonts w:hint="eastAsia" w:ascii="仿宋_GB2312" w:hAnsi="仿宋_GB2312" w:eastAsia="仿宋_GB2312" w:cs="仿宋_GB2312"/>
          <w:color w:val="auto"/>
          <w:kern w:val="2"/>
          <w:sz w:val="32"/>
          <w:szCs w:val="32"/>
          <w:highlight w:val="none"/>
          <w:lang w:val="en-US" w:eastAsia="zh-CN" w:bidi="ar-SA"/>
        </w:rPr>
        <w:t>）满意度指标。</w:t>
      </w:r>
      <w:r>
        <w:rPr>
          <w:rFonts w:hint="eastAsia" w:ascii="仿宋_GB2312" w:hAnsi="仿宋_GB2312" w:eastAsia="仿宋_GB2312" w:cs="仿宋_GB2312"/>
          <w:b/>
          <w:bCs/>
          <w:color w:val="auto"/>
          <w:kern w:val="2"/>
          <w:sz w:val="32"/>
          <w:szCs w:val="32"/>
          <w:highlight w:val="none"/>
          <w:lang w:val="en-US" w:eastAsia="zh-CN" w:bidi="ar-SA"/>
        </w:rPr>
        <w:t>一是</w:t>
      </w:r>
      <w:r>
        <w:rPr>
          <w:rFonts w:hint="eastAsia" w:ascii="仿宋_GB2312" w:hAnsi="仿宋_GB2312" w:eastAsia="仿宋_GB2312" w:cs="仿宋_GB2312"/>
          <w:color w:val="auto"/>
          <w:kern w:val="2"/>
          <w:sz w:val="32"/>
          <w:szCs w:val="32"/>
          <w:highlight w:val="none"/>
          <w:lang w:val="en-US" w:eastAsia="zh-CN" w:bidi="ar-SA"/>
        </w:rPr>
        <w:t>城镇住房保障家庭抽查满意度（%）。评价年度预期值为≥</w:t>
      </w:r>
      <w:r>
        <w:rPr>
          <w:rFonts w:hint="default" w:ascii="Times New Roman" w:hAnsi="Times New Roman" w:eastAsia="仿宋_GB2312" w:cs="Times New Roman"/>
          <w:color w:val="auto"/>
          <w:kern w:val="2"/>
          <w:sz w:val="32"/>
          <w:szCs w:val="32"/>
          <w:highlight w:val="none"/>
          <w:lang w:val="en-US" w:eastAsia="zh-CN" w:bidi="ar-SA"/>
        </w:rPr>
        <w:t>80</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Times New Roman" w:eastAsia="仿宋_GB2312"/>
          <w:b w:val="0"/>
          <w:bCs w:val="0"/>
          <w:color w:val="auto"/>
          <w:sz w:val="32"/>
        </w:rPr>
        <w:t>根据各市统计、住房城乡建设主管部门调查结果，全省</w:t>
      </w:r>
      <w:r>
        <w:rPr>
          <w:rFonts w:hint="eastAsia" w:ascii="仿宋_GB2312" w:hAnsi="仿宋_GB2312" w:eastAsia="仿宋_GB2312" w:cs="仿宋_GB2312"/>
          <w:color w:val="auto"/>
          <w:kern w:val="2"/>
          <w:sz w:val="32"/>
          <w:szCs w:val="32"/>
          <w:highlight w:val="none"/>
          <w:lang w:val="en-US" w:eastAsia="zh-CN" w:bidi="ar-SA"/>
        </w:rPr>
        <w:t>城镇住房保障家庭抽查满意度</w:t>
      </w:r>
      <w:r>
        <w:rPr>
          <w:rFonts w:hint="eastAsia" w:ascii="仿宋_GB2312" w:hAnsi="Times New Roman" w:eastAsia="仿宋_GB2312"/>
          <w:b w:val="0"/>
          <w:bCs w:val="0"/>
          <w:color w:val="auto"/>
          <w:sz w:val="32"/>
        </w:rPr>
        <w:t>为</w:t>
      </w:r>
      <w:r>
        <w:rPr>
          <w:rFonts w:hint="default" w:ascii="Times New Roman" w:hAnsi="Times New Roman" w:eastAsia="仿宋_GB2312" w:cs="Times New Roman"/>
          <w:b w:val="0"/>
          <w:bCs w:val="0"/>
          <w:color w:val="auto"/>
          <w:sz w:val="32"/>
          <w:lang w:val="en-US" w:eastAsia="zh-CN"/>
        </w:rPr>
        <w:t>93</w:t>
      </w:r>
      <w:r>
        <w:rPr>
          <w:rFonts w:hint="eastAsia" w:ascii="仿宋_GB2312" w:hAnsi="Times New Roman" w:eastAsia="仿宋_GB2312"/>
          <w:b w:val="0"/>
          <w:bCs w:val="0"/>
          <w:color w:val="auto"/>
          <w:sz w:val="32"/>
          <w:lang w:val="en-US" w:eastAsia="zh-CN"/>
        </w:rPr>
        <w:t>.</w:t>
      </w:r>
      <w:r>
        <w:rPr>
          <w:rFonts w:hint="default" w:ascii="Times New Roman" w:hAnsi="Times New Roman" w:eastAsia="仿宋_GB2312" w:cs="Times New Roman"/>
          <w:b w:val="0"/>
          <w:bCs w:val="0"/>
          <w:color w:val="auto"/>
          <w:sz w:val="32"/>
          <w:lang w:val="en-US" w:eastAsia="zh-CN"/>
        </w:rPr>
        <w:t>76</w:t>
      </w:r>
      <w:r>
        <w:rPr>
          <w:rFonts w:hint="eastAsia" w:ascii="仿宋_GB2312" w:hAnsi="Times New Roman" w:eastAsia="仿宋_GB2312"/>
          <w:b w:val="0"/>
          <w:bCs w:val="0"/>
          <w:color w:val="auto"/>
          <w:sz w:val="32"/>
        </w:rPr>
        <w:t>%，</w:t>
      </w:r>
      <w:r>
        <w:rPr>
          <w:rFonts w:hint="eastAsia" w:ascii="仿宋_GB2312" w:hAnsi="Times New Roman" w:eastAsia="仿宋_GB2312"/>
          <w:b w:val="0"/>
          <w:bCs w:val="0"/>
          <w:color w:val="auto"/>
          <w:sz w:val="32"/>
          <w:lang w:val="en-US" w:eastAsia="zh-CN"/>
        </w:rPr>
        <w:t>超过</w:t>
      </w:r>
      <w:r>
        <w:rPr>
          <w:rFonts w:hint="default" w:ascii="Times New Roman" w:hAnsi="Times New Roman" w:eastAsia="仿宋_GB2312" w:cs="Times New Roman"/>
          <w:color w:val="auto"/>
          <w:sz w:val="32"/>
          <w:highlight w:val="none"/>
          <w:lang w:val="en-US" w:eastAsia="zh-CN"/>
        </w:rPr>
        <w:t>80</w:t>
      </w:r>
      <w:r>
        <w:rPr>
          <w:rFonts w:hint="eastAsia" w:ascii="仿宋_GB2312" w:hAnsi="仿宋_GB2312" w:eastAsia="仿宋_GB2312" w:cs="仿宋_GB2312"/>
          <w:color w:val="auto"/>
          <w:sz w:val="32"/>
          <w:highlight w:val="none"/>
          <w:lang w:val="en-US" w:eastAsia="zh-CN"/>
        </w:rPr>
        <w:t>%的指标值，</w:t>
      </w:r>
      <w:r>
        <w:rPr>
          <w:rFonts w:hint="eastAsia" w:ascii="仿宋_GB2312" w:hAnsi="仿宋_GB2312" w:eastAsia="仿宋_GB2312" w:cs="仿宋_GB2312"/>
          <w:color w:val="auto"/>
          <w:kern w:val="2"/>
          <w:sz w:val="32"/>
          <w:szCs w:val="32"/>
          <w:highlight w:val="none"/>
          <w:lang w:val="en-US" w:eastAsia="zh-CN" w:bidi="ar-SA"/>
        </w:rPr>
        <w:t>完成率为</w:t>
      </w:r>
      <w:r>
        <w:rPr>
          <w:rFonts w:hint="default" w:ascii="Times New Roman" w:hAnsi="Times New Roman" w:eastAsia="仿宋_GB2312" w:cs="Times New Roman"/>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en-US" w:eastAsia="zh-CN" w:bidi="ar-SA"/>
        </w:rPr>
        <w:t>%。这一指标体现了政府部门在提升服务质量方面所做的努力得到了广大住房保障家庭的认可与信赖。</w:t>
      </w:r>
      <w:r>
        <w:rPr>
          <w:rFonts w:hint="eastAsia" w:ascii="仿宋_GB2312" w:hAnsi="仿宋_GB2312" w:eastAsia="仿宋_GB2312" w:cs="仿宋_GB2312"/>
          <w:b/>
          <w:bCs/>
          <w:color w:val="auto"/>
          <w:kern w:val="2"/>
          <w:sz w:val="32"/>
          <w:szCs w:val="32"/>
          <w:highlight w:val="none"/>
          <w:lang w:val="en-US" w:eastAsia="zh-CN" w:bidi="ar-SA"/>
        </w:rPr>
        <w:t>二是</w:t>
      </w:r>
      <w:r>
        <w:rPr>
          <w:rFonts w:hint="eastAsia" w:ascii="仿宋_GB2312" w:hAnsi="仿宋_GB2312" w:eastAsia="仿宋_GB2312" w:cs="仿宋_GB2312"/>
          <w:color w:val="auto"/>
          <w:kern w:val="2"/>
          <w:sz w:val="32"/>
          <w:szCs w:val="32"/>
          <w:highlight w:val="none"/>
          <w:lang w:val="en-US" w:eastAsia="zh-CN" w:bidi="ar-SA"/>
        </w:rPr>
        <w:t>省市住建主管部门对自建房安全专项排查工作开展情况满意度（%）。评价年度预期值为≥</w:t>
      </w:r>
      <w:r>
        <w:rPr>
          <w:rFonts w:hint="default" w:ascii="Times New Roman" w:hAnsi="Times New Roman" w:eastAsia="仿宋_GB2312" w:cs="Times New Roman"/>
          <w:color w:val="auto"/>
          <w:kern w:val="2"/>
          <w:sz w:val="32"/>
          <w:szCs w:val="32"/>
          <w:highlight w:val="none"/>
          <w:lang w:val="en-US" w:eastAsia="zh-CN" w:bidi="ar-SA"/>
        </w:rPr>
        <w:t>95%</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rPr>
        <w:t>综合满意度为</w:t>
      </w:r>
      <w:r>
        <w:rPr>
          <w:rFonts w:hint="default" w:ascii="Times New Roman" w:hAnsi="Times New Roman" w:eastAsia="仿宋_GB2312" w:cs="Times New Roman"/>
          <w:color w:val="auto"/>
          <w:sz w:val="32"/>
          <w:szCs w:val="32"/>
          <w:lang w:val="en-US" w:eastAsia="zh-CN"/>
        </w:rPr>
        <w:t>97.60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项目的实施得到了省、市住</w:t>
      </w:r>
      <w:r>
        <w:rPr>
          <w:rFonts w:hint="default" w:ascii="Times New Roman" w:hAnsi="Times New Roman" w:eastAsia="仿宋_GB2312" w:cs="Times New Roman"/>
          <w:color w:val="auto"/>
          <w:sz w:val="32"/>
          <w:szCs w:val="32"/>
          <w:lang w:val="en-US" w:eastAsia="zh-CN"/>
        </w:rPr>
        <w:t>房城乡</w:t>
      </w:r>
      <w:r>
        <w:rPr>
          <w:rFonts w:hint="default" w:ascii="Times New Roman" w:hAnsi="Times New Roman" w:eastAsia="仿宋_GB2312" w:cs="Times New Roman"/>
          <w:color w:val="auto"/>
          <w:sz w:val="32"/>
          <w:szCs w:val="32"/>
        </w:rPr>
        <w:t>建</w:t>
      </w:r>
      <w:r>
        <w:rPr>
          <w:rFonts w:hint="default" w:ascii="Times New Roman" w:hAnsi="Times New Roman" w:eastAsia="仿宋_GB2312" w:cs="Times New Roman"/>
          <w:color w:val="auto"/>
          <w:sz w:val="32"/>
          <w:szCs w:val="32"/>
          <w:lang w:val="en-US" w:eastAsia="zh-CN"/>
        </w:rPr>
        <w:t>设</w:t>
      </w:r>
      <w:r>
        <w:rPr>
          <w:rFonts w:hint="default" w:ascii="Times New Roman" w:hAnsi="Times New Roman" w:eastAsia="仿宋_GB2312" w:cs="Times New Roman"/>
          <w:color w:val="auto"/>
          <w:sz w:val="32"/>
          <w:szCs w:val="32"/>
        </w:rPr>
        <w:t>主管部门</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经营性自建房产权人的广泛好评，综合满意度为</w:t>
      </w:r>
      <w:r>
        <w:rPr>
          <w:rFonts w:hint="default" w:ascii="Times New Roman" w:hAnsi="Times New Roman" w:eastAsia="仿宋_GB2312" w:cs="Times New Roman"/>
          <w:color w:val="auto"/>
          <w:sz w:val="32"/>
          <w:szCs w:val="32"/>
          <w:lang w:val="en-US" w:eastAsia="zh-CN"/>
        </w:rPr>
        <w:t>97.60</w:t>
      </w:r>
      <w:r>
        <w:rPr>
          <w:rFonts w:hint="default" w:ascii="Times New Roman" w:hAnsi="Times New Roman" w:eastAsia="仿宋_GB2312" w:cs="Times New Roman"/>
          <w:color w:val="auto"/>
          <w:sz w:val="32"/>
          <w:szCs w:val="32"/>
        </w:rPr>
        <w:t>%，达到预期绩效目标。</w:t>
      </w:r>
    </w:p>
    <w:p w14:paraId="0C5AC397">
      <w:pPr>
        <w:pStyle w:val="3"/>
        <w:spacing w:beforeAutospacing="0" w:afterAutospacing="0"/>
        <w:ind w:firstLine="643" w:firstLineChars="200"/>
        <w:outlineLvl w:val="1"/>
        <w:rPr>
          <w:rFonts w:hint="eastAsia" w:ascii="楷体_GB2312" w:hAnsi="楷体_GB2312" w:eastAsia="楷体_GB2312" w:cs="楷体_GB2312"/>
          <w:color w:val="auto"/>
          <w:sz w:val="32"/>
          <w:szCs w:val="32"/>
        </w:rPr>
      </w:pPr>
      <w:bookmarkStart w:id="25" w:name="_Toc10950"/>
      <w:bookmarkStart w:id="26" w:name="_Toc24772"/>
      <w:bookmarkStart w:id="27" w:name="_Toc139976782"/>
      <w:bookmarkStart w:id="28" w:name="_Toc12318"/>
      <w:bookmarkStart w:id="29" w:name="_Toc27548"/>
      <w:bookmarkStart w:id="30" w:name="_Toc3302"/>
      <w:bookmarkStart w:id="31" w:name="_Toc4518"/>
      <w:bookmarkStart w:id="32" w:name="_Toc2017"/>
      <w:r>
        <w:rPr>
          <w:rFonts w:hint="eastAsia" w:ascii="楷体_GB2312" w:hAnsi="楷体_GB2312" w:eastAsia="楷体_GB2312" w:cs="楷体_GB2312"/>
          <w:color w:val="auto"/>
          <w:sz w:val="32"/>
          <w:szCs w:val="32"/>
        </w:rPr>
        <w:t>（二）专项资金使用绩效</w:t>
      </w:r>
      <w:bookmarkEnd w:id="25"/>
      <w:bookmarkEnd w:id="26"/>
      <w:bookmarkEnd w:id="27"/>
      <w:bookmarkEnd w:id="28"/>
      <w:bookmarkEnd w:id="29"/>
      <w:bookmarkEnd w:id="30"/>
      <w:bookmarkEnd w:id="31"/>
      <w:bookmarkEnd w:id="32"/>
    </w:p>
    <w:p w14:paraId="620EDA91">
      <w:pPr>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default" w:ascii="仿宋_GB2312" w:eastAsia="仿宋_GB2312"/>
          <w:color w:val="auto"/>
          <w:sz w:val="32"/>
          <w:lang w:val="en-US" w:eastAsia="zh-CN"/>
        </w:rPr>
      </w:pPr>
      <w:r>
        <w:rPr>
          <w:rFonts w:hint="default" w:ascii="Times New Roman" w:hAnsi="Times New Roman" w:eastAsia="仿宋_GB2312" w:cs="Times New Roman"/>
          <w:b/>
          <w:bCs/>
          <w:color w:val="auto"/>
          <w:sz w:val="32"/>
          <w:szCs w:val="32"/>
        </w:rPr>
        <w:t>1</w:t>
      </w:r>
      <w:r>
        <w:rPr>
          <w:rFonts w:hint="eastAsia" w:ascii="仿宋_GB2312" w:eastAsia="仿宋_GB2312"/>
          <w:b/>
          <w:bCs/>
          <w:color w:val="auto"/>
          <w:sz w:val="32"/>
          <w:szCs w:val="32"/>
        </w:rPr>
        <w:t>.专项资金支出情况。</w:t>
      </w:r>
      <w:r>
        <w:rPr>
          <w:rFonts w:hint="eastAsia" w:ascii="仿宋_GB2312" w:eastAsia="仿宋_GB2312"/>
          <w:color w:val="auto"/>
          <w:sz w:val="32"/>
          <w:szCs w:val="32"/>
        </w:rPr>
        <w:t>截至</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rPr>
        <w:t>年</w:t>
      </w:r>
      <w:r>
        <w:rPr>
          <w:rFonts w:hint="default" w:ascii="Times New Roman" w:hAnsi="Times New Roman" w:eastAsia="仿宋_GB2312" w:cs="Times New Roman"/>
          <w:color w:val="auto"/>
          <w:sz w:val="32"/>
          <w:szCs w:val="32"/>
        </w:rPr>
        <w:t>12</w:t>
      </w:r>
      <w:r>
        <w:rPr>
          <w:rFonts w:hint="eastAsia" w:ascii="仿宋_GB2312" w:eastAsia="仿宋_GB2312"/>
          <w:color w:val="auto"/>
          <w:sz w:val="32"/>
          <w:szCs w:val="32"/>
        </w:rPr>
        <w:t>月</w:t>
      </w:r>
      <w:r>
        <w:rPr>
          <w:rFonts w:hint="default" w:ascii="Times New Roman" w:hAnsi="Times New Roman" w:eastAsia="仿宋_GB2312" w:cs="Times New Roman"/>
          <w:color w:val="auto"/>
          <w:sz w:val="32"/>
          <w:szCs w:val="32"/>
        </w:rPr>
        <w:t>31</w:t>
      </w:r>
      <w:r>
        <w:rPr>
          <w:rFonts w:hint="eastAsia" w:ascii="仿宋_GB2312" w:eastAsia="仿宋_GB2312"/>
          <w:color w:val="auto"/>
          <w:sz w:val="32"/>
          <w:szCs w:val="32"/>
        </w:rPr>
        <w:t>日，专项资金到位</w:t>
      </w:r>
      <w:r>
        <w:rPr>
          <w:rFonts w:hint="eastAsia" w:ascii="仿宋_GB2312" w:eastAsia="仿宋_GB2312"/>
          <w:color w:val="auto"/>
          <w:sz w:val="32"/>
          <w:szCs w:val="32"/>
          <w:lang w:val="en-US" w:eastAsia="zh-CN"/>
        </w:rPr>
        <w:t>数</w:t>
      </w:r>
      <w:r>
        <w:rPr>
          <w:rFonts w:hint="default" w:ascii="Times New Roman" w:hAnsi="Times New Roman" w:eastAsia="仿宋_GB2312" w:cs="Times New Roman"/>
          <w:color w:val="auto"/>
          <w:sz w:val="32"/>
          <w:szCs w:val="32"/>
          <w:lang w:val="en-US" w:eastAsia="zh-CN"/>
        </w:rPr>
        <w:t>53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285</w:t>
      </w:r>
      <w:r>
        <w:rPr>
          <w:rFonts w:hint="eastAsia" w:ascii="Times New Roman" w:hAnsi="Times New Roman" w:eastAsia="仿宋_GB2312" w:cs="Times New Roman"/>
          <w:color w:val="auto"/>
          <w:sz w:val="32"/>
          <w:szCs w:val="32"/>
          <w:lang w:val="en-US" w:eastAsia="zh-CN"/>
        </w:rPr>
        <w:t>万</w:t>
      </w:r>
      <w:r>
        <w:rPr>
          <w:rFonts w:hint="eastAsia" w:ascii="仿宋_GB2312" w:eastAsia="仿宋_GB2312"/>
          <w:color w:val="auto"/>
          <w:sz w:val="32"/>
          <w:szCs w:val="32"/>
        </w:rPr>
        <w:t>元，支出</w:t>
      </w:r>
      <w:r>
        <w:rPr>
          <w:rFonts w:hint="eastAsia" w:ascii="仿宋_GB2312" w:eastAsia="仿宋_GB2312"/>
          <w:color w:val="auto"/>
          <w:sz w:val="32"/>
          <w:szCs w:val="32"/>
          <w:lang w:val="en-US" w:eastAsia="zh-CN"/>
        </w:rPr>
        <w:t>数</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44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870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64</w:t>
      </w:r>
      <w:r>
        <w:rPr>
          <w:rFonts w:hint="eastAsia" w:ascii="Times New Roman" w:hAnsi="Times New Roman" w:eastAsia="仿宋_GB2312" w:cs="Times New Roman"/>
          <w:color w:val="auto"/>
          <w:sz w:val="32"/>
          <w:szCs w:val="32"/>
          <w:lang w:val="en-US" w:eastAsia="zh-CN"/>
        </w:rPr>
        <w:t xml:space="preserve"> </w:t>
      </w:r>
      <w:r>
        <w:rPr>
          <w:rFonts w:hint="eastAsia" w:ascii="仿宋_GB2312" w:eastAsia="仿宋_GB2312"/>
          <w:color w:val="auto"/>
          <w:sz w:val="32"/>
          <w:szCs w:val="32"/>
        </w:rPr>
        <w:t>万元</w:t>
      </w:r>
      <w:r>
        <w:rPr>
          <w:rFonts w:hint="eastAsia" w:ascii="仿宋_GB2312" w:eastAsia="仿宋_GB2312"/>
          <w:color w:val="auto"/>
          <w:sz w:val="32"/>
          <w:szCs w:val="32"/>
          <w:lang w:eastAsia="zh-CN"/>
        </w:rPr>
        <w:t>，资金支出率</w:t>
      </w:r>
      <w:r>
        <w:rPr>
          <w:rFonts w:hint="eastAsia" w:ascii="仿宋_GB2312" w:eastAsia="仿宋_GB2312"/>
          <w:color w:val="auto"/>
          <w:sz w:val="32"/>
          <w:szCs w:val="32"/>
          <w:lang w:val="en-US" w:eastAsia="zh-CN"/>
        </w:rPr>
        <w:t>为</w:t>
      </w:r>
      <w:r>
        <w:rPr>
          <w:rFonts w:hint="default" w:ascii="Times New Roman" w:hAnsi="Times New Roman" w:eastAsia="仿宋_GB2312" w:cs="Times New Roman"/>
          <w:color w:val="auto"/>
          <w:sz w:val="32"/>
          <w:szCs w:val="32"/>
          <w:lang w:val="en-US" w:eastAsia="zh-CN"/>
        </w:rPr>
        <w:t>84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21</w:t>
      </w:r>
      <w:r>
        <w:rPr>
          <w:rFonts w:hint="eastAsia" w:ascii="仿宋_GB2312" w:eastAsia="仿宋_GB2312"/>
          <w:color w:val="auto"/>
          <w:sz w:val="32"/>
          <w:szCs w:val="32"/>
          <w:lang w:val="en-US" w:eastAsia="zh-CN"/>
        </w:rPr>
        <w:t>%，</w:t>
      </w:r>
      <w:r>
        <w:rPr>
          <w:rFonts w:hint="eastAsia" w:ascii="仿宋_GB2312" w:eastAsia="仿宋_GB2312"/>
          <w:color w:val="auto"/>
          <w:sz w:val="32"/>
          <w:lang w:val="en-US" w:eastAsia="zh-CN"/>
        </w:rPr>
        <w:t>其中保障性安居工程支出</w:t>
      </w:r>
      <w:r>
        <w:rPr>
          <w:rFonts w:hint="default" w:ascii="Times New Roman" w:hAnsi="Times New Roman" w:eastAsia="仿宋_GB2312" w:cs="Times New Roman"/>
          <w:color w:val="auto"/>
          <w:sz w:val="32"/>
          <w:lang w:val="en-US" w:eastAsia="zh-CN"/>
        </w:rPr>
        <w:t>42</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541</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48</w:t>
      </w:r>
      <w:r>
        <w:rPr>
          <w:rFonts w:hint="eastAsia" w:ascii="仿宋_GB2312" w:eastAsia="仿宋_GB2312"/>
          <w:color w:val="auto"/>
          <w:sz w:val="32"/>
          <w:lang w:val="en-US" w:eastAsia="zh-CN"/>
        </w:rPr>
        <w:t>万元（支出率</w:t>
      </w:r>
      <w:r>
        <w:rPr>
          <w:rFonts w:hint="default" w:ascii="Times New Roman" w:hAnsi="Times New Roman" w:eastAsia="仿宋_GB2312" w:cs="Times New Roman"/>
          <w:color w:val="auto"/>
          <w:sz w:val="32"/>
          <w:lang w:val="en-US" w:eastAsia="zh-CN"/>
        </w:rPr>
        <w:t>85</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98</w:t>
      </w:r>
      <w:r>
        <w:rPr>
          <w:rFonts w:hint="eastAsia" w:ascii="仿宋_GB2312" w:eastAsia="仿宋_GB2312"/>
          <w:color w:val="auto"/>
          <w:sz w:val="32"/>
          <w:lang w:val="en-US" w:eastAsia="zh-CN"/>
        </w:rPr>
        <w:t>%）、城市危旧房摸底调查支出</w:t>
      </w:r>
      <w:r>
        <w:rPr>
          <w:rFonts w:hint="default" w:ascii="Times New Roman" w:hAnsi="Times New Roman" w:eastAsia="仿宋_GB2312" w:cs="Times New Roman"/>
          <w:color w:val="auto"/>
          <w:sz w:val="32"/>
          <w:lang w:val="en-US" w:eastAsia="zh-CN"/>
        </w:rPr>
        <w:t>368</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39</w:t>
      </w:r>
      <w:r>
        <w:rPr>
          <w:rFonts w:hint="eastAsia" w:ascii="仿宋_GB2312" w:eastAsia="仿宋_GB2312"/>
          <w:color w:val="auto"/>
          <w:sz w:val="32"/>
          <w:lang w:val="en-US" w:eastAsia="zh-CN"/>
        </w:rPr>
        <w:t>万元（支出率</w:t>
      </w:r>
      <w:r>
        <w:rPr>
          <w:rFonts w:hint="default" w:ascii="Times New Roman" w:hAnsi="Times New Roman" w:eastAsia="仿宋_GB2312" w:cs="Times New Roman"/>
          <w:color w:val="auto"/>
          <w:sz w:val="32"/>
          <w:lang w:val="en-US" w:eastAsia="zh-CN"/>
        </w:rPr>
        <w:t>43</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19</w:t>
      </w:r>
      <w:r>
        <w:rPr>
          <w:rFonts w:hint="eastAsia" w:ascii="仿宋_GB2312" w:eastAsia="仿宋_GB2312"/>
          <w:color w:val="auto"/>
          <w:sz w:val="32"/>
          <w:lang w:val="en-US" w:eastAsia="zh-CN"/>
        </w:rPr>
        <w:t>%）、自建房安全专项整治支出</w:t>
      </w:r>
      <w:r>
        <w:rPr>
          <w:rFonts w:hint="default" w:ascii="Times New Roman" w:hAnsi="Times New Roman" w:eastAsia="仿宋_GB2312" w:cs="Times New Roman"/>
          <w:color w:val="auto"/>
          <w:sz w:val="32"/>
          <w:lang w:val="en-US" w:eastAsia="zh-CN"/>
        </w:rPr>
        <w:t>1,071</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14</w:t>
      </w:r>
      <w:r>
        <w:rPr>
          <w:rFonts w:hint="eastAsia" w:ascii="仿宋_GB2312" w:eastAsia="仿宋_GB2312"/>
          <w:color w:val="auto"/>
          <w:sz w:val="32"/>
          <w:lang w:val="en-US" w:eastAsia="zh-CN"/>
        </w:rPr>
        <w:t>万元（支出率</w:t>
      </w:r>
      <w:r>
        <w:rPr>
          <w:rFonts w:hint="default" w:ascii="Times New Roman" w:hAnsi="Times New Roman" w:eastAsia="仿宋_GB2312" w:cs="Times New Roman"/>
          <w:color w:val="auto"/>
          <w:sz w:val="32"/>
          <w:lang w:val="en-US" w:eastAsia="zh-CN"/>
        </w:rPr>
        <w:t>51</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95%</w:t>
      </w:r>
      <w:r>
        <w:rPr>
          <w:rFonts w:hint="eastAsia" w:ascii="仿宋_GB2312" w:eastAsia="仿宋_GB2312"/>
          <w:color w:val="auto"/>
          <w:sz w:val="32"/>
          <w:lang w:val="en-US" w:eastAsia="zh-CN"/>
        </w:rPr>
        <w:t>）、省级工作经费</w:t>
      </w:r>
      <w:r>
        <w:rPr>
          <w:rFonts w:hint="default" w:ascii="Times New Roman" w:hAnsi="Times New Roman" w:eastAsia="仿宋_GB2312" w:cs="Times New Roman"/>
          <w:color w:val="auto"/>
          <w:sz w:val="32"/>
          <w:lang w:val="en-US" w:eastAsia="zh-CN"/>
        </w:rPr>
        <w:t>889</w:t>
      </w:r>
      <w:r>
        <w:rPr>
          <w:rFonts w:hint="eastAsia" w:ascii="仿宋_GB2312" w:eastAsia="仿宋_GB2312"/>
          <w:color w:val="auto"/>
          <w:sz w:val="32"/>
          <w:lang w:val="en-US" w:eastAsia="zh-CN"/>
        </w:rPr>
        <w:t>.</w:t>
      </w:r>
      <w:r>
        <w:rPr>
          <w:rFonts w:hint="default" w:ascii="Times New Roman" w:hAnsi="Times New Roman" w:eastAsia="仿宋_GB2312" w:cs="Times New Roman"/>
          <w:color w:val="auto"/>
          <w:sz w:val="32"/>
          <w:lang w:val="en-US" w:eastAsia="zh-CN"/>
        </w:rPr>
        <w:t>64</w:t>
      </w:r>
      <w:r>
        <w:rPr>
          <w:rFonts w:hint="eastAsia" w:ascii="仿宋_GB2312" w:eastAsia="仿宋_GB2312"/>
          <w:color w:val="auto"/>
          <w:sz w:val="32"/>
          <w:lang w:val="en-US" w:eastAsia="zh-CN"/>
        </w:rPr>
        <w:t>万元（支出率</w:t>
      </w:r>
      <w:r>
        <w:rPr>
          <w:rFonts w:hint="default" w:ascii="Times New Roman" w:hAnsi="Times New Roman" w:eastAsia="仿宋_GB2312" w:cs="Times New Roman"/>
          <w:color w:val="auto"/>
          <w:sz w:val="32"/>
          <w:lang w:val="en-US" w:eastAsia="zh-CN"/>
        </w:rPr>
        <w:t>99</w:t>
      </w:r>
      <w:r>
        <w:rPr>
          <w:rFonts w:hint="eastAsia" w:ascii="仿宋_GB2312" w:eastAsia="仿宋_GB2312"/>
          <w:color w:val="auto"/>
          <w:sz w:val="32"/>
          <w:lang w:val="en-US" w:eastAsia="zh-CN"/>
        </w:rPr>
        <w:t>.</w:t>
      </w:r>
      <w:r>
        <w:rPr>
          <w:rFonts w:hint="default" w:ascii="Times New Roman" w:hAnsi="Times New Roman" w:eastAsia="仿宋_GB2312" w:cs="Times New Roman"/>
          <w:color w:val="auto"/>
          <w:sz w:val="32"/>
          <w:lang w:val="en-US" w:eastAsia="zh-CN"/>
        </w:rPr>
        <w:t>96</w:t>
      </w:r>
      <w:r>
        <w:rPr>
          <w:rFonts w:hint="eastAsia" w:ascii="仿宋_GB2312" w:eastAsia="仿宋_GB2312"/>
          <w:color w:val="auto"/>
          <w:sz w:val="32"/>
          <w:lang w:val="en-US" w:eastAsia="zh-CN"/>
        </w:rPr>
        <w:t>%）</w:t>
      </w:r>
      <w:r>
        <w:rPr>
          <w:rFonts w:hint="eastAsia" w:ascii="仿宋_GB2312" w:eastAsia="仿宋_GB2312"/>
          <w:color w:val="auto"/>
          <w:sz w:val="32"/>
          <w:szCs w:val="32"/>
        </w:rPr>
        <w:t>。</w:t>
      </w:r>
      <w:r>
        <w:rPr>
          <w:rFonts w:hint="eastAsia" w:ascii="仿宋_GB2312" w:eastAsia="仿宋_GB2312"/>
          <w:color w:val="auto"/>
          <w:sz w:val="32"/>
          <w:lang w:val="en-US" w:eastAsia="zh-CN"/>
        </w:rPr>
        <w:t>城市危旧房摸底调查及自建房安全专项整治项目的支出率较低，分别为</w:t>
      </w:r>
      <w:r>
        <w:rPr>
          <w:rFonts w:hint="default" w:ascii="Times New Roman" w:hAnsi="Times New Roman" w:eastAsia="仿宋_GB2312" w:cs="Times New Roman"/>
          <w:color w:val="auto"/>
          <w:sz w:val="32"/>
          <w:lang w:val="en-US" w:eastAsia="zh-CN"/>
        </w:rPr>
        <w:t>43</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19</w:t>
      </w:r>
      <w:r>
        <w:rPr>
          <w:rFonts w:hint="eastAsia" w:ascii="仿宋_GB2312" w:eastAsia="仿宋_GB2312"/>
          <w:color w:val="auto"/>
          <w:sz w:val="32"/>
          <w:lang w:val="en-US" w:eastAsia="zh-CN"/>
        </w:rPr>
        <w:t>%、</w:t>
      </w:r>
      <w:r>
        <w:rPr>
          <w:rFonts w:hint="default" w:ascii="Times New Roman" w:hAnsi="Times New Roman" w:eastAsia="仿宋_GB2312" w:cs="Times New Roman"/>
          <w:color w:val="auto"/>
          <w:sz w:val="32"/>
          <w:lang w:val="en-US" w:eastAsia="zh-CN"/>
        </w:rPr>
        <w:t>51</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95</w:t>
      </w:r>
      <w:r>
        <w:rPr>
          <w:rFonts w:hint="eastAsia" w:ascii="Times New Roman" w:hAnsi="Times New Roman" w:eastAsia="仿宋_GB2312" w:cs="Times New Roman"/>
          <w:color w:val="auto"/>
          <w:sz w:val="32"/>
          <w:lang w:val="en-US" w:eastAsia="zh-CN"/>
        </w:rPr>
        <w:t>%</w:t>
      </w:r>
      <w:r>
        <w:rPr>
          <w:rFonts w:hint="eastAsia" w:ascii="仿宋_GB2312" w:eastAsia="仿宋_GB2312"/>
          <w:color w:val="auto"/>
          <w:sz w:val="32"/>
          <w:lang w:val="en-US" w:eastAsia="zh-CN"/>
        </w:rPr>
        <w:t>，主要原因：</w:t>
      </w:r>
      <w:r>
        <w:rPr>
          <w:rFonts w:hint="eastAsia" w:ascii="仿宋_GB2312" w:eastAsia="仿宋_GB2312"/>
          <w:b/>
          <w:bCs/>
          <w:color w:val="auto"/>
          <w:sz w:val="32"/>
          <w:lang w:val="en-US" w:eastAsia="zh-CN"/>
        </w:rPr>
        <w:t>一是</w:t>
      </w:r>
      <w:r>
        <w:rPr>
          <w:rFonts w:hint="eastAsia" w:ascii="仿宋_GB2312" w:eastAsia="仿宋_GB2312"/>
          <w:color w:val="auto"/>
          <w:sz w:val="32"/>
          <w:lang w:val="en-US" w:eastAsia="zh-CN"/>
        </w:rPr>
        <w:t>部分县区财政困难，财政部门无法及时拨付工作经费到项目单位；</w:t>
      </w:r>
      <w:r>
        <w:rPr>
          <w:rFonts w:hint="eastAsia" w:ascii="仿宋_GB2312" w:eastAsia="仿宋_GB2312"/>
          <w:b/>
          <w:bCs/>
          <w:color w:val="auto"/>
          <w:sz w:val="32"/>
          <w:lang w:val="en-US" w:eastAsia="zh-CN"/>
        </w:rPr>
        <w:t>二是</w:t>
      </w:r>
      <w:r>
        <w:rPr>
          <w:rFonts w:hint="eastAsia" w:ascii="仿宋_GB2312" w:eastAsia="仿宋_GB2312"/>
          <w:color w:val="auto"/>
          <w:sz w:val="32"/>
          <w:lang w:val="en-US" w:eastAsia="zh-CN"/>
        </w:rPr>
        <w:t>部分市县于</w:t>
      </w:r>
      <w:r>
        <w:rPr>
          <w:rFonts w:hint="default" w:ascii="Times New Roman" w:hAnsi="Times New Roman" w:eastAsia="仿宋_GB2312" w:cs="Times New Roman"/>
          <w:color w:val="auto"/>
          <w:sz w:val="32"/>
          <w:lang w:val="en-US" w:eastAsia="zh-CN"/>
        </w:rPr>
        <w:t>2023</w:t>
      </w:r>
      <w:r>
        <w:rPr>
          <w:rFonts w:hint="eastAsia" w:ascii="仿宋_GB2312" w:eastAsia="仿宋_GB2312"/>
          <w:color w:val="auto"/>
          <w:sz w:val="32"/>
          <w:lang w:val="en-US" w:eastAsia="zh-CN"/>
        </w:rPr>
        <w:t>年</w:t>
      </w:r>
      <w:r>
        <w:rPr>
          <w:rFonts w:hint="default" w:ascii="Times New Roman" w:hAnsi="Times New Roman" w:eastAsia="仿宋_GB2312" w:cs="Times New Roman"/>
          <w:color w:val="auto"/>
          <w:sz w:val="32"/>
          <w:lang w:val="en-US" w:eastAsia="zh-CN"/>
        </w:rPr>
        <w:t>9</w:t>
      </w:r>
      <w:r>
        <w:rPr>
          <w:rFonts w:hint="eastAsia" w:ascii="仿宋_GB2312" w:eastAsia="仿宋_GB2312"/>
          <w:color w:val="auto"/>
          <w:sz w:val="32"/>
          <w:lang w:val="en-US" w:eastAsia="zh-CN"/>
        </w:rPr>
        <w:t>月前已完成危旧房摸底前期调查、鉴定工作，本次下达资金未明确能否用于危旧房修缮工作等相关工作，部分市县既未向上级请示，也未自行把资金用于危旧房修缮等，造成城市危旧房摸底调查资金沉淀；</w:t>
      </w:r>
      <w:r>
        <w:rPr>
          <w:rFonts w:hint="eastAsia" w:ascii="仿宋_GB2312" w:eastAsia="仿宋_GB2312"/>
          <w:b/>
          <w:bCs/>
          <w:color w:val="auto"/>
          <w:sz w:val="32"/>
          <w:lang w:val="en-US" w:eastAsia="zh-CN"/>
        </w:rPr>
        <w:t>三是</w:t>
      </w:r>
      <w:r>
        <w:rPr>
          <w:rFonts w:hint="eastAsia" w:ascii="仿宋_GB2312" w:eastAsia="仿宋_GB2312"/>
          <w:color w:val="auto"/>
          <w:sz w:val="32"/>
          <w:lang w:val="en-US" w:eastAsia="zh-CN"/>
        </w:rPr>
        <w:t>技术力量不足。部分市县住建部门缺乏足够的具备房屋安全鉴定、工程整治资质的专业技术人员，执法装备等专业物资配备不齐全，制约了危旧房整治工作的开展；</w:t>
      </w:r>
      <w:r>
        <w:rPr>
          <w:rFonts w:hint="eastAsia" w:ascii="仿宋_GB2312" w:eastAsia="仿宋_GB2312"/>
          <w:b/>
          <w:bCs/>
          <w:color w:val="auto"/>
          <w:sz w:val="32"/>
          <w:lang w:val="en-US" w:eastAsia="zh-CN"/>
        </w:rPr>
        <w:t>四是</w:t>
      </w:r>
      <w:r>
        <w:rPr>
          <w:rFonts w:hint="default" w:ascii="Times New Roman" w:hAnsi="Times New Roman" w:eastAsia="仿宋_GB2312" w:cs="Times New Roman"/>
          <w:b w:val="0"/>
          <w:bCs w:val="0"/>
          <w:color w:val="auto"/>
          <w:sz w:val="32"/>
          <w:szCs w:val="32"/>
          <w:highlight w:val="none"/>
          <w:lang w:val="en-US" w:eastAsia="zh-CN"/>
        </w:rPr>
        <w:t>自建房整治项目执行存在梗阻</w:t>
      </w:r>
      <w:r>
        <w:rPr>
          <w:rFonts w:hint="eastAsia" w:ascii="仿宋_GB2312" w:eastAsia="仿宋_GB2312"/>
          <w:color w:val="auto"/>
          <w:sz w:val="32"/>
          <w:lang w:val="en-US" w:eastAsia="zh-CN"/>
        </w:rPr>
        <w:t>。</w:t>
      </w:r>
      <w:r>
        <w:rPr>
          <w:rFonts w:hint="default" w:ascii="Times New Roman" w:hAnsi="Times New Roman" w:eastAsia="仿宋_GB2312" w:cs="Times New Roman"/>
          <w:color w:val="auto"/>
          <w:sz w:val="32"/>
          <w:szCs w:val="32"/>
        </w:rPr>
        <w:t>因</w:t>
      </w:r>
      <w:r>
        <w:rPr>
          <w:rFonts w:hint="eastAsia" w:ascii="Times New Roman" w:hAnsi="Times New Roman" w:eastAsia="仿宋_GB2312" w:cs="Times New Roman"/>
          <w:color w:val="auto"/>
          <w:sz w:val="32"/>
          <w:szCs w:val="32"/>
          <w:lang w:val="en-US" w:eastAsia="zh-CN"/>
        </w:rPr>
        <w:t>整治</w:t>
      </w:r>
      <w:r>
        <w:rPr>
          <w:rFonts w:hint="default" w:ascii="Times New Roman" w:hAnsi="Times New Roman" w:eastAsia="仿宋_GB2312" w:cs="Times New Roman"/>
          <w:color w:val="auto"/>
          <w:sz w:val="32"/>
          <w:szCs w:val="32"/>
        </w:rPr>
        <w:t>工程管理流程复杂导致资金支付节点后移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部分乡镇对专项资金申报政策理解不深、操作流程掌握不熟，项目申报主动性不足，影响资金使用进度。</w:t>
      </w:r>
    </w:p>
    <w:p w14:paraId="2A8C0B7A">
      <w:pPr>
        <w:adjustRightInd w:val="0"/>
        <w:snapToGrid w:val="0"/>
        <w:spacing w:line="360" w:lineRule="auto"/>
        <w:ind w:firstLine="643" w:firstLineChars="200"/>
        <w:outlineLvl w:val="9"/>
        <w:rPr>
          <w:rFonts w:hint="eastAsia" w:ascii="仿宋_GB2312" w:eastAsia="仿宋_GB2312"/>
          <w:b/>
          <w:bCs/>
          <w:color w:val="auto"/>
          <w:sz w:val="32"/>
          <w:szCs w:val="32"/>
        </w:rPr>
      </w:pPr>
      <w:bookmarkStart w:id="33" w:name="_Toc1618"/>
      <w:r>
        <w:rPr>
          <w:rFonts w:hint="default" w:ascii="Times New Roman" w:hAnsi="Times New Roman" w:eastAsia="仿宋_GB2312" w:cs="Times New Roman"/>
          <w:b/>
          <w:bCs/>
          <w:color w:val="auto"/>
          <w:sz w:val="32"/>
          <w:szCs w:val="32"/>
        </w:rPr>
        <w:t>2</w:t>
      </w:r>
      <w:r>
        <w:rPr>
          <w:rFonts w:hint="eastAsia" w:ascii="仿宋_GB2312" w:eastAsia="仿宋_GB2312"/>
          <w:b/>
          <w:bCs/>
          <w:color w:val="auto"/>
          <w:sz w:val="32"/>
          <w:szCs w:val="32"/>
        </w:rPr>
        <w:t>.专项资金完成绩效目标情况。</w:t>
      </w:r>
      <w:bookmarkEnd w:id="33"/>
    </w:p>
    <w:p w14:paraId="4CB4A7B7">
      <w:pPr>
        <w:adjustRightInd w:val="0"/>
        <w:snapToGrid w:val="0"/>
        <w:spacing w:line="360" w:lineRule="auto"/>
        <w:ind w:firstLine="640" w:firstLineChars="200"/>
        <w:rPr>
          <w:rFonts w:hint="eastAsia" w:ascii="仿宋_GB2312" w:eastAsia="仿宋_GB2312"/>
          <w:bCs/>
          <w:color w:val="auto"/>
          <w:sz w:val="32"/>
          <w:szCs w:val="32"/>
        </w:rPr>
      </w:pPr>
      <w:r>
        <w:rPr>
          <w:rFonts w:hint="default" w:ascii="Times New Roman" w:hAnsi="Times New Roman" w:eastAsia="仿宋_GB2312" w:cs="Times New Roman"/>
          <w:color w:val="auto"/>
          <w:sz w:val="32"/>
        </w:rPr>
        <w:t>2024</w:t>
      </w:r>
      <w:r>
        <w:rPr>
          <w:rFonts w:hint="eastAsia" w:ascii="仿宋_GB2312" w:eastAsia="仿宋_GB2312"/>
          <w:color w:val="auto"/>
          <w:sz w:val="32"/>
        </w:rPr>
        <w:t>年保障性安居工程专项资金项目</w:t>
      </w:r>
      <w:r>
        <w:rPr>
          <w:rFonts w:hint="eastAsia" w:ascii="仿宋_GB2312" w:hAnsi="仿宋_GB2312" w:eastAsia="仿宋_GB2312" w:cs="Calibri"/>
          <w:color w:val="auto"/>
          <w:kern w:val="0"/>
          <w:sz w:val="32"/>
          <w:szCs w:val="32"/>
        </w:rPr>
        <w:t>基本完成当年的任务目标，已</w:t>
      </w:r>
      <w:r>
        <w:rPr>
          <w:rFonts w:hint="eastAsia" w:ascii="仿宋_GB2312" w:hAnsi="仿宋_GB2312" w:eastAsia="仿宋_GB2312" w:cs="Calibri"/>
          <w:color w:val="auto"/>
          <w:kern w:val="0"/>
          <w:sz w:val="32"/>
          <w:szCs w:val="32"/>
          <w:lang w:eastAsia="zh-CN"/>
        </w:rPr>
        <w:t>按计划</w:t>
      </w:r>
      <w:r>
        <w:rPr>
          <w:rFonts w:hint="eastAsia" w:ascii="仿宋_GB2312" w:hAnsi="仿宋_GB2312" w:eastAsia="仿宋_GB2312" w:cs="Calibri"/>
          <w:color w:val="auto"/>
          <w:kern w:val="0"/>
          <w:sz w:val="32"/>
          <w:szCs w:val="32"/>
        </w:rPr>
        <w:t>开展保障性安居工程、危旧房改造与自建房排查鉴定等相关工作。</w:t>
      </w:r>
    </w:p>
    <w:p w14:paraId="5EF3D444">
      <w:pPr>
        <w:numPr>
          <w:ilvl w:val="0"/>
          <w:numId w:val="0"/>
        </w:numPr>
        <w:adjustRightInd w:val="0"/>
        <w:snapToGrid w:val="0"/>
        <w:spacing w:line="360" w:lineRule="auto"/>
        <w:ind w:left="643" w:leftChars="0"/>
        <w:outlineLvl w:val="9"/>
        <w:rPr>
          <w:rFonts w:hint="eastAsia" w:ascii="仿宋_GB2312" w:eastAsia="仿宋_GB2312"/>
          <w:b/>
          <w:bCs/>
          <w:color w:val="auto"/>
          <w:sz w:val="32"/>
          <w:szCs w:val="32"/>
        </w:rPr>
      </w:pPr>
      <w:bookmarkStart w:id="34" w:name="_Toc12376"/>
      <w:r>
        <w:rPr>
          <w:rFonts w:hint="default" w:ascii="Times New Roman" w:hAnsi="Times New Roman" w:eastAsia="仿宋_GB2312" w:cs="Times New Roman"/>
          <w:b/>
          <w:bCs/>
          <w:color w:val="auto"/>
          <w:sz w:val="32"/>
          <w:szCs w:val="32"/>
          <w:lang w:val="en-US" w:eastAsia="zh-CN"/>
        </w:rPr>
        <w:t>3</w:t>
      </w:r>
      <w:r>
        <w:rPr>
          <w:rFonts w:hint="eastAsia" w:ascii="仿宋_GB2312" w:eastAsia="仿宋_GB2312"/>
          <w:b/>
          <w:bCs/>
          <w:color w:val="auto"/>
          <w:sz w:val="32"/>
          <w:szCs w:val="32"/>
          <w:lang w:val="en-US" w:eastAsia="zh-CN"/>
        </w:rPr>
        <w:t>.</w:t>
      </w:r>
      <w:r>
        <w:rPr>
          <w:rFonts w:hint="eastAsia" w:ascii="仿宋_GB2312" w:eastAsia="仿宋_GB2312"/>
          <w:b/>
          <w:bCs/>
          <w:color w:val="auto"/>
          <w:sz w:val="32"/>
          <w:szCs w:val="32"/>
        </w:rPr>
        <w:t>专项资金分用途使用绩效。</w:t>
      </w:r>
      <w:bookmarkEnd w:id="34"/>
    </w:p>
    <w:p w14:paraId="7AD099EA">
      <w:pPr>
        <w:numPr>
          <w:ilvl w:val="0"/>
          <w:numId w:val="3"/>
        </w:numPr>
        <w:adjustRightInd w:val="0"/>
        <w:snapToGrid w:val="0"/>
        <w:spacing w:line="360" w:lineRule="auto"/>
        <w:ind w:firstLine="640" w:firstLineChars="200"/>
        <w:rPr>
          <w:rFonts w:hint="eastAsia" w:ascii="仿宋_GB2312" w:hAnsi="仿宋_GB2312" w:eastAsia="仿宋_GB2312" w:cs="Calibri"/>
          <w:color w:val="auto"/>
          <w:kern w:val="0"/>
          <w:sz w:val="32"/>
          <w:szCs w:val="32"/>
        </w:rPr>
      </w:pPr>
      <w:r>
        <w:rPr>
          <w:rFonts w:hint="eastAsia" w:ascii="仿宋_GB2312" w:hAnsi="仿宋_GB2312" w:eastAsia="仿宋_GB2312" w:cs="Calibri"/>
          <w:color w:val="auto"/>
          <w:kern w:val="0"/>
          <w:sz w:val="32"/>
          <w:szCs w:val="32"/>
        </w:rPr>
        <w:t>保障性安居工程</w:t>
      </w:r>
      <w:r>
        <w:rPr>
          <w:rFonts w:hint="eastAsia" w:ascii="仿宋_GB2312" w:hAnsi="仿宋_GB2312" w:eastAsia="仿宋_GB2312" w:cs="Calibri"/>
          <w:color w:val="auto"/>
          <w:kern w:val="0"/>
          <w:sz w:val="32"/>
          <w:szCs w:val="32"/>
          <w:lang w:eastAsia="zh-CN"/>
        </w:rPr>
        <w:t>。</w:t>
      </w:r>
      <w:r>
        <w:rPr>
          <w:rFonts w:hint="eastAsia" w:ascii="仿宋_GB2312" w:hAnsi="仿宋_GB2312" w:eastAsia="仿宋_GB2312" w:cs="Calibri"/>
          <w:b/>
          <w:bCs/>
          <w:color w:val="auto"/>
          <w:kern w:val="0"/>
          <w:sz w:val="32"/>
          <w:szCs w:val="32"/>
          <w:lang w:val="en-US" w:eastAsia="zh-CN"/>
        </w:rPr>
        <w:t>一是</w:t>
      </w:r>
      <w:r>
        <w:rPr>
          <w:rFonts w:hint="eastAsia" w:ascii="仿宋_GB2312" w:hAnsi="仿宋_GB2312" w:eastAsia="仿宋_GB2312" w:cs="Calibri"/>
          <w:color w:val="auto"/>
          <w:kern w:val="0"/>
          <w:sz w:val="32"/>
          <w:szCs w:val="32"/>
        </w:rPr>
        <w:t>超额完成年度目标</w:t>
      </w:r>
      <w:r>
        <w:rPr>
          <w:rFonts w:hint="eastAsia" w:ascii="仿宋_GB2312" w:hAnsi="仿宋_GB2312" w:eastAsia="仿宋_GB2312" w:cs="Calibri"/>
          <w:color w:val="auto"/>
          <w:kern w:val="0"/>
          <w:sz w:val="32"/>
          <w:szCs w:val="32"/>
          <w:lang w:eastAsia="zh-CN"/>
        </w:rPr>
        <w:t>。</w:t>
      </w:r>
      <w:r>
        <w:rPr>
          <w:rFonts w:hint="default" w:ascii="仿宋_GB2312" w:hAnsi="仿宋_GB2312" w:eastAsia="仿宋_GB2312" w:cs="Calibri"/>
          <w:color w:val="auto"/>
          <w:kern w:val="0"/>
          <w:sz w:val="32"/>
          <w:szCs w:val="32"/>
        </w:rPr>
        <w:t>截至</w:t>
      </w:r>
      <w:r>
        <w:rPr>
          <w:rFonts w:hint="default" w:ascii="Times New Roman" w:hAnsi="Times New Roman" w:eastAsia="仿宋_GB2312" w:cs="Times New Roman"/>
          <w:color w:val="auto"/>
          <w:kern w:val="0"/>
          <w:sz w:val="32"/>
          <w:szCs w:val="32"/>
          <w:lang w:val="en-US" w:eastAsia="zh-CN"/>
        </w:rPr>
        <w:t>2024</w:t>
      </w:r>
      <w:r>
        <w:rPr>
          <w:rFonts w:hint="eastAsia" w:ascii="仿宋_GB2312" w:hAnsi="仿宋_GB2312" w:eastAsia="仿宋_GB2312" w:cs="Calibri"/>
          <w:color w:val="auto"/>
          <w:kern w:val="0"/>
          <w:sz w:val="32"/>
          <w:szCs w:val="32"/>
          <w:lang w:val="en-US" w:eastAsia="zh-CN"/>
        </w:rPr>
        <w:t>年</w:t>
      </w:r>
      <w:r>
        <w:rPr>
          <w:rFonts w:hint="default" w:ascii="Times New Roman" w:hAnsi="Times New Roman" w:eastAsia="仿宋_GB2312" w:cs="Times New Roman"/>
          <w:color w:val="auto"/>
          <w:kern w:val="0"/>
          <w:sz w:val="32"/>
          <w:szCs w:val="32"/>
          <w:lang w:val="en-US" w:eastAsia="zh-CN"/>
        </w:rPr>
        <w:t>12</w:t>
      </w:r>
      <w:r>
        <w:rPr>
          <w:rFonts w:hint="eastAsia" w:ascii="仿宋_GB2312" w:hAnsi="仿宋_GB2312" w:eastAsia="仿宋_GB2312" w:cs="Calibri"/>
          <w:color w:val="auto"/>
          <w:kern w:val="0"/>
          <w:sz w:val="32"/>
          <w:szCs w:val="32"/>
          <w:lang w:val="en-US" w:eastAsia="zh-CN"/>
        </w:rPr>
        <w:t>月</w:t>
      </w:r>
      <w:r>
        <w:rPr>
          <w:rFonts w:hint="default" w:ascii="仿宋_GB2312" w:hAnsi="仿宋_GB2312" w:eastAsia="仿宋_GB2312" w:cs="Calibri"/>
          <w:color w:val="auto"/>
          <w:kern w:val="0"/>
          <w:sz w:val="32"/>
          <w:szCs w:val="32"/>
        </w:rPr>
        <w:t>，全省新筹集建设配售型保障性住房</w:t>
      </w:r>
      <w:r>
        <w:rPr>
          <w:rFonts w:hint="default" w:ascii="Times New Roman" w:hAnsi="Times New Roman" w:eastAsia="仿宋_GB2312" w:cs="Times New Roman"/>
          <w:color w:val="auto"/>
          <w:kern w:val="0"/>
          <w:sz w:val="32"/>
          <w:szCs w:val="32"/>
        </w:rPr>
        <w:t>2</w:t>
      </w:r>
      <w:r>
        <w:rPr>
          <w:rFonts w:hint="default" w:ascii="仿宋_GB2312" w:hAnsi="仿宋_GB2312" w:eastAsia="仿宋_GB2312" w:cs="Calibri"/>
          <w:color w:val="auto"/>
          <w:kern w:val="0"/>
          <w:sz w:val="32"/>
          <w:szCs w:val="32"/>
        </w:rPr>
        <w:t>.</w:t>
      </w:r>
      <w:r>
        <w:rPr>
          <w:rFonts w:hint="default" w:ascii="Times New Roman" w:hAnsi="Times New Roman" w:eastAsia="仿宋_GB2312" w:cs="Times New Roman"/>
          <w:color w:val="auto"/>
          <w:kern w:val="0"/>
          <w:sz w:val="32"/>
          <w:szCs w:val="32"/>
        </w:rPr>
        <w:t>7</w:t>
      </w:r>
      <w:r>
        <w:rPr>
          <w:rFonts w:hint="default" w:ascii="Times New Roman" w:hAnsi="Times New Roman" w:eastAsia="仿宋_GB2312" w:cs="Times New Roman"/>
          <w:color w:val="auto"/>
          <w:kern w:val="0"/>
          <w:sz w:val="32"/>
          <w:szCs w:val="32"/>
          <w:lang w:val="en-US" w:eastAsia="zh-CN"/>
        </w:rPr>
        <w:t>0</w:t>
      </w:r>
      <w:r>
        <w:rPr>
          <w:rFonts w:hint="default" w:ascii="仿宋_GB2312" w:hAnsi="仿宋_GB2312" w:eastAsia="仿宋_GB2312" w:cs="Calibri"/>
          <w:color w:val="auto"/>
          <w:kern w:val="0"/>
          <w:sz w:val="32"/>
          <w:szCs w:val="32"/>
        </w:rPr>
        <w:t>万套、保障性租赁住房</w:t>
      </w:r>
      <w:r>
        <w:rPr>
          <w:rFonts w:hint="default" w:ascii="Times New Roman" w:hAnsi="Times New Roman" w:eastAsia="仿宋_GB2312" w:cs="Times New Roman"/>
          <w:color w:val="auto"/>
          <w:kern w:val="0"/>
          <w:sz w:val="32"/>
          <w:szCs w:val="32"/>
        </w:rPr>
        <w:t>22</w:t>
      </w:r>
      <w:r>
        <w:rPr>
          <w:rFonts w:hint="default" w:ascii="仿宋_GB2312" w:hAnsi="仿宋_GB2312" w:eastAsia="仿宋_GB2312" w:cs="Calibri"/>
          <w:color w:val="auto"/>
          <w:kern w:val="0"/>
          <w:sz w:val="32"/>
          <w:szCs w:val="32"/>
        </w:rPr>
        <w:t>.</w:t>
      </w:r>
      <w:r>
        <w:rPr>
          <w:rFonts w:hint="default" w:ascii="Times New Roman" w:hAnsi="Times New Roman" w:eastAsia="仿宋_GB2312" w:cs="Times New Roman"/>
          <w:color w:val="auto"/>
          <w:kern w:val="0"/>
          <w:sz w:val="32"/>
          <w:szCs w:val="32"/>
        </w:rPr>
        <w:t>8</w:t>
      </w:r>
      <w:r>
        <w:rPr>
          <w:rFonts w:hint="default" w:ascii="Times New Roman" w:hAnsi="Times New Roman" w:eastAsia="仿宋_GB2312" w:cs="Times New Roman"/>
          <w:color w:val="auto"/>
          <w:kern w:val="0"/>
          <w:sz w:val="32"/>
          <w:szCs w:val="32"/>
          <w:lang w:val="en-US" w:eastAsia="zh-CN"/>
        </w:rPr>
        <w:t>0</w:t>
      </w:r>
      <w:r>
        <w:rPr>
          <w:rFonts w:hint="default" w:ascii="仿宋_GB2312" w:hAnsi="仿宋_GB2312" w:eastAsia="仿宋_GB2312" w:cs="Calibri"/>
          <w:color w:val="auto"/>
          <w:kern w:val="0"/>
          <w:sz w:val="32"/>
          <w:szCs w:val="32"/>
        </w:rPr>
        <w:t>万套（间），实施发放租赁补贴超</w:t>
      </w:r>
      <w:r>
        <w:rPr>
          <w:rFonts w:hint="default" w:ascii="Times New Roman" w:hAnsi="Times New Roman" w:eastAsia="仿宋_GB2312" w:cs="Times New Roman"/>
          <w:color w:val="auto"/>
          <w:kern w:val="0"/>
          <w:sz w:val="32"/>
          <w:szCs w:val="32"/>
        </w:rPr>
        <w:t>6</w:t>
      </w:r>
      <w:r>
        <w:rPr>
          <w:rFonts w:hint="default" w:ascii="仿宋_GB2312" w:hAnsi="仿宋_GB2312" w:eastAsia="仿宋_GB2312" w:cs="Calibri"/>
          <w:color w:val="auto"/>
          <w:kern w:val="0"/>
          <w:sz w:val="32"/>
          <w:szCs w:val="32"/>
        </w:rPr>
        <w:t>万户，提前超额完成住房保障各项目标任务。</w:t>
      </w:r>
      <w:r>
        <w:rPr>
          <w:rFonts w:hint="eastAsia" w:ascii="仿宋_GB2312" w:hAnsi="仿宋_GB2312" w:eastAsia="仿宋_GB2312" w:cs="Calibri"/>
          <w:b/>
          <w:bCs/>
          <w:color w:val="auto"/>
          <w:kern w:val="0"/>
          <w:sz w:val="32"/>
          <w:szCs w:val="32"/>
          <w:lang w:val="en-US" w:eastAsia="zh-CN"/>
        </w:rPr>
        <w:t>二是</w:t>
      </w:r>
      <w:r>
        <w:rPr>
          <w:rFonts w:hint="default" w:ascii="仿宋_GB2312" w:hAnsi="仿宋_GB2312" w:eastAsia="仿宋_GB2312" w:cs="Calibri"/>
          <w:color w:val="auto"/>
          <w:kern w:val="0"/>
          <w:sz w:val="32"/>
          <w:szCs w:val="32"/>
        </w:rPr>
        <w:t>有序推进配售型保障房建设</w:t>
      </w:r>
      <w:r>
        <w:rPr>
          <w:rFonts w:hint="eastAsia" w:ascii="仿宋_GB2312" w:hAnsi="仿宋_GB2312" w:eastAsia="仿宋_GB2312" w:cs="Calibri"/>
          <w:color w:val="auto"/>
          <w:kern w:val="0"/>
          <w:sz w:val="32"/>
          <w:szCs w:val="32"/>
          <w:lang w:eastAsia="zh-CN"/>
        </w:rPr>
        <w:t>。</w:t>
      </w:r>
      <w:r>
        <w:rPr>
          <w:rFonts w:hint="default" w:ascii="仿宋_GB2312" w:hAnsi="仿宋_GB2312" w:eastAsia="仿宋_GB2312" w:cs="Calibri"/>
          <w:color w:val="auto"/>
          <w:kern w:val="0"/>
          <w:sz w:val="32"/>
          <w:szCs w:val="32"/>
        </w:rPr>
        <w:t>广州</w:t>
      </w:r>
      <w:r>
        <w:rPr>
          <w:rFonts w:hint="eastAsia" w:ascii="仿宋_GB2312" w:hAnsi="仿宋_GB2312" w:eastAsia="仿宋_GB2312" w:cs="Calibri"/>
          <w:color w:val="auto"/>
          <w:kern w:val="0"/>
          <w:sz w:val="32"/>
          <w:szCs w:val="32"/>
          <w:lang w:eastAsia="zh-CN"/>
        </w:rPr>
        <w:t>、</w:t>
      </w:r>
      <w:r>
        <w:rPr>
          <w:rFonts w:hint="eastAsia" w:ascii="仿宋_GB2312" w:hAnsi="仿宋_GB2312" w:eastAsia="仿宋_GB2312" w:cs="Calibri"/>
          <w:color w:val="auto"/>
          <w:kern w:val="0"/>
          <w:sz w:val="32"/>
          <w:szCs w:val="32"/>
        </w:rPr>
        <w:t>佛山、东莞、珠海、惠州</w:t>
      </w:r>
      <w:r>
        <w:rPr>
          <w:rFonts w:hint="default" w:ascii="仿宋_GB2312" w:hAnsi="仿宋_GB2312" w:eastAsia="仿宋_GB2312" w:cs="Calibri"/>
          <w:color w:val="auto"/>
          <w:kern w:val="0"/>
          <w:sz w:val="32"/>
          <w:szCs w:val="32"/>
        </w:rPr>
        <w:t>等</w:t>
      </w:r>
      <w:r>
        <w:rPr>
          <w:rFonts w:hint="default" w:ascii="Times New Roman" w:hAnsi="Times New Roman" w:eastAsia="仿宋_GB2312" w:cs="Times New Roman"/>
          <w:color w:val="auto"/>
          <w:kern w:val="0"/>
          <w:sz w:val="32"/>
          <w:szCs w:val="32"/>
        </w:rPr>
        <w:t>6</w:t>
      </w:r>
      <w:r>
        <w:rPr>
          <w:rFonts w:hint="eastAsia" w:ascii="Times New Roman" w:hAnsi="Times New Roman" w:eastAsia="仿宋_GB2312" w:cs="Times New Roman"/>
          <w:color w:val="auto"/>
          <w:kern w:val="0"/>
          <w:sz w:val="32"/>
          <w:szCs w:val="32"/>
          <w:lang w:val="en-US" w:eastAsia="zh-CN"/>
        </w:rPr>
        <w:t>个</w:t>
      </w:r>
      <w:r>
        <w:rPr>
          <w:rFonts w:hint="default" w:ascii="仿宋_GB2312" w:hAnsi="仿宋_GB2312" w:eastAsia="仿宋_GB2312" w:cs="Calibri"/>
          <w:color w:val="auto"/>
          <w:kern w:val="0"/>
          <w:sz w:val="32"/>
          <w:szCs w:val="32"/>
        </w:rPr>
        <w:t>城</w:t>
      </w:r>
      <w:r>
        <w:rPr>
          <w:rFonts w:hint="eastAsia" w:ascii="仿宋_GB2312" w:hAnsi="仿宋_GB2312" w:eastAsia="仿宋_GB2312" w:cs="Calibri"/>
          <w:color w:val="auto"/>
          <w:kern w:val="0"/>
          <w:sz w:val="32"/>
          <w:szCs w:val="32"/>
          <w:lang w:val="en-US" w:eastAsia="zh-CN"/>
        </w:rPr>
        <w:t>市</w:t>
      </w:r>
      <w:r>
        <w:rPr>
          <w:rFonts w:hint="default" w:ascii="仿宋_GB2312" w:hAnsi="仿宋_GB2312" w:eastAsia="仿宋_GB2312" w:cs="Calibri"/>
          <w:color w:val="auto"/>
          <w:kern w:val="0"/>
          <w:sz w:val="32"/>
          <w:szCs w:val="32"/>
        </w:rPr>
        <w:t>已有配售型保障性住房项目落地开工且进度良好。省、市两级成立工作专班统筹，相关城市正研究出台实施方案及配套政策，如广州已印发管理办法</w:t>
      </w:r>
      <w:r>
        <w:rPr>
          <w:rFonts w:hint="eastAsia" w:ascii="仿宋_GB2312" w:hAnsi="仿宋_GB2312" w:eastAsia="仿宋_GB2312" w:cs="Calibri"/>
          <w:color w:val="auto"/>
          <w:kern w:val="0"/>
          <w:sz w:val="32"/>
          <w:szCs w:val="32"/>
          <w:lang w:eastAsia="zh-CN"/>
        </w:rPr>
        <w:t>，</w:t>
      </w:r>
      <w:r>
        <w:rPr>
          <w:rFonts w:hint="default" w:ascii="仿宋_GB2312" w:hAnsi="仿宋_GB2312" w:eastAsia="仿宋_GB2312" w:cs="Calibri"/>
          <w:color w:val="auto"/>
          <w:kern w:val="0"/>
          <w:sz w:val="32"/>
          <w:szCs w:val="32"/>
        </w:rPr>
        <w:t>形成了项目滚动推进机制。</w:t>
      </w:r>
      <w:r>
        <w:rPr>
          <w:rFonts w:hint="eastAsia" w:ascii="仿宋_GB2312" w:hAnsi="仿宋_GB2312" w:eastAsia="仿宋_GB2312" w:cs="Calibri"/>
          <w:b/>
          <w:bCs/>
          <w:color w:val="auto"/>
          <w:kern w:val="0"/>
          <w:sz w:val="32"/>
          <w:szCs w:val="32"/>
          <w:lang w:val="en-US" w:eastAsia="zh-CN"/>
        </w:rPr>
        <w:t>三是</w:t>
      </w:r>
      <w:r>
        <w:rPr>
          <w:rFonts w:hint="default" w:ascii="仿宋_GB2312" w:hAnsi="仿宋_GB2312" w:eastAsia="仿宋_GB2312" w:cs="Calibri"/>
          <w:color w:val="auto"/>
          <w:kern w:val="0"/>
          <w:sz w:val="32"/>
          <w:szCs w:val="32"/>
        </w:rPr>
        <w:t>大力发展保障性租赁住房</w:t>
      </w:r>
      <w:r>
        <w:rPr>
          <w:rFonts w:hint="eastAsia" w:ascii="仿宋_GB2312" w:hAnsi="仿宋_GB2312" w:eastAsia="仿宋_GB2312" w:cs="Calibri"/>
          <w:color w:val="auto"/>
          <w:kern w:val="0"/>
          <w:sz w:val="32"/>
          <w:szCs w:val="32"/>
          <w:lang w:eastAsia="zh-CN"/>
        </w:rPr>
        <w:t>。</w:t>
      </w:r>
      <w:r>
        <w:rPr>
          <w:rFonts w:hint="default" w:ascii="Times New Roman" w:hAnsi="Times New Roman" w:eastAsia="仿宋_GB2312" w:cs="Times New Roman"/>
          <w:color w:val="auto"/>
          <w:kern w:val="0"/>
          <w:sz w:val="32"/>
          <w:szCs w:val="32"/>
        </w:rPr>
        <w:t>2024</w:t>
      </w:r>
      <w:r>
        <w:rPr>
          <w:rFonts w:hint="default" w:ascii="仿宋_GB2312" w:hAnsi="仿宋_GB2312" w:eastAsia="仿宋_GB2312" w:cs="Calibri"/>
          <w:color w:val="auto"/>
          <w:kern w:val="0"/>
          <w:sz w:val="32"/>
          <w:szCs w:val="32"/>
        </w:rPr>
        <w:t>年</w:t>
      </w:r>
      <w:r>
        <w:rPr>
          <w:rFonts w:hint="eastAsia" w:ascii="仿宋_GB2312" w:hAnsi="仿宋_GB2312" w:eastAsia="仿宋_GB2312" w:cs="Calibri"/>
          <w:color w:val="auto"/>
          <w:kern w:val="0"/>
          <w:sz w:val="32"/>
          <w:szCs w:val="32"/>
          <w:lang w:val="en-US" w:eastAsia="zh-CN"/>
        </w:rPr>
        <w:t>除深圳外全省</w:t>
      </w:r>
      <w:r>
        <w:rPr>
          <w:rFonts w:hint="default" w:ascii="仿宋_GB2312" w:hAnsi="仿宋_GB2312" w:eastAsia="仿宋_GB2312" w:cs="Calibri"/>
          <w:color w:val="auto"/>
          <w:kern w:val="0"/>
          <w:sz w:val="32"/>
          <w:szCs w:val="32"/>
        </w:rPr>
        <w:t>计划新增不少于</w:t>
      </w:r>
      <w:r>
        <w:rPr>
          <w:rFonts w:hint="default" w:ascii="Times New Roman" w:hAnsi="Times New Roman" w:eastAsia="仿宋_GB2312" w:cs="Times New Roman"/>
          <w:color w:val="auto"/>
          <w:kern w:val="0"/>
          <w:sz w:val="32"/>
          <w:szCs w:val="32"/>
          <w:lang w:val="en-US" w:eastAsia="zh-CN"/>
        </w:rPr>
        <w:t>16</w:t>
      </w:r>
      <w:r>
        <w:rPr>
          <w:rFonts w:hint="eastAsia" w:ascii="仿宋_GB2312" w:hAnsi="仿宋_GB2312" w:eastAsia="仿宋_GB2312" w:cs="Calibri"/>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96</w:t>
      </w:r>
      <w:r>
        <w:rPr>
          <w:rFonts w:hint="default" w:ascii="仿宋_GB2312" w:hAnsi="仿宋_GB2312" w:eastAsia="仿宋_GB2312" w:cs="Calibri"/>
          <w:color w:val="auto"/>
          <w:kern w:val="0"/>
          <w:sz w:val="32"/>
          <w:szCs w:val="32"/>
        </w:rPr>
        <w:t>万套（间），</w:t>
      </w:r>
      <w:r>
        <w:rPr>
          <w:rFonts w:hint="default" w:ascii="Times New Roman" w:hAnsi="Times New Roman" w:eastAsia="仿宋_GB2312" w:cs="Times New Roman"/>
          <w:color w:val="auto"/>
          <w:kern w:val="0"/>
          <w:sz w:val="32"/>
          <w:szCs w:val="32"/>
        </w:rPr>
        <w:t>10</w:t>
      </w:r>
      <w:r>
        <w:rPr>
          <w:rFonts w:hint="default" w:ascii="仿宋_GB2312" w:hAnsi="仿宋_GB2312" w:eastAsia="仿宋_GB2312" w:cs="Calibri"/>
          <w:color w:val="auto"/>
          <w:kern w:val="0"/>
          <w:sz w:val="32"/>
          <w:szCs w:val="32"/>
        </w:rPr>
        <w:t>个重点城市完善政策措施、优化服务，鼓励多方参与建设。“十四五”规划实施以来，已筹集建设超</w:t>
      </w:r>
      <w:r>
        <w:rPr>
          <w:rFonts w:hint="default" w:ascii="Times New Roman" w:hAnsi="Times New Roman" w:eastAsia="仿宋_GB2312" w:cs="Times New Roman"/>
          <w:color w:val="auto"/>
          <w:kern w:val="0"/>
          <w:sz w:val="32"/>
          <w:szCs w:val="32"/>
        </w:rPr>
        <w:t>109</w:t>
      </w:r>
      <w:r>
        <w:rPr>
          <w:rFonts w:hint="default" w:ascii="仿宋_GB2312" w:hAnsi="仿宋_GB2312" w:eastAsia="仿宋_GB2312" w:cs="Calibri"/>
          <w:color w:val="auto"/>
          <w:kern w:val="0"/>
          <w:sz w:val="32"/>
          <w:szCs w:val="32"/>
        </w:rPr>
        <w:t>万套（间），完成目标总量的</w:t>
      </w:r>
      <w:r>
        <w:rPr>
          <w:rFonts w:hint="default" w:ascii="Times New Roman" w:hAnsi="Times New Roman" w:eastAsia="仿宋_GB2312" w:cs="Times New Roman"/>
          <w:color w:val="auto"/>
          <w:kern w:val="0"/>
          <w:sz w:val="32"/>
          <w:szCs w:val="32"/>
        </w:rPr>
        <w:t>84</w:t>
      </w:r>
      <w:r>
        <w:rPr>
          <w:rFonts w:hint="default" w:ascii="仿宋_GB2312" w:hAnsi="仿宋_GB2312" w:eastAsia="仿宋_GB2312" w:cs="Calibri"/>
          <w:color w:val="auto"/>
          <w:kern w:val="0"/>
          <w:sz w:val="32"/>
          <w:szCs w:val="32"/>
        </w:rPr>
        <w:t>%。</w:t>
      </w:r>
      <w:r>
        <w:rPr>
          <w:rFonts w:hint="eastAsia" w:ascii="仿宋_GB2312" w:hAnsi="仿宋_GB2312" w:eastAsia="仿宋_GB2312" w:cs="Calibri"/>
          <w:b/>
          <w:bCs/>
          <w:color w:val="auto"/>
          <w:kern w:val="0"/>
          <w:sz w:val="32"/>
          <w:szCs w:val="32"/>
          <w:lang w:val="en-US" w:eastAsia="zh-CN"/>
        </w:rPr>
        <w:t>四是</w:t>
      </w:r>
      <w:r>
        <w:rPr>
          <w:rFonts w:hint="eastAsia" w:ascii="仿宋_GB2312" w:hAnsi="仿宋_GB2312" w:eastAsia="仿宋_GB2312" w:cs="Calibri"/>
          <w:color w:val="auto"/>
          <w:kern w:val="0"/>
          <w:sz w:val="32"/>
          <w:szCs w:val="32"/>
          <w:lang w:val="en-US" w:eastAsia="zh-CN"/>
        </w:rPr>
        <w:t>开</w:t>
      </w:r>
      <w:r>
        <w:rPr>
          <w:rFonts w:hint="default" w:ascii="仿宋_GB2312" w:hAnsi="仿宋_GB2312" w:eastAsia="仿宋_GB2312" w:cs="Calibri"/>
          <w:color w:val="auto"/>
          <w:kern w:val="0"/>
          <w:sz w:val="32"/>
          <w:szCs w:val="32"/>
        </w:rPr>
        <w:t>展存量商品房收购工作</w:t>
      </w:r>
      <w:r>
        <w:rPr>
          <w:rFonts w:hint="eastAsia" w:ascii="仿宋_GB2312" w:hAnsi="仿宋_GB2312" w:eastAsia="仿宋_GB2312" w:cs="Calibri"/>
          <w:color w:val="auto"/>
          <w:kern w:val="0"/>
          <w:sz w:val="32"/>
          <w:szCs w:val="32"/>
          <w:lang w:eastAsia="zh-CN"/>
        </w:rPr>
        <w:t>。</w:t>
      </w:r>
      <w:r>
        <w:rPr>
          <w:rFonts w:hint="default" w:ascii="Times New Roman" w:hAnsi="Times New Roman" w:eastAsia="仿宋_GB2312" w:cs="Times New Roman"/>
          <w:color w:val="auto"/>
          <w:kern w:val="0"/>
          <w:sz w:val="32"/>
          <w:szCs w:val="32"/>
        </w:rPr>
        <w:t>2024</w:t>
      </w:r>
      <w:r>
        <w:rPr>
          <w:rFonts w:hint="default" w:ascii="仿宋_GB2312" w:hAnsi="仿宋_GB2312" w:eastAsia="仿宋_GB2312" w:cs="Calibri"/>
          <w:color w:val="auto"/>
          <w:kern w:val="0"/>
          <w:sz w:val="32"/>
          <w:szCs w:val="32"/>
        </w:rPr>
        <w:t>年组织开展收购已建成存量商品房用作保障性住房工作，惠州、江门等</w:t>
      </w:r>
      <w:r>
        <w:rPr>
          <w:rFonts w:hint="default" w:ascii="Times New Roman" w:hAnsi="Times New Roman" w:eastAsia="仿宋_GB2312" w:cs="Times New Roman"/>
          <w:color w:val="auto"/>
          <w:kern w:val="0"/>
          <w:sz w:val="32"/>
          <w:szCs w:val="32"/>
        </w:rPr>
        <w:t>8</w:t>
      </w:r>
      <w:r>
        <w:rPr>
          <w:rFonts w:hint="default" w:ascii="仿宋_GB2312" w:hAnsi="仿宋_GB2312" w:eastAsia="仿宋_GB2312" w:cs="Calibri"/>
          <w:color w:val="auto"/>
          <w:kern w:val="0"/>
          <w:sz w:val="32"/>
          <w:szCs w:val="32"/>
        </w:rPr>
        <w:t>个城市发布征集公告，部分城市已有项目报名。这些举措有力缓解了城镇中低收入家庭、新市民、青年人和工薪阶层等群体住房困难，</w:t>
      </w:r>
      <w:r>
        <w:rPr>
          <w:rFonts w:hint="eastAsia" w:ascii="仿宋_GB2312" w:hAnsi="仿宋_GB2312" w:eastAsia="仿宋_GB2312" w:cs="Calibri"/>
          <w:color w:val="auto"/>
          <w:kern w:val="0"/>
          <w:sz w:val="32"/>
          <w:szCs w:val="32"/>
          <w:lang w:eastAsia="zh-CN"/>
        </w:rPr>
        <w:t>保障和改善民生</w:t>
      </w:r>
      <w:r>
        <w:rPr>
          <w:rFonts w:hint="default" w:ascii="仿宋_GB2312" w:hAnsi="仿宋_GB2312" w:eastAsia="仿宋_GB2312" w:cs="Calibri"/>
          <w:color w:val="auto"/>
          <w:kern w:val="0"/>
          <w:sz w:val="32"/>
          <w:szCs w:val="32"/>
        </w:rPr>
        <w:t>，推动构建房地产发展新模式。</w:t>
      </w:r>
    </w:p>
    <w:p w14:paraId="7DECDDA4">
      <w:pPr>
        <w:numPr>
          <w:ilvl w:val="0"/>
          <w:numId w:val="3"/>
        </w:numPr>
        <w:adjustRightInd w:val="0"/>
        <w:snapToGrid w:val="0"/>
        <w:spacing w:line="360" w:lineRule="auto"/>
        <w:ind w:firstLine="640" w:firstLineChars="200"/>
        <w:rPr>
          <w:rFonts w:hint="default"/>
          <w:color w:val="auto"/>
          <w:lang w:val="en-US" w:eastAsia="zh-CN"/>
        </w:rPr>
      </w:pPr>
      <w:r>
        <w:rPr>
          <w:rFonts w:hint="eastAsia" w:ascii="仿宋_GB2312" w:hAnsi="仿宋_GB2312" w:eastAsia="仿宋_GB2312" w:cs="Calibri"/>
          <w:color w:val="auto"/>
          <w:kern w:val="0"/>
          <w:sz w:val="32"/>
          <w:szCs w:val="32"/>
          <w:lang w:val="en-US" w:eastAsia="zh-CN"/>
        </w:rPr>
        <w:t>城市危旧房摸底调查前期工作、城市危旧房摸底调查鉴定工作。</w:t>
      </w:r>
      <w:r>
        <w:rPr>
          <w:rFonts w:hint="eastAsia" w:ascii="仿宋_GB2312" w:hAnsi="仿宋_GB2312" w:eastAsia="仿宋_GB2312" w:cs="Calibri"/>
          <w:b/>
          <w:bCs/>
          <w:color w:val="auto"/>
          <w:kern w:val="0"/>
          <w:sz w:val="32"/>
          <w:szCs w:val="32"/>
          <w:lang w:val="en-US" w:eastAsia="zh-CN"/>
        </w:rPr>
        <w:t>一是</w:t>
      </w:r>
      <w:r>
        <w:rPr>
          <w:rFonts w:hint="eastAsia" w:ascii="仿宋_GB2312" w:hAnsi="仿宋_GB2312" w:eastAsia="仿宋_GB2312" w:cs="Calibri"/>
          <w:color w:val="auto"/>
          <w:kern w:val="0"/>
          <w:sz w:val="32"/>
          <w:szCs w:val="32"/>
          <w:lang w:val="en-US" w:eastAsia="zh-CN"/>
        </w:rPr>
        <w:t>完成摸底调查任务。大部分地市均按要求完成了城市危旧房摸底调查工作。城市危旧房摸底调查</w:t>
      </w:r>
      <w:r>
        <w:rPr>
          <w:rFonts w:hint="default" w:ascii="Times New Roman" w:hAnsi="Times New Roman" w:eastAsia="仿宋_GB2312" w:cs="Times New Roman"/>
          <w:color w:val="auto"/>
          <w:kern w:val="0"/>
          <w:sz w:val="32"/>
          <w:szCs w:val="32"/>
          <w:lang w:val="en-US" w:eastAsia="zh-CN"/>
        </w:rPr>
        <w:t>9</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206</w:t>
      </w:r>
      <w:r>
        <w:rPr>
          <w:rFonts w:hint="eastAsia" w:ascii="Times New Roman" w:hAnsi="Times New Roman" w:eastAsia="仿宋_GB2312" w:cs="Times New Roman"/>
          <w:color w:val="auto"/>
          <w:kern w:val="0"/>
          <w:sz w:val="32"/>
          <w:szCs w:val="32"/>
          <w:lang w:val="en-US" w:eastAsia="zh-CN"/>
        </w:rPr>
        <w:t>栋</w:t>
      </w:r>
      <w:r>
        <w:rPr>
          <w:rFonts w:hint="eastAsia" w:ascii="仿宋_GB2312" w:hAnsi="仿宋_GB2312" w:eastAsia="仿宋_GB2312" w:cs="Calibri"/>
          <w:color w:val="auto"/>
          <w:kern w:val="0"/>
          <w:sz w:val="32"/>
          <w:szCs w:val="32"/>
          <w:lang w:val="en-US" w:eastAsia="zh-CN"/>
        </w:rPr>
        <w:t>、城市危旧房鉴定栋数</w:t>
      </w:r>
      <w:r>
        <w:rPr>
          <w:rFonts w:hint="default" w:ascii="Times New Roman" w:hAnsi="Times New Roman" w:eastAsia="仿宋_GB2312" w:cs="Times New Roman"/>
          <w:color w:val="auto"/>
          <w:kern w:val="0"/>
          <w:sz w:val="32"/>
          <w:szCs w:val="32"/>
          <w:lang w:val="en-US" w:eastAsia="zh-CN"/>
        </w:rPr>
        <w:t>505</w:t>
      </w:r>
      <w:r>
        <w:rPr>
          <w:rFonts w:hint="eastAsia" w:ascii="仿宋_GB2312" w:hAnsi="仿宋_GB2312" w:eastAsia="仿宋_GB2312" w:cs="Calibri"/>
          <w:color w:val="auto"/>
          <w:kern w:val="0"/>
          <w:sz w:val="32"/>
          <w:szCs w:val="32"/>
          <w:lang w:val="en-US" w:eastAsia="zh-CN"/>
        </w:rPr>
        <w:t>栋、城市危旧房安全鉴定面积</w:t>
      </w:r>
      <w:r>
        <w:rPr>
          <w:rFonts w:hint="default" w:ascii="Times New Roman" w:hAnsi="Times New Roman" w:eastAsia="仿宋_GB2312" w:cs="Times New Roman"/>
          <w:color w:val="auto"/>
          <w:kern w:val="0"/>
          <w:sz w:val="32"/>
          <w:szCs w:val="32"/>
          <w:lang w:val="en-US" w:eastAsia="zh-CN"/>
        </w:rPr>
        <w:t>203</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792</w:t>
      </w:r>
      <w:r>
        <w:rPr>
          <w:rFonts w:hint="eastAsia" w:ascii="Times New Roman" w:hAnsi="Times New Roman" w:eastAsia="仿宋_GB2312" w:cs="Times New Roman"/>
          <w:color w:val="auto"/>
          <w:kern w:val="0"/>
          <w:sz w:val="32"/>
          <w:szCs w:val="32"/>
          <w:lang w:val="en-US" w:eastAsia="zh-CN"/>
        </w:rPr>
        <w:t>平</w:t>
      </w:r>
      <w:r>
        <w:rPr>
          <w:rFonts w:hint="eastAsia" w:ascii="仿宋_GB2312" w:hAnsi="仿宋_GB2312" w:eastAsia="仿宋_GB2312" w:cs="Calibri"/>
          <w:color w:val="auto"/>
          <w:kern w:val="0"/>
          <w:sz w:val="32"/>
          <w:szCs w:val="32"/>
          <w:lang w:val="en-US" w:eastAsia="zh-CN"/>
        </w:rPr>
        <w:t>方米、排查为疑似危旧房的共</w:t>
      </w:r>
      <w:r>
        <w:rPr>
          <w:rFonts w:hint="default" w:ascii="Times New Roman" w:hAnsi="Times New Roman" w:eastAsia="仿宋_GB2312" w:cs="Times New Roman"/>
          <w:color w:val="auto"/>
          <w:kern w:val="0"/>
          <w:sz w:val="32"/>
          <w:szCs w:val="32"/>
          <w:lang w:val="en-US" w:eastAsia="zh-CN"/>
        </w:rPr>
        <w:t>3</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520</w:t>
      </w:r>
      <w:r>
        <w:rPr>
          <w:rFonts w:hint="eastAsia" w:ascii="Times New Roman" w:hAnsi="Times New Roman" w:eastAsia="仿宋_GB2312" w:cs="Times New Roman"/>
          <w:color w:val="auto"/>
          <w:kern w:val="0"/>
          <w:sz w:val="32"/>
          <w:szCs w:val="32"/>
          <w:lang w:val="en-US" w:eastAsia="zh-CN"/>
        </w:rPr>
        <w:t>栋</w:t>
      </w:r>
      <w:r>
        <w:rPr>
          <w:rFonts w:hint="eastAsia" w:ascii="仿宋_GB2312" w:hAnsi="仿宋_GB2312" w:eastAsia="仿宋_GB2312" w:cs="Calibri"/>
          <w:color w:val="auto"/>
          <w:kern w:val="0"/>
          <w:sz w:val="32"/>
          <w:szCs w:val="32"/>
          <w:lang w:val="en-US" w:eastAsia="zh-CN"/>
        </w:rPr>
        <w:t>，市级抽查</w:t>
      </w:r>
      <w:r>
        <w:rPr>
          <w:rFonts w:hint="default"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549</w:t>
      </w:r>
      <w:r>
        <w:rPr>
          <w:rFonts w:hint="eastAsia" w:ascii="Times New Roman" w:hAnsi="Times New Roman" w:eastAsia="仿宋_GB2312" w:cs="Times New Roman"/>
          <w:color w:val="auto"/>
          <w:kern w:val="0"/>
          <w:sz w:val="32"/>
          <w:szCs w:val="32"/>
          <w:lang w:val="en-US" w:eastAsia="zh-CN"/>
        </w:rPr>
        <w:t>栋</w:t>
      </w:r>
      <w:r>
        <w:rPr>
          <w:rFonts w:hint="eastAsia" w:ascii="仿宋_GB2312" w:hAnsi="仿宋_GB2312" w:eastAsia="仿宋_GB2312" w:cs="Calibri"/>
          <w:color w:val="auto"/>
          <w:kern w:val="0"/>
          <w:sz w:val="32"/>
          <w:szCs w:val="32"/>
          <w:lang w:val="en-US" w:eastAsia="zh-CN"/>
        </w:rPr>
        <w:t>，占摸底调查栋数的</w:t>
      </w:r>
      <w:r>
        <w:rPr>
          <w:rFonts w:hint="default" w:ascii="Times New Roman" w:hAnsi="Times New Roman" w:eastAsia="仿宋_GB2312" w:cs="Times New Roman"/>
          <w:color w:val="auto"/>
          <w:kern w:val="0"/>
          <w:sz w:val="32"/>
          <w:szCs w:val="32"/>
          <w:lang w:val="en-US" w:eastAsia="zh-CN"/>
        </w:rPr>
        <w:t>16</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83</w:t>
      </w:r>
      <w:r>
        <w:rPr>
          <w:rFonts w:hint="eastAsia" w:ascii="仿宋_GB2312" w:hAnsi="仿宋_GB2312" w:eastAsia="仿宋_GB2312" w:cs="Calibri"/>
          <w:color w:val="auto"/>
          <w:kern w:val="0"/>
          <w:sz w:val="32"/>
          <w:szCs w:val="32"/>
          <w:lang w:val="en-US" w:eastAsia="zh-CN"/>
        </w:rPr>
        <w:t>%；通过鉴定，危旧房通过危险性房屋鉴定为C、D级(栋)的有</w:t>
      </w:r>
      <w:r>
        <w:rPr>
          <w:rFonts w:hint="default" w:ascii="Times New Roman" w:hAnsi="Times New Roman" w:eastAsia="仿宋_GB2312" w:cs="Times New Roman"/>
          <w:color w:val="auto"/>
          <w:kern w:val="0"/>
          <w:sz w:val="32"/>
          <w:szCs w:val="32"/>
          <w:lang w:val="en-US" w:eastAsia="zh-CN"/>
        </w:rPr>
        <w:t>522</w:t>
      </w:r>
      <w:r>
        <w:rPr>
          <w:rFonts w:hint="eastAsia" w:ascii="仿宋_GB2312" w:hAnsi="仿宋_GB2312" w:eastAsia="仿宋_GB2312" w:cs="Calibri"/>
          <w:color w:val="auto"/>
          <w:kern w:val="0"/>
          <w:sz w:val="32"/>
          <w:szCs w:val="32"/>
          <w:lang w:val="en-US" w:eastAsia="zh-CN"/>
        </w:rPr>
        <w:t>栋。</w:t>
      </w:r>
      <w:r>
        <w:rPr>
          <w:rFonts w:hint="eastAsia" w:ascii="仿宋_GB2312" w:hAnsi="仿宋_GB2312" w:eastAsia="仿宋_GB2312" w:cs="Calibri"/>
          <w:b/>
          <w:bCs/>
          <w:color w:val="auto"/>
          <w:kern w:val="0"/>
          <w:sz w:val="32"/>
          <w:szCs w:val="32"/>
          <w:lang w:val="en-US" w:eastAsia="zh-CN"/>
        </w:rPr>
        <w:t>二是</w:t>
      </w:r>
      <w:r>
        <w:rPr>
          <w:rFonts w:hint="eastAsia" w:ascii="仿宋_GB2312" w:hAnsi="仿宋_GB2312" w:eastAsia="仿宋_GB2312" w:cs="Calibri"/>
          <w:color w:val="auto"/>
          <w:kern w:val="0"/>
          <w:sz w:val="32"/>
          <w:szCs w:val="32"/>
          <w:lang w:val="en-US" w:eastAsia="zh-CN"/>
        </w:rPr>
        <w:t>保障群众安全与普及知识。相关市县在摸底调查过程中采取多种措施消除安全隐患，保障人民群众生命财产安全，同时通过多种形式宣传普及危旧房知识，同步落实属地管理责任等，强化危险住房管控和整治。</w:t>
      </w:r>
    </w:p>
    <w:p w14:paraId="4E586694">
      <w:pPr>
        <w:numPr>
          <w:ilvl w:val="0"/>
          <w:numId w:val="3"/>
        </w:numPr>
        <w:adjustRightInd w:val="0"/>
        <w:snapToGrid w:val="0"/>
        <w:spacing w:line="360" w:lineRule="auto"/>
        <w:ind w:firstLine="640" w:firstLineChars="200"/>
        <w:rPr>
          <w:rFonts w:hint="eastAsia"/>
          <w:color w:val="auto"/>
        </w:rPr>
      </w:pPr>
      <w:r>
        <w:rPr>
          <w:rFonts w:hint="default" w:ascii="Times New Roman" w:hAnsi="Times New Roman" w:eastAsia="仿宋_GB2312" w:cs="Times New Roman"/>
          <w:b w:val="0"/>
          <w:bCs w:val="0"/>
          <w:color w:val="auto"/>
          <w:kern w:val="2"/>
          <w:sz w:val="32"/>
          <w:szCs w:val="32"/>
          <w:lang w:val="en-US" w:eastAsia="zh-CN" w:bidi="ar-SA"/>
        </w:rPr>
        <w:t>自</w:t>
      </w:r>
      <w:r>
        <w:rPr>
          <w:rFonts w:hint="default" w:ascii="仿宋_GB2312" w:hAnsi="仿宋_GB2312" w:eastAsia="仿宋_GB2312" w:cs="Calibri"/>
          <w:color w:val="auto"/>
          <w:kern w:val="0"/>
          <w:sz w:val="32"/>
          <w:szCs w:val="32"/>
          <w:lang w:val="en-US" w:eastAsia="zh-CN"/>
        </w:rPr>
        <w:t>建房安全专项整治</w:t>
      </w:r>
      <w:r>
        <w:rPr>
          <w:rFonts w:hint="eastAsia" w:ascii="仿宋_GB2312" w:hAnsi="仿宋_GB2312" w:eastAsia="仿宋_GB2312" w:cs="Calibri"/>
          <w:color w:val="auto"/>
          <w:kern w:val="0"/>
          <w:sz w:val="32"/>
          <w:szCs w:val="32"/>
          <w:lang w:val="en-US" w:eastAsia="zh-CN"/>
        </w:rPr>
        <w:t>。</w:t>
      </w:r>
      <w:r>
        <w:rPr>
          <w:rFonts w:hint="eastAsia" w:ascii="仿宋_GB2312" w:hAnsi="仿宋_GB2312" w:eastAsia="仿宋_GB2312" w:cs="Calibri"/>
          <w:b/>
          <w:bCs/>
          <w:color w:val="auto"/>
          <w:kern w:val="0"/>
          <w:sz w:val="32"/>
          <w:szCs w:val="32"/>
          <w:lang w:val="en-US" w:eastAsia="zh-CN"/>
        </w:rPr>
        <w:t>一</w:t>
      </w:r>
      <w:r>
        <w:rPr>
          <w:rFonts w:hint="default" w:ascii="仿宋_GB2312" w:hAnsi="仿宋_GB2312" w:eastAsia="仿宋_GB2312" w:cs="Calibri"/>
          <w:b/>
          <w:bCs/>
          <w:color w:val="auto"/>
          <w:kern w:val="0"/>
          <w:sz w:val="32"/>
          <w:szCs w:val="32"/>
          <w:lang w:val="en-US" w:eastAsia="zh-CN"/>
        </w:rPr>
        <w:t>是</w:t>
      </w:r>
      <w:r>
        <w:rPr>
          <w:rFonts w:hint="default" w:ascii="仿宋_GB2312" w:hAnsi="仿宋_GB2312" w:eastAsia="仿宋_GB2312" w:cs="Calibri"/>
          <w:color w:val="auto"/>
          <w:kern w:val="0"/>
          <w:sz w:val="32"/>
          <w:szCs w:val="32"/>
          <w:lang w:val="en-US" w:eastAsia="zh-CN"/>
        </w:rPr>
        <w:t>深化系统治理，实施精准整治。锚</w:t>
      </w:r>
      <w:r>
        <w:rPr>
          <w:rFonts w:hint="default" w:ascii="Times New Roman" w:hAnsi="Times New Roman" w:eastAsia="仿宋_GB2312" w:cs="Times New Roman"/>
          <w:color w:val="auto"/>
          <w:kern w:val="0"/>
          <w:sz w:val="32"/>
          <w:szCs w:val="32"/>
          <w:lang w:val="en-US" w:eastAsia="zh-CN"/>
        </w:rPr>
        <w:t>定长效目标，印发《广东省自建房安全治本攻坚三年行动实施方案（2024－2026年）》，聚焦非经营性自建房整治、经营性自建房深化治理等八大核心领域，系统推进专项整治。筑牢安全防线，联合省消防安全委员会印发相关通知，靶向施策深化自建房火灾防控工作。强化过程管控，印发巡检计划，以年度巡检推动各地构建房屋安全隐患常态化巡查机制。通过组织交叉检查、实施 “双线检查”，截至2024年底，线上累计抽查自建房 10,597 栋，线下核查1,580栋，精准发现并督促整改问题417处，并印发工作通报压实整改责任，提升整治工作质效。</w:t>
      </w:r>
      <w:r>
        <w:rPr>
          <w:rFonts w:hint="default" w:ascii="Times New Roman" w:hAnsi="Times New Roman" w:eastAsia="仿宋_GB2312" w:cs="Times New Roman"/>
          <w:b/>
          <w:bCs/>
          <w:color w:val="auto"/>
          <w:kern w:val="0"/>
          <w:sz w:val="32"/>
          <w:szCs w:val="32"/>
          <w:lang w:val="en-US" w:eastAsia="zh-CN"/>
        </w:rPr>
        <w:t>二是</w:t>
      </w:r>
      <w:r>
        <w:rPr>
          <w:rFonts w:hint="default" w:ascii="Times New Roman" w:hAnsi="Times New Roman" w:eastAsia="仿宋_GB2312" w:cs="Times New Roman"/>
          <w:color w:val="auto"/>
          <w:kern w:val="0"/>
          <w:sz w:val="32"/>
          <w:szCs w:val="32"/>
          <w:lang w:val="en-US" w:eastAsia="zh-CN"/>
        </w:rPr>
        <w:t>健全长效机制，巩固整治成果。省领导小组办公室印发工作指引，有序推进自建房安全专项整治。同时，强化从业管理，编制房屋安全鉴定报告要求及范本；加快信息化建设，搭建房屋建筑综合管理平台；开展课题研究推动制度创新突破；积极推进广州、深圳、东莞试点工作。截至2024年底，全省完成26.72万栋隐患自建房整治，销号率达98.29%，其中3.92万栋经营性自建房全部完成整治销号。</w:t>
      </w:r>
      <w:r>
        <w:rPr>
          <w:rFonts w:hint="default" w:ascii="Times New Roman" w:hAnsi="Times New Roman" w:eastAsia="仿宋_GB2312" w:cs="Times New Roman"/>
          <w:b/>
          <w:bCs/>
          <w:color w:val="auto"/>
          <w:kern w:val="0"/>
          <w:sz w:val="32"/>
          <w:szCs w:val="32"/>
          <w:lang w:val="en-US" w:eastAsia="zh-CN"/>
        </w:rPr>
        <w:t>三是</w:t>
      </w:r>
      <w:r>
        <w:rPr>
          <w:rFonts w:hint="default" w:ascii="Times New Roman" w:hAnsi="Times New Roman" w:eastAsia="仿宋_GB2312" w:cs="Times New Roman"/>
          <w:color w:val="auto"/>
          <w:kern w:val="0"/>
          <w:sz w:val="32"/>
          <w:szCs w:val="32"/>
          <w:lang w:val="en-US" w:eastAsia="zh-CN"/>
        </w:rPr>
        <w:t>加强宣传引导，凝聚共治合力。结合专家下基层帮扶行动开展现场指导与培训，通过面对面讲解、案例分析等，推动自建房所有权人落实安全主体责任，提升群</w:t>
      </w:r>
      <w:r>
        <w:rPr>
          <w:rFonts w:hint="default" w:ascii="仿宋_GB2312" w:hAnsi="仿宋_GB2312" w:eastAsia="仿宋_GB2312" w:cs="Calibri"/>
          <w:color w:val="auto"/>
          <w:kern w:val="0"/>
          <w:sz w:val="32"/>
          <w:szCs w:val="32"/>
          <w:lang w:val="en-US" w:eastAsia="zh-CN"/>
        </w:rPr>
        <w:t>众安全意识与隐患自查能力。畅通群众监督渠道，鼓励通过 “吹哨人” 等机制反馈隐患问题，形成政府主导、专家支撑、群众参与的共建共治共享格局。</w:t>
      </w:r>
    </w:p>
    <w:p w14:paraId="6609C1EA">
      <w:pPr>
        <w:numPr>
          <w:ilvl w:val="0"/>
          <w:numId w:val="3"/>
        </w:numPr>
        <w:adjustRightInd w:val="0"/>
        <w:snapToGrid w:val="0"/>
        <w:spacing w:line="360" w:lineRule="auto"/>
        <w:ind w:firstLine="640" w:firstLineChars="200"/>
        <w:rPr>
          <w:rFonts w:hint="eastAsia" w:ascii="仿宋_GB2312" w:hAnsi="仿宋_GB2312" w:eastAsia="仿宋_GB2312" w:cs="Calibri"/>
          <w:color w:val="auto"/>
          <w:kern w:val="0"/>
          <w:sz w:val="32"/>
          <w:szCs w:val="32"/>
          <w:lang w:val="en-US" w:eastAsia="zh-CN"/>
        </w:rPr>
      </w:pPr>
      <w:r>
        <w:rPr>
          <w:rFonts w:hint="eastAsia" w:ascii="仿宋_GB2312" w:hAnsi="仿宋_GB2312" w:eastAsia="仿宋_GB2312" w:cs="Calibri"/>
          <w:color w:val="auto"/>
          <w:kern w:val="0"/>
          <w:sz w:val="32"/>
          <w:szCs w:val="32"/>
          <w:lang w:val="en-US" w:eastAsia="zh-CN"/>
        </w:rPr>
        <w:t>省级工作经费。</w:t>
      </w:r>
      <w:r>
        <w:rPr>
          <w:rFonts w:hint="default" w:ascii="Times New Roman" w:hAnsi="Times New Roman" w:eastAsia="仿宋_GB2312" w:cs="Times New Roman"/>
          <w:b/>
          <w:bCs/>
          <w:color w:val="auto"/>
          <w:kern w:val="0"/>
          <w:sz w:val="32"/>
          <w:szCs w:val="32"/>
          <w:lang w:val="en-US" w:eastAsia="zh-CN"/>
        </w:rPr>
        <w:t>一是</w:t>
      </w:r>
      <w:r>
        <w:rPr>
          <w:rFonts w:hint="default" w:ascii="Times New Roman" w:hAnsi="Times New Roman" w:eastAsia="仿宋_GB2312" w:cs="Times New Roman"/>
          <w:color w:val="auto"/>
          <w:kern w:val="0"/>
          <w:sz w:val="32"/>
          <w:szCs w:val="32"/>
          <w:lang w:val="en-US" w:eastAsia="zh-CN"/>
        </w:rPr>
        <w:t>在资金使用与项目监测上，科学评估专项资金使用绩效，通过2024年度保障性安居工程实地调研核实和资金绩效评价，全面掌握项目建设情况与居民体验，确保资金合理高效利用；同时开展重点城市保障性租赁住房监测评价、示范激励技术评估等工作，有效监督项目发展，提升整体质量与管理水平。</w:t>
      </w:r>
      <w:r>
        <w:rPr>
          <w:rFonts w:hint="default" w:ascii="Times New Roman" w:hAnsi="Times New Roman" w:eastAsia="仿宋_GB2312" w:cs="Times New Roman"/>
          <w:b/>
          <w:bCs/>
          <w:color w:val="auto"/>
          <w:kern w:val="0"/>
          <w:sz w:val="32"/>
          <w:szCs w:val="32"/>
          <w:lang w:val="en-US" w:eastAsia="zh-CN"/>
        </w:rPr>
        <w:t>二是</w:t>
      </w:r>
      <w:r>
        <w:rPr>
          <w:rFonts w:hint="default" w:ascii="Times New Roman" w:hAnsi="Times New Roman" w:eastAsia="仿宋_GB2312" w:cs="Times New Roman"/>
          <w:color w:val="auto"/>
          <w:kern w:val="0"/>
          <w:sz w:val="32"/>
          <w:szCs w:val="32"/>
          <w:lang w:val="en-US" w:eastAsia="zh-CN"/>
        </w:rPr>
        <w:t>在自建房专项整治中，质检核查经费保障“双线检查”，线上抽查10,597栋、线下核查1,580 栋，整改问题417 处；综合保障工作经费落实24</w:t>
      </w:r>
      <w:r>
        <w:rPr>
          <w:rFonts w:hint="default" w:ascii="仿宋_GB2312" w:hAnsi="仿宋_GB2312" w:eastAsia="仿宋_GB2312" w:cs="Calibri"/>
          <w:color w:val="auto"/>
          <w:kern w:val="0"/>
          <w:sz w:val="32"/>
          <w:szCs w:val="32"/>
          <w:lang w:val="en-US" w:eastAsia="zh-CN"/>
        </w:rPr>
        <w:t>小时值班值守，跟进安全动态；系统技术支持服务费用加速房屋建筑综合管理平台搭建，实现管理智能化。</w:t>
      </w:r>
      <w:r>
        <w:rPr>
          <w:rFonts w:hint="eastAsia" w:ascii="仿宋_GB2312" w:hAnsi="仿宋_GB2312" w:eastAsia="仿宋_GB2312" w:cs="Calibri"/>
          <w:b/>
          <w:bCs/>
          <w:color w:val="auto"/>
          <w:kern w:val="0"/>
          <w:sz w:val="32"/>
          <w:szCs w:val="32"/>
          <w:lang w:val="en-US" w:eastAsia="zh-CN"/>
        </w:rPr>
        <w:t>三是</w:t>
      </w:r>
      <w:r>
        <w:rPr>
          <w:rFonts w:hint="default" w:ascii="仿宋_GB2312" w:hAnsi="仿宋_GB2312" w:eastAsia="仿宋_GB2312" w:cs="Calibri"/>
          <w:color w:val="auto"/>
          <w:kern w:val="0"/>
          <w:sz w:val="32"/>
          <w:szCs w:val="32"/>
          <w:lang w:val="en-US" w:eastAsia="zh-CN"/>
        </w:rPr>
        <w:t>政策研究与数据支撑方面，开展高层次人才住房支持、保障性住房专题等多项政</w:t>
      </w:r>
      <w:r>
        <w:rPr>
          <w:rFonts w:hint="default" w:ascii="Times New Roman" w:hAnsi="Times New Roman" w:eastAsia="仿宋_GB2312" w:cs="Times New Roman"/>
          <w:color w:val="auto"/>
          <w:kern w:val="0"/>
          <w:sz w:val="32"/>
          <w:szCs w:val="32"/>
          <w:lang w:val="en-US" w:eastAsia="zh-CN"/>
        </w:rPr>
        <w:t>策研究，完善保障性安居工程政策体系，满足不同群体住房需求；完成2024年保障性安居工程数据统计分析，为政策制定、项目规划等提供决策依据。在自建房领域，</w:t>
      </w:r>
      <w:r>
        <w:rPr>
          <w:rFonts w:hint="eastAsia" w:ascii="Times New Roman" w:hAnsi="Times New Roman" w:eastAsia="仿宋_GB2312" w:cs="Times New Roman"/>
          <w:color w:val="auto"/>
          <w:kern w:val="0"/>
          <w:sz w:val="32"/>
          <w:szCs w:val="32"/>
          <w:lang w:val="en-US" w:eastAsia="zh-CN"/>
        </w:rPr>
        <w:t>粤</w:t>
      </w:r>
      <w:r>
        <w:rPr>
          <w:rFonts w:hint="default" w:ascii="Times New Roman" w:hAnsi="Times New Roman" w:eastAsia="仿宋_GB2312" w:cs="Times New Roman"/>
          <w:color w:val="auto"/>
          <w:kern w:val="0"/>
          <w:sz w:val="32"/>
          <w:szCs w:val="32"/>
          <w:lang w:val="en-US" w:eastAsia="zh-CN"/>
        </w:rPr>
        <w:t>港澳大湾区城镇房屋安全管理制度创新课题助力长效机制建设，经营性自建房等课题研究规范从业管理，推动全省26.72万栋隐患自建房完成整治，销号率达98.29%，3.92万栋经营</w:t>
      </w:r>
      <w:r>
        <w:rPr>
          <w:rFonts w:hint="default" w:ascii="仿宋_GB2312" w:hAnsi="仿宋_GB2312" w:eastAsia="仿宋_GB2312" w:cs="Calibri"/>
          <w:color w:val="auto"/>
          <w:kern w:val="0"/>
          <w:sz w:val="32"/>
          <w:szCs w:val="32"/>
          <w:lang w:val="en-US" w:eastAsia="zh-CN"/>
        </w:rPr>
        <w:t>性自建房全部销号。</w:t>
      </w:r>
      <w:r>
        <w:rPr>
          <w:rFonts w:hint="eastAsia" w:ascii="仿宋_GB2312" w:hAnsi="仿宋_GB2312" w:eastAsia="仿宋_GB2312" w:cs="Calibri"/>
          <w:b/>
          <w:bCs/>
          <w:color w:val="auto"/>
          <w:kern w:val="0"/>
          <w:sz w:val="32"/>
          <w:szCs w:val="32"/>
          <w:lang w:val="en-US" w:eastAsia="zh-CN"/>
        </w:rPr>
        <w:t>四是</w:t>
      </w:r>
      <w:r>
        <w:rPr>
          <w:rFonts w:hint="eastAsia" w:ascii="仿宋_GB2312" w:hAnsi="仿宋_GB2312" w:eastAsia="仿宋_GB2312" w:cs="Calibri"/>
          <w:b w:val="0"/>
          <w:bCs w:val="0"/>
          <w:color w:val="auto"/>
          <w:kern w:val="0"/>
          <w:sz w:val="32"/>
          <w:szCs w:val="32"/>
          <w:lang w:val="en-US" w:eastAsia="zh-CN"/>
        </w:rPr>
        <w:t>住房发展规划前期研究方面，</w:t>
      </w:r>
      <w:r>
        <w:rPr>
          <w:rFonts w:hint="default" w:ascii="仿宋_GB2312" w:hAnsi="仿宋_GB2312" w:eastAsia="仿宋_GB2312" w:cs="Calibri"/>
          <w:color w:val="auto"/>
          <w:kern w:val="0"/>
          <w:sz w:val="32"/>
          <w:szCs w:val="32"/>
          <w:lang w:val="en-US" w:eastAsia="zh-CN"/>
        </w:rPr>
        <w:t>已完成《广东省房地产市场平稳健康发展策略研究》等三份研究报告并通过专家评审，为“十五五”住房工作提供有力支撑。</w:t>
      </w:r>
    </w:p>
    <w:p w14:paraId="613FFA4C">
      <w:pPr>
        <w:pStyle w:val="3"/>
        <w:spacing w:beforeAutospacing="0" w:afterAutospacing="0"/>
        <w:ind w:firstLine="643" w:firstLineChars="200"/>
        <w:outlineLvl w:val="1"/>
        <w:rPr>
          <w:rFonts w:hint="eastAsia" w:ascii="楷体_GB2312" w:hAnsi="楷体_GB2312" w:eastAsia="楷体_GB2312" w:cs="楷体_GB2312"/>
          <w:color w:val="auto"/>
          <w:sz w:val="32"/>
          <w:szCs w:val="32"/>
        </w:rPr>
      </w:pPr>
      <w:bookmarkStart w:id="35" w:name="_Toc11196"/>
      <w:bookmarkStart w:id="36" w:name="_Toc8190"/>
      <w:bookmarkStart w:id="37" w:name="_Toc139976783"/>
      <w:bookmarkStart w:id="38" w:name="_Toc12885"/>
      <w:bookmarkStart w:id="39" w:name="_Toc27668"/>
      <w:bookmarkStart w:id="40" w:name="_Toc4711"/>
      <w:bookmarkStart w:id="41" w:name="_Toc10301"/>
      <w:bookmarkStart w:id="42" w:name="_Toc18196"/>
      <w:r>
        <w:rPr>
          <w:rFonts w:hint="eastAsia" w:ascii="楷体_GB2312" w:hAnsi="楷体_GB2312" w:eastAsia="楷体_GB2312" w:cs="楷体_GB2312"/>
          <w:color w:val="auto"/>
          <w:sz w:val="32"/>
          <w:szCs w:val="32"/>
        </w:rPr>
        <w:t>（三）专项资金使用绩效存在的问题</w:t>
      </w:r>
      <w:bookmarkEnd w:id="35"/>
      <w:bookmarkEnd w:id="36"/>
      <w:bookmarkEnd w:id="37"/>
      <w:bookmarkEnd w:id="38"/>
      <w:bookmarkEnd w:id="39"/>
      <w:bookmarkEnd w:id="40"/>
      <w:bookmarkEnd w:id="41"/>
      <w:bookmarkEnd w:id="42"/>
    </w:p>
    <w:p w14:paraId="27B0E082">
      <w:pPr>
        <w:widowControl w:val="0"/>
        <w:numPr>
          <w:ilvl w:val="0"/>
          <w:numId w:val="0"/>
        </w:numPr>
        <w:bidi w:val="0"/>
        <w:adjustRightInd w:val="0"/>
        <w:snapToGrid w:val="0"/>
        <w:spacing w:line="360" w:lineRule="auto"/>
        <w:ind w:firstLine="643" w:firstLineChars="200"/>
        <w:jc w:val="both"/>
        <w:rPr>
          <w:rFonts w:hint="eastAsia" w:ascii="仿宋_GB2312" w:hAnsi="仿宋_GB2312" w:eastAsia="仿宋_GB2312" w:cs="Calibri"/>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rPr>
        <w:t>1</w:t>
      </w:r>
      <w:r>
        <w:rPr>
          <w:rFonts w:hint="eastAsia" w:ascii="仿宋_GB2312" w:hAnsi="仿宋_GB2312" w:eastAsia="仿宋_GB2312" w:cs="Calibri"/>
          <w:b/>
          <w:bCs/>
          <w:color w:val="auto"/>
          <w:kern w:val="0"/>
          <w:sz w:val="32"/>
          <w:szCs w:val="32"/>
          <w:lang w:val="en-US" w:eastAsia="zh-CN"/>
        </w:rPr>
        <w:t>.</w:t>
      </w:r>
      <w:r>
        <w:rPr>
          <w:rFonts w:hint="default" w:ascii="仿宋_GB2312" w:hAnsi="仿宋_GB2312" w:eastAsia="仿宋_GB2312" w:cs="Calibri"/>
          <w:b/>
          <w:bCs/>
          <w:color w:val="auto"/>
          <w:kern w:val="0"/>
          <w:sz w:val="32"/>
          <w:szCs w:val="32"/>
          <w:lang w:val="en-US" w:eastAsia="zh-CN"/>
        </w:rPr>
        <w:t>资金保障与使用方面</w:t>
      </w:r>
      <w:r>
        <w:rPr>
          <w:rFonts w:hint="eastAsia" w:ascii="仿宋_GB2312" w:hAnsi="仿宋_GB2312" w:eastAsia="仿宋_GB2312" w:cs="Calibri"/>
          <w:b/>
          <w:bCs/>
          <w:color w:val="auto"/>
          <w:kern w:val="0"/>
          <w:sz w:val="32"/>
          <w:szCs w:val="32"/>
          <w:lang w:val="en-US" w:eastAsia="zh-CN"/>
        </w:rPr>
        <w:t>。</w:t>
      </w:r>
      <w:r>
        <w:rPr>
          <w:rFonts w:hint="eastAsia" w:ascii="仿宋_GB2312" w:hAnsi="仿宋_GB2312" w:eastAsia="仿宋_GB2312" w:cs="Calibri"/>
          <w:b/>
          <w:bCs/>
          <w:color w:val="auto"/>
          <w:kern w:val="0"/>
          <w:sz w:val="32"/>
          <w:szCs w:val="32"/>
          <w:lang w:val="en-US" w:eastAsia="zh-CN" w:bidi="ar-SA"/>
        </w:rPr>
        <w:t>一是</w:t>
      </w:r>
      <w:r>
        <w:rPr>
          <w:rFonts w:hint="eastAsia" w:ascii="仿宋_GB2312" w:hAnsi="仿宋_GB2312" w:eastAsia="仿宋_GB2312" w:cs="Calibri"/>
          <w:color w:val="auto"/>
          <w:kern w:val="0"/>
          <w:sz w:val="32"/>
          <w:szCs w:val="32"/>
          <w:lang w:val="en-US" w:eastAsia="zh-CN" w:bidi="ar-SA"/>
        </w:rPr>
        <w:t>部分地市财政困难，导致资金支付率低，影响项目建设进度和资金使用效益。</w:t>
      </w:r>
      <w:r>
        <w:rPr>
          <w:rFonts w:hint="eastAsia" w:ascii="仿宋_GB2312" w:hAnsi="仿宋_GB2312" w:eastAsia="仿宋_GB2312" w:cs="Calibri"/>
          <w:b/>
          <w:bCs/>
          <w:color w:val="auto"/>
          <w:kern w:val="0"/>
          <w:sz w:val="32"/>
          <w:szCs w:val="32"/>
          <w:lang w:val="en-US" w:eastAsia="zh-CN" w:bidi="ar-SA"/>
        </w:rPr>
        <w:t>二是</w:t>
      </w:r>
      <w:r>
        <w:rPr>
          <w:rFonts w:hint="eastAsia" w:ascii="仿宋_GB2312" w:hAnsi="仿宋_GB2312" w:eastAsia="仿宋_GB2312" w:cs="Calibri"/>
          <w:color w:val="auto"/>
          <w:kern w:val="0"/>
          <w:sz w:val="32"/>
          <w:szCs w:val="32"/>
          <w:lang w:val="en-US" w:eastAsia="zh-CN" w:bidi="ar-SA"/>
        </w:rPr>
        <w:t>部分项目因前期准备工作不充分、项目验收程序繁琐、资金审批划拨较慢等原因，使得资金支付滞后。</w:t>
      </w:r>
      <w:r>
        <w:rPr>
          <w:rFonts w:hint="eastAsia" w:ascii="仿宋_GB2312" w:hAnsi="仿宋_GB2312" w:eastAsia="仿宋_GB2312" w:cs="Calibri"/>
          <w:b/>
          <w:bCs/>
          <w:color w:val="auto"/>
          <w:kern w:val="0"/>
          <w:sz w:val="32"/>
          <w:szCs w:val="32"/>
          <w:lang w:val="en-US" w:eastAsia="zh-CN" w:bidi="ar-SA"/>
        </w:rPr>
        <w:t>三是</w:t>
      </w:r>
      <w:r>
        <w:rPr>
          <w:rFonts w:hint="eastAsia" w:ascii="仿宋_GB2312" w:hAnsi="仿宋_GB2312" w:eastAsia="仿宋_GB2312" w:cs="Calibri"/>
          <w:color w:val="auto"/>
          <w:kern w:val="0"/>
          <w:sz w:val="32"/>
          <w:szCs w:val="32"/>
          <w:lang w:val="en-US" w:eastAsia="zh-CN" w:bidi="ar-SA"/>
        </w:rPr>
        <w:t>专项资金使用不灵活，影响资金合理使用。</w:t>
      </w:r>
      <w:r>
        <w:rPr>
          <w:rFonts w:hint="eastAsia" w:ascii="仿宋_GB2312" w:hAnsi="仿宋_GB2312" w:eastAsia="仿宋_GB2312" w:cs="Calibri"/>
          <w:b/>
          <w:bCs/>
          <w:color w:val="auto"/>
          <w:kern w:val="0"/>
          <w:sz w:val="32"/>
          <w:szCs w:val="32"/>
          <w:lang w:val="en-US" w:eastAsia="zh-CN" w:bidi="ar-SA"/>
        </w:rPr>
        <w:t>四是</w:t>
      </w:r>
      <w:r>
        <w:rPr>
          <w:rFonts w:hint="eastAsia" w:ascii="仿宋_GB2312" w:hAnsi="仿宋_GB2312" w:eastAsia="仿宋_GB2312" w:cs="Calibri"/>
          <w:color w:val="auto"/>
          <w:kern w:val="0"/>
          <w:sz w:val="32"/>
          <w:szCs w:val="32"/>
          <w:lang w:val="en-US" w:eastAsia="zh-CN" w:bidi="ar-SA"/>
        </w:rPr>
        <w:t>部分地市资金缺口大。</w:t>
      </w:r>
      <w:r>
        <w:rPr>
          <w:rFonts w:hint="eastAsia" w:ascii="仿宋_GB2312" w:hAnsi="仿宋_GB2312" w:eastAsia="仿宋_GB2312" w:cs="仿宋_GB2312"/>
          <w:i w:val="0"/>
          <w:iCs w:val="0"/>
          <w:caps w:val="0"/>
          <w:color w:val="auto"/>
          <w:spacing w:val="0"/>
          <w:sz w:val="32"/>
          <w:szCs w:val="32"/>
          <w:shd w:val="clear" w:fill="FFFFFF"/>
        </w:rPr>
        <w:t>城市危旧房改造需要大量资金，但资金来源主要依赖上级补</w:t>
      </w:r>
      <w:bookmarkStart w:id="53" w:name="_GoBack"/>
      <w:bookmarkEnd w:id="53"/>
      <w:r>
        <w:rPr>
          <w:rFonts w:hint="eastAsia" w:ascii="仿宋_GB2312" w:hAnsi="仿宋_GB2312" w:eastAsia="仿宋_GB2312" w:cs="仿宋_GB2312"/>
          <w:i w:val="0"/>
          <w:iCs w:val="0"/>
          <w:caps w:val="0"/>
          <w:color w:val="auto"/>
          <w:spacing w:val="0"/>
          <w:sz w:val="32"/>
          <w:szCs w:val="32"/>
          <w:shd w:val="clear" w:fill="FFFFFF"/>
        </w:rPr>
        <w:t>助，社会资本参与难度大，当地财政配套资金不足，导致资金缺口较大。</w:t>
      </w:r>
    </w:p>
    <w:p w14:paraId="228EEDB3">
      <w:pPr>
        <w:pStyle w:val="16"/>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仿宋_GB2312" w:hAnsi="仿宋_GB2312" w:eastAsia="仿宋_GB2312" w:cs="Calibri"/>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2</w:t>
      </w:r>
      <w:r>
        <w:rPr>
          <w:rFonts w:hint="eastAsia" w:ascii="仿宋_GB2312" w:hAnsi="仿宋_GB2312" w:eastAsia="仿宋_GB2312" w:cs="Calibri"/>
          <w:b/>
          <w:bCs/>
          <w:color w:val="auto"/>
          <w:kern w:val="0"/>
          <w:sz w:val="32"/>
          <w:szCs w:val="32"/>
          <w:lang w:val="en-US" w:eastAsia="zh-CN"/>
        </w:rPr>
        <w:t>.</w:t>
      </w:r>
      <w:r>
        <w:rPr>
          <w:rFonts w:hint="default" w:ascii="仿宋_GB2312" w:hAnsi="仿宋_GB2312" w:eastAsia="仿宋_GB2312" w:cs="Calibri"/>
          <w:b/>
          <w:bCs/>
          <w:color w:val="auto"/>
          <w:kern w:val="0"/>
          <w:sz w:val="32"/>
          <w:szCs w:val="32"/>
          <w:lang w:val="en-US" w:eastAsia="zh-CN"/>
        </w:rPr>
        <w:t>项目推进与实施方面</w:t>
      </w:r>
      <w:r>
        <w:rPr>
          <w:rFonts w:hint="eastAsia" w:ascii="仿宋_GB2312" w:hAnsi="仿宋_GB2312" w:eastAsia="仿宋_GB2312" w:cs="Calibri"/>
          <w:b/>
          <w:bCs/>
          <w:color w:val="auto"/>
          <w:kern w:val="0"/>
          <w:sz w:val="32"/>
          <w:szCs w:val="32"/>
          <w:lang w:val="en-US" w:eastAsia="zh-CN"/>
        </w:rPr>
        <w:t>。一是</w:t>
      </w:r>
      <w:r>
        <w:rPr>
          <w:rFonts w:hint="default" w:ascii="仿宋_GB2312" w:hAnsi="仿宋_GB2312" w:eastAsia="仿宋_GB2312" w:cs="Calibri"/>
          <w:color w:val="auto"/>
          <w:kern w:val="0"/>
          <w:sz w:val="32"/>
          <w:szCs w:val="32"/>
          <w:lang w:val="en-US" w:eastAsia="zh-CN"/>
        </w:rPr>
        <w:t>部分市县项目前期准备不扎实，资金计划与需求衔接差，受外部环境、部门协作等因素制约</w:t>
      </w:r>
      <w:r>
        <w:rPr>
          <w:rFonts w:hint="eastAsia" w:ascii="仿宋_GB2312" w:hAnsi="仿宋_GB2312" w:eastAsia="仿宋_GB2312" w:cs="Calibri"/>
          <w:color w:val="auto"/>
          <w:kern w:val="0"/>
          <w:sz w:val="32"/>
          <w:szCs w:val="32"/>
          <w:lang w:val="en-US" w:eastAsia="zh-CN"/>
        </w:rPr>
        <w:t>多等。</w:t>
      </w:r>
      <w:r>
        <w:rPr>
          <w:rFonts w:hint="eastAsia" w:ascii="仿宋_GB2312" w:hAnsi="仿宋_GB2312" w:eastAsia="仿宋_GB2312" w:cs="Calibri"/>
          <w:b/>
          <w:bCs/>
          <w:color w:val="auto"/>
          <w:kern w:val="0"/>
          <w:sz w:val="32"/>
          <w:szCs w:val="32"/>
          <w:lang w:val="en-US" w:eastAsia="zh-CN"/>
        </w:rPr>
        <w:t>二是</w:t>
      </w:r>
      <w:r>
        <w:rPr>
          <w:rFonts w:hint="default" w:ascii="仿宋_GB2312" w:hAnsi="仿宋_GB2312" w:eastAsia="仿宋_GB2312" w:cs="Calibri"/>
          <w:color w:val="auto"/>
          <w:kern w:val="0"/>
          <w:sz w:val="32"/>
          <w:szCs w:val="32"/>
          <w:lang w:val="en-US" w:eastAsia="zh-CN"/>
        </w:rPr>
        <w:t>城市危旧房改造阻力大，存在系统与实际不符、产权补偿纠纷、产权不清及产权人不配合等问题。</w:t>
      </w:r>
      <w:r>
        <w:rPr>
          <w:rFonts w:hint="eastAsia" w:ascii="仿宋_GB2312" w:hAnsi="仿宋_GB2312" w:eastAsia="仿宋_GB2312" w:cs="Calibri"/>
          <w:color w:val="auto"/>
          <w:kern w:val="0"/>
          <w:sz w:val="32"/>
          <w:szCs w:val="32"/>
          <w:lang w:val="en-US" w:eastAsia="zh-CN" w:bidi="ar-SA"/>
        </w:rPr>
        <w:t>三</w:t>
      </w:r>
      <w:r>
        <w:rPr>
          <w:rFonts w:hint="eastAsia" w:ascii="仿宋_GB2312" w:hAnsi="仿宋_GB2312" w:eastAsia="仿宋_GB2312" w:cs="Calibri"/>
          <w:b/>
          <w:bCs/>
          <w:color w:val="auto"/>
          <w:kern w:val="0"/>
          <w:sz w:val="32"/>
          <w:szCs w:val="32"/>
          <w:lang w:val="en-US" w:eastAsia="zh-CN"/>
        </w:rPr>
        <w:t>是</w:t>
      </w:r>
      <w:r>
        <w:rPr>
          <w:rFonts w:hint="eastAsia" w:ascii="仿宋_GB2312" w:hAnsi="仿宋_GB2312" w:eastAsia="仿宋_GB2312" w:cs="Calibri"/>
          <w:b w:val="0"/>
          <w:bCs w:val="0"/>
          <w:color w:val="auto"/>
          <w:kern w:val="0"/>
          <w:sz w:val="32"/>
          <w:szCs w:val="32"/>
          <w:lang w:val="en-US" w:eastAsia="zh-CN"/>
        </w:rPr>
        <w:t>有的地区</w:t>
      </w:r>
      <w:r>
        <w:rPr>
          <w:rFonts w:hint="eastAsia" w:ascii="仿宋_GB2312" w:hAnsi="仿宋_GB2312" w:eastAsia="仿宋_GB2312" w:cs="Calibri"/>
          <w:color w:val="auto"/>
          <w:kern w:val="0"/>
          <w:sz w:val="32"/>
          <w:szCs w:val="32"/>
          <w:lang w:val="en-US" w:eastAsia="zh-CN"/>
        </w:rPr>
        <w:t>自建房整治</w:t>
      </w:r>
      <w:r>
        <w:rPr>
          <w:rFonts w:hint="default" w:ascii="仿宋_GB2312" w:hAnsi="仿宋_GB2312" w:eastAsia="仿宋_GB2312" w:cs="Calibri"/>
          <w:color w:val="auto"/>
          <w:kern w:val="0"/>
          <w:sz w:val="32"/>
          <w:szCs w:val="32"/>
          <w:lang w:val="en-US" w:eastAsia="zh-CN"/>
        </w:rPr>
        <w:t>专项资金</w:t>
      </w:r>
      <w:r>
        <w:rPr>
          <w:rFonts w:hint="eastAsia" w:ascii="仿宋_GB2312" w:hAnsi="仿宋_GB2312" w:eastAsia="仿宋_GB2312" w:cs="Calibri"/>
          <w:color w:val="auto"/>
          <w:kern w:val="0"/>
          <w:sz w:val="32"/>
          <w:szCs w:val="32"/>
          <w:lang w:val="en-US" w:eastAsia="zh-CN"/>
        </w:rPr>
        <w:t>存在</w:t>
      </w:r>
      <w:r>
        <w:rPr>
          <w:rFonts w:hint="default" w:ascii="仿宋_GB2312" w:hAnsi="仿宋_GB2312" w:eastAsia="仿宋_GB2312" w:cs="Calibri"/>
          <w:color w:val="auto"/>
          <w:kern w:val="0"/>
          <w:sz w:val="32"/>
          <w:szCs w:val="32"/>
          <w:lang w:val="en-US" w:eastAsia="zh-CN"/>
        </w:rPr>
        <w:t>资源配置错位现象</w:t>
      </w:r>
      <w:r>
        <w:rPr>
          <w:rFonts w:hint="eastAsia" w:ascii="仿宋_GB2312" w:hAnsi="仿宋_GB2312" w:eastAsia="仿宋_GB2312" w:cs="Calibri"/>
          <w:color w:val="auto"/>
          <w:kern w:val="0"/>
          <w:sz w:val="32"/>
          <w:szCs w:val="32"/>
          <w:lang w:val="en-US" w:eastAsia="zh-CN"/>
        </w:rPr>
        <w:t>。</w:t>
      </w:r>
      <w:r>
        <w:rPr>
          <w:rFonts w:hint="default" w:ascii="Times New Roman" w:hAnsi="Times New Roman" w:eastAsia="仿宋_GB2312" w:cs="Times New Roman"/>
          <w:color w:val="auto"/>
          <w:spacing w:val="0"/>
          <w:w w:val="100"/>
          <w:kern w:val="0"/>
          <w:position w:val="0"/>
          <w:sz w:val="32"/>
          <w:szCs w:val="32"/>
          <w:highlight w:val="none"/>
          <w:lang w:val="en-US" w:eastAsia="zh-CN" w:bidi="ar-SA"/>
        </w:rPr>
        <w:t>部分地市虽然已完成</w:t>
      </w:r>
      <w:r>
        <w:rPr>
          <w:rFonts w:hint="eastAsia" w:ascii="Times New Roman" w:hAnsi="Times New Roman" w:eastAsia="仿宋_GB2312" w:cs="Times New Roman"/>
          <w:color w:val="auto"/>
          <w:spacing w:val="0"/>
          <w:w w:val="100"/>
          <w:kern w:val="0"/>
          <w:position w:val="0"/>
          <w:sz w:val="32"/>
          <w:szCs w:val="32"/>
          <w:highlight w:val="none"/>
          <w:lang w:val="en-US" w:eastAsia="zh-CN" w:bidi="ar-SA"/>
        </w:rPr>
        <w:t>上级</w:t>
      </w:r>
      <w:r>
        <w:rPr>
          <w:rFonts w:hint="default" w:ascii="Times New Roman" w:hAnsi="Times New Roman" w:eastAsia="仿宋_GB2312" w:cs="Times New Roman"/>
          <w:color w:val="auto"/>
          <w:spacing w:val="0"/>
          <w:w w:val="100"/>
          <w:kern w:val="0"/>
          <w:position w:val="0"/>
          <w:sz w:val="32"/>
          <w:szCs w:val="32"/>
          <w:highlight w:val="none"/>
          <w:lang w:val="en-US" w:eastAsia="zh-CN" w:bidi="ar-SA"/>
        </w:rPr>
        <w:t>下达的鉴定工作任务，但由于相关房屋产权人缺乏主动整治意愿，或由于其缺少收入支持开</w:t>
      </w:r>
      <w:r>
        <w:rPr>
          <w:rFonts w:hint="eastAsia" w:ascii="Times New Roman" w:hAnsi="Times New Roman" w:eastAsia="仿宋_GB2312" w:cs="Times New Roman"/>
          <w:color w:val="auto"/>
          <w:spacing w:val="0"/>
          <w:w w:val="100"/>
          <w:kern w:val="0"/>
          <w:position w:val="0"/>
          <w:sz w:val="32"/>
          <w:szCs w:val="32"/>
          <w:highlight w:val="none"/>
          <w:lang w:val="en-US" w:eastAsia="zh-CN" w:bidi="ar-SA"/>
        </w:rPr>
        <w:t>展</w:t>
      </w:r>
      <w:r>
        <w:rPr>
          <w:rFonts w:hint="default" w:ascii="Times New Roman" w:hAnsi="Times New Roman" w:eastAsia="仿宋_GB2312" w:cs="Times New Roman"/>
          <w:color w:val="auto"/>
          <w:spacing w:val="0"/>
          <w:w w:val="100"/>
          <w:kern w:val="0"/>
          <w:position w:val="0"/>
          <w:sz w:val="32"/>
          <w:szCs w:val="32"/>
          <w:highlight w:val="none"/>
          <w:lang w:val="en-US" w:eastAsia="zh-CN" w:bidi="ar-SA"/>
        </w:rPr>
        <w:t>整治，导致部分地区后期整治工程资金缺口显著</w:t>
      </w:r>
      <w:r>
        <w:rPr>
          <w:rFonts w:hint="eastAsia" w:ascii="Times New Roman" w:hAnsi="Times New Roman" w:eastAsia="仿宋_GB2312" w:cs="Times New Roman"/>
          <w:color w:val="auto"/>
          <w:spacing w:val="0"/>
          <w:w w:val="100"/>
          <w:kern w:val="0"/>
          <w:position w:val="0"/>
          <w:sz w:val="32"/>
          <w:szCs w:val="32"/>
          <w:highlight w:val="none"/>
          <w:lang w:val="en-US" w:eastAsia="zh-CN" w:bidi="ar-SA"/>
        </w:rPr>
        <w:t>，</w:t>
      </w:r>
      <w:r>
        <w:rPr>
          <w:rFonts w:hint="default" w:ascii="Times New Roman" w:hAnsi="Times New Roman" w:eastAsia="仿宋_GB2312" w:cs="Times New Roman"/>
          <w:color w:val="auto"/>
          <w:spacing w:val="0"/>
          <w:w w:val="100"/>
          <w:kern w:val="0"/>
          <w:position w:val="0"/>
          <w:sz w:val="32"/>
          <w:szCs w:val="32"/>
          <w:highlight w:val="none"/>
          <w:lang w:val="en-US" w:eastAsia="zh-CN" w:bidi="ar-SA"/>
        </w:rPr>
        <w:t>部分</w:t>
      </w:r>
      <w:r>
        <w:rPr>
          <w:rFonts w:hint="eastAsia" w:ascii="Times New Roman" w:hAnsi="Times New Roman" w:eastAsia="仿宋_GB2312" w:cs="Times New Roman"/>
          <w:color w:val="auto"/>
          <w:spacing w:val="0"/>
          <w:w w:val="100"/>
          <w:kern w:val="0"/>
          <w:position w:val="0"/>
          <w:sz w:val="32"/>
          <w:szCs w:val="32"/>
          <w:highlight w:val="none"/>
          <w:lang w:val="en-US" w:eastAsia="zh-CN" w:bidi="ar-SA"/>
        </w:rPr>
        <w:t>市县的</w:t>
      </w:r>
      <w:r>
        <w:rPr>
          <w:rFonts w:hint="default" w:ascii="Times New Roman" w:hAnsi="Times New Roman" w:eastAsia="仿宋_GB2312" w:cs="Times New Roman"/>
          <w:color w:val="auto"/>
          <w:spacing w:val="0"/>
          <w:w w:val="100"/>
          <w:kern w:val="0"/>
          <w:position w:val="0"/>
          <w:sz w:val="32"/>
          <w:szCs w:val="32"/>
          <w:highlight w:val="none"/>
          <w:lang w:val="en-US" w:eastAsia="zh-CN" w:bidi="ar-SA"/>
        </w:rPr>
        <w:t>隐患房屋</w:t>
      </w:r>
      <w:r>
        <w:rPr>
          <w:rFonts w:hint="eastAsia" w:ascii="Times New Roman" w:hAnsi="Times New Roman" w:eastAsia="仿宋_GB2312" w:cs="Times New Roman"/>
          <w:color w:val="auto"/>
          <w:spacing w:val="0"/>
          <w:w w:val="100"/>
          <w:kern w:val="0"/>
          <w:position w:val="0"/>
          <w:sz w:val="32"/>
          <w:szCs w:val="32"/>
          <w:highlight w:val="none"/>
          <w:lang w:val="en-US" w:eastAsia="zh-CN" w:bidi="ar-SA"/>
        </w:rPr>
        <w:t>由于</w:t>
      </w:r>
      <w:r>
        <w:rPr>
          <w:rFonts w:hint="default" w:ascii="Times New Roman" w:hAnsi="Times New Roman" w:eastAsia="仿宋_GB2312" w:cs="Times New Roman"/>
          <w:b w:val="0"/>
          <w:bCs w:val="0"/>
          <w:color w:val="auto"/>
          <w:spacing w:val="0"/>
          <w:w w:val="100"/>
          <w:kern w:val="0"/>
          <w:position w:val="0"/>
          <w:sz w:val="32"/>
          <w:szCs w:val="32"/>
          <w:highlight w:val="none"/>
          <w:lang w:val="en-US" w:eastAsia="zh-CN" w:bidi="ar-SA"/>
        </w:rPr>
        <w:t>缺乏</w:t>
      </w:r>
      <w:r>
        <w:rPr>
          <w:rFonts w:hint="default" w:ascii="Times New Roman" w:hAnsi="Times New Roman" w:eastAsia="仿宋_GB2312" w:cs="Times New Roman"/>
          <w:color w:val="auto"/>
          <w:spacing w:val="0"/>
          <w:w w:val="100"/>
          <w:kern w:val="0"/>
          <w:position w:val="0"/>
          <w:sz w:val="32"/>
          <w:szCs w:val="32"/>
          <w:highlight w:val="none"/>
          <w:lang w:val="en-US" w:eastAsia="zh-CN" w:bidi="ar-SA"/>
        </w:rPr>
        <w:t>整治</w:t>
      </w:r>
      <w:r>
        <w:rPr>
          <w:rFonts w:hint="default" w:ascii="Times New Roman" w:hAnsi="Times New Roman" w:eastAsia="仿宋_GB2312" w:cs="Times New Roman"/>
          <w:b w:val="0"/>
          <w:bCs w:val="0"/>
          <w:color w:val="auto"/>
          <w:spacing w:val="0"/>
          <w:w w:val="100"/>
          <w:kern w:val="0"/>
          <w:position w:val="0"/>
          <w:sz w:val="32"/>
          <w:szCs w:val="32"/>
          <w:highlight w:val="none"/>
          <w:lang w:val="en-US" w:eastAsia="zh-CN" w:bidi="ar-SA"/>
        </w:rPr>
        <w:t>工程资金仅能临时封控，无法彻底消除安全隐患。</w:t>
      </w:r>
    </w:p>
    <w:p w14:paraId="12CE2396">
      <w:pPr>
        <w:numPr>
          <w:ilvl w:val="0"/>
          <w:numId w:val="0"/>
        </w:numPr>
        <w:adjustRightInd w:val="0"/>
        <w:snapToGrid w:val="0"/>
        <w:spacing w:line="360" w:lineRule="auto"/>
        <w:ind w:firstLine="643" w:firstLineChars="200"/>
        <w:rPr>
          <w:rFonts w:hint="default" w:ascii="仿宋_GB2312" w:hAnsi="仿宋_GB2312" w:eastAsia="仿宋_GB2312" w:cs="Calibri"/>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3</w:t>
      </w:r>
      <w:r>
        <w:rPr>
          <w:rFonts w:hint="eastAsia" w:ascii="仿宋_GB2312" w:hAnsi="仿宋_GB2312" w:eastAsia="仿宋_GB2312" w:cs="Calibri"/>
          <w:b/>
          <w:bCs/>
          <w:color w:val="auto"/>
          <w:kern w:val="0"/>
          <w:sz w:val="32"/>
          <w:szCs w:val="32"/>
          <w:lang w:val="en-US" w:eastAsia="zh-CN"/>
        </w:rPr>
        <w:t>.</w:t>
      </w:r>
      <w:r>
        <w:rPr>
          <w:rFonts w:hint="default" w:ascii="仿宋_GB2312" w:hAnsi="仿宋_GB2312" w:eastAsia="仿宋_GB2312" w:cs="Calibri"/>
          <w:b/>
          <w:bCs/>
          <w:color w:val="auto"/>
          <w:kern w:val="0"/>
          <w:sz w:val="32"/>
          <w:szCs w:val="32"/>
          <w:lang w:val="en-US" w:eastAsia="zh-CN"/>
        </w:rPr>
        <w:t>社会参与</w:t>
      </w:r>
      <w:r>
        <w:rPr>
          <w:rFonts w:hint="eastAsia" w:ascii="仿宋_GB2312" w:hAnsi="仿宋_GB2312" w:eastAsia="仿宋_GB2312" w:cs="Calibri"/>
          <w:b/>
          <w:bCs/>
          <w:color w:val="auto"/>
          <w:kern w:val="0"/>
          <w:sz w:val="32"/>
          <w:szCs w:val="32"/>
          <w:lang w:val="en-US" w:eastAsia="zh-CN"/>
        </w:rPr>
        <w:t>和</w:t>
      </w:r>
      <w:r>
        <w:rPr>
          <w:rFonts w:hint="default" w:ascii="仿宋_GB2312" w:hAnsi="仿宋_GB2312" w:eastAsia="仿宋_GB2312" w:cs="Calibri"/>
          <w:b/>
          <w:bCs/>
          <w:color w:val="auto"/>
          <w:kern w:val="0"/>
          <w:sz w:val="32"/>
          <w:szCs w:val="32"/>
          <w:lang w:val="en-US" w:eastAsia="zh-CN"/>
        </w:rPr>
        <w:t>主体意识方面</w:t>
      </w:r>
      <w:r>
        <w:rPr>
          <w:rFonts w:hint="eastAsia" w:ascii="仿宋_GB2312" w:hAnsi="仿宋_GB2312" w:eastAsia="仿宋_GB2312" w:cs="Calibri"/>
          <w:b/>
          <w:bCs/>
          <w:color w:val="auto"/>
          <w:kern w:val="0"/>
          <w:sz w:val="32"/>
          <w:szCs w:val="32"/>
          <w:lang w:val="en-US" w:eastAsia="zh-CN"/>
        </w:rPr>
        <w:t>。一是</w:t>
      </w:r>
      <w:r>
        <w:rPr>
          <w:rFonts w:hint="default" w:ascii="仿宋_GB2312" w:hAnsi="仿宋_GB2312" w:eastAsia="仿宋_GB2312" w:cs="Calibri"/>
          <w:color w:val="auto"/>
          <w:kern w:val="0"/>
          <w:sz w:val="32"/>
          <w:szCs w:val="32"/>
          <w:lang w:val="en-US" w:eastAsia="zh-CN"/>
        </w:rPr>
        <w:t>保障性租赁住房社会资本参与意愿低，新建装修成本高、收益低、优惠政策不明显；后期筹集难度大，存量住房改造空间小</w:t>
      </w:r>
      <w:r>
        <w:rPr>
          <w:rFonts w:hint="eastAsia" w:ascii="仿宋_GB2312" w:hAnsi="仿宋_GB2312" w:eastAsia="仿宋_GB2312" w:cs="Calibri"/>
          <w:color w:val="auto"/>
          <w:kern w:val="0"/>
          <w:sz w:val="32"/>
          <w:szCs w:val="32"/>
          <w:lang w:val="en-US" w:eastAsia="zh-CN"/>
        </w:rPr>
        <w:t>。</w:t>
      </w:r>
      <w:r>
        <w:rPr>
          <w:rFonts w:hint="eastAsia" w:ascii="仿宋_GB2312" w:hAnsi="仿宋_GB2312" w:eastAsia="仿宋_GB2312" w:cs="Calibri"/>
          <w:b/>
          <w:bCs/>
          <w:color w:val="auto"/>
          <w:kern w:val="0"/>
          <w:sz w:val="32"/>
          <w:szCs w:val="32"/>
          <w:lang w:val="en-US" w:eastAsia="zh-CN"/>
        </w:rPr>
        <w:t>二是</w:t>
      </w:r>
      <w:r>
        <w:rPr>
          <w:rFonts w:hint="default" w:ascii="仿宋_GB2312" w:hAnsi="仿宋_GB2312" w:eastAsia="仿宋_GB2312" w:cs="Calibri"/>
          <w:color w:val="auto"/>
          <w:kern w:val="0"/>
          <w:sz w:val="32"/>
          <w:szCs w:val="32"/>
          <w:lang w:val="en-US" w:eastAsia="zh-CN"/>
        </w:rPr>
        <w:t>部分自建房产权人（使用人）安全意识薄弱，主动整改意愿低；工作落实存在 “上热下冷、层层衰减”现象，基层执行不到位。</w:t>
      </w:r>
    </w:p>
    <w:p w14:paraId="7E03E7AB">
      <w:pPr>
        <w:numPr>
          <w:ilvl w:val="0"/>
          <w:numId w:val="0"/>
        </w:numPr>
        <w:adjustRightInd w:val="0"/>
        <w:snapToGrid w:val="0"/>
        <w:spacing w:line="360" w:lineRule="auto"/>
        <w:ind w:firstLine="643" w:firstLineChars="200"/>
        <w:rPr>
          <w:rFonts w:hint="default" w:ascii="仿宋_GB2312" w:hAnsi="仿宋_GB2312" w:eastAsia="仿宋_GB2312" w:cs="Calibri"/>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4</w:t>
      </w:r>
      <w:r>
        <w:rPr>
          <w:rFonts w:hint="eastAsia" w:ascii="仿宋_GB2312" w:hAnsi="仿宋_GB2312" w:eastAsia="仿宋_GB2312" w:cs="Calibri"/>
          <w:b/>
          <w:bCs/>
          <w:color w:val="auto"/>
          <w:kern w:val="0"/>
          <w:sz w:val="32"/>
          <w:szCs w:val="32"/>
          <w:lang w:val="en-US" w:eastAsia="zh-CN"/>
        </w:rPr>
        <w:t>.</w:t>
      </w:r>
      <w:r>
        <w:rPr>
          <w:rFonts w:hint="default" w:ascii="仿宋_GB2312" w:hAnsi="仿宋_GB2312" w:eastAsia="仿宋_GB2312" w:cs="Calibri"/>
          <w:b/>
          <w:bCs/>
          <w:color w:val="auto"/>
          <w:kern w:val="0"/>
          <w:sz w:val="32"/>
          <w:szCs w:val="32"/>
          <w:lang w:val="en-US" w:eastAsia="zh-CN"/>
        </w:rPr>
        <w:t>基层能力与行业监管方面</w:t>
      </w:r>
      <w:r>
        <w:rPr>
          <w:rFonts w:hint="eastAsia" w:ascii="仿宋_GB2312" w:hAnsi="仿宋_GB2312" w:eastAsia="仿宋_GB2312" w:cs="Calibri"/>
          <w:b/>
          <w:bCs/>
          <w:color w:val="auto"/>
          <w:kern w:val="0"/>
          <w:sz w:val="32"/>
          <w:szCs w:val="32"/>
          <w:lang w:val="en-US" w:eastAsia="zh-CN"/>
        </w:rPr>
        <w:t>。一是</w:t>
      </w:r>
      <w:r>
        <w:rPr>
          <w:rFonts w:hint="default" w:ascii="仿宋_GB2312" w:hAnsi="仿宋_GB2312" w:eastAsia="仿宋_GB2312" w:cs="Calibri"/>
          <w:color w:val="auto"/>
          <w:kern w:val="0"/>
          <w:sz w:val="32"/>
          <w:szCs w:val="32"/>
          <w:lang w:val="en-US" w:eastAsia="zh-CN"/>
        </w:rPr>
        <w:t>基层技术力量薄弱，依赖第三方鉴定机构，本土专业队伍缺乏，巡查人员专业知识不足，初期排查数据存在误差</w:t>
      </w:r>
      <w:r>
        <w:rPr>
          <w:rFonts w:hint="eastAsia" w:ascii="仿宋_GB2312" w:hAnsi="仿宋_GB2312" w:eastAsia="仿宋_GB2312" w:cs="Calibri"/>
          <w:color w:val="auto"/>
          <w:kern w:val="0"/>
          <w:sz w:val="32"/>
          <w:szCs w:val="32"/>
          <w:lang w:val="en-US" w:eastAsia="zh-CN"/>
        </w:rPr>
        <w:t>。</w:t>
      </w:r>
      <w:r>
        <w:rPr>
          <w:rFonts w:hint="eastAsia" w:ascii="仿宋_GB2312" w:hAnsi="仿宋_GB2312" w:eastAsia="仿宋_GB2312" w:cs="Calibri"/>
          <w:b/>
          <w:bCs/>
          <w:color w:val="auto"/>
          <w:kern w:val="0"/>
          <w:sz w:val="32"/>
          <w:szCs w:val="32"/>
          <w:lang w:val="en-US" w:eastAsia="zh-CN"/>
        </w:rPr>
        <w:t>二是</w:t>
      </w:r>
      <w:r>
        <w:rPr>
          <w:rFonts w:hint="default" w:ascii="仿宋_GB2312" w:hAnsi="仿宋_GB2312" w:eastAsia="仿宋_GB2312" w:cs="Calibri"/>
          <w:color w:val="auto"/>
          <w:kern w:val="0"/>
          <w:sz w:val="32"/>
          <w:szCs w:val="32"/>
          <w:lang w:val="en-US" w:eastAsia="zh-CN"/>
        </w:rPr>
        <w:t>鉴定市场管理不足，部分机构报告不规范、资质不合规，行业监管精细化和常态化机制有待完善。</w:t>
      </w:r>
    </w:p>
    <w:p w14:paraId="1C43A866">
      <w:pPr>
        <w:adjustRightInd w:val="0"/>
        <w:snapToGrid w:val="0"/>
        <w:spacing w:line="360" w:lineRule="auto"/>
        <w:ind w:firstLine="640" w:firstLineChars="200"/>
        <w:outlineLvl w:val="0"/>
        <w:rPr>
          <w:rFonts w:hint="eastAsia" w:ascii="黑体" w:eastAsia="黑体"/>
          <w:color w:val="auto"/>
          <w:sz w:val="32"/>
          <w:szCs w:val="32"/>
        </w:rPr>
      </w:pPr>
      <w:bookmarkStart w:id="43" w:name="_Toc10892"/>
      <w:bookmarkStart w:id="44" w:name="_Toc30493"/>
      <w:bookmarkStart w:id="45" w:name="_Toc21929"/>
      <w:r>
        <w:rPr>
          <w:rFonts w:hint="eastAsia" w:ascii="黑体" w:eastAsia="黑体"/>
          <w:color w:val="auto"/>
          <w:sz w:val="32"/>
          <w:szCs w:val="32"/>
        </w:rPr>
        <w:t>三、改进意见</w:t>
      </w:r>
      <w:bookmarkEnd w:id="43"/>
      <w:bookmarkEnd w:id="44"/>
      <w:bookmarkEnd w:id="45"/>
    </w:p>
    <w:p w14:paraId="4DB9155B">
      <w:pPr>
        <w:numPr>
          <w:ilvl w:val="0"/>
          <w:numId w:val="0"/>
        </w:numPr>
        <w:adjustRightInd w:val="0"/>
        <w:snapToGrid w:val="0"/>
        <w:spacing w:line="360" w:lineRule="auto"/>
        <w:ind w:firstLine="643" w:firstLineChars="200"/>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（一）强化战略引领与资源统筹</w:t>
      </w:r>
    </w:p>
    <w:p w14:paraId="5CB6CC10">
      <w:pPr>
        <w:numPr>
          <w:ilvl w:val="0"/>
          <w:numId w:val="0"/>
        </w:numPr>
        <w:adjustRightInd w:val="0"/>
        <w:snapToGrid w:val="0"/>
        <w:spacing w:line="360" w:lineRule="auto"/>
        <w:ind w:firstLine="640" w:firstLineChars="200"/>
        <w:rPr>
          <w:rFonts w:hint="default" w:ascii="仿宋_GB2312" w:hAnsi="仿宋_GB2312" w:eastAsia="仿宋_GB2312" w:cs="Calibri"/>
          <w:color w:val="auto"/>
          <w:kern w:val="0"/>
          <w:sz w:val="32"/>
          <w:szCs w:val="32"/>
          <w:lang w:val="en-US" w:eastAsia="zh-CN"/>
        </w:rPr>
      </w:pPr>
      <w:r>
        <w:rPr>
          <w:rFonts w:hint="default" w:ascii="仿宋_GB2312" w:hAnsi="仿宋_GB2312" w:eastAsia="仿宋_GB2312" w:cs="Calibri"/>
          <w:color w:val="auto"/>
          <w:kern w:val="0"/>
          <w:sz w:val="32"/>
          <w:szCs w:val="32"/>
          <w:lang w:val="en-US" w:eastAsia="zh-CN"/>
        </w:rPr>
        <w:t>立足住房民生保障与城市安全发展战略高度，加强顶层设计，完善多元化资金筹措机制，优化财政资金分配格局，构建科学高效的资金动态监测与绩效评估体系，提升资金使用效能，强化住房领域风险防控的资源保障能力。</w:t>
      </w:r>
    </w:p>
    <w:p w14:paraId="69E48554">
      <w:pPr>
        <w:numPr>
          <w:ilvl w:val="0"/>
          <w:numId w:val="4"/>
        </w:numPr>
        <w:adjustRightInd w:val="0"/>
        <w:snapToGrid w:val="0"/>
        <w:spacing w:line="360" w:lineRule="auto"/>
        <w:ind w:firstLine="643" w:firstLineChars="200"/>
        <w:rPr>
          <w:rFonts w:hint="default" w:ascii="楷体_GB2312" w:hAnsi="楷体_GB2312" w:eastAsia="楷体_GB2312" w:cs="楷体_GB2312"/>
          <w:b/>
          <w:bCs/>
          <w:color w:val="auto"/>
          <w:kern w:val="0"/>
          <w:sz w:val="32"/>
          <w:szCs w:val="32"/>
          <w:lang w:val="en-US" w:eastAsia="zh-CN"/>
        </w:rPr>
      </w:pPr>
      <w:r>
        <w:rPr>
          <w:rFonts w:hint="default" w:ascii="楷体_GB2312" w:hAnsi="楷体_GB2312" w:eastAsia="楷体_GB2312" w:cs="楷体_GB2312"/>
          <w:b/>
          <w:bCs/>
          <w:color w:val="auto"/>
          <w:kern w:val="0"/>
          <w:sz w:val="32"/>
          <w:szCs w:val="32"/>
          <w:lang w:val="en-US" w:eastAsia="zh-CN"/>
        </w:rPr>
        <w:t>推动协同治理与政策创新</w:t>
      </w:r>
    </w:p>
    <w:p w14:paraId="087E7713">
      <w:pPr>
        <w:numPr>
          <w:ilvl w:val="0"/>
          <w:numId w:val="0"/>
        </w:numPr>
        <w:adjustRightInd w:val="0"/>
        <w:snapToGrid w:val="0"/>
        <w:spacing w:line="360" w:lineRule="auto"/>
        <w:ind w:firstLine="640" w:firstLineChars="200"/>
        <w:rPr>
          <w:rFonts w:hint="default" w:ascii="仿宋_GB2312" w:hAnsi="仿宋_GB2312" w:eastAsia="仿宋_GB2312" w:cs="Calibri"/>
          <w:color w:val="auto"/>
          <w:kern w:val="0"/>
          <w:sz w:val="32"/>
          <w:szCs w:val="32"/>
          <w:lang w:val="en-US" w:eastAsia="zh-CN"/>
        </w:rPr>
      </w:pPr>
      <w:r>
        <w:rPr>
          <w:rFonts w:hint="default" w:ascii="仿宋_GB2312" w:hAnsi="仿宋_GB2312" w:eastAsia="仿宋_GB2312" w:cs="Calibri"/>
          <w:color w:val="auto"/>
          <w:kern w:val="0"/>
          <w:sz w:val="32"/>
          <w:szCs w:val="32"/>
          <w:lang w:val="en-US" w:eastAsia="zh-CN"/>
        </w:rPr>
        <w:t>打破部门壁垒，建立健全跨部门协同推进机制，强化项目全周期管理与统筹协调。聚焦住房保障和危旧房改造难点问题，加强政策研究与创新，完善相关政策法规体系，以政策引领推动住房项目顺利实施和住房领域治理体系升级。</w:t>
      </w:r>
    </w:p>
    <w:p w14:paraId="38A952C1">
      <w:pPr>
        <w:numPr>
          <w:ilvl w:val="0"/>
          <w:numId w:val="0"/>
        </w:numPr>
        <w:adjustRightInd w:val="0"/>
        <w:snapToGrid w:val="0"/>
        <w:spacing w:line="360" w:lineRule="auto"/>
        <w:ind w:firstLine="643" w:firstLineChars="200"/>
        <w:rPr>
          <w:rFonts w:hint="default"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（三）</w:t>
      </w:r>
      <w:r>
        <w:rPr>
          <w:rFonts w:hint="default" w:ascii="楷体_GB2312" w:hAnsi="楷体_GB2312" w:eastAsia="楷体_GB2312" w:cs="楷体_GB2312"/>
          <w:b/>
          <w:bCs/>
          <w:color w:val="auto"/>
          <w:kern w:val="0"/>
          <w:sz w:val="32"/>
          <w:szCs w:val="32"/>
          <w:lang w:val="en-US" w:eastAsia="zh-CN"/>
        </w:rPr>
        <w:t>激发社会活力与主体责任</w:t>
      </w:r>
    </w:p>
    <w:p w14:paraId="48A470B1">
      <w:pPr>
        <w:numPr>
          <w:ilvl w:val="0"/>
          <w:numId w:val="0"/>
        </w:numPr>
        <w:adjustRightInd w:val="0"/>
        <w:snapToGrid w:val="0"/>
        <w:spacing w:line="360" w:lineRule="auto"/>
        <w:ind w:firstLine="640" w:firstLineChars="200"/>
        <w:rPr>
          <w:rFonts w:hint="default" w:ascii="仿宋_GB2312" w:hAnsi="仿宋_GB2312" w:eastAsia="仿宋_GB2312" w:cs="Calibri"/>
          <w:color w:val="auto"/>
          <w:kern w:val="0"/>
          <w:sz w:val="32"/>
          <w:szCs w:val="32"/>
          <w:lang w:val="en-US" w:eastAsia="zh-CN"/>
        </w:rPr>
      </w:pPr>
      <w:r>
        <w:rPr>
          <w:rFonts w:hint="default" w:ascii="仿宋_GB2312" w:hAnsi="仿宋_GB2312" w:eastAsia="仿宋_GB2312" w:cs="Calibri"/>
          <w:color w:val="auto"/>
          <w:kern w:val="0"/>
          <w:sz w:val="32"/>
          <w:szCs w:val="32"/>
          <w:lang w:val="en-US" w:eastAsia="zh-CN"/>
        </w:rPr>
        <w:t>坚持共建共治共享理念，优化社会资本参与住房领域建设的政策环境，完善激励机制，提升社会资本参与积极性与获得感。强化宣传引导，增强住房产权人主体责任意识，构建政府主导、社会参与、居民尽责的住房治理共同体，凝聚住房领域发展合力。</w:t>
      </w:r>
    </w:p>
    <w:p w14:paraId="2D259C6D">
      <w:pPr>
        <w:numPr>
          <w:ilvl w:val="0"/>
          <w:numId w:val="0"/>
        </w:numPr>
        <w:adjustRightInd w:val="0"/>
        <w:snapToGrid w:val="0"/>
        <w:spacing w:line="360" w:lineRule="auto"/>
        <w:ind w:firstLine="643" w:firstLineChars="200"/>
        <w:rPr>
          <w:rFonts w:hint="default"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（四）</w:t>
      </w:r>
      <w:r>
        <w:rPr>
          <w:rFonts w:hint="default" w:ascii="楷体_GB2312" w:hAnsi="楷体_GB2312" w:eastAsia="楷体_GB2312" w:cs="楷体_GB2312"/>
          <w:b/>
          <w:bCs/>
          <w:color w:val="auto"/>
          <w:kern w:val="0"/>
          <w:sz w:val="32"/>
          <w:szCs w:val="32"/>
          <w:lang w:val="en-US" w:eastAsia="zh-CN"/>
        </w:rPr>
        <w:t>夯实基层基础与长效监管</w:t>
      </w:r>
    </w:p>
    <w:p w14:paraId="29DDEC38">
      <w:pPr>
        <w:numPr>
          <w:ilvl w:val="0"/>
          <w:numId w:val="0"/>
        </w:numPr>
        <w:adjustRightInd w:val="0"/>
        <w:snapToGrid w:val="0"/>
        <w:spacing w:line="360" w:lineRule="auto"/>
        <w:ind w:firstLine="640" w:firstLineChars="200"/>
        <w:rPr>
          <w:rFonts w:hint="default" w:ascii="仿宋_GB2312" w:hAnsi="仿宋_GB2312" w:eastAsia="仿宋_GB2312" w:cs="Calibri"/>
          <w:color w:val="auto"/>
          <w:kern w:val="0"/>
          <w:sz w:val="32"/>
          <w:szCs w:val="32"/>
          <w:lang w:val="en-US" w:eastAsia="zh-CN"/>
        </w:rPr>
      </w:pPr>
      <w:r>
        <w:rPr>
          <w:rFonts w:hint="default" w:ascii="仿宋_GB2312" w:hAnsi="仿宋_GB2312" w:eastAsia="仿宋_GB2312" w:cs="Calibri"/>
          <w:color w:val="auto"/>
          <w:kern w:val="0"/>
          <w:sz w:val="32"/>
          <w:szCs w:val="32"/>
          <w:lang w:val="en-US" w:eastAsia="zh-CN"/>
        </w:rPr>
        <w:t>重视基层能力建设，加强基层专业人才队伍培育，提升基层住房治理的专业化、规范化水平。完善住房领域监管体系，强化数字化、智能化监管手段应用，建立健全常态化、精细化监管机制，推动住房领域治理体系和治理能力现代化，实现住房工作长效可持续发展。</w:t>
      </w:r>
    </w:p>
    <w:p w14:paraId="7B7D9AA3">
      <w:pPr>
        <w:pStyle w:val="16"/>
        <w:pageBreakBefore w:val="0"/>
        <w:kinsoku/>
        <w:wordWrap/>
        <w:overflowPunct/>
        <w:topLinePunct w:val="0"/>
        <w:autoSpaceDE/>
        <w:autoSpaceDN/>
        <w:bidi w:val="0"/>
        <w:adjustRightInd/>
        <w:spacing w:line="600" w:lineRule="exact"/>
        <w:ind w:left="1700" w:hanging="1280" w:hangingChars="400"/>
        <w:textAlignment w:val="auto"/>
        <w:outlineLvl w:val="9"/>
        <w:rPr>
          <w:rFonts w:hint="eastAsia" w:ascii="仿宋_GB2312" w:hAnsi="仿宋_GB2312" w:eastAsia="仿宋_GB2312" w:cs="仿宋_GB2312"/>
          <w:color w:val="auto"/>
          <w:sz w:val="32"/>
          <w:highlight w:val="none"/>
        </w:rPr>
      </w:pPr>
      <w:bookmarkStart w:id="46" w:name="_Toc28603"/>
    </w:p>
    <w:p w14:paraId="6DCE8200">
      <w:pPr>
        <w:pStyle w:val="16"/>
        <w:pageBreakBefore w:val="0"/>
        <w:kinsoku/>
        <w:wordWrap/>
        <w:overflowPunct/>
        <w:topLinePunct w:val="0"/>
        <w:autoSpaceDE/>
        <w:autoSpaceDN/>
        <w:bidi w:val="0"/>
        <w:adjustRightInd/>
        <w:spacing w:line="600" w:lineRule="exact"/>
        <w:ind w:left="1700" w:hanging="1280" w:hangingChars="400"/>
        <w:textAlignment w:val="auto"/>
        <w:outlineLvl w:val="9"/>
        <w:rPr>
          <w:rFonts w:hint="eastAsia" w:ascii="仿宋_GB2312" w:hAnsi="仿宋_GB2312" w:eastAsia="仿宋_GB2312" w:cs="仿宋_GB2312"/>
          <w:color w:val="auto"/>
          <w:sz w:val="32"/>
          <w:highlight w:val="none"/>
        </w:rPr>
      </w:pPr>
      <w:bookmarkStart w:id="47" w:name="_Toc13178"/>
      <w:bookmarkStart w:id="48" w:name="_Toc6538"/>
    </w:p>
    <w:p w14:paraId="327745E5">
      <w:pPr>
        <w:pStyle w:val="16"/>
        <w:pageBreakBefore w:val="0"/>
        <w:kinsoku/>
        <w:wordWrap/>
        <w:overflowPunct/>
        <w:topLinePunct w:val="0"/>
        <w:autoSpaceDE/>
        <w:autoSpaceDN/>
        <w:bidi w:val="0"/>
        <w:adjustRightInd/>
        <w:spacing w:line="600" w:lineRule="exact"/>
        <w:ind w:left="1700" w:hanging="1280" w:hangingChars="400"/>
        <w:textAlignment w:val="auto"/>
        <w:outlineLvl w:val="9"/>
        <w:rPr>
          <w:rFonts w:hint="eastAsia" w:ascii="仿宋_GB2312" w:hAnsi="仿宋_GB2312" w:eastAsia="仿宋_GB2312" w:cs="仿宋_GB2312"/>
          <w:color w:val="auto"/>
          <w:sz w:val="32"/>
          <w:highlight w:val="none"/>
        </w:rPr>
      </w:pPr>
    </w:p>
    <w:p w14:paraId="5A64833E">
      <w:pPr>
        <w:pStyle w:val="16"/>
        <w:pageBreakBefore w:val="0"/>
        <w:kinsoku/>
        <w:wordWrap/>
        <w:overflowPunct/>
        <w:topLinePunct w:val="0"/>
        <w:autoSpaceDE/>
        <w:autoSpaceDN/>
        <w:bidi w:val="0"/>
        <w:adjustRightInd/>
        <w:spacing w:line="600" w:lineRule="exact"/>
        <w:ind w:left="1700" w:hanging="1280" w:hangingChars="400"/>
        <w:textAlignment w:val="auto"/>
        <w:outlineLvl w:val="9"/>
        <w:rPr>
          <w:rFonts w:hint="eastAsia" w:ascii="仿宋_GB2312" w:hAnsi="仿宋_GB2312" w:eastAsia="仿宋_GB2312" w:cs="仿宋_GB2312"/>
          <w:color w:val="auto"/>
          <w:sz w:val="32"/>
          <w:highlight w:val="none"/>
        </w:rPr>
      </w:pPr>
    </w:p>
    <w:p w14:paraId="45DFA5B2">
      <w:pPr>
        <w:pStyle w:val="16"/>
        <w:pageBreakBefore w:val="0"/>
        <w:kinsoku/>
        <w:wordWrap/>
        <w:overflowPunct/>
        <w:topLinePunct w:val="0"/>
        <w:autoSpaceDE/>
        <w:autoSpaceDN/>
        <w:bidi w:val="0"/>
        <w:adjustRightInd/>
        <w:spacing w:line="600" w:lineRule="exact"/>
        <w:ind w:left="1700" w:hanging="1280" w:hangingChars="400"/>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highlight w:val="none"/>
        </w:rPr>
        <w:t>附件</w:t>
      </w:r>
      <w:r>
        <w:rPr>
          <w:rFonts w:hint="eastAsia" w:ascii="仿宋_GB2312" w:hAnsi="仿宋_GB2312" w:eastAsia="仿宋_GB2312" w:cs="仿宋_GB2312"/>
          <w:color w:val="auto"/>
          <w:sz w:val="32"/>
          <w:highlight w:val="none"/>
          <w:lang w:eastAsia="zh-CN"/>
        </w:rPr>
        <w:t>：</w:t>
      </w:r>
      <w:bookmarkEnd w:id="46"/>
      <w:bookmarkEnd w:id="47"/>
      <w:bookmarkEnd w:id="48"/>
      <w:r>
        <w:rPr>
          <w:rFonts w:hint="default" w:ascii="Times New Roman" w:hAnsi="Times New Roman" w:eastAsia="仿宋_GB2312" w:cs="Times New Roman"/>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w:t>
      </w:r>
      <w:r>
        <w:rPr>
          <w:rFonts w:hint="default" w:ascii="Times New Roman" w:hAnsi="Times New Roman" w:eastAsia="仿宋_GB2312" w:cs="Times New Roman"/>
          <w:color w:val="auto"/>
          <w:sz w:val="32"/>
          <w:szCs w:val="32"/>
          <w:lang w:val="en-US" w:eastAsia="zh-CN" w:bidi="ar"/>
        </w:rPr>
        <w:t>2024年保障性安居工程专项资金</w:t>
      </w:r>
      <w:r>
        <w:rPr>
          <w:rFonts w:hint="eastAsia" w:ascii="Times New Roman" w:hAnsi="Times New Roman" w:eastAsia="仿宋_GB2312" w:cs="Times New Roman"/>
          <w:color w:val="auto"/>
          <w:kern w:val="0"/>
          <w:sz w:val="32"/>
          <w:szCs w:val="32"/>
          <w:highlight w:val="none"/>
          <w:lang w:eastAsia="zh-CN"/>
        </w:rPr>
        <w:t>收支</w:t>
      </w:r>
      <w:r>
        <w:rPr>
          <w:rFonts w:hint="eastAsia" w:ascii="仿宋_GB2312" w:hAnsi="仿宋_GB2312" w:eastAsia="仿宋_GB2312" w:cs="仿宋_GB2312"/>
          <w:color w:val="auto"/>
          <w:kern w:val="0"/>
          <w:sz w:val="32"/>
          <w:szCs w:val="32"/>
          <w:highlight w:val="none"/>
        </w:rPr>
        <w:t>情况汇总表</w:t>
      </w:r>
    </w:p>
    <w:p w14:paraId="0D868A27">
      <w:pPr>
        <w:pStyle w:val="16"/>
        <w:pageBreakBefore w:val="0"/>
        <w:kinsoku/>
        <w:wordWrap/>
        <w:overflowPunct/>
        <w:topLinePunct w:val="0"/>
        <w:autoSpaceDE/>
        <w:autoSpaceDN/>
        <w:bidi w:val="0"/>
        <w:adjustRightInd/>
        <w:spacing w:line="600" w:lineRule="exact"/>
        <w:ind w:left="1727" w:leftChars="670" w:hanging="320" w:hangingChars="100"/>
        <w:textAlignment w:val="auto"/>
        <w:rPr>
          <w:rFonts w:hint="eastAsia" w:ascii="仿宋_GB2312" w:hAnsi="仿宋_GB2312" w:eastAsia="仿宋_GB2312" w:cs="仿宋_GB2312"/>
          <w:color w:val="auto"/>
          <w:sz w:val="32"/>
          <w:highlight w:val="none"/>
        </w:rPr>
      </w:pPr>
      <w:r>
        <w:rPr>
          <w:rFonts w:hint="default" w:ascii="Times New Roman" w:hAnsi="Times New Roman" w:eastAsia="仿宋_GB2312" w:cs="Times New Roman"/>
          <w:color w:val="auto"/>
          <w:sz w:val="32"/>
          <w:highlight w:val="none"/>
          <w:lang w:val="en-US" w:eastAsia="zh-CN"/>
        </w:rPr>
        <w:t>2</w:t>
      </w:r>
      <w:r>
        <w:rPr>
          <w:rFonts w:hint="eastAsia" w:ascii="仿宋_GB2312" w:hAnsi="仿宋_GB2312" w:eastAsia="仿宋_GB2312" w:cs="仿宋_GB2312"/>
          <w:color w:val="auto"/>
          <w:sz w:val="32"/>
          <w:highlight w:val="none"/>
        </w:rPr>
        <w:t>.</w:t>
      </w:r>
      <w:r>
        <w:rPr>
          <w:rFonts w:hint="default" w:ascii="Times New Roman" w:hAnsi="Times New Roman" w:eastAsia="仿宋_GB2312" w:cs="Times New Roman"/>
          <w:color w:val="auto"/>
          <w:sz w:val="32"/>
          <w:szCs w:val="32"/>
          <w:lang w:val="en-US" w:eastAsia="zh-CN" w:bidi="ar"/>
        </w:rPr>
        <w:t>2024年保障性安居工程专项资金</w:t>
      </w:r>
      <w:r>
        <w:rPr>
          <w:rFonts w:hint="eastAsia" w:ascii="仿宋_GB2312" w:hAnsi="仿宋_GB2312" w:eastAsia="仿宋_GB2312" w:cs="仿宋_GB2312"/>
          <w:color w:val="auto"/>
          <w:sz w:val="32"/>
          <w:highlight w:val="none"/>
        </w:rPr>
        <w:t>计划项目完成情况汇总表</w:t>
      </w:r>
    </w:p>
    <w:p w14:paraId="77B692FE">
      <w:pPr>
        <w:pStyle w:val="9"/>
        <w:pageBreakBefore w:val="0"/>
        <w:kinsoku/>
        <w:wordWrap/>
        <w:overflowPunct/>
        <w:topLinePunct w:val="0"/>
        <w:autoSpaceDE/>
        <w:autoSpaceDN/>
        <w:bidi w:val="0"/>
        <w:adjustRightInd/>
        <w:spacing w:line="600" w:lineRule="exact"/>
        <w:ind w:left="1727" w:leftChars="670" w:hanging="320" w:hangingChars="100"/>
        <w:textAlignment w:val="auto"/>
        <w:rPr>
          <w:rFonts w:hint="eastAsia" w:ascii="仿宋_GB2312" w:hAnsi="仿宋_GB2312" w:eastAsia="仿宋_GB2312" w:cs="仿宋_GB2312"/>
          <w:color w:val="auto"/>
          <w:kern w:val="0"/>
          <w:sz w:val="32"/>
          <w:szCs w:val="32"/>
          <w:highlight w:val="none"/>
        </w:rPr>
        <w:sectPr>
          <w:footerReference r:id="rId5" w:type="default"/>
          <w:pgSz w:w="11906" w:h="16838"/>
          <w:pgMar w:top="2041" w:right="1417" w:bottom="1417" w:left="1531"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r>
        <w:rPr>
          <w:rFonts w:hint="default" w:ascii="Times New Roman" w:hAnsi="Times New Roman" w:eastAsia="仿宋_GB2312" w:cs="Times New Roman"/>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w:t>
      </w:r>
      <w:r>
        <w:rPr>
          <w:rFonts w:hint="default" w:ascii="Times New Roman" w:hAnsi="Times New Roman" w:eastAsia="仿宋_GB2312" w:cs="Times New Roman"/>
          <w:color w:val="auto"/>
          <w:sz w:val="32"/>
          <w:szCs w:val="32"/>
          <w:lang w:val="en-US" w:eastAsia="zh-CN" w:bidi="ar"/>
        </w:rPr>
        <w:t>2024年保障性安居工程专项资金</w:t>
      </w:r>
      <w:r>
        <w:rPr>
          <w:rFonts w:hint="eastAsia" w:ascii="仿宋_GB2312" w:hAnsi="仿宋_GB2312" w:eastAsia="仿宋_GB2312" w:cs="仿宋_GB2312"/>
          <w:color w:val="auto"/>
          <w:kern w:val="0"/>
          <w:sz w:val="32"/>
          <w:szCs w:val="32"/>
          <w:highlight w:val="none"/>
        </w:rPr>
        <w:t>绩效自评佐证材料清单</w:t>
      </w:r>
    </w:p>
    <w:p w14:paraId="7E6DEFE1">
      <w:pPr>
        <w:pStyle w:val="16"/>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default" w:ascii="Times New Roman" w:hAnsi="Times New Roman" w:eastAsia="仿宋_GB2312" w:cs="Times New Roman"/>
          <w:color w:val="auto"/>
          <w:kern w:val="0"/>
          <w:sz w:val="28"/>
          <w:szCs w:val="28"/>
          <w:highlight w:val="none"/>
          <w:lang w:val="en-US" w:eastAsia="zh-CN"/>
        </w:rPr>
      </w:pPr>
      <w:bookmarkStart w:id="49" w:name="_Toc27627"/>
      <w:r>
        <w:rPr>
          <w:rFonts w:hint="eastAsia" w:ascii="仿宋_GB2312" w:hAnsi="仿宋_GB2312" w:eastAsia="仿宋_GB2312" w:cs="仿宋_GB2312"/>
          <w:color w:val="auto"/>
          <w:sz w:val="28"/>
          <w:szCs w:val="28"/>
          <w:highlight w:val="none"/>
        </w:rPr>
        <w:t>附件</w:t>
      </w:r>
      <w:r>
        <w:rPr>
          <w:rFonts w:hint="default" w:ascii="Times New Roman" w:hAnsi="Times New Roman" w:eastAsia="仿宋_GB2312" w:cs="Times New Roman"/>
          <w:color w:val="auto"/>
          <w:kern w:val="0"/>
          <w:sz w:val="28"/>
          <w:szCs w:val="28"/>
          <w:highlight w:val="none"/>
          <w:lang w:val="en-US" w:eastAsia="zh-CN"/>
        </w:rPr>
        <w:t>1</w:t>
      </w:r>
      <w:bookmarkEnd w:id="49"/>
    </w:p>
    <w:p w14:paraId="75ADA07B">
      <w:pPr>
        <w:pStyle w:val="16"/>
        <w:keepNext w:val="0"/>
        <w:keepLines w:val="0"/>
        <w:pageBreakBefore w:val="0"/>
        <w:widowControl w:val="0"/>
        <w:kinsoku/>
        <w:wordWrap/>
        <w:overflowPunct/>
        <w:topLinePunct w:val="0"/>
        <w:autoSpaceDE/>
        <w:autoSpaceDN/>
        <w:bidi w:val="0"/>
        <w:adjustRightInd/>
        <w:snapToGrid/>
        <w:spacing w:line="240" w:lineRule="auto"/>
        <w:ind w:left="1700" w:hanging="1120" w:hangingChars="400"/>
        <w:jc w:val="center"/>
        <w:textAlignment w:val="auto"/>
        <w:outlineLvl w:val="9"/>
        <w:rPr>
          <w:rFonts w:hint="eastAsia" w:ascii="黑体" w:hAnsi="黑体" w:eastAsia="黑体" w:cs="黑体"/>
          <w:color w:val="auto"/>
          <w:kern w:val="0"/>
          <w:sz w:val="28"/>
          <w:szCs w:val="28"/>
          <w:highlight w:val="none"/>
        </w:rPr>
      </w:pPr>
      <w:r>
        <w:rPr>
          <w:rFonts w:hint="default" w:ascii="Times New Roman" w:hAnsi="Times New Roman" w:eastAsia="黑体" w:cs="Times New Roman"/>
          <w:color w:val="auto"/>
          <w:kern w:val="0"/>
          <w:sz w:val="28"/>
          <w:szCs w:val="28"/>
          <w:highlight w:val="none"/>
          <w:lang w:val="en-US" w:eastAsia="zh-CN"/>
        </w:rPr>
        <w:t>2024</w:t>
      </w:r>
      <w:r>
        <w:rPr>
          <w:rFonts w:hint="eastAsia" w:ascii="黑体" w:hAnsi="黑体" w:eastAsia="黑体" w:cs="黑体"/>
          <w:color w:val="auto"/>
          <w:kern w:val="0"/>
          <w:sz w:val="28"/>
          <w:szCs w:val="28"/>
          <w:highlight w:val="none"/>
          <w:lang w:val="en-US" w:eastAsia="zh-CN"/>
        </w:rPr>
        <w:t>年保障性安居工程专项资金</w:t>
      </w:r>
      <w:r>
        <w:rPr>
          <w:rFonts w:hint="eastAsia" w:ascii="黑体" w:hAnsi="黑体" w:eastAsia="黑体" w:cs="黑体"/>
          <w:color w:val="auto"/>
          <w:kern w:val="0"/>
          <w:sz w:val="28"/>
          <w:szCs w:val="28"/>
          <w:highlight w:val="none"/>
          <w:lang w:eastAsia="zh-CN"/>
        </w:rPr>
        <w:t>收支</w:t>
      </w:r>
      <w:r>
        <w:rPr>
          <w:rFonts w:hint="eastAsia" w:ascii="黑体" w:hAnsi="黑体" w:eastAsia="黑体" w:cs="黑体"/>
          <w:color w:val="auto"/>
          <w:kern w:val="0"/>
          <w:sz w:val="28"/>
          <w:szCs w:val="28"/>
          <w:highlight w:val="none"/>
        </w:rPr>
        <w:t>情况汇总表</w:t>
      </w:r>
    </w:p>
    <w:p w14:paraId="1EF86326">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0"/>
          <w:sz w:val="24"/>
          <w:szCs w:val="24"/>
          <w:highlight w:val="none"/>
          <w:lang w:val="en-US" w:eastAsia="zh-CN"/>
        </w:rPr>
        <w:t>单位：万元</w:t>
      </w:r>
    </w:p>
    <w:tbl>
      <w:tblPr>
        <w:tblStyle w:val="21"/>
        <w:tblW w:w="146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9"/>
        <w:gridCol w:w="931"/>
        <w:gridCol w:w="1124"/>
        <w:gridCol w:w="1097"/>
        <w:gridCol w:w="1138"/>
        <w:gridCol w:w="863"/>
        <w:gridCol w:w="922"/>
        <w:gridCol w:w="909"/>
        <w:gridCol w:w="1124"/>
        <w:gridCol w:w="1149"/>
        <w:gridCol w:w="1206"/>
        <w:gridCol w:w="1324"/>
        <w:gridCol w:w="1254"/>
        <w:gridCol w:w="1216"/>
      </w:tblGrid>
      <w:tr w14:paraId="6B3B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blHeader/>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FE88A">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kern w:val="0"/>
                <w:sz w:val="21"/>
                <w:szCs w:val="21"/>
                <w:lang w:bidi="ar"/>
              </w:rPr>
              <w:t>行次</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01E33">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城市名称</w:t>
            </w: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1B90F">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保障性安居工程</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46FFA">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城市危旧房摸底调查</w:t>
            </w:r>
          </w:p>
        </w:tc>
        <w:tc>
          <w:tcPr>
            <w:tcW w:w="3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69519">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default" w:ascii="仿宋_GB2312" w:hAnsi="仿宋_GB2312" w:eastAsia="仿宋_GB2312" w:cs="仿宋_GB2312"/>
                <w:b/>
                <w:bCs/>
                <w:color w:val="auto"/>
                <w:kern w:val="0"/>
                <w:sz w:val="24"/>
                <w:szCs w:val="24"/>
                <w:lang w:bidi="ar"/>
              </w:rPr>
              <w:t>自建房</w:t>
            </w:r>
            <w:r>
              <w:rPr>
                <w:rFonts w:hint="eastAsia" w:ascii="仿宋_GB2312" w:hAnsi="仿宋_GB2312" w:eastAsia="仿宋_GB2312" w:cs="仿宋_GB2312"/>
                <w:b/>
                <w:bCs/>
                <w:color w:val="auto"/>
                <w:kern w:val="0"/>
                <w:sz w:val="24"/>
                <w:szCs w:val="24"/>
                <w:lang w:val="en-US" w:eastAsia="zh-CN" w:bidi="ar"/>
              </w:rPr>
              <w:t>安全专项</w:t>
            </w:r>
            <w:r>
              <w:rPr>
                <w:rFonts w:hint="default" w:ascii="仿宋_GB2312" w:hAnsi="仿宋_GB2312" w:eastAsia="仿宋_GB2312" w:cs="仿宋_GB2312"/>
                <w:b/>
                <w:bCs/>
                <w:color w:val="auto"/>
                <w:kern w:val="0"/>
                <w:sz w:val="24"/>
                <w:szCs w:val="24"/>
                <w:lang w:bidi="ar"/>
              </w:rPr>
              <w:t>整治</w:t>
            </w:r>
          </w:p>
        </w:tc>
        <w:tc>
          <w:tcPr>
            <w:tcW w:w="3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71074">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合计</w:t>
            </w:r>
          </w:p>
        </w:tc>
      </w:tr>
      <w:tr w14:paraId="133D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blHeader/>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83FE2">
            <w:pPr>
              <w:jc w:val="center"/>
              <w:rPr>
                <w:rFonts w:hint="eastAsia" w:ascii="仿宋_GB2312" w:hAnsi="仿宋_GB2312" w:eastAsia="仿宋_GB2312" w:cs="仿宋_GB2312"/>
                <w:b/>
                <w:bCs/>
                <w:i w:val="0"/>
                <w:iCs w:val="0"/>
                <w:color w:val="auto"/>
                <w:sz w:val="21"/>
                <w:szCs w:val="21"/>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B9E15">
            <w:pPr>
              <w:jc w:val="center"/>
              <w:rPr>
                <w:rFonts w:hint="eastAsia" w:ascii="仿宋_GB2312" w:hAnsi="仿宋_GB2312" w:eastAsia="仿宋_GB2312" w:cs="仿宋_GB2312"/>
                <w:b/>
                <w:bCs/>
                <w:i w:val="0"/>
                <w:iCs w:val="0"/>
                <w:color w:val="auto"/>
                <w:sz w:val="21"/>
                <w:szCs w:val="21"/>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AB4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预算指标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2927">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到位资金</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AB93">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实际支出</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1410">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预算指标</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9DA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到位资金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BB10">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实际支出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055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预算指标</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E2E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到位资金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465B">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实际支出</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63A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预算指标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DE83">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到位资金</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130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kern w:val="0"/>
                <w:sz w:val="21"/>
                <w:szCs w:val="21"/>
                <w:u w:val="none"/>
                <w:lang w:val="en-US" w:eastAsia="zh-CN" w:bidi="ar"/>
              </w:rPr>
              <w:t>实际支出</w:t>
            </w:r>
          </w:p>
        </w:tc>
      </w:tr>
      <w:tr w14:paraId="45E7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blHeader/>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7D3CE">
            <w:pPr>
              <w:jc w:val="center"/>
              <w:rPr>
                <w:rFonts w:hint="eastAsia" w:ascii="仿宋_GB2312" w:hAnsi="仿宋_GB2312" w:eastAsia="仿宋_GB2312" w:cs="仿宋_GB2312"/>
                <w:b/>
                <w:bCs/>
                <w:i w:val="0"/>
                <w:iCs w:val="0"/>
                <w:color w:val="auto"/>
                <w:sz w:val="21"/>
                <w:szCs w:val="21"/>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EEA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b/>
                <w:bCs/>
                <w:i w:val="0"/>
                <w:iCs w:val="0"/>
                <w:color w:val="auto"/>
                <w:sz w:val="21"/>
                <w:szCs w:val="21"/>
                <w:u w:val="none"/>
                <w:lang w:val="en-US" w:eastAsia="zh-CN"/>
              </w:rPr>
              <w:t>栏次</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9283">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5132">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1AD7">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5ACC">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2429">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6E25">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9F4F">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BEAF">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35C9">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9</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2AD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lang w:val="en-US"/>
              </w:rPr>
            </w:pPr>
            <w:r>
              <w:rPr>
                <w:rFonts w:hint="default" w:ascii="Times New Roman" w:hAnsi="Times New Roman" w:eastAsia="仿宋_GB2312" w:cs="Times New Roman"/>
                <w:i w:val="0"/>
                <w:iCs w:val="0"/>
                <w:color w:val="auto"/>
                <w:kern w:val="0"/>
                <w:sz w:val="21"/>
                <w:szCs w:val="21"/>
                <w:u w:val="none"/>
                <w:lang w:val="en-US" w:eastAsia="zh-CN" w:bidi="ar"/>
              </w:rPr>
              <w:t>10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22A7">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lang w:val="en-US"/>
              </w:rPr>
            </w:pPr>
            <w:r>
              <w:rPr>
                <w:rFonts w:hint="default" w:ascii="Times New Roman" w:hAnsi="Times New Roman" w:eastAsia="仿宋_GB2312" w:cs="Times New Roman"/>
                <w:i w:val="0"/>
                <w:iCs w:val="0"/>
                <w:color w:val="auto"/>
                <w:kern w:val="0"/>
                <w:sz w:val="21"/>
                <w:szCs w:val="21"/>
                <w:u w:val="none"/>
                <w:lang w:val="en-US" w:eastAsia="zh-CN" w:bidi="ar"/>
              </w:rPr>
              <w:t>11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7EBE">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lang w:val="en-US"/>
              </w:rPr>
            </w:pPr>
            <w:r>
              <w:rPr>
                <w:rFonts w:hint="default" w:ascii="Times New Roman" w:hAnsi="Times New Roman" w:eastAsia="仿宋_GB2312" w:cs="Times New Roman"/>
                <w:i w:val="0"/>
                <w:iCs w:val="0"/>
                <w:color w:val="auto"/>
                <w:kern w:val="0"/>
                <w:sz w:val="21"/>
                <w:szCs w:val="21"/>
                <w:u w:val="none"/>
                <w:lang w:val="en-US" w:eastAsia="zh-CN" w:bidi="ar"/>
              </w:rPr>
              <w:t>12</w:t>
            </w:r>
          </w:p>
        </w:tc>
      </w:tr>
      <w:tr w14:paraId="7AEF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359A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合  计</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B627">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49480.00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1016">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49480.00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642C">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42541.48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9CDA">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853.00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60A3">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853.00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B4A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368.39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D251">
            <w:pPr>
              <w:keepNext w:val="0"/>
              <w:keepLines w:val="0"/>
              <w:widowControl/>
              <w:suppressLineNumbers w:val="0"/>
              <w:jc w:val="center"/>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2,062.00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E986">
            <w:pPr>
              <w:keepNext w:val="0"/>
              <w:keepLines w:val="0"/>
              <w:widowControl/>
              <w:suppressLineNumbers w:val="0"/>
              <w:jc w:val="center"/>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2,062.00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8FAD">
            <w:pPr>
              <w:keepNext w:val="0"/>
              <w:keepLines w:val="0"/>
              <w:widowControl/>
              <w:suppressLineNumbers w:val="0"/>
              <w:jc w:val="center"/>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1,071.14 </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7D16">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53,285.00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9D0C">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53,074.93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BA30">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44,870.64 </w:t>
            </w:r>
          </w:p>
        </w:tc>
      </w:tr>
      <w:tr w14:paraId="1B0A6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F10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845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广州市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2661">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23375.95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7CE5">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23375.95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8E26">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23375.95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A4B8">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8E59">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885B">
            <w:pPr>
              <w:jc w:val="right"/>
              <w:rPr>
                <w:rFonts w:hint="default" w:ascii="Times New Roman" w:hAnsi="Times New Roman" w:eastAsia="仿宋_GB2312" w:cs="Times New Roman"/>
                <w:i w:val="0"/>
                <w:iCs w:val="0"/>
                <w:color w:val="auto"/>
                <w:sz w:val="21"/>
                <w:szCs w:val="21"/>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80CC">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2855">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7A19">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C7C1">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23,375.95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6F9B">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3,375.95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C9E0">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23,375.95 </w:t>
            </w:r>
          </w:p>
        </w:tc>
      </w:tr>
      <w:tr w14:paraId="3070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1E2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600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珠海市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0C62">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3381.24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504E">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3381.24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E55D">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3370.24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3B3E">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624F">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DF7A">
            <w:pPr>
              <w:jc w:val="right"/>
              <w:rPr>
                <w:rFonts w:hint="default" w:ascii="Times New Roman" w:hAnsi="Times New Roman" w:eastAsia="仿宋_GB2312" w:cs="Times New Roman"/>
                <w:i w:val="0"/>
                <w:iCs w:val="0"/>
                <w:color w:val="auto"/>
                <w:sz w:val="21"/>
                <w:szCs w:val="21"/>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1A7D">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3B2A">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A20E">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1C5B">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3,381.24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EF5F">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3,381.24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3131">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3,370.24 </w:t>
            </w:r>
          </w:p>
        </w:tc>
      </w:tr>
      <w:tr w14:paraId="2B70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5C1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3C1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汕头市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A244">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837.45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DA42">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837.45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1CD7">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142.06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48E1">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106.19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78CE">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106.19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D2CB">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5.85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4960">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22.53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EBB5">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22.53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9CCA">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15.00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3F3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966.17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0F1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966.17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62EF">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162.91 </w:t>
            </w:r>
          </w:p>
        </w:tc>
      </w:tr>
      <w:tr w14:paraId="17CE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C74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FB6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佛山市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DDEA">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6747.30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60D1">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6747.30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DCCB">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5152.75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A28B">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23AC">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0853">
            <w:pPr>
              <w:jc w:val="right"/>
              <w:rPr>
                <w:rFonts w:hint="default" w:ascii="Times New Roman" w:hAnsi="Times New Roman" w:eastAsia="仿宋_GB2312" w:cs="Times New Roman"/>
                <w:i w:val="0"/>
                <w:iCs w:val="0"/>
                <w:color w:val="auto"/>
                <w:sz w:val="21"/>
                <w:szCs w:val="21"/>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A7F1">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AA4F">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5383">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3798">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6,747.30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76B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6,747.30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FC5D">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5,152.75 </w:t>
            </w:r>
          </w:p>
        </w:tc>
      </w:tr>
      <w:tr w14:paraId="379B8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5E2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ADF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韶关市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7D52">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509.75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5CEB">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509.75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B1E6">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56.00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735B">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130.51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53C9">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130.51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6911">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80.32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C33E">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112.87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81FF">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112.87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E4EF">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95.81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369B">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753.13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4A0F">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753.13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9A9B">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232.13 </w:t>
            </w:r>
          </w:p>
        </w:tc>
      </w:tr>
      <w:tr w14:paraId="53F0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43C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740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河源市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9985">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345.58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A773">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345.58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2D28">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165.55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6736">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55.73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9B93">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55.73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6F1F">
            <w:pPr>
              <w:jc w:val="right"/>
              <w:rPr>
                <w:rFonts w:hint="default" w:ascii="Times New Roman" w:hAnsi="Times New Roman" w:eastAsia="仿宋_GB2312" w:cs="Times New Roman"/>
                <w:i w:val="0"/>
                <w:iCs w:val="0"/>
                <w:color w:val="auto"/>
                <w:sz w:val="21"/>
                <w:szCs w:val="21"/>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E549">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157.93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108E">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157.93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E782">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81.56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6C83">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559.24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478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499.40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E757">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247.11 </w:t>
            </w:r>
          </w:p>
        </w:tc>
      </w:tr>
      <w:tr w14:paraId="48775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D23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1EC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梅州市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7CA8">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357.46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D84D">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357.46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2DE6">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150.21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F176">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45.58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D034">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45.58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4FFD">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41.62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410A">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93.74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E29A">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93.74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EE4B">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60.16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D33E">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496.78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ABCB">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496.78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8AE6">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251.99 </w:t>
            </w:r>
          </w:p>
        </w:tc>
      </w:tr>
      <w:tr w14:paraId="68BFD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642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3EF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惠州市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9CF1">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2237.17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2D4D">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2237.17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547C">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1487.08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A979">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29.76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89DE">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29.76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FC6B">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29.76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B236">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590.44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A55A">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590.44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9FBC">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155.50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5FC6">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2,857.37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7C0F">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2,857.37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F6DF">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1,672.34 </w:t>
            </w:r>
          </w:p>
        </w:tc>
      </w:tr>
      <w:tr w14:paraId="6FC3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D7E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B2E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汕尾市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D62E">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171.35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7F0C">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171.35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4777">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166.20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6C05">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26.69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BA8F">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26.69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917F">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0.60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9234">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99.49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F6F6">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99.49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070F">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91.02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FA52">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297.53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8172">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297.53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470C">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257.83 </w:t>
            </w:r>
          </w:p>
        </w:tc>
      </w:tr>
      <w:tr w14:paraId="1FE5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3D4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451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东莞市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C12A">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4809.71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5CEF">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4809.71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9469">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4712.66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0E96">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50C8">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E1E5">
            <w:pPr>
              <w:jc w:val="right"/>
              <w:rPr>
                <w:rFonts w:hint="default" w:ascii="Times New Roman" w:hAnsi="Times New Roman" w:eastAsia="仿宋_GB2312" w:cs="Times New Roman"/>
                <w:i w:val="0"/>
                <w:iCs w:val="0"/>
                <w:color w:val="auto"/>
                <w:sz w:val="21"/>
                <w:szCs w:val="21"/>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19B8">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E300">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0E7D">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6BB3">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4,809.71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DE4A">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4,809.71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1E96">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4,712.66 </w:t>
            </w:r>
          </w:p>
        </w:tc>
      </w:tr>
      <w:tr w14:paraId="2DA0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036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F4F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中山市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8003">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838.14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7872">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838.14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A62B">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838.14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9AEC">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BEA4">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4ED8">
            <w:pPr>
              <w:jc w:val="right"/>
              <w:rPr>
                <w:rFonts w:hint="default" w:ascii="Times New Roman" w:hAnsi="Times New Roman" w:eastAsia="仿宋_GB2312" w:cs="Times New Roman"/>
                <w:i w:val="0"/>
                <w:iCs w:val="0"/>
                <w:color w:val="auto"/>
                <w:sz w:val="21"/>
                <w:szCs w:val="21"/>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CCFE">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851A">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5D93">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D4D9">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838.14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CE38">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838.14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F3E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838.14 </w:t>
            </w:r>
          </w:p>
        </w:tc>
      </w:tr>
      <w:tr w14:paraId="7821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210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826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江门市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61BA">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1291.76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2E60">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1291.76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0023">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695.66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D102">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134.94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CB05">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134.94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F852">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64.85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12E5">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140.37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BD62">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140.37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B367">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118.90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E293">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1,567.07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86BE">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1,567.07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98B7">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879.41 </w:t>
            </w:r>
          </w:p>
        </w:tc>
      </w:tr>
      <w:tr w14:paraId="3EAB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3CF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275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阳江市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DC85">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372.34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20DB">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372.34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BFA3">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372.34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C60A">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44.16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9D46">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44.16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4F5B">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9.16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65BF">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53.96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6A13">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53.96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48F7">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49.36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E408">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470.46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DABF">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470.46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62F9">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430.86 </w:t>
            </w:r>
          </w:p>
        </w:tc>
      </w:tr>
      <w:tr w14:paraId="5D39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8B3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43D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湛江市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EC7A">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1153.50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62CF">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1153.50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55BF">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254.67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4AF9">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113.80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A556">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113.80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BD68">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66.73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E940">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124.39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7AFD">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124.39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0756">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92.60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7AA3">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1,391.69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847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1,391.69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1C52">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414.00 </w:t>
            </w:r>
          </w:p>
        </w:tc>
      </w:tr>
      <w:tr w14:paraId="567A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712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510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茂名市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30DA">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466.62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81D7">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466.62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6F66">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330.00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E9ED">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22.55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EC37">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22.55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77FC">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13.80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A5F2">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129.57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12E8">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129.57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0DBE">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46.15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59DC">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618.74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3981">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558.51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15F1">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389.95 </w:t>
            </w:r>
          </w:p>
        </w:tc>
      </w:tr>
      <w:tr w14:paraId="0ACD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6CC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33F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肇庆市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2124">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747.95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6E60">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747.95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38EE">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265.65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B66D">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23.22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446C">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23.22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B3A0">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23.22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C887">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100.98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21E4">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100.98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C9E5">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79.71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2A7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872.15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AF09">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872.15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4670">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368.57 </w:t>
            </w:r>
          </w:p>
        </w:tc>
      </w:tr>
      <w:tr w14:paraId="2C49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2C8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E19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清远市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89E3">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575.94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ECD4">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575.94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6581">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493.17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C975">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57.72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0776">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57.72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4D5D">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17.27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22AD">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302.92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A3CC">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302.92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61FB">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103.31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7079">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936.58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BCB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936.58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EA20">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613.75 </w:t>
            </w:r>
          </w:p>
        </w:tc>
      </w:tr>
      <w:tr w14:paraId="7EF3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178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8E6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潮州市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D20C">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403.58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7134">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403.58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B098">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117.71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2529">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19.63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F37D">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19.63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1E27">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7.77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CFEB">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90.00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1734">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90.00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6D56">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52.29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32F1">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513.21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F02A">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423.21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A4E7">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177.76 </w:t>
            </w:r>
          </w:p>
        </w:tc>
      </w:tr>
      <w:tr w14:paraId="6E15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F18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A35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揭阳市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4A64">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460.38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8E8E">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460.38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A0B6">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229.32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89CB">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37.04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E377">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37.04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1126">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2.08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6986">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13.35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80D7">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13.35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CC17">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0.32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A6B3">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510.77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5726">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510.77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6C39">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231.73 </w:t>
            </w:r>
          </w:p>
        </w:tc>
      </w:tr>
      <w:tr w14:paraId="43B7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D0E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20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E41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云浮市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E885">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396.83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E54B">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396.83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2172">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166.12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4063">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5.48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AEDE">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5.48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5CBD">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5.36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98E2">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29.46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A59E">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29.46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F5D5">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29.46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4D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431.77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4CE2">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431.77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957D">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200.94 </w:t>
            </w:r>
          </w:p>
        </w:tc>
      </w:tr>
      <w:tr w14:paraId="0C24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2FD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21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2E2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rPr>
            </w:pPr>
            <w:r>
              <w:rPr>
                <w:rFonts w:hint="eastAsia" w:ascii="仿宋_GB2312" w:hAnsi="仿宋_GB2312" w:eastAsia="仿宋_GB2312" w:cs="仿宋_GB2312"/>
                <w:i w:val="0"/>
                <w:iCs w:val="0"/>
                <w:color w:val="auto"/>
                <w:kern w:val="0"/>
                <w:sz w:val="21"/>
                <w:szCs w:val="21"/>
                <w:u w:val="none"/>
                <w:lang w:val="en-US" w:eastAsia="zh-CN" w:bidi="ar"/>
              </w:rPr>
              <w:t>省本级</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5FCB">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0"/>
                <w:szCs w:val="20"/>
                <w:u w:val="none"/>
                <w:lang w:val="en-US" w:eastAsia="zh-CN" w:bidi="ar"/>
              </w:rPr>
              <w:t xml:space="preserve"> -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8124">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0"/>
                <w:szCs w:val="20"/>
                <w:u w:val="none"/>
                <w:lang w:val="en-US" w:eastAsia="zh-CN" w:bidi="ar"/>
              </w:rPr>
              <w:t xml:space="preserve"> -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4199">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20C9">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0B52">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54DC">
            <w:pPr>
              <w:keepNext w:val="0"/>
              <w:keepLines w:val="0"/>
              <w:widowControl/>
              <w:suppressLineNumbers w:val="0"/>
              <w:jc w:val="righ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88E8">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73EA">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F3E3">
            <w:pPr>
              <w:keepNext w:val="0"/>
              <w:keepLines w:val="0"/>
              <w:widowControl/>
              <w:suppressLineNumbers w:val="0"/>
              <w:jc w:val="right"/>
              <w:textAlignment w:val="center"/>
              <w:rPr>
                <w:rFonts w:hint="default" w:ascii="Times New Roman" w:hAnsi="Times New Roman" w:eastAsia="楷体_GB2312" w:cs="Times New Roman"/>
                <w:i w:val="0"/>
                <w:iCs w:val="0"/>
                <w:color w:val="auto"/>
                <w:sz w:val="21"/>
                <w:szCs w:val="21"/>
                <w:u w:val="none"/>
              </w:rPr>
            </w:pPr>
            <w:r>
              <w:rPr>
                <w:rFonts w:hint="default" w:ascii="Times New Roman" w:hAnsi="Times New Roman" w:eastAsia="楷体_GB2312" w:cs="Times New Roman"/>
                <w:i w:val="0"/>
                <w:iCs w:val="0"/>
                <w:color w:val="auto"/>
                <w:kern w:val="0"/>
                <w:sz w:val="21"/>
                <w:szCs w:val="21"/>
                <w:u w:val="none"/>
                <w:lang w:val="en-US" w:eastAsia="zh-CN" w:bidi="ar"/>
              </w:rPr>
              <w:t xml:space="preserve"> -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A86B">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890.00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D17F">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 xml:space="preserve"> 890.00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9949">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889.64 </w:t>
            </w:r>
          </w:p>
        </w:tc>
      </w:tr>
    </w:tbl>
    <w:p w14:paraId="36313AD5">
      <w:pPr>
        <w:pStyle w:val="9"/>
        <w:spacing w:beforeLines="-2147483648" w:line="600" w:lineRule="exact"/>
        <w:ind w:left="1607" w:leftChars="670" w:hanging="200" w:hangingChars="100"/>
        <w:rPr>
          <w:rFonts w:hint="eastAsia" w:ascii="仿宋_GB2312" w:hAnsi="仿宋_GB2312" w:eastAsia="仿宋_GB2312" w:cs="仿宋_GB2312"/>
          <w:color w:val="auto"/>
          <w:kern w:val="0"/>
          <w:sz w:val="20"/>
          <w:szCs w:val="20"/>
          <w:highlight w:val="none"/>
        </w:rPr>
        <w:sectPr>
          <w:pgSz w:w="16838" w:h="11906" w:orient="landscape"/>
          <w:pgMar w:top="1134" w:right="1134" w:bottom="1134"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4CCD246F">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0"/>
        <w:rPr>
          <w:rFonts w:hint="default" w:ascii="Times New Roman" w:hAnsi="Times New Roman" w:eastAsia="仿宋_GB2312" w:cs="Times New Roman"/>
          <w:color w:val="auto"/>
          <w:sz w:val="28"/>
          <w:szCs w:val="28"/>
          <w:highlight w:val="none"/>
          <w:lang w:val="en-US" w:eastAsia="zh-CN"/>
        </w:rPr>
      </w:pPr>
      <w:bookmarkStart w:id="50" w:name="_Toc23075"/>
      <w:r>
        <w:rPr>
          <w:rFonts w:hint="eastAsia" w:ascii="Times New Roman" w:hAnsi="Times New Roman" w:eastAsia="仿宋_GB2312" w:cs="Times New Roman"/>
          <w:color w:val="auto"/>
          <w:sz w:val="28"/>
          <w:szCs w:val="28"/>
          <w:highlight w:val="none"/>
          <w:lang w:val="en-US" w:eastAsia="zh-CN"/>
        </w:rPr>
        <w:t>附件</w:t>
      </w:r>
      <w:r>
        <w:rPr>
          <w:rFonts w:hint="default" w:ascii="Times New Roman" w:hAnsi="Times New Roman" w:eastAsia="仿宋_GB2312" w:cs="Times New Roman"/>
          <w:color w:val="auto"/>
          <w:sz w:val="28"/>
          <w:szCs w:val="28"/>
          <w:highlight w:val="none"/>
          <w:lang w:val="en-US" w:eastAsia="zh-CN"/>
        </w:rPr>
        <w:t>2</w:t>
      </w:r>
      <w:bookmarkEnd w:id="50"/>
    </w:p>
    <w:p w14:paraId="4446622A">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8"/>
          <w:szCs w:val="28"/>
          <w:highlight w:val="none"/>
        </w:rPr>
      </w:pPr>
      <w:r>
        <w:rPr>
          <w:rFonts w:hint="default" w:ascii="Times New Roman" w:hAnsi="Times New Roman" w:eastAsia="黑体" w:cs="Times New Roman"/>
          <w:color w:val="auto"/>
          <w:sz w:val="28"/>
          <w:szCs w:val="28"/>
          <w:highlight w:val="none"/>
          <w:lang w:eastAsia="zh-CN"/>
        </w:rPr>
        <w:t>202</w:t>
      </w:r>
      <w:r>
        <w:rPr>
          <w:rFonts w:hint="default" w:ascii="Times New Roman" w:hAnsi="Times New Roman" w:eastAsia="黑体" w:cs="Times New Roman"/>
          <w:color w:val="auto"/>
          <w:sz w:val="28"/>
          <w:szCs w:val="28"/>
          <w:highlight w:val="none"/>
          <w:lang w:val="en-US" w:eastAsia="zh-CN"/>
        </w:rPr>
        <w:t>4</w:t>
      </w:r>
      <w:r>
        <w:rPr>
          <w:rFonts w:hint="eastAsia" w:ascii="黑体" w:hAnsi="黑体" w:eastAsia="黑体" w:cs="黑体"/>
          <w:color w:val="auto"/>
          <w:sz w:val="28"/>
          <w:szCs w:val="28"/>
          <w:highlight w:val="none"/>
          <w:lang w:eastAsia="zh-CN"/>
        </w:rPr>
        <w:t>年</w:t>
      </w:r>
      <w:r>
        <w:rPr>
          <w:rFonts w:hint="eastAsia" w:ascii="黑体" w:hAnsi="黑体" w:eastAsia="黑体" w:cs="黑体"/>
          <w:color w:val="auto"/>
          <w:sz w:val="28"/>
          <w:szCs w:val="28"/>
          <w:highlight w:val="none"/>
          <w:lang w:val="en-US" w:eastAsia="zh-CN"/>
        </w:rPr>
        <w:t>保障性安居工程专项资金</w:t>
      </w:r>
      <w:r>
        <w:rPr>
          <w:rFonts w:hint="eastAsia" w:ascii="黑体" w:hAnsi="黑体" w:eastAsia="黑体" w:cs="黑体"/>
          <w:color w:val="auto"/>
          <w:sz w:val="28"/>
          <w:szCs w:val="28"/>
          <w:highlight w:val="none"/>
        </w:rPr>
        <w:t>计划项目完成情况汇总表</w:t>
      </w:r>
    </w:p>
    <w:tbl>
      <w:tblPr>
        <w:tblStyle w:val="21"/>
        <w:tblW w:w="135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081"/>
        <w:gridCol w:w="1347"/>
        <w:gridCol w:w="1349"/>
        <w:gridCol w:w="1153"/>
        <w:gridCol w:w="1228"/>
        <w:gridCol w:w="1532"/>
        <w:gridCol w:w="1606"/>
        <w:gridCol w:w="1994"/>
        <w:gridCol w:w="1680"/>
      </w:tblGrid>
      <w:tr w14:paraId="716D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blHead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137E">
            <w:pPr>
              <w:keepNext w:val="0"/>
              <w:keepLines w:val="0"/>
              <w:widowControl/>
              <w:suppressLineNumbers w:val="0"/>
              <w:jc w:val="center"/>
              <w:textAlignment w:val="center"/>
              <w:rPr>
                <w:rFonts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行次</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E6A94">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城市名称</w:t>
            </w:r>
          </w:p>
        </w:tc>
        <w:tc>
          <w:tcPr>
            <w:tcW w:w="2696" w:type="dxa"/>
            <w:gridSpan w:val="2"/>
            <w:tcBorders>
              <w:top w:val="single" w:color="000000" w:sz="4" w:space="0"/>
              <w:left w:val="single" w:color="000000" w:sz="4" w:space="0"/>
              <w:bottom w:val="single" w:color="000000" w:sz="4" w:space="0"/>
              <w:right w:val="nil"/>
            </w:tcBorders>
            <w:shd w:val="clear" w:color="auto" w:fill="auto"/>
            <w:vAlign w:val="center"/>
          </w:tcPr>
          <w:p w14:paraId="45EAC083">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建设筹集保障性租赁住房(套/间)</w:t>
            </w:r>
          </w:p>
        </w:tc>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004E1">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建设筹集公共租赁住房(套)</w:t>
            </w:r>
          </w:p>
        </w:tc>
        <w:tc>
          <w:tcPr>
            <w:tcW w:w="3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863DB">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发放租赁补贴(户)</w:t>
            </w:r>
          </w:p>
        </w:tc>
        <w:tc>
          <w:tcPr>
            <w:tcW w:w="3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4D3FA">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城市危旧房通过危险性房屋鉴定为C、D级(栋)</w:t>
            </w:r>
          </w:p>
        </w:tc>
      </w:tr>
      <w:tr w14:paraId="7F18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blHead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F83C">
            <w:pPr>
              <w:jc w:val="center"/>
              <w:rPr>
                <w:rFonts w:hint="eastAsia" w:ascii="仿宋_GB2312" w:hAnsi="宋体" w:eastAsia="仿宋_GB2312" w:cs="仿宋_GB2312"/>
                <w:b/>
                <w:bCs/>
                <w:i w:val="0"/>
                <w:iCs w:val="0"/>
                <w:color w:val="auto"/>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89925">
            <w:pPr>
              <w:jc w:val="center"/>
              <w:rPr>
                <w:rFonts w:hint="eastAsia" w:ascii="仿宋_GB2312" w:hAnsi="宋体" w:eastAsia="仿宋_GB2312" w:cs="仿宋_GB2312"/>
                <w:b/>
                <w:bCs/>
                <w:i w:val="0"/>
                <w:iCs w:val="0"/>
                <w:color w:val="auto"/>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451E">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计划数量</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38E1">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实际完成数量</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231F">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计划数量</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2CC8">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实际完成数量</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A2B9">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实施发放计划数</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6EF5">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实际发放数</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6F5F">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计划数量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543C">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实际完成数量</w:t>
            </w:r>
          </w:p>
        </w:tc>
      </w:tr>
      <w:tr w14:paraId="3038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0220">
            <w:pPr>
              <w:jc w:val="center"/>
              <w:rPr>
                <w:rFonts w:hint="eastAsia" w:ascii="仿宋_GB2312" w:hAnsi="宋体" w:eastAsia="仿宋_GB2312" w:cs="仿宋_GB2312"/>
                <w:b/>
                <w:bCs/>
                <w:i w:val="0"/>
                <w:iCs w:val="0"/>
                <w:color w:val="auto"/>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68CE">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栏次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FD6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1BC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147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9F1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CCD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F16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718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71B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r>
      <w:tr w14:paraId="1F743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3A3F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合计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44CD">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169,618 </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9045">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184,513 </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D5A0">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726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6DF2">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736 </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4429">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49,527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70F6">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61,006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44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Style w:val="48"/>
                <w:rFonts w:hAnsi="Times New Roman"/>
                <w:color w:val="auto"/>
                <w:sz w:val="24"/>
                <w:szCs w:val="24"/>
                <w:lang w:val="en-US" w:eastAsia="zh-CN" w:bidi="ar"/>
              </w:rPr>
              <w:t>按实际情况排查</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D2F3">
            <w:pPr>
              <w:keepNext w:val="0"/>
              <w:keepLines w:val="0"/>
              <w:widowControl/>
              <w:suppressLineNumbers w:val="0"/>
              <w:jc w:val="right"/>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 xml:space="preserve"> 522</w:t>
            </w:r>
            <w:r>
              <w:rPr>
                <w:rFonts w:hint="default" w:ascii="Times New Roman" w:hAnsi="Times New Roman" w:eastAsia="宋体" w:cs="Times New Roman"/>
                <w:b/>
                <w:bCs/>
                <w:i w:val="0"/>
                <w:iCs w:val="0"/>
                <w:color w:val="auto"/>
                <w:kern w:val="0"/>
                <w:sz w:val="24"/>
                <w:szCs w:val="24"/>
                <w:u w:val="none"/>
                <w:lang w:val="en-US" w:eastAsia="zh-CN" w:bidi="ar"/>
              </w:rPr>
              <w:t xml:space="preserve"> </w:t>
            </w:r>
          </w:p>
        </w:tc>
      </w:tr>
      <w:tr w14:paraId="6B5A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6AA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DD2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广州市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C92C">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100,000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86FC">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107,938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603A">
            <w:pPr>
              <w:jc w:val="right"/>
              <w:rPr>
                <w:rFonts w:hint="default" w:ascii="Times New Roman" w:hAnsi="Times New Roman" w:eastAsia="宋体" w:cs="Times New Roman"/>
                <w:i w:val="0"/>
                <w:iCs w:val="0"/>
                <w:color w:val="auto"/>
                <w:sz w:val="24"/>
                <w:szCs w:val="24"/>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DA30">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   </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0C27">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18,000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61C9">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21,893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A648">
            <w:pPr>
              <w:jc w:val="center"/>
              <w:rPr>
                <w:rFonts w:hint="default" w:ascii="Times New Roman" w:hAnsi="Times New Roman" w:eastAsia="宋体" w:cs="Times New Roman"/>
                <w:i w:val="0"/>
                <w:iCs w:val="0"/>
                <w:color w:val="auto"/>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805F">
            <w:pPr>
              <w:jc w:val="right"/>
              <w:rPr>
                <w:rFonts w:hint="default" w:ascii="Times New Roman" w:hAnsi="Times New Roman" w:eastAsia="宋体" w:cs="Times New Roman"/>
                <w:i w:val="0"/>
                <w:iCs w:val="0"/>
                <w:color w:val="auto"/>
                <w:sz w:val="24"/>
                <w:szCs w:val="24"/>
                <w:u w:val="none"/>
              </w:rPr>
            </w:pPr>
          </w:p>
        </w:tc>
      </w:tr>
      <w:tr w14:paraId="6761B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F4F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6E8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珠海市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78D7">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13,000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C1B3">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16,508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9C53">
            <w:pPr>
              <w:jc w:val="right"/>
              <w:rPr>
                <w:rFonts w:hint="default" w:ascii="Times New Roman" w:hAnsi="Times New Roman" w:eastAsia="宋体" w:cs="Times New Roman"/>
                <w:i w:val="0"/>
                <w:iCs w:val="0"/>
                <w:color w:val="auto"/>
                <w:sz w:val="24"/>
                <w:szCs w:val="24"/>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C648">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   </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A393">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1,400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1C98">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2,055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3E8">
            <w:pPr>
              <w:jc w:val="center"/>
              <w:rPr>
                <w:rFonts w:hint="default" w:ascii="Times New Roman" w:hAnsi="Times New Roman" w:eastAsia="宋体" w:cs="Times New Roman"/>
                <w:i w:val="0"/>
                <w:iCs w:val="0"/>
                <w:color w:val="auto"/>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A500">
            <w:pPr>
              <w:jc w:val="right"/>
              <w:rPr>
                <w:rFonts w:hint="default" w:ascii="Times New Roman" w:hAnsi="Times New Roman" w:eastAsia="宋体" w:cs="Times New Roman"/>
                <w:i w:val="0"/>
                <w:iCs w:val="0"/>
                <w:color w:val="auto"/>
                <w:sz w:val="24"/>
                <w:szCs w:val="24"/>
                <w:u w:val="none"/>
              </w:rPr>
            </w:pPr>
          </w:p>
        </w:tc>
      </w:tr>
      <w:tr w14:paraId="26B6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9B7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EDE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汕头市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713E">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1,000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9A33">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1,061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ACEC">
            <w:pPr>
              <w:jc w:val="right"/>
              <w:rPr>
                <w:rFonts w:hint="default" w:ascii="Times New Roman" w:hAnsi="Times New Roman" w:eastAsia="宋体" w:cs="Times New Roman"/>
                <w:i w:val="0"/>
                <w:iCs w:val="0"/>
                <w:color w:val="auto"/>
                <w:sz w:val="24"/>
                <w:szCs w:val="24"/>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6974">
            <w:pPr>
              <w:jc w:val="right"/>
              <w:rPr>
                <w:rFonts w:hint="default" w:ascii="Times New Roman" w:hAnsi="Times New Roman" w:eastAsia="宋体" w:cs="Times New Roman"/>
                <w:i w:val="0"/>
                <w:iCs w:val="0"/>
                <w:color w:val="auto"/>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5C82">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2,085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C422">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2,317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DABC">
            <w:pPr>
              <w:jc w:val="center"/>
              <w:rPr>
                <w:rFonts w:hint="default" w:ascii="Times New Roman" w:hAnsi="Times New Roman" w:eastAsia="宋体" w:cs="Times New Roman"/>
                <w:i w:val="0"/>
                <w:iCs w:val="0"/>
                <w:color w:val="auto"/>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EB28">
            <w:pPr>
              <w:jc w:val="right"/>
              <w:rPr>
                <w:rFonts w:hint="default" w:ascii="Times New Roman" w:hAnsi="Times New Roman" w:eastAsia="宋体" w:cs="Times New Roman"/>
                <w:i w:val="0"/>
                <w:iCs w:val="0"/>
                <w:color w:val="auto"/>
                <w:sz w:val="24"/>
                <w:szCs w:val="24"/>
                <w:u w:val="none"/>
              </w:rPr>
            </w:pPr>
          </w:p>
        </w:tc>
      </w:tr>
      <w:tr w14:paraId="7BAE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CDF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580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佛山市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AC25">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15,000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BBC4">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15,321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4E98">
            <w:pPr>
              <w:jc w:val="right"/>
              <w:rPr>
                <w:rFonts w:hint="default" w:ascii="Times New Roman" w:hAnsi="Times New Roman" w:eastAsia="宋体" w:cs="Times New Roman"/>
                <w:i w:val="0"/>
                <w:iCs w:val="0"/>
                <w:color w:val="auto"/>
                <w:sz w:val="24"/>
                <w:szCs w:val="24"/>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7402">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   </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946F">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18,500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C241">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20,948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1469">
            <w:pPr>
              <w:jc w:val="center"/>
              <w:rPr>
                <w:rFonts w:hint="default" w:ascii="Times New Roman" w:hAnsi="Times New Roman" w:eastAsia="宋体" w:cs="Times New Roman"/>
                <w:i w:val="0"/>
                <w:iCs w:val="0"/>
                <w:color w:val="auto"/>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F495">
            <w:pPr>
              <w:jc w:val="right"/>
              <w:rPr>
                <w:rFonts w:hint="default" w:ascii="Times New Roman" w:hAnsi="Times New Roman" w:eastAsia="宋体" w:cs="Times New Roman"/>
                <w:i w:val="0"/>
                <w:iCs w:val="0"/>
                <w:color w:val="auto"/>
                <w:sz w:val="24"/>
                <w:szCs w:val="24"/>
                <w:u w:val="none"/>
              </w:rPr>
            </w:pPr>
          </w:p>
        </w:tc>
      </w:tr>
      <w:tr w14:paraId="5B02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E2E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AB0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韶关市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33DA">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312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338C">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321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4388">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136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9E53">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136 </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F878">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225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5BC6">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245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96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Style w:val="48"/>
                <w:rFonts w:hAnsi="Times New Roman"/>
                <w:color w:val="auto"/>
                <w:sz w:val="24"/>
                <w:szCs w:val="24"/>
                <w:lang w:val="en-US" w:eastAsia="zh-CN" w:bidi="ar"/>
              </w:rPr>
              <w:t>按实际情况排查</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D0E2">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143 </w:t>
            </w:r>
          </w:p>
        </w:tc>
      </w:tr>
      <w:tr w14:paraId="6E6A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8D4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A01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河源市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C1E9">
            <w:pPr>
              <w:jc w:val="right"/>
              <w:rPr>
                <w:rFonts w:hint="default" w:ascii="Times New Roman" w:hAnsi="Times New Roman" w:eastAsia="宋体" w:cs="Times New Roman"/>
                <w:i w:val="0"/>
                <w:iCs w:val="0"/>
                <w:color w:val="auto"/>
                <w:sz w:val="24"/>
                <w:szCs w:val="24"/>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2FAC">
            <w:pPr>
              <w:jc w:val="right"/>
              <w:rPr>
                <w:rFonts w:hint="default" w:ascii="Times New Roman" w:hAnsi="Times New Roman" w:eastAsia="宋体" w:cs="Times New Roman"/>
                <w:i w:val="0"/>
                <w:iCs w:val="0"/>
                <w:color w:val="auto"/>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6775">
            <w:pPr>
              <w:jc w:val="right"/>
              <w:rPr>
                <w:rFonts w:hint="default" w:ascii="Times New Roman" w:hAnsi="Times New Roman" w:eastAsia="宋体" w:cs="Times New Roman"/>
                <w:i w:val="0"/>
                <w:iCs w:val="0"/>
                <w:color w:val="auto"/>
                <w:sz w:val="24"/>
                <w:szCs w:val="24"/>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499C">
            <w:pPr>
              <w:jc w:val="right"/>
              <w:rPr>
                <w:rFonts w:hint="default" w:ascii="Times New Roman" w:hAnsi="Times New Roman" w:eastAsia="宋体" w:cs="Times New Roman"/>
                <w:i w:val="0"/>
                <w:iCs w:val="0"/>
                <w:color w:val="auto"/>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ED50">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222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423B">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268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28F8">
            <w:pPr>
              <w:jc w:val="center"/>
              <w:rPr>
                <w:rFonts w:hint="default" w:ascii="Times New Roman" w:hAnsi="Times New Roman" w:eastAsia="宋体" w:cs="Times New Roman"/>
                <w:i w:val="0"/>
                <w:iCs w:val="0"/>
                <w:color w:val="auto"/>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9290">
            <w:pPr>
              <w:jc w:val="right"/>
              <w:rPr>
                <w:rFonts w:hint="default" w:ascii="Times New Roman" w:hAnsi="Times New Roman" w:eastAsia="宋体" w:cs="Times New Roman"/>
                <w:i w:val="0"/>
                <w:iCs w:val="0"/>
                <w:color w:val="auto"/>
                <w:sz w:val="24"/>
                <w:szCs w:val="24"/>
                <w:u w:val="none"/>
              </w:rPr>
            </w:pPr>
          </w:p>
        </w:tc>
      </w:tr>
      <w:tr w14:paraId="792A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916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FE6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梅州市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18DA">
            <w:pPr>
              <w:jc w:val="right"/>
              <w:rPr>
                <w:rFonts w:hint="default" w:ascii="Times New Roman" w:hAnsi="Times New Roman" w:eastAsia="宋体" w:cs="Times New Roman"/>
                <w:i w:val="0"/>
                <w:iCs w:val="0"/>
                <w:color w:val="auto"/>
                <w:sz w:val="24"/>
                <w:szCs w:val="24"/>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F68E">
            <w:pPr>
              <w:jc w:val="right"/>
              <w:rPr>
                <w:rFonts w:hint="default" w:ascii="Times New Roman" w:hAnsi="Times New Roman" w:eastAsia="宋体" w:cs="Times New Roman"/>
                <w:i w:val="0"/>
                <w:iCs w:val="0"/>
                <w:color w:val="auto"/>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A373">
            <w:pPr>
              <w:jc w:val="right"/>
              <w:rPr>
                <w:rFonts w:hint="default" w:ascii="Times New Roman" w:hAnsi="Times New Roman" w:eastAsia="宋体" w:cs="Times New Roman"/>
                <w:i w:val="0"/>
                <w:iCs w:val="0"/>
                <w:color w:val="auto"/>
                <w:sz w:val="24"/>
                <w:szCs w:val="24"/>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3EA9">
            <w:pPr>
              <w:jc w:val="right"/>
              <w:rPr>
                <w:rFonts w:hint="default" w:ascii="Times New Roman" w:hAnsi="Times New Roman" w:eastAsia="宋体" w:cs="Times New Roman"/>
                <w:i w:val="0"/>
                <w:iCs w:val="0"/>
                <w:color w:val="auto"/>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06E3">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304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ECAF">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476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E33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Style w:val="48"/>
                <w:rFonts w:hAnsi="Times New Roman"/>
                <w:color w:val="auto"/>
                <w:sz w:val="24"/>
                <w:szCs w:val="24"/>
                <w:lang w:val="en-US" w:eastAsia="zh-CN" w:bidi="ar"/>
              </w:rPr>
              <w:t>按实际情况排查</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B9BB">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76 </w:t>
            </w:r>
          </w:p>
        </w:tc>
      </w:tr>
      <w:tr w14:paraId="1456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095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9AD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惠州市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2FFC">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6,192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F18A">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6,535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5632">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350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8ED1">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350 </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CC4C">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316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FC43">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823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D6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Style w:val="48"/>
                <w:rFonts w:hAnsi="Times New Roman"/>
                <w:color w:val="auto"/>
                <w:sz w:val="24"/>
                <w:szCs w:val="24"/>
                <w:lang w:val="en-US" w:eastAsia="zh-CN" w:bidi="ar"/>
              </w:rPr>
              <w:t>按实际情况排查</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5C20">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8 </w:t>
            </w:r>
          </w:p>
        </w:tc>
      </w:tr>
      <w:tr w14:paraId="6FDDF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FA7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A64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汕尾市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E044">
            <w:pPr>
              <w:jc w:val="right"/>
              <w:rPr>
                <w:rFonts w:hint="default" w:ascii="Times New Roman" w:hAnsi="Times New Roman" w:eastAsia="宋体" w:cs="Times New Roman"/>
                <w:i w:val="0"/>
                <w:iCs w:val="0"/>
                <w:color w:val="auto"/>
                <w:sz w:val="24"/>
                <w:szCs w:val="24"/>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E965">
            <w:pPr>
              <w:jc w:val="right"/>
              <w:rPr>
                <w:rFonts w:hint="default" w:ascii="Times New Roman" w:hAnsi="Times New Roman" w:eastAsia="宋体" w:cs="Times New Roman"/>
                <w:i w:val="0"/>
                <w:iCs w:val="0"/>
                <w:color w:val="auto"/>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19C0">
            <w:pPr>
              <w:jc w:val="right"/>
              <w:rPr>
                <w:rFonts w:hint="default" w:ascii="Times New Roman" w:hAnsi="Times New Roman" w:eastAsia="宋体" w:cs="Times New Roman"/>
                <w:i w:val="0"/>
                <w:iCs w:val="0"/>
                <w:color w:val="auto"/>
                <w:sz w:val="24"/>
                <w:szCs w:val="24"/>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D1E6">
            <w:pPr>
              <w:jc w:val="right"/>
              <w:rPr>
                <w:rFonts w:hint="default" w:ascii="Times New Roman" w:hAnsi="Times New Roman" w:eastAsia="宋体" w:cs="Times New Roman"/>
                <w:i w:val="0"/>
                <w:iCs w:val="0"/>
                <w:color w:val="auto"/>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07E8">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914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68C9">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918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5CC0">
            <w:pPr>
              <w:jc w:val="center"/>
              <w:rPr>
                <w:rFonts w:hint="default" w:ascii="Times New Roman" w:hAnsi="Times New Roman" w:eastAsia="宋体" w:cs="Times New Roman"/>
                <w:i w:val="0"/>
                <w:iCs w:val="0"/>
                <w:color w:val="auto"/>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8AB6">
            <w:pPr>
              <w:jc w:val="right"/>
              <w:rPr>
                <w:rFonts w:hint="default" w:ascii="Times New Roman" w:hAnsi="Times New Roman" w:eastAsia="宋体" w:cs="Times New Roman"/>
                <w:i w:val="0"/>
                <w:iCs w:val="0"/>
                <w:color w:val="auto"/>
                <w:sz w:val="24"/>
                <w:szCs w:val="24"/>
                <w:u w:val="none"/>
              </w:rPr>
            </w:pPr>
          </w:p>
        </w:tc>
      </w:tr>
      <w:tr w14:paraId="3A2A5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184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4AA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东莞市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8579">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20,000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B936">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22,680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5358">
            <w:pPr>
              <w:jc w:val="right"/>
              <w:rPr>
                <w:rFonts w:hint="default" w:ascii="Times New Roman" w:hAnsi="Times New Roman" w:eastAsia="宋体" w:cs="Times New Roman"/>
                <w:i w:val="0"/>
                <w:iCs w:val="0"/>
                <w:color w:val="auto"/>
                <w:sz w:val="24"/>
                <w:szCs w:val="24"/>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ADE0">
            <w:pPr>
              <w:jc w:val="right"/>
              <w:rPr>
                <w:rFonts w:hint="default" w:ascii="Times New Roman" w:hAnsi="Times New Roman" w:eastAsia="宋体" w:cs="Times New Roman"/>
                <w:i w:val="0"/>
                <w:iCs w:val="0"/>
                <w:color w:val="auto"/>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E65A">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1,500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5B59">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2,959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CB9B">
            <w:pPr>
              <w:jc w:val="center"/>
              <w:rPr>
                <w:rFonts w:hint="default" w:ascii="Times New Roman" w:hAnsi="Times New Roman" w:eastAsia="宋体" w:cs="Times New Roman"/>
                <w:i w:val="0"/>
                <w:iCs w:val="0"/>
                <w:color w:val="auto"/>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06D1">
            <w:pPr>
              <w:jc w:val="right"/>
              <w:rPr>
                <w:rFonts w:hint="default" w:ascii="Times New Roman" w:hAnsi="Times New Roman" w:eastAsia="宋体" w:cs="Times New Roman"/>
                <w:i w:val="0"/>
                <w:iCs w:val="0"/>
                <w:color w:val="auto"/>
                <w:sz w:val="24"/>
                <w:szCs w:val="24"/>
                <w:u w:val="none"/>
              </w:rPr>
            </w:pPr>
          </w:p>
        </w:tc>
      </w:tr>
      <w:tr w14:paraId="6FA9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36B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61D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中山市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8C94">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3,000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D7EC">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3,006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8E34">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BA0A">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   </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FB03">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260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A14F">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370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DA5C">
            <w:pPr>
              <w:jc w:val="center"/>
              <w:rPr>
                <w:rFonts w:hint="default" w:ascii="Times New Roman" w:hAnsi="Times New Roman" w:eastAsia="宋体" w:cs="Times New Roman"/>
                <w:i w:val="0"/>
                <w:iCs w:val="0"/>
                <w:color w:val="auto"/>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F498">
            <w:pPr>
              <w:jc w:val="right"/>
              <w:rPr>
                <w:rFonts w:hint="default" w:ascii="Times New Roman" w:hAnsi="Times New Roman" w:eastAsia="宋体" w:cs="Times New Roman"/>
                <w:i w:val="0"/>
                <w:iCs w:val="0"/>
                <w:color w:val="auto"/>
                <w:sz w:val="24"/>
                <w:szCs w:val="24"/>
                <w:u w:val="none"/>
              </w:rPr>
            </w:pPr>
          </w:p>
        </w:tc>
      </w:tr>
      <w:tr w14:paraId="7EF9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732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470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江门市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D9CC">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3,976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A62F">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4,037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A816">
            <w:pPr>
              <w:jc w:val="right"/>
              <w:rPr>
                <w:rFonts w:hint="default" w:ascii="Times New Roman" w:hAnsi="Times New Roman" w:eastAsia="宋体" w:cs="Times New Roman"/>
                <w:i w:val="0"/>
                <w:iCs w:val="0"/>
                <w:color w:val="auto"/>
                <w:sz w:val="24"/>
                <w:szCs w:val="24"/>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3E74">
            <w:pPr>
              <w:jc w:val="right"/>
              <w:rPr>
                <w:rFonts w:hint="default" w:ascii="Times New Roman" w:hAnsi="Times New Roman" w:eastAsia="宋体" w:cs="Times New Roman"/>
                <w:i w:val="0"/>
                <w:iCs w:val="0"/>
                <w:color w:val="auto"/>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C09F">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330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2077">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470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8D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Style w:val="48"/>
                <w:rFonts w:hAnsi="Times New Roman"/>
                <w:color w:val="auto"/>
                <w:sz w:val="24"/>
                <w:szCs w:val="24"/>
                <w:lang w:val="en-US" w:eastAsia="zh-CN" w:bidi="ar"/>
              </w:rPr>
              <w:t>按实际情况排查</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0C8C">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151 </w:t>
            </w:r>
          </w:p>
        </w:tc>
      </w:tr>
      <w:tr w14:paraId="3E54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1FE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5E3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阳江市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AE1B">
            <w:pPr>
              <w:jc w:val="right"/>
              <w:rPr>
                <w:rFonts w:hint="default" w:ascii="Times New Roman" w:hAnsi="Times New Roman" w:eastAsia="宋体" w:cs="Times New Roman"/>
                <w:i w:val="0"/>
                <w:iCs w:val="0"/>
                <w:color w:val="auto"/>
                <w:sz w:val="24"/>
                <w:szCs w:val="24"/>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E567">
            <w:pPr>
              <w:jc w:val="right"/>
              <w:rPr>
                <w:rFonts w:hint="default" w:ascii="Times New Roman" w:hAnsi="Times New Roman" w:eastAsia="宋体" w:cs="Times New Roman"/>
                <w:i w:val="0"/>
                <w:iCs w:val="0"/>
                <w:color w:val="auto"/>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8C46">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90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B48B">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90 </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51C0">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116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6AA4">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356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3F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Style w:val="48"/>
                <w:rFonts w:hAnsi="Times New Roman"/>
                <w:color w:val="auto"/>
                <w:sz w:val="24"/>
                <w:szCs w:val="24"/>
                <w:lang w:val="en-US" w:eastAsia="zh-CN" w:bidi="ar"/>
              </w:rPr>
              <w:t>按实际情况排查</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7F44">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55 </w:t>
            </w:r>
          </w:p>
        </w:tc>
      </w:tr>
      <w:tr w14:paraId="6BDD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A11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B9D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湛江市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9FCD">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1,500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DC58">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1,502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C554">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150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A78E">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160 </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29AE">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1,000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2A1F">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1,161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A7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Style w:val="48"/>
                <w:rFonts w:hAnsi="Times New Roman"/>
                <w:color w:val="auto"/>
                <w:sz w:val="24"/>
                <w:szCs w:val="24"/>
                <w:lang w:val="en-US" w:eastAsia="zh-CN" w:bidi="ar"/>
              </w:rPr>
              <w:t>按实际情况排查</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265F">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33 </w:t>
            </w:r>
          </w:p>
        </w:tc>
      </w:tr>
      <w:tr w14:paraId="24D3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3FA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85E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茂名市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B79F">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110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965A">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110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2914">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61C4">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   </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45AB">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1,805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F620">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2,222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1E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Style w:val="48"/>
                <w:rFonts w:hAnsi="Times New Roman"/>
                <w:color w:val="auto"/>
                <w:sz w:val="24"/>
                <w:szCs w:val="24"/>
                <w:lang w:val="en-US" w:eastAsia="zh-CN" w:bidi="ar"/>
              </w:rPr>
              <w:t>按实际情况排查</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B615">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 </w:t>
            </w:r>
          </w:p>
        </w:tc>
      </w:tr>
      <w:tr w14:paraId="7ABE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EB9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F68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肇庆市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6243">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4,888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B5CE">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5,004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AB57">
            <w:pPr>
              <w:jc w:val="right"/>
              <w:rPr>
                <w:rFonts w:hint="default" w:ascii="Times New Roman" w:hAnsi="Times New Roman" w:eastAsia="宋体" w:cs="Times New Roman"/>
                <w:i w:val="0"/>
                <w:iCs w:val="0"/>
                <w:color w:val="auto"/>
                <w:sz w:val="24"/>
                <w:szCs w:val="24"/>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4285">
            <w:pPr>
              <w:jc w:val="right"/>
              <w:rPr>
                <w:rFonts w:hint="default" w:ascii="Times New Roman" w:hAnsi="Times New Roman" w:eastAsia="宋体" w:cs="Times New Roman"/>
                <w:i w:val="0"/>
                <w:iCs w:val="0"/>
                <w:color w:val="auto"/>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E395">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344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7BAD">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446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A0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Style w:val="48"/>
                <w:rFonts w:hAnsi="Times New Roman"/>
                <w:color w:val="auto"/>
                <w:sz w:val="24"/>
                <w:szCs w:val="24"/>
                <w:lang w:val="en-US" w:eastAsia="zh-CN" w:bidi="ar"/>
              </w:rPr>
              <w:t>按实际情况排查</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674A">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10 </w:t>
            </w:r>
          </w:p>
        </w:tc>
      </w:tr>
      <w:tr w14:paraId="231C9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FC6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914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清远市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0C7F">
            <w:pPr>
              <w:jc w:val="right"/>
              <w:rPr>
                <w:rFonts w:hint="default" w:ascii="Times New Roman" w:hAnsi="Times New Roman" w:eastAsia="宋体" w:cs="Times New Roman"/>
                <w:i w:val="0"/>
                <w:iCs w:val="0"/>
                <w:color w:val="auto"/>
                <w:sz w:val="24"/>
                <w:szCs w:val="24"/>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4C6D">
            <w:pPr>
              <w:jc w:val="right"/>
              <w:rPr>
                <w:rFonts w:hint="default" w:ascii="Times New Roman" w:hAnsi="Times New Roman" w:eastAsia="宋体" w:cs="Times New Roman"/>
                <w:i w:val="0"/>
                <w:iCs w:val="0"/>
                <w:color w:val="auto"/>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B2E6">
            <w:pPr>
              <w:jc w:val="right"/>
              <w:rPr>
                <w:rFonts w:hint="default" w:ascii="Times New Roman" w:hAnsi="Times New Roman" w:eastAsia="宋体" w:cs="Times New Roman"/>
                <w:i w:val="0"/>
                <w:iCs w:val="0"/>
                <w:color w:val="auto"/>
                <w:sz w:val="24"/>
                <w:szCs w:val="24"/>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EA89">
            <w:pPr>
              <w:jc w:val="right"/>
              <w:rPr>
                <w:rFonts w:hint="default" w:ascii="Times New Roman" w:hAnsi="Times New Roman" w:eastAsia="宋体" w:cs="Times New Roman"/>
                <w:i w:val="0"/>
                <w:iCs w:val="0"/>
                <w:color w:val="auto"/>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6A82">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1,510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E26E">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2,288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E003">
            <w:pPr>
              <w:jc w:val="center"/>
              <w:rPr>
                <w:rFonts w:hint="default" w:ascii="Times New Roman" w:hAnsi="Times New Roman" w:eastAsia="宋体" w:cs="Times New Roman"/>
                <w:i w:val="0"/>
                <w:iCs w:val="0"/>
                <w:color w:val="auto"/>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ECA9">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16 </w:t>
            </w:r>
          </w:p>
        </w:tc>
      </w:tr>
      <w:tr w14:paraId="7ABB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D2E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18</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334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潮州市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6E21">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240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143C">
            <w:pPr>
              <w:jc w:val="right"/>
              <w:rPr>
                <w:rFonts w:hint="default" w:ascii="Times New Roman" w:hAnsi="Times New Roman" w:eastAsia="宋体" w:cs="Times New Roman"/>
                <w:i w:val="0"/>
                <w:iCs w:val="0"/>
                <w:color w:val="auto"/>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2A4C">
            <w:pPr>
              <w:jc w:val="right"/>
              <w:rPr>
                <w:rFonts w:hint="default" w:ascii="Times New Roman" w:hAnsi="Times New Roman" w:eastAsia="宋体" w:cs="Times New Roman"/>
                <w:i w:val="0"/>
                <w:iCs w:val="0"/>
                <w:color w:val="auto"/>
                <w:sz w:val="24"/>
                <w:szCs w:val="24"/>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D211">
            <w:pPr>
              <w:jc w:val="right"/>
              <w:rPr>
                <w:rFonts w:hint="default" w:ascii="Times New Roman" w:hAnsi="Times New Roman" w:eastAsia="宋体" w:cs="Times New Roman"/>
                <w:i w:val="0"/>
                <w:iCs w:val="0"/>
                <w:color w:val="auto"/>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F07A">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240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5E60">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261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F56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Style w:val="48"/>
                <w:rFonts w:hAnsi="Times New Roman"/>
                <w:color w:val="auto"/>
                <w:sz w:val="24"/>
                <w:szCs w:val="24"/>
                <w:lang w:val="en-US" w:eastAsia="zh-CN" w:bidi="ar"/>
              </w:rPr>
              <w:t>按实际情况排查</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3007">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27 </w:t>
            </w:r>
          </w:p>
        </w:tc>
      </w:tr>
      <w:tr w14:paraId="29D1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A4F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19</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1DE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揭阳市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5833">
            <w:pPr>
              <w:jc w:val="right"/>
              <w:rPr>
                <w:rFonts w:hint="default" w:ascii="Times New Roman" w:hAnsi="Times New Roman" w:eastAsia="宋体" w:cs="Times New Roman"/>
                <w:i w:val="0"/>
                <w:iCs w:val="0"/>
                <w:color w:val="auto"/>
                <w:sz w:val="24"/>
                <w:szCs w:val="24"/>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4903">
            <w:pPr>
              <w:jc w:val="right"/>
              <w:rPr>
                <w:rFonts w:hint="default" w:ascii="Times New Roman" w:hAnsi="Times New Roman" w:eastAsia="宋体" w:cs="Times New Roman"/>
                <w:i w:val="0"/>
                <w:iCs w:val="0"/>
                <w:color w:val="auto"/>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7D10">
            <w:pPr>
              <w:jc w:val="right"/>
              <w:rPr>
                <w:rFonts w:hint="default" w:ascii="Times New Roman" w:hAnsi="Times New Roman" w:eastAsia="宋体" w:cs="Times New Roman"/>
                <w:i w:val="0"/>
                <w:iCs w:val="0"/>
                <w:color w:val="auto"/>
                <w:sz w:val="24"/>
                <w:szCs w:val="24"/>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097D">
            <w:pPr>
              <w:jc w:val="right"/>
              <w:rPr>
                <w:rFonts w:hint="default" w:ascii="Times New Roman" w:hAnsi="Times New Roman" w:eastAsia="宋体" w:cs="Times New Roman"/>
                <w:i w:val="0"/>
                <w:iCs w:val="0"/>
                <w:color w:val="auto"/>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9012">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80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1209">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118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3C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Style w:val="48"/>
                <w:rFonts w:hAnsi="Times New Roman"/>
                <w:color w:val="auto"/>
                <w:sz w:val="24"/>
                <w:szCs w:val="24"/>
                <w:lang w:val="en-US" w:eastAsia="zh-CN" w:bidi="ar"/>
              </w:rPr>
              <w:t>按实际情况排查</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B045">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1 </w:t>
            </w:r>
          </w:p>
        </w:tc>
      </w:tr>
      <w:tr w14:paraId="18B74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47E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D8E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云浮市</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0CE1">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400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C9A5">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490 </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25CE">
            <w:pPr>
              <w:jc w:val="right"/>
              <w:rPr>
                <w:rFonts w:hint="default" w:ascii="Times New Roman" w:hAnsi="Times New Roman" w:eastAsia="宋体" w:cs="Times New Roman"/>
                <w:i w:val="0"/>
                <w:iCs w:val="0"/>
                <w:color w:val="auto"/>
                <w:sz w:val="24"/>
                <w:szCs w:val="24"/>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3D21">
            <w:pPr>
              <w:jc w:val="right"/>
              <w:rPr>
                <w:rFonts w:hint="default" w:ascii="Times New Roman" w:hAnsi="Times New Roman" w:eastAsia="宋体" w:cs="Times New Roman"/>
                <w:i w:val="0"/>
                <w:iCs w:val="0"/>
                <w:color w:val="auto"/>
                <w:sz w:val="24"/>
                <w:szCs w:val="24"/>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C9C5">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376 </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DDF4">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412 </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1404">
            <w:pPr>
              <w:jc w:val="center"/>
              <w:rPr>
                <w:rFonts w:hint="default" w:ascii="Times New Roman" w:hAnsi="Times New Roman" w:eastAsia="宋体" w:cs="Times New Roman"/>
                <w:i w:val="0"/>
                <w:iCs w:val="0"/>
                <w:color w:val="auto"/>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2F10">
            <w:pPr>
              <w:jc w:val="right"/>
              <w:rPr>
                <w:rFonts w:hint="default" w:ascii="Times New Roman" w:hAnsi="Times New Roman" w:eastAsia="宋体" w:cs="Times New Roman"/>
                <w:i w:val="0"/>
                <w:iCs w:val="0"/>
                <w:color w:val="auto"/>
                <w:sz w:val="24"/>
                <w:szCs w:val="24"/>
                <w:u w:val="none"/>
              </w:rPr>
            </w:pPr>
          </w:p>
        </w:tc>
      </w:tr>
    </w:tbl>
    <w:p w14:paraId="047058CD">
      <w:pPr>
        <w:pStyle w:val="9"/>
        <w:spacing w:beforeLines="-2147483648" w:line="600" w:lineRule="exact"/>
        <w:ind w:left="0" w:leftChars="0" w:firstLine="0" w:firstLineChars="0"/>
        <w:jc w:val="both"/>
        <w:rPr>
          <w:rFonts w:hint="default" w:ascii="Times New Roman" w:hAnsi="Times New Roman" w:eastAsia="仿宋_GB2312" w:cs="Times New Roman"/>
          <w:color w:val="auto"/>
          <w:kern w:val="0"/>
          <w:sz w:val="20"/>
          <w:szCs w:val="20"/>
          <w:highlight w:val="none"/>
        </w:rPr>
        <w:sectPr>
          <w:pgSz w:w="16838" w:h="11906" w:orient="landscape"/>
          <w:pgMar w:top="1134" w:right="1134" w:bottom="1134"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default" w:ascii="Times New Roman" w:hAnsi="Times New Roman" w:eastAsia="仿宋_GB2312" w:cs="Times New Roman"/>
          <w:color w:val="auto"/>
          <w:kern w:val="0"/>
          <w:sz w:val="20"/>
          <w:szCs w:val="20"/>
          <w:highlight w:val="none"/>
        </w:rPr>
        <w:t>说明：计划数按《广东省住房和城乡建设厅广东省发展和改革委员会 广东省财政厅关于印发2024年配售型保障性住房、配租型保障性住房保障性租赁住房、公租房保障)和棚户区(城市危旧房)改造等计划的通知》（粤建保〔2024〕38号）下达的任务数统计，实际完成数量仅统计该指标有下达任务的地级市的完成情况。</w:t>
      </w:r>
    </w:p>
    <w:p w14:paraId="28013EB1">
      <w:pPr>
        <w:pStyle w:val="9"/>
        <w:pageBreakBefore w:val="0"/>
        <w:kinsoku/>
        <w:wordWrap/>
        <w:overflowPunct/>
        <w:topLinePunct w:val="0"/>
        <w:autoSpaceDE/>
        <w:autoSpaceDN/>
        <w:bidi w:val="0"/>
        <w:adjustRightInd/>
        <w:spacing w:line="600" w:lineRule="exact"/>
        <w:ind w:left="0" w:leftChars="0" w:firstLine="0" w:firstLineChars="0"/>
        <w:jc w:val="left"/>
        <w:textAlignment w:val="auto"/>
        <w:outlineLvl w:val="0"/>
        <w:rPr>
          <w:rFonts w:hint="default" w:ascii="Times New Roman" w:hAnsi="Times New Roman" w:eastAsia="仿宋_GB2312" w:cs="Times New Roman"/>
          <w:color w:val="auto"/>
          <w:kern w:val="0"/>
          <w:sz w:val="28"/>
          <w:szCs w:val="28"/>
          <w:highlight w:val="none"/>
          <w:lang w:val="en-US" w:eastAsia="zh-CN"/>
        </w:rPr>
      </w:pPr>
      <w:bookmarkStart w:id="51" w:name="_Toc18750"/>
      <w:r>
        <w:rPr>
          <w:rFonts w:hint="eastAsia" w:ascii="Times New Roman" w:hAnsi="Times New Roman" w:eastAsia="仿宋_GB2312" w:cs="Times New Roman"/>
          <w:color w:val="auto"/>
          <w:kern w:val="0"/>
          <w:sz w:val="28"/>
          <w:szCs w:val="28"/>
          <w:highlight w:val="none"/>
          <w:lang w:val="en-US" w:eastAsia="zh-CN"/>
        </w:rPr>
        <w:t>附件</w:t>
      </w:r>
      <w:r>
        <w:rPr>
          <w:rFonts w:hint="default" w:ascii="Times New Roman" w:hAnsi="Times New Roman" w:eastAsia="仿宋_GB2312" w:cs="Times New Roman"/>
          <w:color w:val="auto"/>
          <w:kern w:val="0"/>
          <w:sz w:val="28"/>
          <w:szCs w:val="28"/>
          <w:highlight w:val="none"/>
          <w:lang w:val="en-US" w:eastAsia="zh-CN"/>
        </w:rPr>
        <w:t>3</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1</w:t>
      </w:r>
      <w:bookmarkEnd w:id="51"/>
    </w:p>
    <w:p w14:paraId="63F58EE7">
      <w:pPr>
        <w:pStyle w:val="9"/>
        <w:pageBreakBefore w:val="0"/>
        <w:kinsoku/>
        <w:wordWrap/>
        <w:overflowPunct/>
        <w:topLinePunct w:val="0"/>
        <w:autoSpaceDE/>
        <w:autoSpaceDN/>
        <w:bidi w:val="0"/>
        <w:adjustRightInd/>
        <w:spacing w:line="600" w:lineRule="exact"/>
        <w:ind w:left="0" w:leftChars="0" w:firstLine="0" w:firstLineChars="0"/>
        <w:jc w:val="center"/>
        <w:textAlignment w:val="auto"/>
        <w:rPr>
          <w:rFonts w:hint="eastAsia" w:ascii="黑体" w:hAnsi="黑体" w:eastAsia="黑体" w:cs="黑体"/>
          <w:color w:val="auto"/>
          <w:kern w:val="0"/>
          <w:sz w:val="28"/>
          <w:szCs w:val="28"/>
          <w:highlight w:val="none"/>
        </w:rPr>
      </w:pPr>
      <w:r>
        <w:rPr>
          <w:rFonts w:hint="default" w:ascii="Times New Roman" w:hAnsi="Times New Roman" w:eastAsia="黑体" w:cs="Times New Roman"/>
          <w:color w:val="auto"/>
          <w:kern w:val="0"/>
          <w:sz w:val="28"/>
          <w:szCs w:val="28"/>
          <w:highlight w:val="none"/>
          <w:lang w:val="en-US" w:eastAsia="zh-CN"/>
        </w:rPr>
        <w:t>2024</w:t>
      </w:r>
      <w:r>
        <w:rPr>
          <w:rFonts w:hint="eastAsia" w:ascii="黑体" w:hAnsi="黑体" w:eastAsia="黑体" w:cs="黑体"/>
          <w:color w:val="auto"/>
          <w:kern w:val="0"/>
          <w:sz w:val="28"/>
          <w:szCs w:val="28"/>
          <w:highlight w:val="none"/>
          <w:lang w:val="en-US" w:eastAsia="zh-CN"/>
        </w:rPr>
        <w:t>年保障性安居工程专项资金</w:t>
      </w:r>
      <w:r>
        <w:rPr>
          <w:rFonts w:hint="eastAsia" w:ascii="黑体" w:hAnsi="黑体" w:eastAsia="黑体" w:cs="黑体"/>
          <w:color w:val="auto"/>
          <w:kern w:val="0"/>
          <w:sz w:val="28"/>
          <w:szCs w:val="28"/>
          <w:highlight w:val="none"/>
        </w:rPr>
        <w:t>绩效自评佐证材料清单</w:t>
      </w:r>
    </w:p>
    <w:tbl>
      <w:tblPr>
        <w:tblStyle w:val="21"/>
        <w:tblW w:w="95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76"/>
        <w:gridCol w:w="7962"/>
      </w:tblGrid>
      <w:tr w14:paraId="096B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blHead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B0E9">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类型</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FA27">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编号</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9AF7">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名称</w:t>
            </w:r>
          </w:p>
        </w:tc>
      </w:tr>
      <w:tr w14:paraId="2C94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80" w:type="dxa"/>
            <w:vMerge w:val="restart"/>
            <w:tcBorders>
              <w:top w:val="nil"/>
              <w:left w:val="single" w:color="000000" w:sz="4" w:space="0"/>
              <w:bottom w:val="nil"/>
              <w:right w:val="single" w:color="000000" w:sz="4" w:space="0"/>
            </w:tcBorders>
            <w:shd w:val="clear" w:color="auto" w:fill="auto"/>
            <w:vAlign w:val="center"/>
          </w:tcPr>
          <w:p w14:paraId="521F39A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2.过程类</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7B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9E23">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《关于加快发展保障性租赁住房的实施意见》（粤府办〔2021〕39号）</w:t>
            </w:r>
          </w:p>
        </w:tc>
      </w:tr>
      <w:tr w14:paraId="42D1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780" w:type="dxa"/>
            <w:vMerge w:val="continue"/>
            <w:tcBorders>
              <w:top w:val="nil"/>
              <w:left w:val="single" w:color="000000" w:sz="4" w:space="0"/>
              <w:bottom w:val="nil"/>
              <w:right w:val="single" w:color="000000" w:sz="4" w:space="0"/>
            </w:tcBorders>
            <w:shd w:val="clear" w:color="auto" w:fill="auto"/>
            <w:vAlign w:val="center"/>
          </w:tcPr>
          <w:p w14:paraId="08DCAAD9">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067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BF75">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《广东省住房和城乡建设厅 广东省发展和改革委员会 广东省财政厅 广东省人民政府国有资产监督管理委员会关于印发〈广东省城市危旧房摸底调查工作方案〉的通知》（粤建保〔2023〕114号）</w:t>
            </w:r>
          </w:p>
        </w:tc>
      </w:tr>
      <w:tr w14:paraId="0C23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80" w:type="dxa"/>
            <w:vMerge w:val="continue"/>
            <w:tcBorders>
              <w:top w:val="nil"/>
              <w:left w:val="single" w:color="000000" w:sz="4" w:space="0"/>
              <w:bottom w:val="nil"/>
              <w:right w:val="single" w:color="000000" w:sz="4" w:space="0"/>
            </w:tcBorders>
            <w:shd w:val="clear" w:color="auto" w:fill="auto"/>
            <w:vAlign w:val="center"/>
          </w:tcPr>
          <w:p w14:paraId="6A20594C">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6C8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w:t>
            </w:r>
          </w:p>
        </w:tc>
        <w:tc>
          <w:tcPr>
            <w:tcW w:w="7962" w:type="dxa"/>
            <w:tcBorders>
              <w:top w:val="nil"/>
              <w:left w:val="nil"/>
              <w:bottom w:val="nil"/>
              <w:right w:val="nil"/>
            </w:tcBorders>
            <w:shd w:val="clear" w:color="auto" w:fill="auto"/>
            <w:vAlign w:val="center"/>
          </w:tcPr>
          <w:p w14:paraId="35835146">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《广东省财政厅关于提前下达2024年省住房城乡建设厅主管专项资金的通知》（粤财建〔2023〕77号）</w:t>
            </w:r>
          </w:p>
        </w:tc>
      </w:tr>
      <w:tr w14:paraId="78E4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80" w:type="dxa"/>
            <w:vMerge w:val="continue"/>
            <w:tcBorders>
              <w:top w:val="nil"/>
              <w:left w:val="single" w:color="000000" w:sz="4" w:space="0"/>
              <w:bottom w:val="nil"/>
              <w:right w:val="single" w:color="000000" w:sz="4" w:space="0"/>
            </w:tcBorders>
            <w:shd w:val="clear" w:color="auto" w:fill="auto"/>
            <w:vAlign w:val="center"/>
          </w:tcPr>
          <w:p w14:paraId="515DA48B">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175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6EFE">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广东省保障性租赁住房“十四五”及三年（2021-2023年）专项行动目标任务明细表</w:t>
            </w:r>
          </w:p>
        </w:tc>
      </w:tr>
      <w:tr w14:paraId="355D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80" w:type="dxa"/>
            <w:vMerge w:val="continue"/>
            <w:tcBorders>
              <w:top w:val="nil"/>
              <w:left w:val="single" w:color="000000" w:sz="4" w:space="0"/>
              <w:bottom w:val="nil"/>
              <w:right w:val="single" w:color="000000" w:sz="4" w:space="0"/>
            </w:tcBorders>
            <w:shd w:val="clear" w:color="auto" w:fill="auto"/>
            <w:vAlign w:val="center"/>
          </w:tcPr>
          <w:p w14:paraId="70666257">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33B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7A9F">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《广东省财政厅关于开展2024年省级财政资金绩效自评工作的通知》</w:t>
            </w:r>
          </w:p>
        </w:tc>
      </w:tr>
      <w:tr w14:paraId="05B4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80" w:type="dxa"/>
            <w:vMerge w:val="continue"/>
            <w:tcBorders>
              <w:top w:val="nil"/>
              <w:left w:val="single" w:color="000000" w:sz="4" w:space="0"/>
              <w:bottom w:val="nil"/>
              <w:right w:val="single" w:color="000000" w:sz="4" w:space="0"/>
            </w:tcBorders>
            <w:shd w:val="clear" w:color="auto" w:fill="auto"/>
            <w:vAlign w:val="center"/>
          </w:tcPr>
          <w:p w14:paraId="684C70D6">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AFA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DF0D">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《广东省住房和城乡建设厅关于开展2024年城镇保障性安居工程省级资金绩效评价工作的通知》</w:t>
            </w:r>
          </w:p>
        </w:tc>
      </w:tr>
      <w:tr w14:paraId="0EA4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780" w:type="dxa"/>
            <w:vMerge w:val="continue"/>
            <w:tcBorders>
              <w:top w:val="nil"/>
              <w:left w:val="single" w:color="000000" w:sz="4" w:space="0"/>
              <w:bottom w:val="nil"/>
              <w:right w:val="single" w:color="000000" w:sz="4" w:space="0"/>
            </w:tcBorders>
            <w:shd w:val="clear" w:color="auto" w:fill="auto"/>
            <w:vAlign w:val="center"/>
          </w:tcPr>
          <w:p w14:paraId="6FC68ACA">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F7A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1-7</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8832">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（广东省12月）2024年中央及省级补助资金（住房保障、棚户区）支出进度</w:t>
            </w:r>
          </w:p>
        </w:tc>
      </w:tr>
      <w:tr w14:paraId="7E9C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80" w:type="dxa"/>
            <w:vMerge w:val="continue"/>
            <w:tcBorders>
              <w:top w:val="nil"/>
              <w:left w:val="single" w:color="000000" w:sz="4" w:space="0"/>
              <w:bottom w:val="nil"/>
              <w:right w:val="single" w:color="000000" w:sz="4" w:space="0"/>
            </w:tcBorders>
            <w:shd w:val="clear" w:color="auto" w:fill="auto"/>
            <w:vAlign w:val="center"/>
          </w:tcPr>
          <w:p w14:paraId="38FA7740">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B3E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1-8</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D381">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《国务院关于规划建设保障性住房的指导意见》（ 国发〔2023〕14号）</w:t>
            </w:r>
          </w:p>
        </w:tc>
      </w:tr>
      <w:tr w14:paraId="7B70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780" w:type="dxa"/>
            <w:vMerge w:val="continue"/>
            <w:tcBorders>
              <w:top w:val="nil"/>
              <w:left w:val="single" w:color="000000" w:sz="4" w:space="0"/>
              <w:bottom w:val="nil"/>
              <w:right w:val="single" w:color="000000" w:sz="4" w:space="0"/>
            </w:tcBorders>
            <w:shd w:val="clear" w:color="auto" w:fill="auto"/>
            <w:vAlign w:val="center"/>
          </w:tcPr>
          <w:p w14:paraId="1B96267C">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666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1-9</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D0FA">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关于完善住房租赁有关税收政策的公告</w:t>
            </w:r>
          </w:p>
        </w:tc>
      </w:tr>
      <w:tr w14:paraId="2C303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780" w:type="dxa"/>
            <w:vMerge w:val="continue"/>
            <w:tcBorders>
              <w:top w:val="nil"/>
              <w:left w:val="single" w:color="000000" w:sz="4" w:space="0"/>
              <w:bottom w:val="nil"/>
              <w:right w:val="single" w:color="000000" w:sz="4" w:space="0"/>
            </w:tcBorders>
            <w:shd w:val="clear" w:color="auto" w:fill="auto"/>
            <w:vAlign w:val="center"/>
          </w:tcPr>
          <w:p w14:paraId="09FB09B9">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BE8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1-10</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DCF3">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广东省人民政府办公厅关于加快发展保障性租赁住房的实施意见</w:t>
            </w:r>
          </w:p>
        </w:tc>
      </w:tr>
      <w:tr w14:paraId="1618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80" w:type="dxa"/>
            <w:vMerge w:val="continue"/>
            <w:tcBorders>
              <w:top w:val="nil"/>
              <w:left w:val="single" w:color="000000" w:sz="4" w:space="0"/>
              <w:bottom w:val="nil"/>
              <w:right w:val="single" w:color="000000" w:sz="4" w:space="0"/>
            </w:tcBorders>
            <w:shd w:val="clear" w:color="auto" w:fill="auto"/>
            <w:vAlign w:val="center"/>
          </w:tcPr>
          <w:p w14:paraId="2EC2491E">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D19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1-11</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78A9">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《广东省建设项目安全设施监督管理办法》（广东省人民政府令第147号）</w:t>
            </w:r>
          </w:p>
        </w:tc>
      </w:tr>
      <w:tr w14:paraId="7778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780" w:type="dxa"/>
            <w:vMerge w:val="continue"/>
            <w:tcBorders>
              <w:top w:val="nil"/>
              <w:left w:val="single" w:color="000000" w:sz="4" w:space="0"/>
              <w:bottom w:val="nil"/>
              <w:right w:val="single" w:color="000000" w:sz="4" w:space="0"/>
            </w:tcBorders>
            <w:shd w:val="clear" w:color="auto" w:fill="auto"/>
            <w:vAlign w:val="center"/>
          </w:tcPr>
          <w:p w14:paraId="49A3494A">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D1D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1-12</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9272">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广东省城镇住房保障办法</w:t>
            </w:r>
          </w:p>
        </w:tc>
      </w:tr>
      <w:tr w14:paraId="1078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80" w:type="dxa"/>
            <w:vMerge w:val="continue"/>
            <w:tcBorders>
              <w:top w:val="nil"/>
              <w:left w:val="single" w:color="000000" w:sz="4" w:space="0"/>
              <w:bottom w:val="nil"/>
              <w:right w:val="single" w:color="000000" w:sz="4" w:space="0"/>
            </w:tcBorders>
            <w:shd w:val="clear" w:color="auto" w:fill="auto"/>
            <w:vAlign w:val="center"/>
          </w:tcPr>
          <w:p w14:paraId="59207E46">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C5A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1-13</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2963">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广东省建设工程质量管理条例</w:t>
            </w:r>
          </w:p>
        </w:tc>
      </w:tr>
      <w:tr w14:paraId="4E95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780" w:type="dxa"/>
            <w:vMerge w:val="continue"/>
            <w:tcBorders>
              <w:top w:val="nil"/>
              <w:left w:val="single" w:color="000000" w:sz="4" w:space="0"/>
              <w:bottom w:val="nil"/>
              <w:right w:val="single" w:color="000000" w:sz="4" w:space="0"/>
            </w:tcBorders>
            <w:shd w:val="clear" w:color="auto" w:fill="auto"/>
            <w:vAlign w:val="center"/>
          </w:tcPr>
          <w:p w14:paraId="2771A118">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724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1-14</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BEC6">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广东省标准《保障性住房建筑规程DBJ/T 15-80-2021》</w:t>
            </w:r>
          </w:p>
        </w:tc>
      </w:tr>
      <w:tr w14:paraId="2362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780" w:type="dxa"/>
            <w:vMerge w:val="restart"/>
            <w:tcBorders>
              <w:top w:val="single" w:color="000000" w:sz="4" w:space="0"/>
              <w:left w:val="single" w:color="000000" w:sz="4" w:space="0"/>
              <w:bottom w:val="nil"/>
              <w:right w:val="single" w:color="000000" w:sz="4" w:space="0"/>
            </w:tcBorders>
            <w:shd w:val="clear" w:color="auto" w:fill="auto"/>
            <w:vAlign w:val="center"/>
          </w:tcPr>
          <w:p w14:paraId="32A51C8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3.产出和效益类</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353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2-1</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680E">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《广东省住房和城乡建设厅等关于印发2024年配售型保障性住房、配租型保障性住房（保障性租赁住房、公租房保障）和棚户区（城市危旧房）改造等计划的通知》（粤建保〔2024〕38号）</w:t>
            </w:r>
          </w:p>
        </w:tc>
      </w:tr>
      <w:tr w14:paraId="4B97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4DCB2CE5">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2FD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2-2</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05CA">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2024年重点项目绩效目标表-保障性安居工程</w:t>
            </w:r>
          </w:p>
        </w:tc>
      </w:tr>
      <w:tr w14:paraId="159C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A8D1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3.综合类（3-1至3-21省本级及各市自评材料）</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C76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3-1</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7114">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广州市自评材料（绩效自评表、绩效评价报告、佐证材料等）</w:t>
            </w:r>
          </w:p>
        </w:tc>
      </w:tr>
      <w:tr w14:paraId="2501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1BF12">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2B1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3-2</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15B1">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珠海市自评材料（绩效自评表、绩效评价报告、佐证材料等）</w:t>
            </w:r>
          </w:p>
        </w:tc>
      </w:tr>
      <w:tr w14:paraId="1C14A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53EB0">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D46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3-3</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AD43">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汕头市自评材料（绩效自评表、绩效评价报告、佐证材料等）</w:t>
            </w:r>
          </w:p>
        </w:tc>
      </w:tr>
      <w:tr w14:paraId="7677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C63FF">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B30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3-4</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CEE2">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佛山市自评材料（绩效自评表、绩效评价报告、佐证材料等）</w:t>
            </w:r>
          </w:p>
        </w:tc>
      </w:tr>
      <w:tr w14:paraId="7BA4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CCA3C">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D28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3-5</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1FE7">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韶关市自评材料（绩效自评表、绩效评价报告、佐证材料等）</w:t>
            </w:r>
          </w:p>
        </w:tc>
      </w:tr>
      <w:tr w14:paraId="781F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19E7A">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367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3-6</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BBAD">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河源市自评材料（绩效自评表、绩效评价报告、佐证材料等）</w:t>
            </w:r>
          </w:p>
        </w:tc>
      </w:tr>
      <w:tr w14:paraId="37F9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70E1E">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822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3-7</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9127">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梅州市自评材料（绩效自评表、绩效评价报告、佐证材料等）</w:t>
            </w:r>
          </w:p>
        </w:tc>
      </w:tr>
      <w:tr w14:paraId="72299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86DD4">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B3D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3-8</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341C">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惠州市自评材料（绩效自评表、绩效评价报告、佐证材料等）</w:t>
            </w:r>
          </w:p>
        </w:tc>
      </w:tr>
      <w:tr w14:paraId="181F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A1507">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10F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3-9</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8055">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汕尾市自评材料（绩效自评表、绩效评价报告、佐证材料等）</w:t>
            </w:r>
          </w:p>
        </w:tc>
      </w:tr>
      <w:tr w14:paraId="2D6A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51163">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01E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3-10</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5D65">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东莞市自评材料（绩效自评表、绩效评价报告、佐证材料等）</w:t>
            </w:r>
          </w:p>
        </w:tc>
      </w:tr>
      <w:tr w14:paraId="2A618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30EBC">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A52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3-11</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5746">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中山市自评材料（绩效自评表、绩效评价报告、佐证材料等）</w:t>
            </w:r>
          </w:p>
        </w:tc>
      </w:tr>
      <w:tr w14:paraId="1925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AFE34">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4F6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3-12</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06C7">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江门市自评材料（绩效自评表、绩效评价报告、佐证材料等）</w:t>
            </w:r>
          </w:p>
        </w:tc>
      </w:tr>
      <w:tr w14:paraId="3A8C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5F03D">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13A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3-13</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093B">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阳江市自评材料（绩效自评表、绩效评价报告、佐证材料等）</w:t>
            </w:r>
          </w:p>
        </w:tc>
      </w:tr>
      <w:tr w14:paraId="70041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8D861">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4CD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3-14</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1007">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湛江市自评材料（绩效自评表、绩效评价报告、佐证材料等）</w:t>
            </w:r>
          </w:p>
        </w:tc>
      </w:tr>
      <w:tr w14:paraId="0A70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A2015">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D3A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3-15</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E60B">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茂名市自评材料（绩效自评表、绩效评价报告、佐证材料等）</w:t>
            </w:r>
          </w:p>
        </w:tc>
      </w:tr>
      <w:tr w14:paraId="246A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6DFDC">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1F7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3-16</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336B">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肇庆市自评材料（绩效自评表、绩效评价报告、佐证材料等）</w:t>
            </w:r>
          </w:p>
        </w:tc>
      </w:tr>
      <w:tr w14:paraId="64DA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9F20">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7F1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3-17</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E50B">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清远市自评材料（绩效自评表、绩效评价报告、佐证材料等）</w:t>
            </w:r>
          </w:p>
        </w:tc>
      </w:tr>
      <w:tr w14:paraId="77DA1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A5EB8">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FC3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3-18</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2B94">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潮州市自评材料（绩效自评表、绩效评价报告、佐证材料等）</w:t>
            </w:r>
          </w:p>
        </w:tc>
      </w:tr>
      <w:tr w14:paraId="2217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FE770">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88F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3-19</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765">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揭阳市自评材料（绩效自评表、绩效评价报告、佐证材料等）</w:t>
            </w:r>
          </w:p>
        </w:tc>
      </w:tr>
      <w:tr w14:paraId="7A3E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698CC">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DC6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3-20</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1941">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云浮市自评材料（绩效自评表、绩效评价报告、佐证材料等）</w:t>
            </w:r>
          </w:p>
        </w:tc>
      </w:tr>
      <w:tr w14:paraId="7538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C18A6">
            <w:pPr>
              <w:jc w:val="center"/>
              <w:rPr>
                <w:rFonts w:hint="default" w:ascii="Times New Roman" w:hAnsi="Times New Roman" w:eastAsia="仿宋_GB2312" w:cs="Times New Roman"/>
                <w:i w:val="0"/>
                <w:iCs w:val="0"/>
                <w:color w:val="auto"/>
                <w:sz w:val="24"/>
                <w:szCs w:val="24"/>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DD9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3-21</w:t>
            </w:r>
          </w:p>
        </w:tc>
        <w:tc>
          <w:tcPr>
            <w:tcW w:w="7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5862">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省本级材料</w:t>
            </w:r>
          </w:p>
        </w:tc>
      </w:tr>
    </w:tbl>
    <w:p w14:paraId="0C88A5B7">
      <w:pPr>
        <w:pStyle w:val="9"/>
        <w:pageBreakBefore w:val="0"/>
        <w:kinsoku/>
        <w:wordWrap/>
        <w:overflowPunct/>
        <w:topLinePunct w:val="0"/>
        <w:autoSpaceDE/>
        <w:autoSpaceDN/>
        <w:bidi w:val="0"/>
        <w:adjustRightInd/>
        <w:spacing w:line="600" w:lineRule="exact"/>
        <w:ind w:left="0" w:leftChars="0" w:firstLine="0" w:firstLineChars="0"/>
        <w:jc w:val="center"/>
        <w:textAlignment w:val="auto"/>
        <w:rPr>
          <w:rFonts w:hint="eastAsia" w:ascii="黑体" w:hAnsi="黑体" w:eastAsia="黑体" w:cs="黑体"/>
          <w:color w:val="auto"/>
          <w:kern w:val="0"/>
          <w:sz w:val="28"/>
          <w:szCs w:val="28"/>
          <w:highlight w:val="none"/>
        </w:rPr>
        <w:sectPr>
          <w:footerReference r:id="rId6" w:type="default"/>
          <w:pgSz w:w="11906" w:h="16838"/>
          <w:pgMar w:top="1134" w:right="1134" w:bottom="1531" w:left="1134"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754B3C9C">
      <w:pPr>
        <w:pStyle w:val="9"/>
        <w:pageBreakBefore w:val="0"/>
        <w:kinsoku/>
        <w:wordWrap/>
        <w:overflowPunct/>
        <w:topLinePunct w:val="0"/>
        <w:autoSpaceDE/>
        <w:autoSpaceDN/>
        <w:bidi w:val="0"/>
        <w:adjustRightInd/>
        <w:spacing w:line="600" w:lineRule="exact"/>
        <w:ind w:left="0" w:leftChars="0" w:firstLine="0" w:firstLineChars="0"/>
        <w:jc w:val="left"/>
        <w:textAlignment w:val="auto"/>
        <w:outlineLvl w:val="0"/>
        <w:rPr>
          <w:rFonts w:hint="eastAsia" w:ascii="Times New Roman" w:hAnsi="Times New Roman" w:eastAsia="仿宋_GB2312" w:cs="Times New Roman"/>
          <w:color w:val="auto"/>
          <w:kern w:val="0"/>
          <w:sz w:val="28"/>
          <w:szCs w:val="28"/>
          <w:highlight w:val="none"/>
          <w:lang w:val="en-US" w:eastAsia="zh-CN"/>
        </w:rPr>
      </w:pPr>
      <w:bookmarkStart w:id="52" w:name="_Toc12180"/>
      <w:r>
        <w:rPr>
          <w:rFonts w:hint="eastAsia" w:ascii="Times New Roman" w:hAnsi="Times New Roman" w:eastAsia="仿宋_GB2312" w:cs="Times New Roman"/>
          <w:color w:val="auto"/>
          <w:kern w:val="0"/>
          <w:sz w:val="28"/>
          <w:szCs w:val="28"/>
          <w:highlight w:val="none"/>
          <w:lang w:val="en-US" w:eastAsia="zh-CN"/>
        </w:rPr>
        <w:t>附件</w:t>
      </w:r>
      <w:r>
        <w:rPr>
          <w:rFonts w:hint="default" w:ascii="Times New Roman" w:hAnsi="Times New Roman" w:eastAsia="仿宋_GB2312" w:cs="Times New Roman"/>
          <w:color w:val="auto"/>
          <w:kern w:val="0"/>
          <w:sz w:val="28"/>
          <w:szCs w:val="28"/>
          <w:highlight w:val="none"/>
          <w:lang w:val="en-US" w:eastAsia="zh-CN"/>
        </w:rPr>
        <w:t>3</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2</w:t>
      </w:r>
      <w:bookmarkEnd w:id="52"/>
    </w:p>
    <w:p w14:paraId="4EEE6AE4">
      <w:pPr>
        <w:pStyle w:val="9"/>
        <w:pageBreakBefore w:val="0"/>
        <w:kinsoku/>
        <w:wordWrap/>
        <w:overflowPunct/>
        <w:topLinePunct w:val="0"/>
        <w:autoSpaceDE/>
        <w:autoSpaceDN/>
        <w:bidi w:val="0"/>
        <w:adjustRightInd/>
        <w:spacing w:line="600" w:lineRule="exact"/>
        <w:ind w:left="0" w:leftChars="0" w:firstLine="0" w:firstLineChars="0"/>
        <w:jc w:val="center"/>
        <w:textAlignment w:val="auto"/>
        <w:rPr>
          <w:rFonts w:hint="eastAsia" w:ascii="黑体" w:hAnsi="黑体" w:eastAsia="黑体" w:cs="黑体"/>
          <w:color w:val="auto"/>
          <w:kern w:val="0"/>
          <w:sz w:val="28"/>
          <w:szCs w:val="28"/>
          <w:highlight w:val="none"/>
        </w:rPr>
      </w:pPr>
      <w:r>
        <w:rPr>
          <w:rFonts w:hint="default" w:ascii="Times New Roman" w:hAnsi="Times New Roman" w:eastAsia="黑体" w:cs="Times New Roman"/>
          <w:color w:val="auto"/>
          <w:kern w:val="0"/>
          <w:sz w:val="28"/>
          <w:szCs w:val="28"/>
          <w:highlight w:val="none"/>
          <w:lang w:val="en-US" w:eastAsia="zh-CN"/>
        </w:rPr>
        <w:t>2024</w:t>
      </w:r>
      <w:r>
        <w:rPr>
          <w:rFonts w:hint="eastAsia" w:ascii="黑体" w:hAnsi="黑体" w:eastAsia="黑体" w:cs="黑体"/>
          <w:color w:val="auto"/>
          <w:kern w:val="0"/>
          <w:sz w:val="28"/>
          <w:szCs w:val="28"/>
          <w:highlight w:val="none"/>
          <w:lang w:val="en-US" w:eastAsia="zh-CN"/>
        </w:rPr>
        <w:t>年保障性安居工程专项资金（自建房安全专项资金）</w:t>
      </w:r>
      <w:r>
        <w:rPr>
          <w:rFonts w:hint="eastAsia" w:ascii="黑体" w:hAnsi="黑体" w:eastAsia="黑体" w:cs="黑体"/>
          <w:color w:val="auto"/>
          <w:kern w:val="0"/>
          <w:sz w:val="28"/>
          <w:szCs w:val="28"/>
          <w:highlight w:val="none"/>
        </w:rPr>
        <w:t>绩效自评佐证材料清单</w:t>
      </w:r>
    </w:p>
    <w:p w14:paraId="5331EE04">
      <w:pPr>
        <w:pStyle w:val="9"/>
        <w:pageBreakBefore w:val="0"/>
        <w:kinsoku/>
        <w:wordWrap/>
        <w:overflowPunct/>
        <w:topLinePunct w:val="0"/>
        <w:autoSpaceDE/>
        <w:autoSpaceDN/>
        <w:bidi w:val="0"/>
        <w:adjustRightInd/>
        <w:spacing w:line="600" w:lineRule="exact"/>
        <w:ind w:left="0" w:leftChars="0" w:firstLine="0" w:firstLineChars="0"/>
        <w:jc w:val="center"/>
        <w:textAlignment w:val="auto"/>
        <w:rPr>
          <w:rFonts w:hint="eastAsia" w:ascii="黑体" w:hAnsi="黑体" w:eastAsia="黑体" w:cs="黑体"/>
          <w:color w:val="auto"/>
          <w:kern w:val="0"/>
          <w:sz w:val="28"/>
          <w:szCs w:val="28"/>
          <w:highlight w:val="none"/>
        </w:rPr>
      </w:pPr>
    </w:p>
    <w:tbl>
      <w:tblPr>
        <w:tblStyle w:val="21"/>
        <w:tblW w:w="931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14"/>
        <w:gridCol w:w="1180"/>
        <w:gridCol w:w="6925"/>
      </w:tblGrid>
      <w:tr w14:paraId="2284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B0B08">
            <w:pPr>
              <w:keepNext w:val="0"/>
              <w:keepLines w:val="0"/>
              <w:widowControl/>
              <w:suppressLineNumbers w:val="0"/>
              <w:jc w:val="center"/>
              <w:textAlignment w:val="center"/>
              <w:rPr>
                <w:rFonts w:ascii="仿宋_GB2312" w:hAnsi="宋体" w:eastAsia="仿宋_GB2312" w:cs="仿宋_GB2312"/>
                <w:b/>
                <w:bCs/>
                <w:i w:val="0"/>
                <w:iCs w:val="0"/>
                <w:color w:val="auto"/>
                <w:sz w:val="22"/>
                <w:szCs w:val="22"/>
                <w:u w:val="none"/>
              </w:rPr>
            </w:pPr>
            <w:r>
              <w:rPr>
                <w:rFonts w:hint="default" w:ascii="仿宋_GB2312" w:hAnsi="宋体" w:eastAsia="仿宋_GB2312" w:cs="仿宋_GB2312"/>
                <w:b/>
                <w:bCs/>
                <w:i w:val="0"/>
                <w:iCs w:val="0"/>
                <w:color w:val="auto"/>
                <w:kern w:val="0"/>
                <w:sz w:val="22"/>
                <w:szCs w:val="22"/>
                <w:u w:val="none"/>
                <w:lang w:val="en-US" w:eastAsia="zh-CN" w:bidi="ar"/>
              </w:rPr>
              <w:t>类型</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B0D20">
            <w:pPr>
              <w:keepNext w:val="0"/>
              <w:keepLines w:val="0"/>
              <w:widowControl/>
              <w:suppressLineNumbers w:val="0"/>
              <w:jc w:val="center"/>
              <w:textAlignment w:val="center"/>
              <w:rPr>
                <w:rFonts w:hint="default" w:ascii="仿宋_GB2312" w:hAnsi="宋体" w:eastAsia="仿宋_GB2312" w:cs="仿宋_GB2312"/>
                <w:b/>
                <w:bCs/>
                <w:i w:val="0"/>
                <w:iCs w:val="0"/>
                <w:color w:val="auto"/>
                <w:sz w:val="22"/>
                <w:szCs w:val="22"/>
                <w:u w:val="none"/>
              </w:rPr>
            </w:pPr>
            <w:r>
              <w:rPr>
                <w:rFonts w:hint="default" w:ascii="仿宋_GB2312" w:hAnsi="宋体" w:eastAsia="仿宋_GB2312" w:cs="仿宋_GB2312"/>
                <w:b/>
                <w:bCs/>
                <w:i w:val="0"/>
                <w:iCs w:val="0"/>
                <w:color w:val="auto"/>
                <w:kern w:val="0"/>
                <w:sz w:val="22"/>
                <w:szCs w:val="22"/>
                <w:u w:val="none"/>
                <w:lang w:val="en-US" w:eastAsia="zh-CN" w:bidi="ar"/>
              </w:rPr>
              <w:t>编号</w:t>
            </w:r>
          </w:p>
        </w:tc>
        <w:tc>
          <w:tcPr>
            <w:tcW w:w="69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18546">
            <w:pPr>
              <w:keepNext w:val="0"/>
              <w:keepLines w:val="0"/>
              <w:widowControl/>
              <w:suppressLineNumbers w:val="0"/>
              <w:jc w:val="center"/>
              <w:textAlignment w:val="center"/>
              <w:rPr>
                <w:rFonts w:hint="default" w:ascii="仿宋_GB2312" w:hAnsi="宋体" w:eastAsia="仿宋_GB2312" w:cs="仿宋_GB2312"/>
                <w:b/>
                <w:bCs/>
                <w:i w:val="0"/>
                <w:iCs w:val="0"/>
                <w:color w:val="auto"/>
                <w:sz w:val="22"/>
                <w:szCs w:val="22"/>
                <w:u w:val="none"/>
              </w:rPr>
            </w:pPr>
            <w:r>
              <w:rPr>
                <w:rFonts w:hint="default" w:ascii="仿宋_GB2312" w:hAnsi="宋体" w:eastAsia="仿宋_GB2312" w:cs="仿宋_GB2312"/>
                <w:b/>
                <w:bCs/>
                <w:i w:val="0"/>
                <w:iCs w:val="0"/>
                <w:color w:val="auto"/>
                <w:kern w:val="0"/>
                <w:sz w:val="22"/>
                <w:szCs w:val="22"/>
                <w:u w:val="none"/>
                <w:lang w:val="en-US" w:eastAsia="zh-CN" w:bidi="ar"/>
              </w:rPr>
              <w:t>名称</w:t>
            </w:r>
          </w:p>
        </w:tc>
      </w:tr>
      <w:tr w14:paraId="193A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214"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7E951EAA">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1.过程管理类</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9935B">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1-1</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070DCD33">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《国务院办公厅关于印发全国自建房安全专项整治工作方案的通知》（国办发明电〔2022〕10号）</w:t>
            </w:r>
          </w:p>
        </w:tc>
      </w:tr>
      <w:tr w14:paraId="1C91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214"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609F8D1A">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33F5D">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1-2</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437162D0">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《住建部等15部门关于加强经营性自建房安全管理的通知》（建村〔2023〕18号）</w:t>
            </w:r>
          </w:p>
        </w:tc>
      </w:tr>
      <w:tr w14:paraId="42C0E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214"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64819A70">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504B7">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1-3</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79B5EA81">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下达资金及任务清单文件</w:t>
            </w:r>
          </w:p>
        </w:tc>
      </w:tr>
      <w:tr w14:paraId="0577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214"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1707BF0F">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90AAD">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1-4</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4236A66B">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绩效目标申报材料</w:t>
            </w:r>
          </w:p>
        </w:tc>
      </w:tr>
      <w:tr w14:paraId="4060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1214"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3653F594">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198B1">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1-5</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6C6B6F98">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广东省自建房安全专项整治工作领导小组办公室关于征求《广东省开展自建房结构安全性问题整治的工作指引（征求意见稿）》等四个工作指引意见的函</w:t>
            </w:r>
          </w:p>
        </w:tc>
      </w:tr>
      <w:tr w14:paraId="4F1D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1214"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5060FFE1">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14917">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1-6</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0C536379">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广东省自建房安全专项整治工作领导小组办公室关于印发《广东省开展自建房结构安全问题整治的工作指引》《广东省开展自建房经营安全问题整治的工作指引》的通知</w:t>
            </w:r>
          </w:p>
        </w:tc>
      </w:tr>
      <w:tr w14:paraId="6791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214"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4916DE4E">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525A5">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1-7</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0ABD4825">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广东省住房和城乡建设厅及自建房安全专项整治工作领导小组办公室调研、通知、检查文件</w:t>
            </w:r>
          </w:p>
        </w:tc>
      </w:tr>
      <w:tr w14:paraId="0614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F2BFE">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2.产出、效益类</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10D1B">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2-1</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31FA1983">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年度&amp;半年度工作总结材料</w:t>
            </w:r>
          </w:p>
        </w:tc>
      </w:tr>
      <w:tr w14:paraId="3098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8E2DF">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29567">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2-2</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47458C8F">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广东省自建房安全专项整治工作简报及资金拨付进度简报</w:t>
            </w:r>
          </w:p>
        </w:tc>
      </w:tr>
      <w:tr w14:paraId="04C4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214" w:type="dxa"/>
            <w:vMerge w:val="restart"/>
            <w:tcBorders>
              <w:top w:val="nil"/>
              <w:left w:val="single" w:color="000000" w:sz="4" w:space="0"/>
              <w:right w:val="single" w:color="000000" w:sz="4" w:space="0"/>
            </w:tcBorders>
            <w:shd w:val="clear" w:color="auto" w:fill="FFFFFF"/>
            <w:noWrap w:val="0"/>
            <w:vAlign w:val="center"/>
          </w:tcPr>
          <w:p w14:paraId="0ED23CE6">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3.市县</w:t>
            </w:r>
            <w:r>
              <w:rPr>
                <w:rFonts w:hint="eastAsia" w:ascii="仿宋_GB2312" w:hAnsi="宋体" w:eastAsia="仿宋_GB2312" w:cs="仿宋_GB2312"/>
                <w:i w:val="0"/>
                <w:iCs w:val="0"/>
                <w:color w:val="auto"/>
                <w:kern w:val="0"/>
                <w:sz w:val="22"/>
                <w:szCs w:val="22"/>
                <w:u w:val="none"/>
                <w:lang w:val="en-US" w:eastAsia="zh-CN" w:bidi="ar"/>
              </w:rPr>
              <w:t>、省本级</w:t>
            </w:r>
            <w:r>
              <w:rPr>
                <w:rFonts w:hint="default" w:ascii="仿宋_GB2312" w:hAnsi="宋体" w:eastAsia="仿宋_GB2312" w:cs="仿宋_GB2312"/>
                <w:i w:val="0"/>
                <w:iCs w:val="0"/>
                <w:color w:val="auto"/>
                <w:kern w:val="0"/>
                <w:sz w:val="22"/>
                <w:szCs w:val="22"/>
                <w:u w:val="none"/>
                <w:lang w:val="en-US" w:eastAsia="zh-CN" w:bidi="ar"/>
              </w:rPr>
              <w:t>佐证材料</w:t>
            </w:r>
          </w:p>
        </w:tc>
        <w:tc>
          <w:tcPr>
            <w:tcW w:w="1180" w:type="dxa"/>
            <w:tcBorders>
              <w:top w:val="single" w:color="000000" w:sz="4" w:space="0"/>
              <w:left w:val="nil"/>
              <w:bottom w:val="single" w:color="000000" w:sz="4" w:space="0"/>
              <w:right w:val="single" w:color="000000" w:sz="4" w:space="0"/>
            </w:tcBorders>
            <w:shd w:val="clear" w:color="auto" w:fill="FFFFFF"/>
            <w:noWrap w:val="0"/>
            <w:vAlign w:val="center"/>
          </w:tcPr>
          <w:p w14:paraId="08A2519E">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3-1</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659C276E">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韶关市自评报告及佐证材料</w:t>
            </w:r>
          </w:p>
        </w:tc>
      </w:tr>
      <w:tr w14:paraId="3983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214" w:type="dxa"/>
            <w:vMerge w:val="continue"/>
            <w:tcBorders>
              <w:left w:val="single" w:color="000000" w:sz="4" w:space="0"/>
              <w:right w:val="single" w:color="000000" w:sz="4" w:space="0"/>
            </w:tcBorders>
            <w:shd w:val="clear" w:color="auto" w:fill="FFFFFF"/>
            <w:noWrap w:val="0"/>
            <w:vAlign w:val="center"/>
          </w:tcPr>
          <w:p w14:paraId="4D4C06F6">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nil"/>
              <w:bottom w:val="single" w:color="000000" w:sz="4" w:space="0"/>
              <w:right w:val="single" w:color="000000" w:sz="4" w:space="0"/>
            </w:tcBorders>
            <w:shd w:val="clear" w:color="auto" w:fill="FFFFFF"/>
            <w:noWrap w:val="0"/>
            <w:vAlign w:val="center"/>
          </w:tcPr>
          <w:p w14:paraId="23641F2D">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3-2</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6DC5934E">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汕头市自评报告及佐证材料</w:t>
            </w:r>
          </w:p>
        </w:tc>
      </w:tr>
      <w:tr w14:paraId="2761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214" w:type="dxa"/>
            <w:vMerge w:val="continue"/>
            <w:tcBorders>
              <w:left w:val="single" w:color="000000" w:sz="4" w:space="0"/>
              <w:right w:val="single" w:color="000000" w:sz="4" w:space="0"/>
            </w:tcBorders>
            <w:shd w:val="clear" w:color="auto" w:fill="FFFFFF"/>
            <w:noWrap w:val="0"/>
            <w:vAlign w:val="center"/>
          </w:tcPr>
          <w:p w14:paraId="6D1D1F70">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nil"/>
              <w:bottom w:val="single" w:color="000000" w:sz="4" w:space="0"/>
              <w:right w:val="single" w:color="000000" w:sz="4" w:space="0"/>
            </w:tcBorders>
            <w:shd w:val="clear" w:color="auto" w:fill="FFFFFF"/>
            <w:noWrap w:val="0"/>
            <w:vAlign w:val="center"/>
          </w:tcPr>
          <w:p w14:paraId="32729939">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3-3</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2B8FB035">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江门市自评报告及佐证材料</w:t>
            </w:r>
          </w:p>
        </w:tc>
      </w:tr>
      <w:tr w14:paraId="184C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14" w:type="dxa"/>
            <w:vMerge w:val="continue"/>
            <w:tcBorders>
              <w:left w:val="single" w:color="000000" w:sz="4" w:space="0"/>
              <w:right w:val="single" w:color="000000" w:sz="4" w:space="0"/>
            </w:tcBorders>
            <w:shd w:val="clear" w:color="auto" w:fill="FFFFFF"/>
            <w:noWrap w:val="0"/>
            <w:vAlign w:val="center"/>
          </w:tcPr>
          <w:p w14:paraId="58300B7C">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nil"/>
              <w:bottom w:val="single" w:color="000000" w:sz="4" w:space="0"/>
              <w:right w:val="single" w:color="000000" w:sz="4" w:space="0"/>
            </w:tcBorders>
            <w:shd w:val="clear" w:color="auto" w:fill="FFFFFF"/>
            <w:noWrap w:val="0"/>
            <w:vAlign w:val="center"/>
          </w:tcPr>
          <w:p w14:paraId="16D2DD14">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3-4</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2F7B1E2F">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湛江市自评报告及佐证材料</w:t>
            </w:r>
          </w:p>
        </w:tc>
      </w:tr>
      <w:tr w14:paraId="2B7D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214" w:type="dxa"/>
            <w:vMerge w:val="continue"/>
            <w:tcBorders>
              <w:left w:val="single" w:color="000000" w:sz="4" w:space="0"/>
              <w:right w:val="single" w:color="000000" w:sz="4" w:space="0"/>
            </w:tcBorders>
            <w:shd w:val="clear" w:color="auto" w:fill="FFFFFF"/>
            <w:noWrap w:val="0"/>
            <w:vAlign w:val="center"/>
          </w:tcPr>
          <w:p w14:paraId="6AB7C35B">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nil"/>
              <w:bottom w:val="single" w:color="000000" w:sz="4" w:space="0"/>
              <w:right w:val="single" w:color="000000" w:sz="4" w:space="0"/>
            </w:tcBorders>
            <w:shd w:val="clear" w:color="auto" w:fill="FFFFFF"/>
            <w:noWrap w:val="0"/>
            <w:vAlign w:val="center"/>
          </w:tcPr>
          <w:p w14:paraId="1FBEB776">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3-5</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17BE567C">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茂名市自评报告及佐证材料</w:t>
            </w:r>
          </w:p>
        </w:tc>
      </w:tr>
      <w:tr w14:paraId="7868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14" w:type="dxa"/>
            <w:vMerge w:val="continue"/>
            <w:tcBorders>
              <w:left w:val="single" w:color="000000" w:sz="4" w:space="0"/>
              <w:right w:val="single" w:color="000000" w:sz="4" w:space="0"/>
            </w:tcBorders>
            <w:shd w:val="clear" w:color="auto" w:fill="FFFFFF"/>
            <w:noWrap w:val="0"/>
            <w:vAlign w:val="center"/>
          </w:tcPr>
          <w:p w14:paraId="34DFEFD1">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nil"/>
              <w:bottom w:val="single" w:color="000000" w:sz="4" w:space="0"/>
              <w:right w:val="single" w:color="000000" w:sz="4" w:space="0"/>
            </w:tcBorders>
            <w:shd w:val="clear" w:color="auto" w:fill="FFFFFF"/>
            <w:noWrap w:val="0"/>
            <w:vAlign w:val="center"/>
          </w:tcPr>
          <w:p w14:paraId="4E72AEF1">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3-6</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4A015243">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肇庆市自评报告及佐证材料</w:t>
            </w:r>
          </w:p>
        </w:tc>
      </w:tr>
      <w:tr w14:paraId="7084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1214" w:type="dxa"/>
            <w:vMerge w:val="continue"/>
            <w:tcBorders>
              <w:left w:val="single" w:color="000000" w:sz="4" w:space="0"/>
              <w:right w:val="single" w:color="000000" w:sz="4" w:space="0"/>
            </w:tcBorders>
            <w:shd w:val="clear" w:color="auto" w:fill="FFFFFF"/>
            <w:noWrap w:val="0"/>
            <w:vAlign w:val="center"/>
          </w:tcPr>
          <w:p w14:paraId="3132A20E">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nil"/>
              <w:bottom w:val="single" w:color="000000" w:sz="4" w:space="0"/>
              <w:right w:val="single" w:color="000000" w:sz="4" w:space="0"/>
            </w:tcBorders>
            <w:shd w:val="clear" w:color="auto" w:fill="FFFFFF"/>
            <w:noWrap w:val="0"/>
            <w:vAlign w:val="center"/>
          </w:tcPr>
          <w:p w14:paraId="714FC89F">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3-7</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047E621D">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惠州市自评报告及佐证材料</w:t>
            </w:r>
          </w:p>
        </w:tc>
      </w:tr>
      <w:tr w14:paraId="3F72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214" w:type="dxa"/>
            <w:vMerge w:val="continue"/>
            <w:tcBorders>
              <w:left w:val="single" w:color="000000" w:sz="4" w:space="0"/>
              <w:right w:val="single" w:color="000000" w:sz="4" w:space="0"/>
            </w:tcBorders>
            <w:shd w:val="clear" w:color="auto" w:fill="FFFFFF"/>
            <w:noWrap w:val="0"/>
            <w:vAlign w:val="center"/>
          </w:tcPr>
          <w:p w14:paraId="25456E46">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nil"/>
              <w:bottom w:val="single" w:color="000000" w:sz="4" w:space="0"/>
              <w:right w:val="single" w:color="000000" w:sz="4" w:space="0"/>
            </w:tcBorders>
            <w:shd w:val="clear" w:color="auto" w:fill="FFFFFF"/>
            <w:noWrap w:val="0"/>
            <w:vAlign w:val="center"/>
          </w:tcPr>
          <w:p w14:paraId="7F5C06CE">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3-8</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7180373C">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梅州市自评报告及佐证材料</w:t>
            </w:r>
          </w:p>
        </w:tc>
      </w:tr>
      <w:tr w14:paraId="223A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1214" w:type="dxa"/>
            <w:vMerge w:val="continue"/>
            <w:tcBorders>
              <w:left w:val="single" w:color="000000" w:sz="4" w:space="0"/>
              <w:right w:val="single" w:color="000000" w:sz="4" w:space="0"/>
            </w:tcBorders>
            <w:shd w:val="clear" w:color="auto" w:fill="FFFFFF"/>
            <w:noWrap w:val="0"/>
            <w:vAlign w:val="center"/>
          </w:tcPr>
          <w:p w14:paraId="3EA24B2B">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nil"/>
              <w:bottom w:val="single" w:color="000000" w:sz="4" w:space="0"/>
              <w:right w:val="single" w:color="000000" w:sz="4" w:space="0"/>
            </w:tcBorders>
            <w:shd w:val="clear" w:color="auto" w:fill="FFFFFF"/>
            <w:noWrap w:val="0"/>
            <w:vAlign w:val="center"/>
          </w:tcPr>
          <w:p w14:paraId="6F4D3A7E">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3-9</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6A4B3B45">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汕尾市自评报告及佐证材料</w:t>
            </w:r>
          </w:p>
        </w:tc>
      </w:tr>
      <w:tr w14:paraId="09B3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1214" w:type="dxa"/>
            <w:vMerge w:val="continue"/>
            <w:tcBorders>
              <w:left w:val="single" w:color="000000" w:sz="4" w:space="0"/>
              <w:right w:val="single" w:color="000000" w:sz="4" w:space="0"/>
            </w:tcBorders>
            <w:shd w:val="clear" w:color="auto" w:fill="FFFFFF"/>
            <w:noWrap w:val="0"/>
            <w:vAlign w:val="center"/>
          </w:tcPr>
          <w:p w14:paraId="2530F50A">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nil"/>
              <w:bottom w:val="single" w:color="000000" w:sz="4" w:space="0"/>
              <w:right w:val="single" w:color="000000" w:sz="4" w:space="0"/>
            </w:tcBorders>
            <w:shd w:val="clear" w:color="auto" w:fill="FFFFFF"/>
            <w:noWrap w:val="0"/>
            <w:vAlign w:val="center"/>
          </w:tcPr>
          <w:p w14:paraId="04F5FC35">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3-10</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0C695778">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河源市自评报告及佐证材料</w:t>
            </w:r>
          </w:p>
        </w:tc>
      </w:tr>
      <w:tr w14:paraId="3299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214" w:type="dxa"/>
            <w:vMerge w:val="continue"/>
            <w:tcBorders>
              <w:left w:val="single" w:color="000000" w:sz="4" w:space="0"/>
              <w:right w:val="single" w:color="000000" w:sz="4" w:space="0"/>
            </w:tcBorders>
            <w:shd w:val="clear" w:color="auto" w:fill="FFFFFF"/>
            <w:noWrap w:val="0"/>
            <w:vAlign w:val="center"/>
          </w:tcPr>
          <w:p w14:paraId="53EA4677">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nil"/>
              <w:bottom w:val="single" w:color="000000" w:sz="4" w:space="0"/>
              <w:right w:val="single" w:color="000000" w:sz="4" w:space="0"/>
            </w:tcBorders>
            <w:shd w:val="clear" w:color="auto" w:fill="FFFFFF"/>
            <w:noWrap w:val="0"/>
            <w:vAlign w:val="center"/>
          </w:tcPr>
          <w:p w14:paraId="3851BD1D">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3-11</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08B5E2DB">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阳江市自评报告及佐证材料</w:t>
            </w:r>
          </w:p>
        </w:tc>
      </w:tr>
      <w:tr w14:paraId="4E5D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214" w:type="dxa"/>
            <w:vMerge w:val="continue"/>
            <w:tcBorders>
              <w:left w:val="single" w:color="000000" w:sz="4" w:space="0"/>
              <w:right w:val="single" w:color="000000" w:sz="4" w:space="0"/>
            </w:tcBorders>
            <w:shd w:val="clear" w:color="auto" w:fill="FFFFFF"/>
            <w:noWrap w:val="0"/>
            <w:vAlign w:val="center"/>
          </w:tcPr>
          <w:p w14:paraId="0A19D5F0">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nil"/>
              <w:bottom w:val="single" w:color="000000" w:sz="4" w:space="0"/>
              <w:right w:val="single" w:color="000000" w:sz="4" w:space="0"/>
            </w:tcBorders>
            <w:shd w:val="clear" w:color="auto" w:fill="FFFFFF"/>
            <w:noWrap w:val="0"/>
            <w:vAlign w:val="center"/>
          </w:tcPr>
          <w:p w14:paraId="26306214">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3-12</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66BF1AB7">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清远市自评报告及佐证材料</w:t>
            </w:r>
          </w:p>
        </w:tc>
      </w:tr>
      <w:tr w14:paraId="1162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14" w:type="dxa"/>
            <w:vMerge w:val="continue"/>
            <w:tcBorders>
              <w:left w:val="single" w:color="000000" w:sz="4" w:space="0"/>
              <w:right w:val="single" w:color="000000" w:sz="4" w:space="0"/>
            </w:tcBorders>
            <w:shd w:val="clear" w:color="auto" w:fill="FFFFFF"/>
            <w:noWrap w:val="0"/>
            <w:vAlign w:val="center"/>
          </w:tcPr>
          <w:p w14:paraId="24F4BB41">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nil"/>
              <w:bottom w:val="single" w:color="000000" w:sz="4" w:space="0"/>
              <w:right w:val="single" w:color="000000" w:sz="4" w:space="0"/>
            </w:tcBorders>
            <w:shd w:val="clear" w:color="auto" w:fill="FFFFFF"/>
            <w:noWrap w:val="0"/>
            <w:vAlign w:val="center"/>
          </w:tcPr>
          <w:p w14:paraId="7EEE85D9">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3-13</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351B860A">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潮州市自评报告及佐证材料（缺）</w:t>
            </w:r>
          </w:p>
        </w:tc>
      </w:tr>
      <w:tr w14:paraId="21206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14" w:type="dxa"/>
            <w:vMerge w:val="continue"/>
            <w:tcBorders>
              <w:left w:val="single" w:color="000000" w:sz="4" w:space="0"/>
              <w:right w:val="single" w:color="000000" w:sz="4" w:space="0"/>
            </w:tcBorders>
            <w:shd w:val="clear" w:color="auto" w:fill="FFFFFF"/>
            <w:noWrap w:val="0"/>
            <w:vAlign w:val="center"/>
          </w:tcPr>
          <w:p w14:paraId="51E59C4B">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nil"/>
              <w:bottom w:val="single" w:color="000000" w:sz="4" w:space="0"/>
              <w:right w:val="single" w:color="000000" w:sz="4" w:space="0"/>
            </w:tcBorders>
            <w:shd w:val="clear" w:color="auto" w:fill="FFFFFF"/>
            <w:noWrap w:val="0"/>
            <w:vAlign w:val="center"/>
          </w:tcPr>
          <w:p w14:paraId="36149D71">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3-14</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375BA8BC">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揭阳市自评报告及佐证材料</w:t>
            </w:r>
          </w:p>
        </w:tc>
      </w:tr>
      <w:tr w14:paraId="12BA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214" w:type="dxa"/>
            <w:vMerge w:val="continue"/>
            <w:tcBorders>
              <w:left w:val="single" w:color="000000" w:sz="4" w:space="0"/>
              <w:right w:val="single" w:color="000000" w:sz="4" w:space="0"/>
            </w:tcBorders>
            <w:shd w:val="clear" w:color="auto" w:fill="FFFFFF"/>
            <w:noWrap w:val="0"/>
            <w:vAlign w:val="center"/>
          </w:tcPr>
          <w:p w14:paraId="18AC8EB4">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nil"/>
              <w:bottom w:val="single" w:color="000000" w:sz="4" w:space="0"/>
              <w:right w:val="single" w:color="000000" w:sz="4" w:space="0"/>
            </w:tcBorders>
            <w:shd w:val="clear" w:color="auto" w:fill="FFFFFF"/>
            <w:noWrap w:val="0"/>
            <w:vAlign w:val="center"/>
          </w:tcPr>
          <w:p w14:paraId="1D9A147A">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3-15</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7173B1C1">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云浮市自评报告及佐证材料</w:t>
            </w:r>
          </w:p>
        </w:tc>
      </w:tr>
      <w:tr w14:paraId="0B32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214" w:type="dxa"/>
            <w:vMerge w:val="continue"/>
            <w:tcBorders>
              <w:left w:val="single" w:color="000000" w:sz="4" w:space="0"/>
              <w:bottom w:val="single" w:color="000000" w:sz="4" w:space="0"/>
              <w:right w:val="single" w:color="000000" w:sz="4" w:space="0"/>
            </w:tcBorders>
            <w:shd w:val="clear" w:color="auto" w:fill="FFFFFF"/>
            <w:noWrap w:val="0"/>
            <w:vAlign w:val="center"/>
          </w:tcPr>
          <w:p w14:paraId="30035230">
            <w:pPr>
              <w:jc w:val="center"/>
              <w:rPr>
                <w:rFonts w:hint="default" w:ascii="仿宋_GB2312" w:hAnsi="宋体" w:eastAsia="仿宋_GB2312" w:cs="仿宋_GB2312"/>
                <w:i w:val="0"/>
                <w:iCs w:val="0"/>
                <w:color w:val="auto"/>
                <w:sz w:val="22"/>
                <w:szCs w:val="22"/>
                <w:u w:val="none"/>
              </w:rPr>
            </w:pPr>
          </w:p>
        </w:tc>
        <w:tc>
          <w:tcPr>
            <w:tcW w:w="1180" w:type="dxa"/>
            <w:tcBorders>
              <w:top w:val="single" w:color="000000" w:sz="4" w:space="0"/>
              <w:left w:val="nil"/>
              <w:bottom w:val="single" w:color="000000" w:sz="4" w:space="0"/>
              <w:right w:val="single" w:color="000000" w:sz="4" w:space="0"/>
            </w:tcBorders>
            <w:shd w:val="clear" w:color="auto" w:fill="FFFFFF"/>
            <w:noWrap w:val="0"/>
            <w:vAlign w:val="center"/>
          </w:tcPr>
          <w:p w14:paraId="42CCC61B">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3-16</w:t>
            </w:r>
          </w:p>
        </w:tc>
        <w:tc>
          <w:tcPr>
            <w:tcW w:w="6925" w:type="dxa"/>
            <w:tcBorders>
              <w:top w:val="single" w:color="000000" w:sz="4" w:space="0"/>
              <w:left w:val="single" w:color="000000" w:sz="4" w:space="0"/>
              <w:bottom w:val="single" w:color="000000" w:sz="4" w:space="0"/>
              <w:right w:val="single" w:color="000000" w:sz="4" w:space="0"/>
            </w:tcBorders>
            <w:noWrap w:val="0"/>
            <w:vAlign w:val="center"/>
          </w:tcPr>
          <w:p w14:paraId="4680873B">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省本级实施项目佐证材料清单</w:t>
            </w:r>
          </w:p>
        </w:tc>
      </w:tr>
    </w:tbl>
    <w:p w14:paraId="2B6C13AA">
      <w:pPr>
        <w:pStyle w:val="9"/>
        <w:pageBreakBefore w:val="0"/>
        <w:kinsoku/>
        <w:wordWrap/>
        <w:overflowPunct/>
        <w:topLinePunct w:val="0"/>
        <w:autoSpaceDE/>
        <w:autoSpaceDN/>
        <w:bidi w:val="0"/>
        <w:adjustRightInd/>
        <w:spacing w:line="600" w:lineRule="exact"/>
        <w:ind w:left="0" w:leftChars="0" w:firstLine="0" w:firstLineChars="0"/>
        <w:jc w:val="left"/>
        <w:textAlignment w:val="auto"/>
        <w:rPr>
          <w:rFonts w:hint="eastAsia" w:ascii="黑体" w:hAnsi="黑体" w:eastAsia="黑体" w:cs="黑体"/>
          <w:color w:val="auto"/>
          <w:kern w:val="0"/>
          <w:sz w:val="28"/>
          <w:szCs w:val="28"/>
          <w:highlight w:val="none"/>
        </w:rPr>
      </w:pPr>
    </w:p>
    <w:sectPr>
      <w:pgSz w:w="11906" w:h="16838"/>
      <w:pgMar w:top="1134" w:right="1134" w:bottom="1531" w:left="102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
    <w:altName w:val="仿宋"/>
    <w:panose1 w:val="00000000000000000000"/>
    <w:charset w:val="86"/>
    <w:family w:val="script"/>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2CA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35C3D">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8E2056">
                          <w:pPr>
                            <w:pStyle w:val="11"/>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- 10 -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28E2056">
                    <w:pPr>
                      <w:pStyle w:val="11"/>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- 10 -</w:t>
                    </w:r>
                    <w:r>
                      <w:rPr>
                        <w:rFonts w:hint="eastAsia"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9005F">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DB2F7F">
                          <w:pPr>
                            <w:pStyle w:val="11"/>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- 10 -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9DB2F7F">
                    <w:pPr>
                      <w:pStyle w:val="11"/>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- 10 -</w:t>
                    </w:r>
                    <w:r>
                      <w:rPr>
                        <w:rFonts w:hint="eastAsia" w:ascii="仿宋" w:hAnsi="仿宋" w:eastAsia="仿宋" w:cs="仿宋"/>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E26B10A">
      <w:pPr>
        <w:pStyle w:val="15"/>
        <w:snapToGrid w:val="0"/>
      </w:pPr>
      <w:r>
        <w:rPr>
          <w:rStyle w:val="28"/>
        </w:rPr>
        <w:footnoteRef/>
      </w:r>
      <w:r>
        <w:t xml:space="preserve"> </w:t>
      </w:r>
      <w:r>
        <w:rPr>
          <w:rFonts w:hint="eastAsia" w:ascii="仿宋_GB2312" w:hAnsi="仿宋_GB2312" w:eastAsia="仿宋_GB2312" w:cs="仿宋_GB2312"/>
          <w:sz w:val="18"/>
          <w:szCs w:val="18"/>
        </w:rPr>
        <w:t>资料来源：2023年一级绩效目标表</w:t>
      </w:r>
      <w:r>
        <w:rPr>
          <w:rFonts w:hint="eastAsia" w:ascii="仿宋_GB2312" w:hAnsi="仿宋_GB2312" w:eastAsia="仿宋_GB2312" w:cs="仿宋_GB2312"/>
          <w:sz w:val="18"/>
          <w:szCs w:val="18"/>
          <w:lang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204C3"/>
    <w:multiLevelType w:val="singleLevel"/>
    <w:tmpl w:val="915204C3"/>
    <w:lvl w:ilvl="0" w:tentative="0">
      <w:start w:val="2"/>
      <w:numFmt w:val="chineseCounting"/>
      <w:suff w:val="nothing"/>
      <w:lvlText w:val="（%1）"/>
      <w:lvlJc w:val="left"/>
      <w:rPr>
        <w:rFonts w:hint="eastAsia"/>
      </w:rPr>
    </w:lvl>
  </w:abstractNum>
  <w:abstractNum w:abstractNumId="1">
    <w:nsid w:val="A70EC6A7"/>
    <w:multiLevelType w:val="singleLevel"/>
    <w:tmpl w:val="A70EC6A7"/>
    <w:lvl w:ilvl="0" w:tentative="0">
      <w:start w:val="2"/>
      <w:numFmt w:val="chineseCounting"/>
      <w:suff w:val="nothing"/>
      <w:lvlText w:val="%1、"/>
      <w:lvlJc w:val="left"/>
      <w:rPr>
        <w:rFonts w:hint="eastAsia"/>
      </w:rPr>
    </w:lvl>
  </w:abstractNum>
  <w:abstractNum w:abstractNumId="2">
    <w:nsid w:val="06BB992A"/>
    <w:multiLevelType w:val="singleLevel"/>
    <w:tmpl w:val="06BB992A"/>
    <w:lvl w:ilvl="0" w:tentative="0">
      <w:start w:val="1"/>
      <w:numFmt w:val="decimal"/>
      <w:suff w:val="nothing"/>
      <w:lvlText w:val="（%1）"/>
      <w:lvlJc w:val="left"/>
      <w:rPr>
        <w:rFonts w:hint="default" w:ascii="仿宋_GB2312" w:hAnsi="仿宋_GB2312" w:eastAsia="仿宋_GB2312" w:cs="仿宋_GB2312"/>
        <w:sz w:val="32"/>
        <w:szCs w:val="32"/>
      </w:rPr>
    </w:lvl>
  </w:abstractNum>
  <w:abstractNum w:abstractNumId="3">
    <w:nsid w:val="5195E2E5"/>
    <w:multiLevelType w:val="singleLevel"/>
    <w:tmpl w:val="5195E2E5"/>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YmMyN2VjYmMzYTQ0Mzk4MjNmNjkxZjlmZjMzZWIifQ=="/>
  </w:docVars>
  <w:rsids>
    <w:rsidRoot w:val="22B428EE"/>
    <w:rsid w:val="001502B1"/>
    <w:rsid w:val="00153F17"/>
    <w:rsid w:val="00166F35"/>
    <w:rsid w:val="001F18D0"/>
    <w:rsid w:val="002C057E"/>
    <w:rsid w:val="002E3865"/>
    <w:rsid w:val="0044426F"/>
    <w:rsid w:val="0046576B"/>
    <w:rsid w:val="00497F80"/>
    <w:rsid w:val="004D4BDB"/>
    <w:rsid w:val="006D5DB4"/>
    <w:rsid w:val="00724552"/>
    <w:rsid w:val="00842736"/>
    <w:rsid w:val="008450E0"/>
    <w:rsid w:val="00A234E8"/>
    <w:rsid w:val="00AD656A"/>
    <w:rsid w:val="00B1214C"/>
    <w:rsid w:val="00B85764"/>
    <w:rsid w:val="00B86A69"/>
    <w:rsid w:val="00CA0914"/>
    <w:rsid w:val="00CB18FA"/>
    <w:rsid w:val="00D17D43"/>
    <w:rsid w:val="00D6745C"/>
    <w:rsid w:val="013C690E"/>
    <w:rsid w:val="01880E58"/>
    <w:rsid w:val="01A30770"/>
    <w:rsid w:val="01AD392B"/>
    <w:rsid w:val="01B06207"/>
    <w:rsid w:val="01E03D46"/>
    <w:rsid w:val="01E6792B"/>
    <w:rsid w:val="021634B7"/>
    <w:rsid w:val="02175F22"/>
    <w:rsid w:val="021954FD"/>
    <w:rsid w:val="022C3913"/>
    <w:rsid w:val="025F31D8"/>
    <w:rsid w:val="02C97D12"/>
    <w:rsid w:val="02D90C51"/>
    <w:rsid w:val="02EA4E31"/>
    <w:rsid w:val="03134B19"/>
    <w:rsid w:val="03180A93"/>
    <w:rsid w:val="033E696D"/>
    <w:rsid w:val="034E3FE2"/>
    <w:rsid w:val="035F141D"/>
    <w:rsid w:val="036A079C"/>
    <w:rsid w:val="039772CD"/>
    <w:rsid w:val="03AB046B"/>
    <w:rsid w:val="040265A6"/>
    <w:rsid w:val="041D3237"/>
    <w:rsid w:val="043951A7"/>
    <w:rsid w:val="046B6500"/>
    <w:rsid w:val="04A57737"/>
    <w:rsid w:val="04CF7307"/>
    <w:rsid w:val="04FF6B55"/>
    <w:rsid w:val="050A246E"/>
    <w:rsid w:val="050E1438"/>
    <w:rsid w:val="05233248"/>
    <w:rsid w:val="054447EA"/>
    <w:rsid w:val="056E51B4"/>
    <w:rsid w:val="05940DA6"/>
    <w:rsid w:val="05B20F4D"/>
    <w:rsid w:val="05C540CB"/>
    <w:rsid w:val="05C855D7"/>
    <w:rsid w:val="060A23D1"/>
    <w:rsid w:val="06170297"/>
    <w:rsid w:val="063148F2"/>
    <w:rsid w:val="066673AC"/>
    <w:rsid w:val="06C21802"/>
    <w:rsid w:val="06C51CC1"/>
    <w:rsid w:val="06F3009D"/>
    <w:rsid w:val="06FE4433"/>
    <w:rsid w:val="07322863"/>
    <w:rsid w:val="07497E00"/>
    <w:rsid w:val="0758025E"/>
    <w:rsid w:val="075F1F22"/>
    <w:rsid w:val="076079BF"/>
    <w:rsid w:val="079B5B3A"/>
    <w:rsid w:val="07A27C00"/>
    <w:rsid w:val="07B47A8D"/>
    <w:rsid w:val="07BE3529"/>
    <w:rsid w:val="07BF7676"/>
    <w:rsid w:val="07F715E7"/>
    <w:rsid w:val="08282D07"/>
    <w:rsid w:val="086132E0"/>
    <w:rsid w:val="0867146E"/>
    <w:rsid w:val="08A0309A"/>
    <w:rsid w:val="08CA2103"/>
    <w:rsid w:val="08D57437"/>
    <w:rsid w:val="094730B4"/>
    <w:rsid w:val="094B01EF"/>
    <w:rsid w:val="096B3DBA"/>
    <w:rsid w:val="09A3652C"/>
    <w:rsid w:val="09FD0252"/>
    <w:rsid w:val="0A251C84"/>
    <w:rsid w:val="0A300921"/>
    <w:rsid w:val="0A387402"/>
    <w:rsid w:val="0AC0026B"/>
    <w:rsid w:val="0ACB4A0E"/>
    <w:rsid w:val="0B064525"/>
    <w:rsid w:val="0B8D3BC7"/>
    <w:rsid w:val="0BD0592B"/>
    <w:rsid w:val="0BDF1202"/>
    <w:rsid w:val="0BE535AA"/>
    <w:rsid w:val="0BFD70DA"/>
    <w:rsid w:val="0C772D6A"/>
    <w:rsid w:val="0C9717B0"/>
    <w:rsid w:val="0CAC2972"/>
    <w:rsid w:val="0D281F93"/>
    <w:rsid w:val="0D32553B"/>
    <w:rsid w:val="0D4D290F"/>
    <w:rsid w:val="0D893793"/>
    <w:rsid w:val="0DA223C5"/>
    <w:rsid w:val="0E2302F7"/>
    <w:rsid w:val="0E264C8E"/>
    <w:rsid w:val="0E2F3B4C"/>
    <w:rsid w:val="0E42668B"/>
    <w:rsid w:val="0E642DBB"/>
    <w:rsid w:val="0EB74C03"/>
    <w:rsid w:val="0ED96277"/>
    <w:rsid w:val="0EE37C7F"/>
    <w:rsid w:val="0F373830"/>
    <w:rsid w:val="0F524DA3"/>
    <w:rsid w:val="0F684EC2"/>
    <w:rsid w:val="0F9609D4"/>
    <w:rsid w:val="0FDA19A6"/>
    <w:rsid w:val="0FE74A02"/>
    <w:rsid w:val="100B407B"/>
    <w:rsid w:val="101243DC"/>
    <w:rsid w:val="103A2CC2"/>
    <w:rsid w:val="104224CE"/>
    <w:rsid w:val="10E93381"/>
    <w:rsid w:val="1142651D"/>
    <w:rsid w:val="114514FD"/>
    <w:rsid w:val="115044F8"/>
    <w:rsid w:val="116130B4"/>
    <w:rsid w:val="11C73D0C"/>
    <w:rsid w:val="11E343B6"/>
    <w:rsid w:val="11FA0869"/>
    <w:rsid w:val="120941B5"/>
    <w:rsid w:val="12280F14"/>
    <w:rsid w:val="123D09DC"/>
    <w:rsid w:val="123E3EFC"/>
    <w:rsid w:val="127C300E"/>
    <w:rsid w:val="12952174"/>
    <w:rsid w:val="12A32349"/>
    <w:rsid w:val="12CE04EE"/>
    <w:rsid w:val="12E9069E"/>
    <w:rsid w:val="131E0186"/>
    <w:rsid w:val="132D13BF"/>
    <w:rsid w:val="13650781"/>
    <w:rsid w:val="13B03034"/>
    <w:rsid w:val="13E851F1"/>
    <w:rsid w:val="13F278EE"/>
    <w:rsid w:val="14101C60"/>
    <w:rsid w:val="147D0F37"/>
    <w:rsid w:val="14992CD5"/>
    <w:rsid w:val="14DB0E5A"/>
    <w:rsid w:val="15550983"/>
    <w:rsid w:val="155A3CF9"/>
    <w:rsid w:val="156D105A"/>
    <w:rsid w:val="15BE2056"/>
    <w:rsid w:val="15DB6772"/>
    <w:rsid w:val="16183EDF"/>
    <w:rsid w:val="16584C58"/>
    <w:rsid w:val="16F25613"/>
    <w:rsid w:val="17087C07"/>
    <w:rsid w:val="170C1450"/>
    <w:rsid w:val="17B27B66"/>
    <w:rsid w:val="17BF6981"/>
    <w:rsid w:val="17C12F49"/>
    <w:rsid w:val="17D04058"/>
    <w:rsid w:val="18333DB0"/>
    <w:rsid w:val="18624A78"/>
    <w:rsid w:val="18802709"/>
    <w:rsid w:val="18835462"/>
    <w:rsid w:val="18941A97"/>
    <w:rsid w:val="18A91CB0"/>
    <w:rsid w:val="19553012"/>
    <w:rsid w:val="1978136A"/>
    <w:rsid w:val="19A325CF"/>
    <w:rsid w:val="19A61439"/>
    <w:rsid w:val="19DB7F94"/>
    <w:rsid w:val="19F52BC6"/>
    <w:rsid w:val="1A136F63"/>
    <w:rsid w:val="1A4A55AF"/>
    <w:rsid w:val="1A6B70F8"/>
    <w:rsid w:val="1A7A6E5A"/>
    <w:rsid w:val="1A883876"/>
    <w:rsid w:val="1AA478A7"/>
    <w:rsid w:val="1AC55A5C"/>
    <w:rsid w:val="1AE23C2A"/>
    <w:rsid w:val="1AE81694"/>
    <w:rsid w:val="1B4E6174"/>
    <w:rsid w:val="1B7B4B1F"/>
    <w:rsid w:val="1B90331C"/>
    <w:rsid w:val="1BB5667C"/>
    <w:rsid w:val="1C9B0E64"/>
    <w:rsid w:val="1CA27FD0"/>
    <w:rsid w:val="1CEA7CE5"/>
    <w:rsid w:val="1CF644A0"/>
    <w:rsid w:val="1D1218DD"/>
    <w:rsid w:val="1D134776"/>
    <w:rsid w:val="1D1964B6"/>
    <w:rsid w:val="1D1B4F19"/>
    <w:rsid w:val="1D523525"/>
    <w:rsid w:val="1DC72FB7"/>
    <w:rsid w:val="1DDB32DF"/>
    <w:rsid w:val="1DDF750E"/>
    <w:rsid w:val="1DE20EA7"/>
    <w:rsid w:val="1DF1646A"/>
    <w:rsid w:val="1E277136"/>
    <w:rsid w:val="1E420371"/>
    <w:rsid w:val="1E4944B6"/>
    <w:rsid w:val="1E4A0457"/>
    <w:rsid w:val="1E540B6E"/>
    <w:rsid w:val="1E5A3070"/>
    <w:rsid w:val="1E5A6FA3"/>
    <w:rsid w:val="1E5B7EFD"/>
    <w:rsid w:val="1ECC54B7"/>
    <w:rsid w:val="1ED1023E"/>
    <w:rsid w:val="1EDB29C7"/>
    <w:rsid w:val="1EEF36FB"/>
    <w:rsid w:val="1F2702C8"/>
    <w:rsid w:val="1F3051FC"/>
    <w:rsid w:val="1F430568"/>
    <w:rsid w:val="1F447616"/>
    <w:rsid w:val="1F4F3621"/>
    <w:rsid w:val="1FBE6D4B"/>
    <w:rsid w:val="1FD40C1A"/>
    <w:rsid w:val="1FE93153"/>
    <w:rsid w:val="20104BC8"/>
    <w:rsid w:val="20112C70"/>
    <w:rsid w:val="20202C39"/>
    <w:rsid w:val="20410489"/>
    <w:rsid w:val="204B11B4"/>
    <w:rsid w:val="204B473A"/>
    <w:rsid w:val="204D16DD"/>
    <w:rsid w:val="204F589C"/>
    <w:rsid w:val="205132A5"/>
    <w:rsid w:val="206E52B8"/>
    <w:rsid w:val="20713A86"/>
    <w:rsid w:val="207C6D7B"/>
    <w:rsid w:val="20A419F4"/>
    <w:rsid w:val="20F02865"/>
    <w:rsid w:val="20F34AA9"/>
    <w:rsid w:val="20F91794"/>
    <w:rsid w:val="212577A2"/>
    <w:rsid w:val="213A031C"/>
    <w:rsid w:val="217F367D"/>
    <w:rsid w:val="219008C9"/>
    <w:rsid w:val="21EF55AB"/>
    <w:rsid w:val="21F32DCB"/>
    <w:rsid w:val="2222219E"/>
    <w:rsid w:val="22335472"/>
    <w:rsid w:val="22B428EE"/>
    <w:rsid w:val="22BC1E84"/>
    <w:rsid w:val="231F4B91"/>
    <w:rsid w:val="23251001"/>
    <w:rsid w:val="23353BD0"/>
    <w:rsid w:val="236B62E1"/>
    <w:rsid w:val="237779EF"/>
    <w:rsid w:val="23985174"/>
    <w:rsid w:val="23986F60"/>
    <w:rsid w:val="23B80053"/>
    <w:rsid w:val="23EB5E85"/>
    <w:rsid w:val="23F7362A"/>
    <w:rsid w:val="24125AD3"/>
    <w:rsid w:val="2438689F"/>
    <w:rsid w:val="244D6DB1"/>
    <w:rsid w:val="245A6ECC"/>
    <w:rsid w:val="24A55BCA"/>
    <w:rsid w:val="24AC75F7"/>
    <w:rsid w:val="255B6259"/>
    <w:rsid w:val="255E6EA9"/>
    <w:rsid w:val="256A402F"/>
    <w:rsid w:val="25957582"/>
    <w:rsid w:val="25D92EEE"/>
    <w:rsid w:val="26050EBB"/>
    <w:rsid w:val="26281DF3"/>
    <w:rsid w:val="26343834"/>
    <w:rsid w:val="26563200"/>
    <w:rsid w:val="265C10A7"/>
    <w:rsid w:val="26977C64"/>
    <w:rsid w:val="26A26478"/>
    <w:rsid w:val="26E124E1"/>
    <w:rsid w:val="26F747E5"/>
    <w:rsid w:val="270340B5"/>
    <w:rsid w:val="27160F25"/>
    <w:rsid w:val="27853811"/>
    <w:rsid w:val="27E07F70"/>
    <w:rsid w:val="27E10D23"/>
    <w:rsid w:val="27E814F1"/>
    <w:rsid w:val="27EA7BCB"/>
    <w:rsid w:val="27EF7A05"/>
    <w:rsid w:val="2808287A"/>
    <w:rsid w:val="282A7747"/>
    <w:rsid w:val="283323DF"/>
    <w:rsid w:val="286A228A"/>
    <w:rsid w:val="287B406E"/>
    <w:rsid w:val="288E140D"/>
    <w:rsid w:val="28941337"/>
    <w:rsid w:val="28AE2CEF"/>
    <w:rsid w:val="28BB3369"/>
    <w:rsid w:val="29031C28"/>
    <w:rsid w:val="29127C2B"/>
    <w:rsid w:val="295F4176"/>
    <w:rsid w:val="29650110"/>
    <w:rsid w:val="2991607B"/>
    <w:rsid w:val="2A385D68"/>
    <w:rsid w:val="2A420778"/>
    <w:rsid w:val="2A5A5CF7"/>
    <w:rsid w:val="2A6C6696"/>
    <w:rsid w:val="2A6E1A93"/>
    <w:rsid w:val="2A750BA8"/>
    <w:rsid w:val="2A987924"/>
    <w:rsid w:val="2AA874E0"/>
    <w:rsid w:val="2AFF3EB4"/>
    <w:rsid w:val="2B157704"/>
    <w:rsid w:val="2B603BD7"/>
    <w:rsid w:val="2B6B79B1"/>
    <w:rsid w:val="2B915808"/>
    <w:rsid w:val="2C0C5CE2"/>
    <w:rsid w:val="2C3F1808"/>
    <w:rsid w:val="2C85392E"/>
    <w:rsid w:val="2CF00908"/>
    <w:rsid w:val="2CFA3C14"/>
    <w:rsid w:val="2CFE6E4D"/>
    <w:rsid w:val="2D035D1F"/>
    <w:rsid w:val="2D326C3D"/>
    <w:rsid w:val="2D3879E9"/>
    <w:rsid w:val="2DB71F47"/>
    <w:rsid w:val="2DE7182C"/>
    <w:rsid w:val="2DF854C2"/>
    <w:rsid w:val="2E075AD3"/>
    <w:rsid w:val="2E093941"/>
    <w:rsid w:val="2E8A3450"/>
    <w:rsid w:val="2E9E6BE3"/>
    <w:rsid w:val="2EA64400"/>
    <w:rsid w:val="2EA80B15"/>
    <w:rsid w:val="2ECD6933"/>
    <w:rsid w:val="2F200198"/>
    <w:rsid w:val="2F23566F"/>
    <w:rsid w:val="2F566F0D"/>
    <w:rsid w:val="2FE07DC9"/>
    <w:rsid w:val="2FF50339"/>
    <w:rsid w:val="30023312"/>
    <w:rsid w:val="300E6323"/>
    <w:rsid w:val="3026112F"/>
    <w:rsid w:val="304335C4"/>
    <w:rsid w:val="30774F3C"/>
    <w:rsid w:val="30777F0E"/>
    <w:rsid w:val="30A85ECF"/>
    <w:rsid w:val="30C10E08"/>
    <w:rsid w:val="3108552E"/>
    <w:rsid w:val="314E26A7"/>
    <w:rsid w:val="316B6A6E"/>
    <w:rsid w:val="3185039F"/>
    <w:rsid w:val="31851A4A"/>
    <w:rsid w:val="319E5A58"/>
    <w:rsid w:val="31C747C2"/>
    <w:rsid w:val="31FE687B"/>
    <w:rsid w:val="32163AB9"/>
    <w:rsid w:val="32225628"/>
    <w:rsid w:val="324C65B9"/>
    <w:rsid w:val="32B07ED2"/>
    <w:rsid w:val="32B74056"/>
    <w:rsid w:val="32D556C1"/>
    <w:rsid w:val="33445CAB"/>
    <w:rsid w:val="33663D4D"/>
    <w:rsid w:val="33F47AD8"/>
    <w:rsid w:val="33FB3E4A"/>
    <w:rsid w:val="33FC660D"/>
    <w:rsid w:val="3410544E"/>
    <w:rsid w:val="341D7D55"/>
    <w:rsid w:val="342D6F8D"/>
    <w:rsid w:val="342E5821"/>
    <w:rsid w:val="344E257E"/>
    <w:rsid w:val="345B0D40"/>
    <w:rsid w:val="347C2FF1"/>
    <w:rsid w:val="348846D8"/>
    <w:rsid w:val="34B0194F"/>
    <w:rsid w:val="34B41361"/>
    <w:rsid w:val="35760A6B"/>
    <w:rsid w:val="35896BE6"/>
    <w:rsid w:val="35BF63A5"/>
    <w:rsid w:val="362E7A13"/>
    <w:rsid w:val="36420CDA"/>
    <w:rsid w:val="36651104"/>
    <w:rsid w:val="36651A24"/>
    <w:rsid w:val="36707E5F"/>
    <w:rsid w:val="36866665"/>
    <w:rsid w:val="36E91883"/>
    <w:rsid w:val="3701788F"/>
    <w:rsid w:val="370277B6"/>
    <w:rsid w:val="370D41E5"/>
    <w:rsid w:val="371D5734"/>
    <w:rsid w:val="37427820"/>
    <w:rsid w:val="37D6396D"/>
    <w:rsid w:val="3813071E"/>
    <w:rsid w:val="384C6363"/>
    <w:rsid w:val="38516F67"/>
    <w:rsid w:val="3855077D"/>
    <w:rsid w:val="387B504A"/>
    <w:rsid w:val="38806FD1"/>
    <w:rsid w:val="3887669F"/>
    <w:rsid w:val="388C54AA"/>
    <w:rsid w:val="38A55956"/>
    <w:rsid w:val="38BE47F0"/>
    <w:rsid w:val="38DA4C7C"/>
    <w:rsid w:val="39210985"/>
    <w:rsid w:val="39237490"/>
    <w:rsid w:val="393550F5"/>
    <w:rsid w:val="39712C5B"/>
    <w:rsid w:val="39874112"/>
    <w:rsid w:val="39EE59F7"/>
    <w:rsid w:val="3A416594"/>
    <w:rsid w:val="3A7A68E5"/>
    <w:rsid w:val="3A930B9D"/>
    <w:rsid w:val="3AA11F4C"/>
    <w:rsid w:val="3ACC75E1"/>
    <w:rsid w:val="3AD2215F"/>
    <w:rsid w:val="3AE45EDB"/>
    <w:rsid w:val="3B200FA6"/>
    <w:rsid w:val="3B2327B4"/>
    <w:rsid w:val="3B2F459B"/>
    <w:rsid w:val="3B36041A"/>
    <w:rsid w:val="3B3D4755"/>
    <w:rsid w:val="3B4B5729"/>
    <w:rsid w:val="3B55589E"/>
    <w:rsid w:val="3B911029"/>
    <w:rsid w:val="3B9D4328"/>
    <w:rsid w:val="3BA245EC"/>
    <w:rsid w:val="3BE95060"/>
    <w:rsid w:val="3BFF1F44"/>
    <w:rsid w:val="3C153A08"/>
    <w:rsid w:val="3C3D70D7"/>
    <w:rsid w:val="3C5907F4"/>
    <w:rsid w:val="3C9F1CFE"/>
    <w:rsid w:val="3CD4505F"/>
    <w:rsid w:val="3D18737A"/>
    <w:rsid w:val="3D2C54B2"/>
    <w:rsid w:val="3D430BBA"/>
    <w:rsid w:val="3D5B547D"/>
    <w:rsid w:val="3D6919F4"/>
    <w:rsid w:val="3D786656"/>
    <w:rsid w:val="3D827C9B"/>
    <w:rsid w:val="3D840E20"/>
    <w:rsid w:val="3D904EBD"/>
    <w:rsid w:val="3E5D2C31"/>
    <w:rsid w:val="3E92664B"/>
    <w:rsid w:val="3EAD5395"/>
    <w:rsid w:val="3EC66741"/>
    <w:rsid w:val="3EF40A7E"/>
    <w:rsid w:val="3F24617A"/>
    <w:rsid w:val="3F3F3440"/>
    <w:rsid w:val="3F40748E"/>
    <w:rsid w:val="3F417F1C"/>
    <w:rsid w:val="3F5F706F"/>
    <w:rsid w:val="3F6BDE6E"/>
    <w:rsid w:val="3FB33DB6"/>
    <w:rsid w:val="3FBF01F2"/>
    <w:rsid w:val="3FBF03BD"/>
    <w:rsid w:val="3FF22E3C"/>
    <w:rsid w:val="40345529"/>
    <w:rsid w:val="4081675F"/>
    <w:rsid w:val="408A2B6F"/>
    <w:rsid w:val="408D2D57"/>
    <w:rsid w:val="40FD5F5F"/>
    <w:rsid w:val="41101883"/>
    <w:rsid w:val="41120516"/>
    <w:rsid w:val="411A51AC"/>
    <w:rsid w:val="411D06EF"/>
    <w:rsid w:val="41D30497"/>
    <w:rsid w:val="41FE4B63"/>
    <w:rsid w:val="422B298A"/>
    <w:rsid w:val="422C5607"/>
    <w:rsid w:val="42454094"/>
    <w:rsid w:val="425B6C52"/>
    <w:rsid w:val="42703746"/>
    <w:rsid w:val="4274524B"/>
    <w:rsid w:val="427C2F84"/>
    <w:rsid w:val="4280222A"/>
    <w:rsid w:val="42841F35"/>
    <w:rsid w:val="429268CF"/>
    <w:rsid w:val="42D32DB8"/>
    <w:rsid w:val="431326C3"/>
    <w:rsid w:val="431431D4"/>
    <w:rsid w:val="431E7600"/>
    <w:rsid w:val="43217E9C"/>
    <w:rsid w:val="43327303"/>
    <w:rsid w:val="43383EA0"/>
    <w:rsid w:val="434F35B7"/>
    <w:rsid w:val="43507313"/>
    <w:rsid w:val="43521929"/>
    <w:rsid w:val="43574986"/>
    <w:rsid w:val="435E6200"/>
    <w:rsid w:val="440B6D71"/>
    <w:rsid w:val="44160872"/>
    <w:rsid w:val="44C72117"/>
    <w:rsid w:val="44CC258C"/>
    <w:rsid w:val="44D31250"/>
    <w:rsid w:val="44D975BB"/>
    <w:rsid w:val="45225E26"/>
    <w:rsid w:val="452B429C"/>
    <w:rsid w:val="453E5D7D"/>
    <w:rsid w:val="45482B33"/>
    <w:rsid w:val="45782BD4"/>
    <w:rsid w:val="457C59D5"/>
    <w:rsid w:val="459645A6"/>
    <w:rsid w:val="45AC0FFA"/>
    <w:rsid w:val="45C42767"/>
    <w:rsid w:val="45DC4A74"/>
    <w:rsid w:val="45E9646F"/>
    <w:rsid w:val="461616EB"/>
    <w:rsid w:val="461B273A"/>
    <w:rsid w:val="461B33C5"/>
    <w:rsid w:val="4666432D"/>
    <w:rsid w:val="46C60CEA"/>
    <w:rsid w:val="46C8272C"/>
    <w:rsid w:val="46EA6015"/>
    <w:rsid w:val="47234C15"/>
    <w:rsid w:val="4727411C"/>
    <w:rsid w:val="47430DCF"/>
    <w:rsid w:val="47877FFB"/>
    <w:rsid w:val="47CC210A"/>
    <w:rsid w:val="47F94154"/>
    <w:rsid w:val="48567F73"/>
    <w:rsid w:val="485B7B58"/>
    <w:rsid w:val="487B44F6"/>
    <w:rsid w:val="48873598"/>
    <w:rsid w:val="48DD592A"/>
    <w:rsid w:val="49271A4C"/>
    <w:rsid w:val="49722646"/>
    <w:rsid w:val="497E2BEC"/>
    <w:rsid w:val="49C569E9"/>
    <w:rsid w:val="49F14B1B"/>
    <w:rsid w:val="4A195C5D"/>
    <w:rsid w:val="4A1B7AC6"/>
    <w:rsid w:val="4A220E27"/>
    <w:rsid w:val="4A7A40A1"/>
    <w:rsid w:val="4AC54EC0"/>
    <w:rsid w:val="4ADD1881"/>
    <w:rsid w:val="4AED1442"/>
    <w:rsid w:val="4B075259"/>
    <w:rsid w:val="4B240856"/>
    <w:rsid w:val="4B625723"/>
    <w:rsid w:val="4B683341"/>
    <w:rsid w:val="4B754B18"/>
    <w:rsid w:val="4BE3778A"/>
    <w:rsid w:val="4C0A3CD4"/>
    <w:rsid w:val="4C2618C2"/>
    <w:rsid w:val="4C365338"/>
    <w:rsid w:val="4C561D5D"/>
    <w:rsid w:val="4C7A6FB0"/>
    <w:rsid w:val="4D0D22CC"/>
    <w:rsid w:val="4D16380C"/>
    <w:rsid w:val="4D3328CC"/>
    <w:rsid w:val="4D545A21"/>
    <w:rsid w:val="4D645B85"/>
    <w:rsid w:val="4D7C69F1"/>
    <w:rsid w:val="4DB659ED"/>
    <w:rsid w:val="4DBD3D3E"/>
    <w:rsid w:val="4DD058AE"/>
    <w:rsid w:val="4E054B87"/>
    <w:rsid w:val="4E621CF8"/>
    <w:rsid w:val="4E717B12"/>
    <w:rsid w:val="4E9C7427"/>
    <w:rsid w:val="4EC9149A"/>
    <w:rsid w:val="4ED6317E"/>
    <w:rsid w:val="4EE73FC3"/>
    <w:rsid w:val="4EEC4B6F"/>
    <w:rsid w:val="4F0F751B"/>
    <w:rsid w:val="4F2714F8"/>
    <w:rsid w:val="4F3E50A8"/>
    <w:rsid w:val="4F4562B5"/>
    <w:rsid w:val="4F603530"/>
    <w:rsid w:val="4F627019"/>
    <w:rsid w:val="4F8E282C"/>
    <w:rsid w:val="4FC43DC4"/>
    <w:rsid w:val="501E2A33"/>
    <w:rsid w:val="50416372"/>
    <w:rsid w:val="50795EBC"/>
    <w:rsid w:val="50AE6ABE"/>
    <w:rsid w:val="50BF5FB2"/>
    <w:rsid w:val="50CC366C"/>
    <w:rsid w:val="50D106D2"/>
    <w:rsid w:val="50D81C6D"/>
    <w:rsid w:val="511B12A6"/>
    <w:rsid w:val="513941A5"/>
    <w:rsid w:val="514A5AAA"/>
    <w:rsid w:val="514E7D51"/>
    <w:rsid w:val="51546491"/>
    <w:rsid w:val="51A54DFD"/>
    <w:rsid w:val="525664B8"/>
    <w:rsid w:val="527C6D3C"/>
    <w:rsid w:val="528D316F"/>
    <w:rsid w:val="52DA5028"/>
    <w:rsid w:val="52EF0539"/>
    <w:rsid w:val="532423D6"/>
    <w:rsid w:val="53BC614D"/>
    <w:rsid w:val="53D03443"/>
    <w:rsid w:val="542163CA"/>
    <w:rsid w:val="54437FCE"/>
    <w:rsid w:val="54471A18"/>
    <w:rsid w:val="54643B32"/>
    <w:rsid w:val="5468285F"/>
    <w:rsid w:val="546D77E0"/>
    <w:rsid w:val="5486329D"/>
    <w:rsid w:val="54895C2A"/>
    <w:rsid w:val="54B10FEB"/>
    <w:rsid w:val="54BB4C07"/>
    <w:rsid w:val="54C150DF"/>
    <w:rsid w:val="54E67E67"/>
    <w:rsid w:val="552327EE"/>
    <w:rsid w:val="554B791C"/>
    <w:rsid w:val="556E4983"/>
    <w:rsid w:val="557F55A3"/>
    <w:rsid w:val="5582323D"/>
    <w:rsid w:val="55977F65"/>
    <w:rsid w:val="559A30BC"/>
    <w:rsid w:val="559E0F31"/>
    <w:rsid w:val="55AF59F9"/>
    <w:rsid w:val="55BD7D30"/>
    <w:rsid w:val="55C706D0"/>
    <w:rsid w:val="55C93C35"/>
    <w:rsid w:val="55CB6B05"/>
    <w:rsid w:val="5602139D"/>
    <w:rsid w:val="5634700C"/>
    <w:rsid w:val="5685359D"/>
    <w:rsid w:val="56DC07B3"/>
    <w:rsid w:val="573148E0"/>
    <w:rsid w:val="573643E0"/>
    <w:rsid w:val="573C752C"/>
    <w:rsid w:val="576632A3"/>
    <w:rsid w:val="57923212"/>
    <w:rsid w:val="579315C7"/>
    <w:rsid w:val="57B81D0A"/>
    <w:rsid w:val="57C540DC"/>
    <w:rsid w:val="57C87729"/>
    <w:rsid w:val="57CF3D8B"/>
    <w:rsid w:val="580D2309"/>
    <w:rsid w:val="585260C7"/>
    <w:rsid w:val="58883033"/>
    <w:rsid w:val="591365FF"/>
    <w:rsid w:val="59587EEF"/>
    <w:rsid w:val="598E4988"/>
    <w:rsid w:val="59A65AC3"/>
    <w:rsid w:val="59EC6471"/>
    <w:rsid w:val="59F4182F"/>
    <w:rsid w:val="59FF2D1D"/>
    <w:rsid w:val="5A0B1D4B"/>
    <w:rsid w:val="5A4B2826"/>
    <w:rsid w:val="5A532B5B"/>
    <w:rsid w:val="5A582698"/>
    <w:rsid w:val="5A5F0E36"/>
    <w:rsid w:val="5A765B2E"/>
    <w:rsid w:val="5A82403D"/>
    <w:rsid w:val="5AE406A1"/>
    <w:rsid w:val="5B050838"/>
    <w:rsid w:val="5B1742D4"/>
    <w:rsid w:val="5B4478D0"/>
    <w:rsid w:val="5B51290C"/>
    <w:rsid w:val="5B6D5BE2"/>
    <w:rsid w:val="5B9916BB"/>
    <w:rsid w:val="5BE7274E"/>
    <w:rsid w:val="5BF31218"/>
    <w:rsid w:val="5C073369"/>
    <w:rsid w:val="5C3100CA"/>
    <w:rsid w:val="5C382143"/>
    <w:rsid w:val="5C4A5B73"/>
    <w:rsid w:val="5C4E25C2"/>
    <w:rsid w:val="5C7F0CFE"/>
    <w:rsid w:val="5CA43431"/>
    <w:rsid w:val="5CB34546"/>
    <w:rsid w:val="5CEC2F5D"/>
    <w:rsid w:val="5D1D7B60"/>
    <w:rsid w:val="5D436F75"/>
    <w:rsid w:val="5D7052FE"/>
    <w:rsid w:val="5D83659C"/>
    <w:rsid w:val="5D98691B"/>
    <w:rsid w:val="5DC23D49"/>
    <w:rsid w:val="5DD74833"/>
    <w:rsid w:val="5DF8793F"/>
    <w:rsid w:val="5E537F72"/>
    <w:rsid w:val="5E596E1B"/>
    <w:rsid w:val="5E665C45"/>
    <w:rsid w:val="5EB15584"/>
    <w:rsid w:val="5EF80146"/>
    <w:rsid w:val="5F2F1CD4"/>
    <w:rsid w:val="5F353617"/>
    <w:rsid w:val="5F385DC0"/>
    <w:rsid w:val="5F3D1EAB"/>
    <w:rsid w:val="5F5E2B0C"/>
    <w:rsid w:val="5F816A14"/>
    <w:rsid w:val="5F886BF1"/>
    <w:rsid w:val="5F900F81"/>
    <w:rsid w:val="5FBE733D"/>
    <w:rsid w:val="5FF502A2"/>
    <w:rsid w:val="6019183C"/>
    <w:rsid w:val="60852973"/>
    <w:rsid w:val="60F74BF5"/>
    <w:rsid w:val="611D2B4B"/>
    <w:rsid w:val="612C1B6A"/>
    <w:rsid w:val="614B3B50"/>
    <w:rsid w:val="618E558D"/>
    <w:rsid w:val="61BB351A"/>
    <w:rsid w:val="61EA4E6B"/>
    <w:rsid w:val="61FA036C"/>
    <w:rsid w:val="61FE4473"/>
    <w:rsid w:val="62332E7A"/>
    <w:rsid w:val="62451DFA"/>
    <w:rsid w:val="624632C7"/>
    <w:rsid w:val="626302CA"/>
    <w:rsid w:val="62715ABE"/>
    <w:rsid w:val="627661ED"/>
    <w:rsid w:val="62D91AD8"/>
    <w:rsid w:val="62EE244C"/>
    <w:rsid w:val="631C429F"/>
    <w:rsid w:val="63340F61"/>
    <w:rsid w:val="63B3425D"/>
    <w:rsid w:val="63C24BE9"/>
    <w:rsid w:val="63DF3789"/>
    <w:rsid w:val="63F8665E"/>
    <w:rsid w:val="64304329"/>
    <w:rsid w:val="64850BEA"/>
    <w:rsid w:val="64E66091"/>
    <w:rsid w:val="65152F79"/>
    <w:rsid w:val="65601678"/>
    <w:rsid w:val="65EF2D48"/>
    <w:rsid w:val="65F84527"/>
    <w:rsid w:val="65F94546"/>
    <w:rsid w:val="66F27051"/>
    <w:rsid w:val="673A72C8"/>
    <w:rsid w:val="677D5E69"/>
    <w:rsid w:val="678A05A5"/>
    <w:rsid w:val="67C71BA3"/>
    <w:rsid w:val="67C72F8D"/>
    <w:rsid w:val="67CD16EE"/>
    <w:rsid w:val="683602EC"/>
    <w:rsid w:val="683A01CF"/>
    <w:rsid w:val="683F2E59"/>
    <w:rsid w:val="68522DE5"/>
    <w:rsid w:val="686C30E3"/>
    <w:rsid w:val="68817792"/>
    <w:rsid w:val="68BA1E05"/>
    <w:rsid w:val="68C842A8"/>
    <w:rsid w:val="68C94BDA"/>
    <w:rsid w:val="68D86BAF"/>
    <w:rsid w:val="68D973F4"/>
    <w:rsid w:val="690E0C53"/>
    <w:rsid w:val="69194288"/>
    <w:rsid w:val="69340CF6"/>
    <w:rsid w:val="693801E6"/>
    <w:rsid w:val="695A677E"/>
    <w:rsid w:val="69722E90"/>
    <w:rsid w:val="69A51491"/>
    <w:rsid w:val="69A912B3"/>
    <w:rsid w:val="69BC2AA9"/>
    <w:rsid w:val="69D45A0A"/>
    <w:rsid w:val="69EF3FA1"/>
    <w:rsid w:val="6A211437"/>
    <w:rsid w:val="6A551979"/>
    <w:rsid w:val="6A7379C8"/>
    <w:rsid w:val="6A854623"/>
    <w:rsid w:val="6AC30431"/>
    <w:rsid w:val="6ADF0B16"/>
    <w:rsid w:val="6AEC7A63"/>
    <w:rsid w:val="6B3C14AA"/>
    <w:rsid w:val="6B3F5E44"/>
    <w:rsid w:val="6B4559A7"/>
    <w:rsid w:val="6B4D55ED"/>
    <w:rsid w:val="6B53513B"/>
    <w:rsid w:val="6B5D6334"/>
    <w:rsid w:val="6B7E3E65"/>
    <w:rsid w:val="6B871ABC"/>
    <w:rsid w:val="6B957BB9"/>
    <w:rsid w:val="6BA647CD"/>
    <w:rsid w:val="6BC66EA3"/>
    <w:rsid w:val="6CA87429"/>
    <w:rsid w:val="6CB450FD"/>
    <w:rsid w:val="6CBC315F"/>
    <w:rsid w:val="6D1D50E8"/>
    <w:rsid w:val="6D3C4D14"/>
    <w:rsid w:val="6D774270"/>
    <w:rsid w:val="6DB93CBE"/>
    <w:rsid w:val="6DD15131"/>
    <w:rsid w:val="6DDD2798"/>
    <w:rsid w:val="6DFC5E62"/>
    <w:rsid w:val="6E1A73E2"/>
    <w:rsid w:val="6E8767CA"/>
    <w:rsid w:val="6EC175E4"/>
    <w:rsid w:val="6EF915DE"/>
    <w:rsid w:val="6F110126"/>
    <w:rsid w:val="6F2433C3"/>
    <w:rsid w:val="6F2F761B"/>
    <w:rsid w:val="6F570614"/>
    <w:rsid w:val="6F776151"/>
    <w:rsid w:val="6F824A9A"/>
    <w:rsid w:val="702F29DA"/>
    <w:rsid w:val="703715E4"/>
    <w:rsid w:val="706F348B"/>
    <w:rsid w:val="70813E31"/>
    <w:rsid w:val="70A16506"/>
    <w:rsid w:val="70D834FE"/>
    <w:rsid w:val="71285068"/>
    <w:rsid w:val="713301D7"/>
    <w:rsid w:val="714C1F50"/>
    <w:rsid w:val="71755B45"/>
    <w:rsid w:val="719A4B87"/>
    <w:rsid w:val="71A0798B"/>
    <w:rsid w:val="71D838EB"/>
    <w:rsid w:val="7201710A"/>
    <w:rsid w:val="721245BB"/>
    <w:rsid w:val="721640B6"/>
    <w:rsid w:val="726363D2"/>
    <w:rsid w:val="726B7AAC"/>
    <w:rsid w:val="7289399B"/>
    <w:rsid w:val="729D5913"/>
    <w:rsid w:val="72A20C37"/>
    <w:rsid w:val="72B92EB4"/>
    <w:rsid w:val="72D17EBB"/>
    <w:rsid w:val="72D413DD"/>
    <w:rsid w:val="72D82400"/>
    <w:rsid w:val="73312E2A"/>
    <w:rsid w:val="73514BC3"/>
    <w:rsid w:val="73644E7F"/>
    <w:rsid w:val="73A15B75"/>
    <w:rsid w:val="73B50B5A"/>
    <w:rsid w:val="73C846D6"/>
    <w:rsid w:val="73D72D76"/>
    <w:rsid w:val="7406783B"/>
    <w:rsid w:val="74205DF3"/>
    <w:rsid w:val="742C41C0"/>
    <w:rsid w:val="74455C41"/>
    <w:rsid w:val="744A4973"/>
    <w:rsid w:val="746C450B"/>
    <w:rsid w:val="746F0E70"/>
    <w:rsid w:val="747E66E9"/>
    <w:rsid w:val="74B005BA"/>
    <w:rsid w:val="74B85E07"/>
    <w:rsid w:val="74E122F7"/>
    <w:rsid w:val="74E162C6"/>
    <w:rsid w:val="75430A0D"/>
    <w:rsid w:val="75A54F01"/>
    <w:rsid w:val="76092BE1"/>
    <w:rsid w:val="76134A7F"/>
    <w:rsid w:val="7619259E"/>
    <w:rsid w:val="76194B60"/>
    <w:rsid w:val="764C46F5"/>
    <w:rsid w:val="76550BEF"/>
    <w:rsid w:val="76B43A38"/>
    <w:rsid w:val="76F81761"/>
    <w:rsid w:val="76FA276E"/>
    <w:rsid w:val="77093988"/>
    <w:rsid w:val="771129F1"/>
    <w:rsid w:val="777C372C"/>
    <w:rsid w:val="77840675"/>
    <w:rsid w:val="778F2B43"/>
    <w:rsid w:val="779C5E07"/>
    <w:rsid w:val="77E992F5"/>
    <w:rsid w:val="77FC67B9"/>
    <w:rsid w:val="780F0B33"/>
    <w:rsid w:val="783052B3"/>
    <w:rsid w:val="783629F5"/>
    <w:rsid w:val="7865614F"/>
    <w:rsid w:val="78673DEA"/>
    <w:rsid w:val="78AA0BE3"/>
    <w:rsid w:val="78DF13CD"/>
    <w:rsid w:val="79420AE6"/>
    <w:rsid w:val="794627BC"/>
    <w:rsid w:val="79492D38"/>
    <w:rsid w:val="795453E1"/>
    <w:rsid w:val="79DA48DD"/>
    <w:rsid w:val="7A040D49"/>
    <w:rsid w:val="7A205F95"/>
    <w:rsid w:val="7A3031E0"/>
    <w:rsid w:val="7A3B20A5"/>
    <w:rsid w:val="7A41252F"/>
    <w:rsid w:val="7A4615FD"/>
    <w:rsid w:val="7A594F26"/>
    <w:rsid w:val="7A763B8C"/>
    <w:rsid w:val="7ACC5069"/>
    <w:rsid w:val="7AD410D3"/>
    <w:rsid w:val="7AFB7886"/>
    <w:rsid w:val="7B1D4F2A"/>
    <w:rsid w:val="7B2C10FC"/>
    <w:rsid w:val="7B5D34E7"/>
    <w:rsid w:val="7B691222"/>
    <w:rsid w:val="7B6E328D"/>
    <w:rsid w:val="7B7F3192"/>
    <w:rsid w:val="7B85302B"/>
    <w:rsid w:val="7BA30236"/>
    <w:rsid w:val="7BC03AF0"/>
    <w:rsid w:val="7BC1622C"/>
    <w:rsid w:val="7BD45938"/>
    <w:rsid w:val="7BEE07DF"/>
    <w:rsid w:val="7CBA580B"/>
    <w:rsid w:val="7CBF7B63"/>
    <w:rsid w:val="7CC25786"/>
    <w:rsid w:val="7CC57D7F"/>
    <w:rsid w:val="7CD62DD9"/>
    <w:rsid w:val="7D177394"/>
    <w:rsid w:val="7D32498B"/>
    <w:rsid w:val="7D4827DF"/>
    <w:rsid w:val="7D7B2DBF"/>
    <w:rsid w:val="7D985324"/>
    <w:rsid w:val="7E1D6F4A"/>
    <w:rsid w:val="7E260644"/>
    <w:rsid w:val="7E626E47"/>
    <w:rsid w:val="7E632A2D"/>
    <w:rsid w:val="7E85323F"/>
    <w:rsid w:val="7ED86A6B"/>
    <w:rsid w:val="7EDC636B"/>
    <w:rsid w:val="7EE32F8B"/>
    <w:rsid w:val="7EFC18E2"/>
    <w:rsid w:val="7F0319CC"/>
    <w:rsid w:val="7F2C4199"/>
    <w:rsid w:val="7F6A5034"/>
    <w:rsid w:val="7F971492"/>
    <w:rsid w:val="7F9D1381"/>
    <w:rsid w:val="7FB33AF1"/>
    <w:rsid w:val="7FC33907"/>
    <w:rsid w:val="7FF63F2C"/>
    <w:rsid w:val="7FF828C1"/>
    <w:rsid w:val="8DFA001A"/>
    <w:rsid w:val="AA6DF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cs="黑体"/>
    </w:rPr>
  </w:style>
  <w:style w:type="paragraph" w:styleId="6">
    <w:name w:val="annotation text"/>
    <w:basedOn w:val="1"/>
    <w:qFormat/>
    <w:uiPriority w:val="0"/>
    <w:pPr>
      <w:jc w:val="left"/>
    </w:pPr>
  </w:style>
  <w:style w:type="paragraph" w:styleId="7">
    <w:name w:val="Body Text Indent"/>
    <w:basedOn w:val="1"/>
    <w:next w:val="5"/>
    <w:unhideWhenUsed/>
    <w:qFormat/>
    <w:uiPriority w:val="99"/>
    <w:pPr>
      <w:ind w:firstLine="570"/>
    </w:pPr>
    <w:rPr>
      <w:rFonts w:eastAsia="黑体"/>
      <w:sz w:val="28"/>
    </w:rPr>
  </w:style>
  <w:style w:type="paragraph" w:styleId="8">
    <w:name w:val="toc 3"/>
    <w:basedOn w:val="1"/>
    <w:next w:val="1"/>
    <w:qFormat/>
    <w:uiPriority w:val="0"/>
    <w:pPr>
      <w:ind w:left="840" w:leftChars="400"/>
    </w:pPr>
  </w:style>
  <w:style w:type="paragraph" w:styleId="9">
    <w:name w:val="Body Text Indent 2"/>
    <w:basedOn w:val="1"/>
    <w:qFormat/>
    <w:uiPriority w:val="0"/>
    <w:pPr>
      <w:spacing w:line="480" w:lineRule="auto"/>
      <w:ind w:left="420" w:leftChars="200"/>
    </w:pPr>
  </w:style>
  <w:style w:type="paragraph" w:styleId="10">
    <w:name w:val="Balloon Text"/>
    <w:basedOn w:val="1"/>
    <w:link w:val="4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Subtitle"/>
    <w:basedOn w:val="1"/>
    <w:next w:val="1"/>
    <w:qFormat/>
    <w:uiPriority w:val="11"/>
    <w:pPr>
      <w:spacing w:before="240" w:after="60" w:line="312" w:lineRule="auto"/>
      <w:jc w:val="center"/>
      <w:outlineLvl w:val="1"/>
    </w:pPr>
    <w:rPr>
      <w:rFonts w:ascii="等线 Light" w:hAnsi="等线 Light" w:cs="Times New Roman"/>
      <w:b/>
      <w:bCs/>
      <w:kern w:val="28"/>
      <w:sz w:val="32"/>
    </w:rPr>
  </w:style>
  <w:style w:type="paragraph" w:styleId="15">
    <w:name w:val="footnote text"/>
    <w:basedOn w:val="1"/>
    <w:qFormat/>
    <w:uiPriority w:val="0"/>
    <w:pPr>
      <w:snapToGrid w:val="0"/>
      <w:jc w:val="left"/>
    </w:pPr>
    <w:rPr>
      <w:sz w:val="18"/>
    </w:rPr>
  </w:style>
  <w:style w:type="paragraph" w:styleId="16">
    <w:name w:val="toc 2"/>
    <w:basedOn w:val="1"/>
    <w:next w:val="1"/>
    <w:unhideWhenUsed/>
    <w:qFormat/>
    <w:uiPriority w:val="39"/>
    <w:pPr>
      <w:ind w:left="420" w:leftChars="200"/>
    </w:p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spacing w:afterAutospacing="1"/>
      <w:jc w:val="left"/>
    </w:pPr>
    <w:rPr>
      <w:rFonts w:cs="Times New Roman"/>
      <w:kern w:val="0"/>
      <w:sz w:val="24"/>
    </w:rPr>
  </w:style>
  <w:style w:type="paragraph" w:styleId="19">
    <w:name w:val="Title"/>
    <w:basedOn w:val="1"/>
    <w:next w:val="1"/>
    <w:qFormat/>
    <w:uiPriority w:val="10"/>
    <w:pPr>
      <w:spacing w:before="240" w:after="60"/>
      <w:jc w:val="center"/>
      <w:outlineLvl w:val="0"/>
    </w:pPr>
    <w:rPr>
      <w:rFonts w:ascii="等线 Light" w:hAnsi="等线 Light" w:cs="Times New Roman"/>
      <w:sz w:val="32"/>
    </w:rPr>
  </w:style>
  <w:style w:type="paragraph" w:styleId="20">
    <w:name w:val="Body Text First Indent 2"/>
    <w:basedOn w:val="7"/>
    <w:next w:val="1"/>
    <w:qFormat/>
    <w:uiPriority w:val="99"/>
    <w:pPr>
      <w:widowControl w:val="0"/>
      <w:spacing w:line="560" w:lineRule="exact"/>
      <w:ind w:firstLine="420" w:firstLineChars="200"/>
      <w:jc w:val="both"/>
    </w:pPr>
    <w:rPr>
      <w:rFonts w:ascii="Times New Roman" w:hAnsi="Times New Roman" w:eastAsia="方正仿宋" w:cs="Times New Roman"/>
      <w:kern w:val="2"/>
      <w:sz w:val="32"/>
      <w:szCs w:val="32"/>
      <w:lang w:val="en-US"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FollowedHyperlink"/>
    <w:basedOn w:val="23"/>
    <w:qFormat/>
    <w:uiPriority w:val="0"/>
    <w:rPr>
      <w:color w:val="161616"/>
      <w:u w:val="none"/>
    </w:rPr>
  </w:style>
  <w:style w:type="character" w:styleId="26">
    <w:name w:val="Hyperlink"/>
    <w:basedOn w:val="23"/>
    <w:qFormat/>
    <w:uiPriority w:val="0"/>
    <w:rPr>
      <w:color w:val="161616"/>
      <w:u w:val="none"/>
    </w:rPr>
  </w:style>
  <w:style w:type="character" w:styleId="27">
    <w:name w:val="HTML Code"/>
    <w:basedOn w:val="23"/>
    <w:qFormat/>
    <w:uiPriority w:val="0"/>
    <w:rPr>
      <w:rFonts w:hint="default" w:ascii="Consolas" w:hAnsi="Consolas" w:eastAsia="Consolas" w:cs="Consolas"/>
      <w:color w:val="E83E8C"/>
      <w:sz w:val="21"/>
      <w:szCs w:val="21"/>
    </w:rPr>
  </w:style>
  <w:style w:type="character" w:styleId="28">
    <w:name w:val="footnote reference"/>
    <w:basedOn w:val="23"/>
    <w:qFormat/>
    <w:uiPriority w:val="0"/>
    <w:rPr>
      <w:vertAlign w:val="superscript"/>
    </w:rPr>
  </w:style>
  <w:style w:type="character" w:styleId="29">
    <w:name w:val="HTML Keyboard"/>
    <w:basedOn w:val="23"/>
    <w:qFormat/>
    <w:uiPriority w:val="0"/>
    <w:rPr>
      <w:rFonts w:ascii="Consolas" w:hAnsi="Consolas" w:eastAsia="Consolas" w:cs="Consolas"/>
      <w:color w:val="FFFFFF"/>
      <w:sz w:val="21"/>
      <w:szCs w:val="21"/>
      <w:shd w:val="clear" w:color="auto" w:fill="212529"/>
    </w:rPr>
  </w:style>
  <w:style w:type="character" w:styleId="30">
    <w:name w:val="HTML Sample"/>
    <w:basedOn w:val="23"/>
    <w:qFormat/>
    <w:uiPriority w:val="0"/>
    <w:rPr>
      <w:rFonts w:hint="default" w:ascii="Consolas" w:hAnsi="Consolas" w:eastAsia="Consolas" w:cs="Consolas"/>
      <w:sz w:val="21"/>
      <w:szCs w:val="21"/>
    </w:rPr>
  </w:style>
  <w:style w:type="character" w:customStyle="1" w:styleId="31">
    <w:name w:val="disabled"/>
    <w:basedOn w:val="23"/>
    <w:qFormat/>
    <w:uiPriority w:val="0"/>
    <w:rPr>
      <w:color w:val="BFBFBF"/>
    </w:rPr>
  </w:style>
  <w:style w:type="character" w:customStyle="1" w:styleId="32">
    <w:name w:val="current"/>
    <w:basedOn w:val="23"/>
    <w:qFormat/>
    <w:uiPriority w:val="0"/>
    <w:rPr>
      <w:color w:val="FFFFFF"/>
      <w:shd w:val="clear" w:color="auto" w:fill="428BCA"/>
    </w:rPr>
  </w:style>
  <w:style w:type="character" w:customStyle="1" w:styleId="33">
    <w:name w:val="hover39"/>
    <w:basedOn w:val="23"/>
    <w:qFormat/>
    <w:uiPriority w:val="0"/>
    <w:rPr>
      <w:color w:val="111111"/>
      <w:shd w:val="clear" w:color="auto" w:fill="E9ECEF"/>
    </w:rPr>
  </w:style>
  <w:style w:type="character" w:customStyle="1" w:styleId="34">
    <w:name w:val="hover41"/>
    <w:basedOn w:val="23"/>
    <w:qFormat/>
    <w:uiPriority w:val="0"/>
    <w:rPr>
      <w:color w:val="111111"/>
      <w:shd w:val="clear" w:color="auto" w:fill="E9ECEF"/>
    </w:rPr>
  </w:style>
  <w:style w:type="character" w:customStyle="1" w:styleId="35">
    <w:name w:val="current5"/>
    <w:basedOn w:val="23"/>
    <w:qFormat/>
    <w:uiPriority w:val="0"/>
    <w:rPr>
      <w:color w:val="FFFFFF"/>
      <w:shd w:val="clear" w:color="auto" w:fill="428BCA"/>
    </w:rPr>
  </w:style>
  <w:style w:type="character" w:customStyle="1" w:styleId="36">
    <w:name w:val="disabled2"/>
    <w:basedOn w:val="23"/>
    <w:qFormat/>
    <w:uiPriority w:val="0"/>
    <w:rPr>
      <w:color w:val="BFBFBF"/>
    </w:rPr>
  </w:style>
  <w:style w:type="character" w:customStyle="1" w:styleId="37">
    <w:name w:val="current6"/>
    <w:basedOn w:val="23"/>
    <w:qFormat/>
    <w:uiPriority w:val="0"/>
    <w:rPr>
      <w:color w:val="FFFFFF"/>
      <w:shd w:val="clear" w:color="auto" w:fill="428BCA"/>
    </w:rPr>
  </w:style>
  <w:style w:type="paragraph" w:customStyle="1" w:styleId="38">
    <w:name w:val="p0"/>
    <w:basedOn w:val="1"/>
    <w:qFormat/>
    <w:uiPriority w:val="0"/>
    <w:pPr>
      <w:widowControl/>
    </w:pPr>
    <w:rPr>
      <w:rFonts w:ascii="Calibri" w:hAnsi="Calibri" w:eastAsia="宋体" w:cs="宋体"/>
      <w:kern w:val="0"/>
      <w:szCs w:val="21"/>
    </w:rPr>
  </w:style>
  <w:style w:type="character" w:customStyle="1" w:styleId="39">
    <w:name w:val="font01"/>
    <w:basedOn w:val="23"/>
    <w:qFormat/>
    <w:uiPriority w:val="0"/>
    <w:rPr>
      <w:rFonts w:hint="default" w:ascii="仿宋_GB2312" w:eastAsia="仿宋_GB2312" w:cs="仿宋_GB2312"/>
      <w:color w:val="FF0000"/>
      <w:sz w:val="24"/>
      <w:szCs w:val="24"/>
      <w:u w:val="none"/>
    </w:rPr>
  </w:style>
  <w:style w:type="character" w:customStyle="1" w:styleId="40">
    <w:name w:val="font11"/>
    <w:basedOn w:val="23"/>
    <w:qFormat/>
    <w:uiPriority w:val="0"/>
    <w:rPr>
      <w:rFonts w:hint="default" w:ascii="仿宋_GB2312" w:eastAsia="仿宋_GB2312" w:cs="仿宋_GB2312"/>
      <w:color w:val="000000"/>
      <w:sz w:val="24"/>
      <w:szCs w:val="24"/>
      <w:u w:val="none"/>
    </w:rPr>
  </w:style>
  <w:style w:type="character" w:customStyle="1" w:styleId="41">
    <w:name w:val="font21"/>
    <w:basedOn w:val="23"/>
    <w:qFormat/>
    <w:uiPriority w:val="0"/>
    <w:rPr>
      <w:rFonts w:hint="default" w:ascii="仿宋_GB2312" w:eastAsia="仿宋_GB2312" w:cs="仿宋_GB2312"/>
      <w:color w:val="000000"/>
      <w:sz w:val="24"/>
      <w:szCs w:val="24"/>
      <w:u w:val="none"/>
    </w:rPr>
  </w:style>
  <w:style w:type="paragraph" w:customStyle="1" w:styleId="42">
    <w:name w:val="WPSOffice手动目录 1"/>
    <w:qFormat/>
    <w:uiPriority w:val="0"/>
    <w:rPr>
      <w:rFonts w:ascii="Times New Roman" w:hAnsi="Times New Roman" w:eastAsia="宋体" w:cs="Times New Roman"/>
      <w:lang w:val="en-US" w:eastAsia="zh-CN" w:bidi="ar-SA"/>
    </w:rPr>
  </w:style>
  <w:style w:type="character" w:customStyle="1" w:styleId="43">
    <w:name w:val="NormalCharacter"/>
    <w:qFormat/>
    <w:uiPriority w:val="0"/>
  </w:style>
  <w:style w:type="character" w:customStyle="1" w:styleId="44">
    <w:name w:val="批注框文本 Char"/>
    <w:basedOn w:val="23"/>
    <w:link w:val="10"/>
    <w:qFormat/>
    <w:uiPriority w:val="0"/>
    <w:rPr>
      <w:rFonts w:asciiTheme="minorHAnsi" w:hAnsiTheme="minorHAnsi" w:eastAsiaTheme="minorEastAsia" w:cstheme="minorBidi"/>
      <w:kern w:val="2"/>
      <w:sz w:val="18"/>
      <w:szCs w:val="18"/>
    </w:rPr>
  </w:style>
  <w:style w:type="paragraph" w:customStyle="1" w:styleId="45">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 w:type="paragraph" w:customStyle="1" w:styleId="46">
    <w:name w:val="正文（缩进）"/>
    <w:basedOn w:val="1"/>
    <w:qFormat/>
    <w:uiPriority w:val="0"/>
    <w:pPr>
      <w:spacing w:before="156" w:beforeLines="50" w:after="156" w:afterLines="50" w:line="360" w:lineRule="auto"/>
      <w:ind w:firstLine="480" w:firstLineChars="200"/>
    </w:pPr>
    <w:rPr>
      <w:kern w:val="0"/>
      <w:sz w:val="24"/>
      <w:szCs w:val="20"/>
    </w:rPr>
  </w:style>
  <w:style w:type="paragraph" w:customStyle="1" w:styleId="47">
    <w:name w:val="_Style 1"/>
    <w:basedOn w:val="1"/>
    <w:next w:val="1"/>
    <w:qFormat/>
    <w:uiPriority w:val="99"/>
    <w:pPr>
      <w:spacing w:line="580" w:lineRule="exact"/>
      <w:ind w:firstLine="420" w:firstLineChars="200"/>
    </w:pPr>
    <w:rPr>
      <w:rFonts w:cs="Times New Roman"/>
      <w:sz w:val="32"/>
    </w:rPr>
  </w:style>
  <w:style w:type="character" w:customStyle="1" w:styleId="48">
    <w:name w:val="font91"/>
    <w:basedOn w:val="23"/>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1625</Words>
  <Characters>2293</Characters>
  <Lines>62</Lines>
  <Paragraphs>17</Paragraphs>
  <TotalTime>4</TotalTime>
  <ScaleCrop>false</ScaleCrop>
  <LinksUpToDate>false</LinksUpToDate>
  <CharactersWithSpaces>2610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2021-02-08T08:24:00Z</dcterms:created>
  <dc:creator>蓝风樱花</dc:creator>
  <cp:lastModifiedBy>陌</cp:lastModifiedBy>
  <dcterms:modified xsi:type="dcterms:W3CDTF">2025-06-11T02:37:03Z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9BE944AA1867473CBCD10B20B7EA9097_13</vt:lpwstr>
  </property>
  <property fmtid="{D5CDD505-2E9C-101B-9397-08002B2CF9AE}" pid="4" name="KSOTemplateDocerSaveRecord">
    <vt:lpwstr>eyJoZGlkIjoiYmNhZDU5Nzc0MWRjZjgzYTk5MjI0N2JhZjg4OWRhMWIiLCJ1c2VySWQiOiIxMjA5OTQ0MDAwIn0=</vt:lpwstr>
  </property>
</Properties>
</file>