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9322" w:type="dxa"/>
        <w:jc w:val="center"/>
        <w:tblLayout w:type="fixed"/>
        <w:tblCellMar>
          <w:top w:w="0" w:type="dxa"/>
          <w:left w:w="108" w:type="dxa"/>
          <w:bottom w:w="0" w:type="dxa"/>
          <w:right w:w="108" w:type="dxa"/>
        </w:tblCellMar>
      </w:tblPr>
      <w:tblGrid>
        <w:gridCol w:w="5484"/>
        <w:gridCol w:w="1417"/>
        <w:gridCol w:w="2421"/>
      </w:tblGrid>
      <w:tr>
        <w:tblPrEx>
          <w:tblCellMar>
            <w:top w:w="0" w:type="dxa"/>
            <w:left w:w="108" w:type="dxa"/>
            <w:bottom w:w="0" w:type="dxa"/>
            <w:right w:w="108" w:type="dxa"/>
          </w:tblCellMar>
        </w:tblPrEx>
        <w:trPr>
          <w:trHeight w:val="559" w:hRule="atLeast"/>
          <w:jc w:val="center"/>
        </w:trPr>
        <w:tc>
          <w:tcPr>
            <w:tcW w:w="5484" w:type="dxa"/>
            <w:vAlign w:val="center"/>
          </w:tcPr>
          <w:p>
            <w:pPr>
              <w:widowControl w:val="0"/>
              <w:wordWrap w:val="0"/>
              <w:autoSpaceDE w:val="0"/>
              <w:autoSpaceDN w:val="0"/>
              <w:adjustRightInd w:val="0"/>
              <w:spacing w:line="360" w:lineRule="auto"/>
              <w:ind w:right="210" w:firstLine="1356" w:firstLineChars="646"/>
              <w:jc w:val="right"/>
              <w:rPr>
                <w:rFonts w:ascii="Times New Roman" w:hAnsi="Times New Roman" w:eastAsia="宋体" w:cs="Times New Roman"/>
                <w:bCs/>
                <w:color w:val="auto"/>
                <w:kern w:val="2"/>
                <w:sz w:val="21"/>
                <w:szCs w:val="21"/>
                <w:highlight w:val="none"/>
                <w:lang w:val="en-US" w:eastAsia="zh-CN" w:bidi="ar-SA"/>
              </w:rPr>
            </w:pPr>
            <w:r>
              <w:rPr>
                <w:rFonts w:ascii="Times New Roman" w:hAnsi="Times New Roman" w:eastAsia="宋体" w:cs="Times New Roman"/>
                <w:bCs/>
                <w:color w:val="auto"/>
                <w:kern w:val="2"/>
                <w:sz w:val="21"/>
                <w:szCs w:val="21"/>
                <w:highlight w:val="none"/>
                <w:lang w:val="en-US" w:eastAsia="zh-CN" w:bidi="ar-SA"/>
              </w:rPr>
              <w:t xml:space="preserve"> </w:t>
            </w:r>
            <w:r>
              <w:rPr>
                <w:rFonts w:hint="eastAsia" w:ascii="Times New Roman" w:hAnsi="Times New Roman" w:eastAsia="宋体" w:cs="Times New Roman"/>
                <w:bCs/>
                <w:color w:val="auto"/>
                <w:kern w:val="2"/>
                <w:sz w:val="21"/>
                <w:szCs w:val="21"/>
                <w:highlight w:val="none"/>
                <w:lang w:val="en-US" w:eastAsia="zh-CN" w:bidi="ar-SA"/>
              </w:rPr>
              <w:t xml:space="preserve"> </w:t>
            </w:r>
          </w:p>
        </w:tc>
        <w:tc>
          <w:tcPr>
            <w:tcW w:w="3838" w:type="dxa"/>
            <w:gridSpan w:val="2"/>
            <w:vMerge w:val="restart"/>
            <w:vAlign w:val="center"/>
          </w:tcPr>
          <w:p>
            <w:pPr>
              <w:widowControl w:val="0"/>
              <w:autoSpaceDE w:val="0"/>
              <w:autoSpaceDN w:val="0"/>
              <w:adjustRightInd w:val="0"/>
              <w:spacing w:line="360" w:lineRule="auto"/>
              <w:jc w:val="right"/>
              <w:rPr>
                <w:rFonts w:ascii="Times New Roman" w:hAnsi="Times New Roman" w:eastAsia="宋体" w:cs="Times New Roman"/>
                <w:b/>
                <w:bCs/>
                <w:color w:val="auto"/>
                <w:kern w:val="2"/>
                <w:sz w:val="72"/>
                <w:szCs w:val="72"/>
                <w:highlight w:val="none"/>
                <w:lang w:val="en-US" w:eastAsia="zh-CN" w:bidi="ar-SA"/>
              </w:rPr>
            </w:pPr>
            <w:r>
              <w:rPr>
                <w:rFonts w:ascii="Times New Roman" w:hAnsi="Times New Roman" w:eastAsia="宋体" w:cs="Times New Roman"/>
                <w:color w:val="auto"/>
                <w:sz w:val="24"/>
                <w:szCs w:val="24"/>
                <w:highlight w:val="none"/>
                <w:lang w:val="en-US" w:eastAsia="zh-CN" w:bidi="ar-SA"/>
              </w:rPr>
              <w:drawing>
                <wp:anchor distT="0" distB="0" distL="114300" distR="114300" simplePos="0" relativeHeight="251663360" behindDoc="0" locked="0" layoutInCell="1" allowOverlap="1">
                  <wp:simplePos x="0" y="0"/>
                  <wp:positionH relativeFrom="column">
                    <wp:posOffset>496570</wp:posOffset>
                  </wp:positionH>
                  <wp:positionV relativeFrom="paragraph">
                    <wp:posOffset>-36830</wp:posOffset>
                  </wp:positionV>
                  <wp:extent cx="1541780" cy="835025"/>
                  <wp:effectExtent l="0" t="0" r="7620" b="317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41780" cy="835025"/>
                          </a:xfrm>
                          <a:prstGeom prst="rect">
                            <a:avLst/>
                          </a:prstGeom>
                        </pic:spPr>
                      </pic:pic>
                    </a:graphicData>
                  </a:graphic>
                </wp:anchor>
              </w:drawing>
            </w:r>
            <w:r>
              <w:rPr>
                <w:rFonts w:ascii="Times New Roman" w:hAnsi="Times New Roman" w:eastAsia="宋体" w:cs="Times New Roman"/>
                <w:b/>
                <w:bCs/>
                <w:color w:val="auto"/>
                <w:kern w:val="2"/>
                <w:sz w:val="28"/>
                <w:szCs w:val="28"/>
                <w:highlight w:val="none"/>
                <w:lang w:val="en-US" w:eastAsia="zh-CN" w:bidi="ar-SA"/>
              </w:rPr>
              <w:t xml:space="preserve">    </w:t>
            </w:r>
          </w:p>
        </w:tc>
      </w:tr>
      <w:tr>
        <w:tblPrEx>
          <w:tblCellMar>
            <w:top w:w="0" w:type="dxa"/>
            <w:left w:w="108" w:type="dxa"/>
            <w:bottom w:w="0" w:type="dxa"/>
            <w:right w:w="108" w:type="dxa"/>
          </w:tblCellMar>
        </w:tblPrEx>
        <w:trPr>
          <w:trHeight w:val="700" w:hRule="atLeast"/>
          <w:jc w:val="center"/>
        </w:trPr>
        <w:tc>
          <w:tcPr>
            <w:tcW w:w="5484" w:type="dxa"/>
            <w:vAlign w:val="center"/>
          </w:tcPr>
          <w:p>
            <w:pPr>
              <w:widowControl w:val="0"/>
              <w:autoSpaceDE w:val="0"/>
              <w:autoSpaceDN w:val="0"/>
              <w:adjustRightInd w:val="0"/>
              <w:spacing w:line="360" w:lineRule="auto"/>
              <w:ind w:firstLine="1257" w:firstLineChars="262"/>
              <w:jc w:val="both"/>
              <w:rPr>
                <w:rFonts w:ascii="黑体" w:hAnsi="黑体" w:eastAsia="黑体" w:cs="Times New Roman"/>
                <w:b/>
                <w:bCs/>
                <w:color w:val="auto"/>
                <w:kern w:val="2"/>
                <w:sz w:val="48"/>
                <w:szCs w:val="48"/>
                <w:highlight w:val="none"/>
                <w:lang w:val="en-US" w:eastAsia="zh-CN" w:bidi="ar-SA"/>
              </w:rPr>
            </w:pPr>
            <w:r>
              <w:rPr>
                <w:rFonts w:ascii="黑体" w:hAnsi="黑体" w:eastAsia="黑体" w:cs="Times New Roman"/>
                <w:color w:val="auto"/>
                <w:kern w:val="2"/>
                <w:sz w:val="48"/>
                <w:szCs w:val="48"/>
                <w:highlight w:val="none"/>
                <w:lang w:val="en-US" w:eastAsia="zh-CN" w:bidi="ar-SA"/>
              </w:rPr>
              <w:t>广东省标准</w:t>
            </w:r>
          </w:p>
        </w:tc>
        <w:tc>
          <w:tcPr>
            <w:tcW w:w="3838" w:type="dxa"/>
            <w:gridSpan w:val="2"/>
            <w:vMerge w:val="continue"/>
            <w:vAlign w:val="center"/>
          </w:tcPr>
          <w:p>
            <w:pPr>
              <w:widowControl w:val="0"/>
              <w:autoSpaceDE w:val="0"/>
              <w:autoSpaceDN w:val="0"/>
              <w:adjustRightInd w:val="0"/>
              <w:spacing w:line="360" w:lineRule="auto"/>
              <w:jc w:val="both"/>
              <w:rPr>
                <w:rFonts w:ascii="Times New Roman" w:hAnsi="Times New Roman" w:eastAsia="宋体" w:cs="Times New Roman"/>
                <w:b/>
                <w:bCs/>
                <w:color w:val="auto"/>
                <w:kern w:val="2"/>
                <w:sz w:val="28"/>
                <w:szCs w:val="28"/>
                <w:highlight w:val="none"/>
                <w:lang w:val="en-US" w:eastAsia="zh-CN" w:bidi="ar-SA"/>
              </w:rPr>
            </w:pPr>
          </w:p>
        </w:tc>
      </w:tr>
      <w:tr>
        <w:tblPrEx>
          <w:tblCellMar>
            <w:top w:w="0" w:type="dxa"/>
            <w:left w:w="108" w:type="dxa"/>
            <w:bottom w:w="0" w:type="dxa"/>
            <w:right w:w="108" w:type="dxa"/>
          </w:tblCellMar>
        </w:tblPrEx>
        <w:trPr>
          <w:jc w:val="center"/>
        </w:trPr>
        <w:tc>
          <w:tcPr>
            <w:tcW w:w="9322" w:type="dxa"/>
            <w:gridSpan w:val="3"/>
            <w:tcBorders>
              <w:bottom w:val="single" w:color="auto" w:sz="12" w:space="0"/>
            </w:tcBorders>
            <w:vAlign w:val="center"/>
          </w:tcPr>
          <w:p>
            <w:pPr>
              <w:widowControl w:val="0"/>
              <w:autoSpaceDE w:val="0"/>
              <w:autoSpaceDN w:val="0"/>
              <w:adjustRightInd w:val="0"/>
              <w:spacing w:line="400" w:lineRule="exact"/>
              <w:ind w:right="468" w:rightChars="223"/>
              <w:jc w:val="right"/>
              <w:rPr>
                <w:rFonts w:ascii="Times New Roman" w:hAnsi="Times New Roman" w:eastAsia="宋体" w:cs="Times New Roman"/>
                <w:color w:val="auto"/>
                <w:kern w:val="2"/>
                <w:sz w:val="30"/>
                <w:szCs w:val="30"/>
                <w:highlight w:val="none"/>
                <w:lang w:val="en-US" w:eastAsia="zh-CN" w:bidi="ar-SA"/>
              </w:rPr>
            </w:pPr>
            <w:r>
              <w:rPr>
                <w:rFonts w:ascii="Times New Roman" w:hAnsi="Times New Roman" w:eastAsia="宋体" w:cs="Times New Roman"/>
                <w:color w:val="auto"/>
                <w:kern w:val="2"/>
                <w:sz w:val="30"/>
                <w:szCs w:val="30"/>
                <w:highlight w:val="none"/>
                <w:lang w:val="en-US" w:eastAsia="zh-CN" w:bidi="ar-SA"/>
              </w:rPr>
              <w:t>DBJ</w:t>
            </w:r>
            <w:r>
              <w:rPr>
                <w:rFonts w:hint="eastAsia" w:ascii="Times New Roman" w:hAnsi="Times New Roman" w:eastAsia="宋体" w:cs="Times New Roman"/>
                <w:color w:val="auto"/>
                <w:kern w:val="2"/>
                <w:sz w:val="30"/>
                <w:szCs w:val="30"/>
                <w:highlight w:val="none"/>
                <w:lang w:val="en-US" w:eastAsia="zh-CN" w:bidi="ar-SA"/>
              </w:rPr>
              <w:t>/T</w:t>
            </w:r>
            <w:r>
              <w:rPr>
                <w:rFonts w:ascii="Times New Roman" w:hAnsi="Times New Roman" w:eastAsia="宋体" w:cs="Times New Roman"/>
                <w:color w:val="auto"/>
                <w:kern w:val="2"/>
                <w:sz w:val="30"/>
                <w:szCs w:val="30"/>
                <w:highlight w:val="none"/>
                <w:lang w:val="en-US" w:eastAsia="zh-CN" w:bidi="ar-SA"/>
              </w:rPr>
              <w:t xml:space="preserve"> 15-</w:t>
            </w:r>
            <w:r>
              <w:rPr>
                <w:rFonts w:hint="eastAsia" w:ascii="Times New Roman" w:hAnsi="Times New Roman" w:eastAsia="宋体" w:cs="Times New Roman"/>
                <w:color w:val="auto"/>
                <w:kern w:val="2"/>
                <w:sz w:val="30"/>
                <w:szCs w:val="30"/>
                <w:highlight w:val="none"/>
                <w:lang w:val="en-US" w:eastAsia="zh-CN" w:bidi="ar-SA"/>
              </w:rPr>
              <w:t>xx</w:t>
            </w:r>
            <w:r>
              <w:rPr>
                <w:rFonts w:ascii="Times New Roman" w:hAnsi="Times New Roman" w:eastAsia="宋体" w:cs="Times New Roman"/>
                <w:color w:val="auto"/>
                <w:kern w:val="2"/>
                <w:sz w:val="30"/>
                <w:szCs w:val="30"/>
                <w:highlight w:val="none"/>
                <w:lang w:val="en-US" w:eastAsia="zh-CN" w:bidi="ar-SA"/>
              </w:rPr>
              <w:t>-202</w:t>
            </w:r>
            <w:r>
              <w:rPr>
                <w:rFonts w:hint="eastAsia" w:ascii="Times New Roman" w:hAnsi="Times New Roman" w:eastAsia="宋体" w:cs="Times New Roman"/>
                <w:color w:val="auto"/>
                <w:kern w:val="2"/>
                <w:sz w:val="30"/>
                <w:szCs w:val="30"/>
                <w:highlight w:val="none"/>
                <w:lang w:val="en-US" w:eastAsia="zh-CN" w:bidi="ar-SA"/>
              </w:rPr>
              <w:t>x</w:t>
            </w:r>
            <w:r>
              <w:rPr>
                <w:rFonts w:ascii="Times New Roman" w:hAnsi="Times New Roman" w:eastAsia="宋体" w:cs="Times New Roman"/>
                <w:color w:val="auto"/>
                <w:kern w:val="2"/>
                <w:sz w:val="30"/>
                <w:szCs w:val="30"/>
                <w:highlight w:val="none"/>
                <w:lang w:val="en-US" w:eastAsia="zh-CN" w:bidi="ar-SA"/>
              </w:rPr>
              <w:t xml:space="preserve"> </w:t>
            </w:r>
          </w:p>
          <w:p>
            <w:pPr>
              <w:widowControl w:val="0"/>
              <w:autoSpaceDE w:val="0"/>
              <w:autoSpaceDN w:val="0"/>
              <w:adjustRightInd w:val="0"/>
              <w:spacing w:line="400" w:lineRule="exact"/>
              <w:ind w:right="468" w:rightChars="223"/>
              <w:jc w:val="right"/>
              <w:rPr>
                <w:rFonts w:ascii="Times New Roman" w:hAnsi="Times New Roman" w:eastAsia="宋体" w:cs="Times New Roman"/>
                <w:b/>
                <w:bCs/>
                <w:color w:val="auto"/>
                <w:kern w:val="2"/>
                <w:sz w:val="30"/>
                <w:szCs w:val="30"/>
                <w:highlight w:val="none"/>
                <w:lang w:val="en-US" w:eastAsia="zh-CN" w:bidi="ar-SA"/>
              </w:rPr>
            </w:pPr>
            <w:r>
              <w:rPr>
                <w:rFonts w:ascii="Times New Roman" w:hAnsi="Times New Roman" w:eastAsia="宋体" w:cs="Times New Roman"/>
                <w:color w:val="auto"/>
                <w:kern w:val="2"/>
                <w:sz w:val="30"/>
                <w:szCs w:val="30"/>
                <w:highlight w:val="none"/>
                <w:lang w:val="en-US" w:eastAsia="zh-CN" w:bidi="ar-SA"/>
              </w:rPr>
              <w:t>备案号</w:t>
            </w:r>
            <w:r>
              <w:rPr>
                <w:rFonts w:hint="eastAsia" w:ascii="Times New Roman" w:hAnsi="Times New Roman" w:eastAsia="宋体" w:cs="Times New Roman"/>
                <w:color w:val="auto"/>
                <w:kern w:val="2"/>
                <w:sz w:val="30"/>
                <w:szCs w:val="30"/>
                <w:highlight w:val="none"/>
                <w:lang w:val="en-US" w:eastAsia="zh-CN" w:bidi="ar-SA"/>
              </w:rPr>
              <w:t>J</w:t>
            </w:r>
            <w:r>
              <w:rPr>
                <w:rFonts w:ascii="Times New Roman" w:hAnsi="Times New Roman" w:eastAsia="宋体" w:cs="Times New Roman"/>
                <w:color w:val="auto"/>
                <w:kern w:val="2"/>
                <w:sz w:val="30"/>
                <w:szCs w:val="30"/>
                <w:highlight w:val="none"/>
                <w:lang w:val="en-US" w:eastAsia="zh-CN" w:bidi="ar-SA"/>
              </w:rPr>
              <w:t>202</w:t>
            </w:r>
            <w:r>
              <w:rPr>
                <w:rFonts w:hint="eastAsia" w:ascii="Times New Roman" w:hAnsi="Times New Roman" w:eastAsia="宋体" w:cs="Times New Roman"/>
                <w:color w:val="auto"/>
                <w:kern w:val="2"/>
                <w:sz w:val="30"/>
                <w:szCs w:val="30"/>
                <w:highlight w:val="none"/>
                <w:lang w:val="en-US" w:eastAsia="zh-CN" w:bidi="ar-SA"/>
              </w:rPr>
              <w:t>x-xxxx</w:t>
            </w:r>
            <w:r>
              <w:rPr>
                <w:rFonts w:ascii="Times New Roman" w:hAnsi="Times New Roman" w:eastAsia="宋体" w:cs="Times New Roman"/>
                <w:color w:val="auto"/>
                <w:kern w:val="2"/>
                <w:sz w:val="30"/>
                <w:szCs w:val="30"/>
                <w:highlight w:val="none"/>
                <w:lang w:val="en-US" w:eastAsia="zh-CN" w:bidi="ar-SA"/>
              </w:rPr>
              <w:t xml:space="preserve"> </w:t>
            </w:r>
            <w:r>
              <w:rPr>
                <w:rFonts w:ascii="Times New Roman" w:hAnsi="Times New Roman" w:eastAsia="宋体" w:cs="Times New Roman"/>
                <w:b/>
                <w:bCs/>
                <w:color w:val="auto"/>
                <w:kern w:val="2"/>
                <w:sz w:val="30"/>
                <w:szCs w:val="30"/>
                <w:highlight w:val="none"/>
                <w:lang w:val="en-US" w:eastAsia="zh-CN" w:bidi="ar-SA"/>
              </w:rPr>
              <w:t xml:space="preserve">   </w:t>
            </w:r>
          </w:p>
        </w:tc>
      </w:tr>
      <w:tr>
        <w:tblPrEx>
          <w:tblCellMar>
            <w:top w:w="0" w:type="dxa"/>
            <w:left w:w="108" w:type="dxa"/>
            <w:bottom w:w="0" w:type="dxa"/>
            <w:right w:w="108" w:type="dxa"/>
          </w:tblCellMar>
        </w:tblPrEx>
        <w:trPr>
          <w:trHeight w:val="1354" w:hRule="atLeast"/>
          <w:jc w:val="center"/>
        </w:trPr>
        <w:tc>
          <w:tcPr>
            <w:tcW w:w="9322" w:type="dxa"/>
            <w:gridSpan w:val="3"/>
            <w:tcBorders>
              <w:top w:val="single" w:color="auto" w:sz="12" w:space="0"/>
            </w:tcBorders>
            <w:vAlign w:val="center"/>
          </w:tcPr>
          <w:p>
            <w:pPr>
              <w:widowControl w:val="0"/>
              <w:autoSpaceDE w:val="0"/>
              <w:autoSpaceDN w:val="0"/>
              <w:adjustRightInd w:val="0"/>
              <w:spacing w:line="360" w:lineRule="auto"/>
              <w:jc w:val="center"/>
              <w:rPr>
                <w:rFonts w:ascii="Times New Roman" w:hAnsi="Times New Roman" w:eastAsia="宋体" w:cs="Times New Roman"/>
                <w:b/>
                <w:bCs/>
                <w:color w:val="auto"/>
                <w:kern w:val="2"/>
                <w:sz w:val="21"/>
                <w:szCs w:val="21"/>
                <w:highlight w:val="none"/>
                <w:lang w:val="en-US" w:eastAsia="zh-CN" w:bidi="ar-SA"/>
              </w:rPr>
            </w:pPr>
            <w:r>
              <w:rPr>
                <w:rFonts w:ascii="Times New Roman" w:hAnsi="Times New Roman" w:eastAsia="宋体" w:cs="Times New Roman"/>
                <w:b/>
                <w:bCs/>
                <w:color w:val="auto"/>
                <w:kern w:val="2"/>
                <w:sz w:val="21"/>
                <w:szCs w:val="21"/>
                <w:highlight w:val="none"/>
                <w:lang w:val="en-US" w:eastAsia="zh-CN" w:bidi="ar-SA"/>
              </w:rPr>
              <w:t xml:space="preserve"> </w:t>
            </w:r>
          </w:p>
        </w:tc>
      </w:tr>
      <w:tr>
        <w:tblPrEx>
          <w:tblCellMar>
            <w:top w:w="0" w:type="dxa"/>
            <w:left w:w="108" w:type="dxa"/>
            <w:bottom w:w="0" w:type="dxa"/>
            <w:right w:w="108" w:type="dxa"/>
          </w:tblCellMar>
        </w:tblPrEx>
        <w:trPr>
          <w:trHeight w:val="717" w:hRule="atLeast"/>
          <w:jc w:val="center"/>
        </w:trPr>
        <w:tc>
          <w:tcPr>
            <w:tcW w:w="9322" w:type="dxa"/>
            <w:gridSpan w:val="3"/>
            <w:vAlign w:val="center"/>
          </w:tcPr>
          <w:p>
            <w:pPr>
              <w:widowControl w:val="0"/>
              <w:autoSpaceDE w:val="0"/>
              <w:autoSpaceDN w:val="0"/>
              <w:adjustRightInd w:val="0"/>
              <w:spacing w:line="360" w:lineRule="auto"/>
              <w:jc w:val="center"/>
              <w:rPr>
                <w:rFonts w:ascii="Times New Roman" w:hAnsi="Times New Roman" w:eastAsia="宋体" w:cs="Times New Roman"/>
                <w:b/>
                <w:bCs/>
                <w:color w:val="auto"/>
                <w:kern w:val="2"/>
                <w:sz w:val="44"/>
                <w:szCs w:val="44"/>
                <w:highlight w:val="none"/>
                <w:lang w:val="en-US" w:eastAsia="zh-CN" w:bidi="ar-SA"/>
              </w:rPr>
            </w:pPr>
          </w:p>
          <w:p>
            <w:pPr>
              <w:widowControl w:val="0"/>
              <w:autoSpaceDE w:val="0"/>
              <w:autoSpaceDN w:val="0"/>
              <w:adjustRightInd w:val="0"/>
              <w:spacing w:line="360" w:lineRule="auto"/>
              <w:jc w:val="center"/>
              <w:rPr>
                <w:rFonts w:ascii="Times New Roman" w:hAnsi="Times New Roman" w:eastAsia="宋体" w:cs="Times New Roman"/>
                <w:b/>
                <w:bCs/>
                <w:color w:val="auto"/>
                <w:kern w:val="2"/>
                <w:sz w:val="44"/>
                <w:szCs w:val="44"/>
                <w:highlight w:val="none"/>
                <w:lang w:val="en-US" w:eastAsia="zh-CN" w:bidi="ar-SA"/>
              </w:rPr>
            </w:pPr>
            <w:r>
              <w:rPr>
                <w:rFonts w:hint="eastAsia" w:ascii="Times New Roman" w:hAnsi="Times New Roman" w:eastAsia="宋体" w:cs="Times New Roman"/>
                <w:b/>
                <w:bCs/>
                <w:color w:val="auto"/>
                <w:kern w:val="2"/>
                <w:sz w:val="44"/>
                <w:szCs w:val="44"/>
                <w:highlight w:val="none"/>
                <w:lang w:val="en-US" w:eastAsia="zh-CN" w:bidi="ar-SA"/>
              </w:rPr>
              <w:t>建筑电气工程现场检测技术标准</w:t>
            </w:r>
          </w:p>
        </w:tc>
      </w:tr>
      <w:tr>
        <w:tblPrEx>
          <w:tblCellMar>
            <w:top w:w="0" w:type="dxa"/>
            <w:left w:w="108" w:type="dxa"/>
            <w:bottom w:w="0" w:type="dxa"/>
            <w:right w:w="108" w:type="dxa"/>
          </w:tblCellMar>
        </w:tblPrEx>
        <w:trPr>
          <w:jc w:val="center"/>
        </w:trPr>
        <w:tc>
          <w:tcPr>
            <w:tcW w:w="9322" w:type="dxa"/>
            <w:gridSpan w:val="3"/>
            <w:vAlign w:val="center"/>
          </w:tcPr>
          <w:p>
            <w:pPr>
              <w:widowControl w:val="0"/>
              <w:autoSpaceDE w:val="0"/>
              <w:autoSpaceDN w:val="0"/>
              <w:adjustRightInd w:val="0"/>
              <w:spacing w:line="360" w:lineRule="auto"/>
              <w:jc w:val="center"/>
              <w:rPr>
                <w:rFonts w:ascii="Times New Roman" w:hAnsi="Times New Roman" w:eastAsia="宋体" w:cs="Times New Roman"/>
                <w:bCs/>
                <w:color w:val="auto"/>
                <w:kern w:val="2"/>
                <w:sz w:val="28"/>
                <w:szCs w:val="28"/>
                <w:highlight w:val="none"/>
                <w:lang w:val="en-US" w:eastAsia="zh-CN" w:bidi="ar-SA"/>
              </w:rPr>
            </w:pPr>
            <w:r>
              <w:rPr>
                <w:rFonts w:hint="eastAsia" w:ascii="Times New Roman" w:hAnsi="Times New Roman" w:eastAsia="宋体" w:cs="Times New Roman"/>
                <w:bCs/>
                <w:color w:val="auto"/>
                <w:kern w:val="2"/>
                <w:sz w:val="28"/>
                <w:szCs w:val="28"/>
                <w:highlight w:val="none"/>
                <w:lang w:val="en-US" w:eastAsia="zh-CN" w:bidi="ar-SA"/>
              </w:rPr>
              <w:t xml:space="preserve">Technical Standard for in-site testing of building electrical engineering </w:t>
            </w:r>
            <w:r>
              <w:rPr>
                <w:rFonts w:ascii="Times New Roman" w:hAnsi="Times New Roman" w:eastAsia="宋体" w:cs="Times New Roman"/>
                <w:bCs/>
                <w:color w:val="auto"/>
                <w:kern w:val="2"/>
                <w:sz w:val="28"/>
                <w:szCs w:val="28"/>
                <w:highlight w:val="none"/>
                <w:lang w:val="en-US" w:eastAsia="zh-CN" w:bidi="ar-SA"/>
              </w:rPr>
              <w:t xml:space="preserve"> </w:t>
            </w:r>
          </w:p>
        </w:tc>
      </w:tr>
      <w:tr>
        <w:tblPrEx>
          <w:tblCellMar>
            <w:top w:w="0" w:type="dxa"/>
            <w:left w:w="108" w:type="dxa"/>
            <w:bottom w:w="0" w:type="dxa"/>
            <w:right w:w="108" w:type="dxa"/>
          </w:tblCellMar>
        </w:tblPrEx>
        <w:trPr>
          <w:trHeight w:val="152" w:hRule="atLeast"/>
          <w:jc w:val="center"/>
        </w:trPr>
        <w:tc>
          <w:tcPr>
            <w:tcW w:w="9322" w:type="dxa"/>
            <w:gridSpan w:val="3"/>
            <w:vAlign w:val="center"/>
          </w:tcPr>
          <w:p>
            <w:pPr>
              <w:widowControl w:val="0"/>
              <w:autoSpaceDE w:val="0"/>
              <w:autoSpaceDN w:val="0"/>
              <w:adjustRightInd w:val="0"/>
              <w:spacing w:line="360" w:lineRule="auto"/>
              <w:jc w:val="center"/>
              <w:rPr>
                <w:rFonts w:ascii="Times New Roman" w:hAnsi="Times New Roman" w:eastAsia="宋体" w:cs="Times New Roman"/>
                <w:b/>
                <w:bCs/>
                <w:color w:val="auto"/>
                <w:kern w:val="2"/>
                <w:sz w:val="10"/>
                <w:szCs w:val="10"/>
                <w:highlight w:val="none"/>
                <w:lang w:val="en-US" w:eastAsia="zh-CN" w:bidi="ar-SA"/>
              </w:rPr>
            </w:pPr>
          </w:p>
        </w:tc>
      </w:tr>
      <w:tr>
        <w:tblPrEx>
          <w:tblCellMar>
            <w:top w:w="0" w:type="dxa"/>
            <w:left w:w="108" w:type="dxa"/>
            <w:bottom w:w="0" w:type="dxa"/>
            <w:right w:w="108" w:type="dxa"/>
          </w:tblCellMar>
        </w:tblPrEx>
        <w:trPr>
          <w:jc w:val="center"/>
        </w:trPr>
        <w:tc>
          <w:tcPr>
            <w:tcW w:w="9322" w:type="dxa"/>
            <w:gridSpan w:val="3"/>
            <w:vAlign w:val="center"/>
          </w:tcPr>
          <w:p>
            <w:pPr>
              <w:widowControl w:val="0"/>
              <w:autoSpaceDE w:val="0"/>
              <w:autoSpaceDN w:val="0"/>
              <w:adjustRightInd w:val="0"/>
              <w:spacing w:line="360" w:lineRule="auto"/>
              <w:jc w:val="center"/>
              <w:rPr>
                <w:rFonts w:ascii="Times New Roman" w:hAnsi="Times New Roman" w:eastAsia="宋体" w:cs="Times New Roman"/>
                <w:b/>
                <w:bCs/>
                <w:color w:val="auto"/>
                <w:kern w:val="2"/>
                <w:sz w:val="30"/>
                <w:szCs w:val="30"/>
                <w:highlight w:val="none"/>
                <w:lang w:val="en-US" w:eastAsia="zh-CN" w:bidi="ar-SA"/>
              </w:rPr>
            </w:pPr>
            <w:r>
              <w:rPr>
                <w:rFonts w:ascii="Times New Roman" w:hAnsi="Times New Roman" w:eastAsia="宋体" w:cs="Times New Roman"/>
                <w:b/>
                <w:bCs/>
                <w:color w:val="auto"/>
                <w:kern w:val="2"/>
                <w:sz w:val="30"/>
                <w:szCs w:val="30"/>
                <w:highlight w:val="none"/>
                <w:lang w:val="en-US" w:eastAsia="zh-CN" w:bidi="ar-SA"/>
              </w:rPr>
              <w:t>（</w:t>
            </w:r>
            <w:r>
              <w:rPr>
                <w:rFonts w:hint="eastAsia" w:ascii="Times New Roman" w:hAnsi="Times New Roman" w:eastAsia="宋体" w:cs="Times New Roman"/>
                <w:b/>
                <w:bCs/>
                <w:color w:val="auto"/>
                <w:kern w:val="2"/>
                <w:sz w:val="30"/>
                <w:szCs w:val="30"/>
                <w:highlight w:val="none"/>
                <w:lang w:val="en-US" w:eastAsia="zh-CN" w:bidi="ar-SA"/>
              </w:rPr>
              <w:t>征求意见</w:t>
            </w:r>
            <w:r>
              <w:rPr>
                <w:rFonts w:ascii="Times New Roman" w:hAnsi="Times New Roman" w:eastAsia="宋体" w:cs="Times New Roman"/>
                <w:b/>
                <w:bCs/>
                <w:color w:val="auto"/>
                <w:kern w:val="2"/>
                <w:sz w:val="30"/>
                <w:szCs w:val="30"/>
                <w:highlight w:val="none"/>
                <w:lang w:val="en-US" w:eastAsia="zh-CN" w:bidi="ar-SA"/>
              </w:rPr>
              <w:t>稿）</w:t>
            </w:r>
          </w:p>
        </w:tc>
      </w:tr>
      <w:tr>
        <w:tblPrEx>
          <w:tblCellMar>
            <w:top w:w="0" w:type="dxa"/>
            <w:left w:w="108" w:type="dxa"/>
            <w:bottom w:w="0" w:type="dxa"/>
            <w:right w:w="108" w:type="dxa"/>
          </w:tblCellMar>
        </w:tblPrEx>
        <w:trPr>
          <w:jc w:val="center"/>
        </w:trPr>
        <w:tc>
          <w:tcPr>
            <w:tcW w:w="9322" w:type="dxa"/>
            <w:gridSpan w:val="3"/>
            <w:vAlign w:val="center"/>
          </w:tcPr>
          <w:p>
            <w:pPr>
              <w:widowControl w:val="0"/>
              <w:autoSpaceDE w:val="0"/>
              <w:autoSpaceDN w:val="0"/>
              <w:adjustRightInd w:val="0"/>
              <w:spacing w:line="360" w:lineRule="auto"/>
              <w:jc w:val="center"/>
              <w:rPr>
                <w:rFonts w:ascii="Times New Roman" w:hAnsi="Times New Roman" w:eastAsia="宋体" w:cs="Times New Roman"/>
                <w:b/>
                <w:bCs/>
                <w:color w:val="auto"/>
                <w:kern w:val="2"/>
                <w:sz w:val="30"/>
                <w:szCs w:val="30"/>
                <w:highlight w:val="none"/>
                <w:lang w:val="en-US" w:eastAsia="zh-CN" w:bidi="ar-SA"/>
              </w:rPr>
            </w:pPr>
          </w:p>
        </w:tc>
      </w:tr>
      <w:tr>
        <w:tblPrEx>
          <w:tblCellMar>
            <w:top w:w="0" w:type="dxa"/>
            <w:left w:w="108" w:type="dxa"/>
            <w:bottom w:w="0" w:type="dxa"/>
            <w:right w:w="108" w:type="dxa"/>
          </w:tblCellMar>
        </w:tblPrEx>
        <w:trPr>
          <w:trHeight w:val="4881" w:hRule="atLeast"/>
          <w:jc w:val="center"/>
        </w:trPr>
        <w:tc>
          <w:tcPr>
            <w:tcW w:w="9322" w:type="dxa"/>
            <w:gridSpan w:val="3"/>
            <w:vAlign w:val="center"/>
          </w:tcPr>
          <w:p>
            <w:pPr>
              <w:widowControl w:val="0"/>
              <w:autoSpaceDE w:val="0"/>
              <w:autoSpaceDN w:val="0"/>
              <w:adjustRightInd w:val="0"/>
              <w:spacing w:line="360" w:lineRule="auto"/>
              <w:jc w:val="center"/>
              <w:rPr>
                <w:rFonts w:ascii="Times New Roman" w:hAnsi="Times New Roman" w:eastAsia="宋体" w:cs="Times New Roman"/>
                <w:b/>
                <w:bCs/>
                <w:color w:val="auto"/>
                <w:kern w:val="2"/>
                <w:sz w:val="21"/>
                <w:szCs w:val="21"/>
                <w:highlight w:val="none"/>
                <w:lang w:val="en-US" w:eastAsia="zh-CN" w:bidi="ar-SA"/>
              </w:rPr>
            </w:pPr>
          </w:p>
        </w:tc>
      </w:tr>
      <w:tr>
        <w:tblPrEx>
          <w:tblCellMar>
            <w:top w:w="0" w:type="dxa"/>
            <w:left w:w="108" w:type="dxa"/>
            <w:bottom w:w="0" w:type="dxa"/>
            <w:right w:w="108" w:type="dxa"/>
          </w:tblCellMar>
        </w:tblPrEx>
        <w:trPr>
          <w:jc w:val="center"/>
        </w:trPr>
        <w:tc>
          <w:tcPr>
            <w:tcW w:w="9322" w:type="dxa"/>
            <w:gridSpan w:val="3"/>
            <w:tcBorders>
              <w:bottom w:val="single" w:color="auto" w:sz="12" w:space="0"/>
            </w:tcBorders>
            <w:vAlign w:val="center"/>
          </w:tcPr>
          <w:p>
            <w:pPr>
              <w:widowControl w:val="0"/>
              <w:autoSpaceDE w:val="0"/>
              <w:autoSpaceDN w:val="0"/>
              <w:adjustRightInd w:val="0"/>
              <w:spacing w:line="360" w:lineRule="auto"/>
              <w:jc w:val="center"/>
              <w:rPr>
                <w:rFonts w:ascii="黑体" w:hAnsi="黑体" w:eastAsia="黑体" w:cs="Times New Roman"/>
                <w:b/>
                <w:bCs/>
                <w:color w:val="auto"/>
                <w:kern w:val="2"/>
                <w:sz w:val="21"/>
                <w:szCs w:val="21"/>
                <w:highlight w:val="none"/>
                <w:lang w:val="en-US" w:eastAsia="zh-CN" w:bidi="ar-SA"/>
              </w:rPr>
            </w:pPr>
            <w:r>
              <w:rPr>
                <w:rFonts w:ascii="黑体" w:hAnsi="黑体" w:eastAsia="黑体" w:cs="Times New Roman"/>
                <w:color w:val="auto"/>
                <w:sz w:val="28"/>
                <w:szCs w:val="28"/>
                <w:highlight w:val="none"/>
                <w:lang w:val="en-US" w:eastAsia="zh-CN" w:bidi="ar-SA"/>
              </w:rPr>
              <w:t>202</w:t>
            </w:r>
            <w:r>
              <w:rPr>
                <w:rFonts w:hint="eastAsia" w:ascii="黑体" w:hAnsi="黑体" w:eastAsia="黑体" w:cs="Times New Roman"/>
                <w:color w:val="auto"/>
                <w:sz w:val="28"/>
                <w:szCs w:val="28"/>
                <w:highlight w:val="none"/>
                <w:lang w:val="en-US" w:eastAsia="zh-CN" w:bidi="ar-SA"/>
              </w:rPr>
              <w:t>X</w:t>
            </w:r>
            <w:r>
              <w:rPr>
                <w:rFonts w:ascii="黑体" w:hAnsi="黑体" w:eastAsia="黑体" w:cs="Times New Roman"/>
                <w:color w:val="auto"/>
                <w:sz w:val="28"/>
                <w:szCs w:val="28"/>
                <w:highlight w:val="none"/>
                <w:lang w:val="en-US" w:eastAsia="zh-CN" w:bidi="ar-SA"/>
              </w:rPr>
              <w:t>-</w:t>
            </w:r>
            <w:r>
              <w:rPr>
                <w:rFonts w:hint="eastAsia" w:ascii="黑体" w:hAnsi="黑体" w:eastAsia="黑体" w:cs="Times New Roman"/>
                <w:color w:val="auto"/>
                <w:sz w:val="28"/>
                <w:szCs w:val="28"/>
                <w:highlight w:val="none"/>
                <w:lang w:val="en-US" w:eastAsia="zh-CN" w:bidi="ar-SA"/>
              </w:rPr>
              <w:t>X</w:t>
            </w:r>
            <w:r>
              <w:rPr>
                <w:rFonts w:ascii="黑体" w:hAnsi="黑体" w:eastAsia="黑体" w:cs="Times New Roman"/>
                <w:color w:val="auto"/>
                <w:sz w:val="28"/>
                <w:szCs w:val="28"/>
                <w:highlight w:val="none"/>
                <w:lang w:val="en-US" w:eastAsia="zh-CN" w:bidi="ar-SA"/>
              </w:rPr>
              <w:t>X-XX  发布               202</w:t>
            </w:r>
            <w:r>
              <w:rPr>
                <w:rFonts w:hint="eastAsia" w:ascii="黑体" w:hAnsi="黑体" w:eastAsia="黑体" w:cs="Times New Roman"/>
                <w:color w:val="auto"/>
                <w:sz w:val="28"/>
                <w:szCs w:val="28"/>
                <w:highlight w:val="none"/>
                <w:lang w:val="en-US" w:eastAsia="zh-CN" w:bidi="ar-SA"/>
              </w:rPr>
              <w:t>X</w:t>
            </w:r>
            <w:r>
              <w:rPr>
                <w:rFonts w:ascii="黑体" w:hAnsi="黑体" w:eastAsia="黑体" w:cs="Times New Roman"/>
                <w:color w:val="auto"/>
                <w:sz w:val="28"/>
                <w:szCs w:val="28"/>
                <w:highlight w:val="none"/>
                <w:lang w:val="en-US" w:eastAsia="zh-CN" w:bidi="ar-SA"/>
              </w:rPr>
              <w:t>-XX-XX  实施</w:t>
            </w:r>
          </w:p>
        </w:tc>
      </w:tr>
      <w:tr>
        <w:tblPrEx>
          <w:tblCellMar>
            <w:top w:w="0" w:type="dxa"/>
            <w:left w:w="108" w:type="dxa"/>
            <w:bottom w:w="0" w:type="dxa"/>
            <w:right w:w="108" w:type="dxa"/>
          </w:tblCellMar>
        </w:tblPrEx>
        <w:trPr>
          <w:trHeight w:val="171" w:hRule="atLeast"/>
          <w:jc w:val="center"/>
        </w:trPr>
        <w:tc>
          <w:tcPr>
            <w:tcW w:w="9322" w:type="dxa"/>
            <w:gridSpan w:val="3"/>
            <w:tcBorders>
              <w:top w:val="single" w:color="auto" w:sz="12" w:space="0"/>
            </w:tcBorders>
            <w:vAlign w:val="center"/>
          </w:tcPr>
          <w:p>
            <w:pPr>
              <w:widowControl w:val="0"/>
              <w:autoSpaceDE w:val="0"/>
              <w:autoSpaceDN w:val="0"/>
              <w:adjustRightInd w:val="0"/>
              <w:spacing w:line="360" w:lineRule="auto"/>
              <w:jc w:val="center"/>
              <w:rPr>
                <w:rFonts w:ascii="Times New Roman" w:hAnsi="Times New Roman" w:eastAsia="宋体" w:cs="Times New Roman"/>
                <w:b/>
                <w:bCs/>
                <w:color w:val="auto"/>
                <w:kern w:val="2"/>
                <w:sz w:val="11"/>
                <w:szCs w:val="11"/>
                <w:highlight w:val="none"/>
                <w:lang w:val="en-US" w:eastAsia="zh-CN" w:bidi="ar-SA"/>
              </w:rPr>
            </w:pPr>
          </w:p>
        </w:tc>
      </w:tr>
      <w:tr>
        <w:tblPrEx>
          <w:tblCellMar>
            <w:top w:w="0" w:type="dxa"/>
            <w:left w:w="108" w:type="dxa"/>
            <w:bottom w:w="0" w:type="dxa"/>
            <w:right w:w="108" w:type="dxa"/>
          </w:tblCellMar>
        </w:tblPrEx>
        <w:trPr>
          <w:jc w:val="center"/>
        </w:trPr>
        <w:tc>
          <w:tcPr>
            <w:tcW w:w="9322" w:type="dxa"/>
            <w:gridSpan w:val="3"/>
            <w:vAlign w:val="center"/>
          </w:tcPr>
          <w:p>
            <w:pPr>
              <w:widowControl w:val="0"/>
              <w:autoSpaceDE w:val="0"/>
              <w:autoSpaceDN w:val="0"/>
              <w:adjustRightInd w:val="0"/>
              <w:spacing w:line="360" w:lineRule="auto"/>
              <w:jc w:val="center"/>
              <w:rPr>
                <w:rFonts w:ascii="黑体" w:hAnsi="黑体" w:eastAsia="黑体" w:cs="Times New Roman"/>
                <w:b/>
                <w:bCs/>
                <w:color w:val="auto"/>
                <w:kern w:val="2"/>
                <w:sz w:val="28"/>
                <w:szCs w:val="28"/>
                <w:highlight w:val="none"/>
                <w:lang w:val="en-US" w:eastAsia="zh-CN" w:bidi="ar-SA"/>
              </w:rPr>
            </w:pPr>
            <w:r>
              <w:rPr>
                <w:rFonts w:ascii="黑体" w:hAnsi="黑体" w:eastAsia="黑体" w:cs="Times New Roman"/>
                <w:color w:val="auto"/>
                <w:sz w:val="32"/>
                <w:szCs w:val="32"/>
                <w:highlight w:val="none"/>
                <w:lang w:val="en-US" w:eastAsia="zh-CN" w:bidi="ar-SA"/>
              </w:rPr>
              <w:t>广东省住房和城乡建设厅</w:t>
            </w:r>
            <w:r>
              <w:rPr>
                <w:rFonts w:ascii="黑体" w:hAnsi="黑体" w:eastAsia="黑体" w:cs="Times New Roman"/>
                <w:color w:val="auto"/>
                <w:spacing w:val="20"/>
                <w:sz w:val="28"/>
                <w:szCs w:val="28"/>
                <w:highlight w:val="none"/>
                <w:lang w:val="en-US" w:eastAsia="zh-CN" w:bidi="ar-SA"/>
              </w:rPr>
              <w:t xml:space="preserve">  </w:t>
            </w:r>
            <w:r>
              <w:rPr>
                <w:rFonts w:ascii="黑体" w:hAnsi="黑体" w:eastAsia="黑体" w:cs="Times New Roman"/>
                <w:color w:val="auto"/>
                <w:spacing w:val="20"/>
                <w:sz w:val="32"/>
                <w:szCs w:val="32"/>
                <w:highlight w:val="none"/>
                <w:lang w:val="en-US" w:eastAsia="zh-CN" w:bidi="ar-SA"/>
              </w:rPr>
              <w:t>发布</w:t>
            </w:r>
          </w:p>
        </w:tc>
      </w:tr>
      <w:tr>
        <w:tblPrEx>
          <w:tblCellMar>
            <w:top w:w="0" w:type="dxa"/>
            <w:left w:w="108" w:type="dxa"/>
            <w:bottom w:w="0" w:type="dxa"/>
            <w:right w:w="108" w:type="dxa"/>
          </w:tblCellMar>
        </w:tblPrEx>
        <w:trPr>
          <w:jc w:val="center"/>
        </w:trPr>
        <w:tc>
          <w:tcPr>
            <w:tcW w:w="6901" w:type="dxa"/>
            <w:gridSpan w:val="2"/>
            <w:tcBorders>
              <w:right w:val="single" w:color="auto" w:sz="4" w:space="0"/>
            </w:tcBorders>
            <w:vAlign w:val="center"/>
          </w:tcPr>
          <w:p>
            <w:pPr>
              <w:widowControl w:val="0"/>
              <w:autoSpaceDE w:val="0"/>
              <w:autoSpaceDN w:val="0"/>
              <w:adjustRightInd w:val="0"/>
              <w:spacing w:line="360" w:lineRule="auto"/>
              <w:jc w:val="center"/>
              <w:rPr>
                <w:rFonts w:ascii="Times New Roman" w:hAnsi="Times New Roman" w:eastAsia="宋体" w:cs="Times New Roman"/>
                <w:b/>
                <w:bCs/>
                <w:color w:val="auto"/>
                <w:kern w:val="2"/>
                <w:sz w:val="28"/>
                <w:szCs w:val="28"/>
                <w:highlight w:val="none"/>
                <w:lang w:val="en-US" w:eastAsia="zh-CN" w:bidi="ar-SA"/>
              </w:rPr>
            </w:pPr>
          </w:p>
        </w:tc>
        <w:tc>
          <w:tcPr>
            <w:tcW w:w="2421"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jc w:val="center"/>
              <w:rPr>
                <w:rFonts w:ascii="Times New Roman" w:hAnsi="Times New Roman" w:eastAsia="宋体" w:cs="Times New Roman"/>
                <w:b/>
                <w:bCs/>
                <w:color w:val="auto"/>
                <w:kern w:val="2"/>
                <w:sz w:val="28"/>
                <w:szCs w:val="28"/>
                <w:highlight w:val="none"/>
                <w:lang w:val="en-US" w:eastAsia="zh-CN" w:bidi="ar-SA"/>
              </w:rPr>
            </w:pPr>
            <w:r>
              <w:rPr>
                <w:rFonts w:ascii="Times New Roman" w:hAnsi="Times New Roman" w:eastAsia="宋体" w:cs="Times New Roman"/>
                <w:color w:val="auto"/>
                <w:sz w:val="24"/>
                <w:szCs w:val="24"/>
                <w:highlight w:val="none"/>
                <w:lang w:val="en-US" w:eastAsia="zh-CN" w:bidi="ar-SA"/>
              </w:rPr>
              <w:t>本标准不涉及专利</w:t>
            </w:r>
          </w:p>
        </w:tc>
      </w:tr>
    </w:tbl>
    <w:p>
      <w:pPr>
        <w:rPr>
          <w:rFonts w:ascii="黑体" w:hAnsi="黑体" w:eastAsia="黑体"/>
          <w:color w:val="auto"/>
          <w:sz w:val="21"/>
          <w:szCs w:val="21"/>
          <w:highlight w:val="none"/>
        </w:rPr>
      </w:pPr>
      <w:r>
        <w:rPr>
          <w:rFonts w:ascii="黑体" w:hAnsi="黑体" w:eastAsia="黑体"/>
          <w:color w:val="auto"/>
          <w:sz w:val="21"/>
          <w:szCs w:val="21"/>
          <w:highlight w:val="none"/>
        </w:rPr>
        <w:br w:type="page"/>
      </w:r>
    </w:p>
    <w:p>
      <w:pPr>
        <w:rPr>
          <w:rFonts w:ascii="黑体" w:hAnsi="黑体" w:eastAsia="黑体"/>
          <w:color w:val="auto"/>
          <w:sz w:val="21"/>
          <w:szCs w:val="21"/>
          <w:highlight w:val="none"/>
        </w:rPr>
      </w:pPr>
    </w:p>
    <w:p>
      <w:pPr>
        <w:pStyle w:val="35"/>
        <w:rPr>
          <w:rFonts w:ascii="黑体" w:hAnsi="黑体" w:eastAsia="黑体"/>
          <w:color w:val="auto"/>
          <w:sz w:val="21"/>
          <w:szCs w:val="21"/>
          <w:highlight w:val="none"/>
        </w:rPr>
      </w:pPr>
    </w:p>
    <w:p>
      <w:pPr>
        <w:pStyle w:val="35"/>
        <w:jc w:val="cente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广东省住房和城乡建设厅关于发布广东省标准</w:t>
      </w:r>
    </w:p>
    <w:p>
      <w:pPr>
        <w:pStyle w:val="35"/>
        <w:jc w:val="cente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《建筑电气工程现场检测技术</w:t>
      </w:r>
      <w:r>
        <w:rPr>
          <w:rFonts w:hint="eastAsia" w:ascii="黑体" w:hAnsi="黑体" w:eastAsia="黑体"/>
          <w:color w:val="auto"/>
          <w:sz w:val="32"/>
          <w:szCs w:val="32"/>
          <w:highlight w:val="none"/>
          <w:lang w:eastAsia="zh-CN"/>
        </w:rPr>
        <w:t>标准</w:t>
      </w:r>
      <w:r>
        <w:rPr>
          <w:rFonts w:hint="eastAsia" w:ascii="黑体" w:hAnsi="黑体" w:eastAsia="黑体"/>
          <w:color w:val="auto"/>
          <w:sz w:val="32"/>
          <w:szCs w:val="32"/>
          <w:highlight w:val="none"/>
        </w:rPr>
        <w:t>》的公告</w:t>
      </w:r>
    </w:p>
    <w:p>
      <w:pPr>
        <w:pStyle w:val="35"/>
        <w:jc w:val="center"/>
        <w:rPr>
          <w:rFonts w:hint="eastAsia" w:ascii="黑体" w:hAnsi="黑体" w:eastAsia="黑体"/>
          <w:color w:val="auto"/>
          <w:sz w:val="32"/>
          <w:szCs w:val="32"/>
          <w:highlight w:val="none"/>
        </w:rPr>
      </w:pPr>
    </w:p>
    <w:p>
      <w:pPr>
        <w:pStyle w:val="35"/>
        <w:jc w:val="center"/>
        <w:rPr>
          <w:color w:val="auto"/>
          <w:sz w:val="21"/>
          <w:szCs w:val="21"/>
          <w:highlight w:val="none"/>
        </w:rPr>
      </w:pPr>
      <w:r>
        <w:rPr>
          <w:rFonts w:hint="eastAsia"/>
          <w:color w:val="auto"/>
          <w:sz w:val="21"/>
          <w:szCs w:val="21"/>
          <w:highlight w:val="none"/>
        </w:rPr>
        <w:t>粤建公告〔202</w:t>
      </w:r>
      <w:r>
        <w:rPr>
          <w:rFonts w:hint="eastAsia" w:ascii="Helvetica" w:hAnsi="Helvetica"/>
          <w:color w:val="auto"/>
          <w:spacing w:val="8"/>
          <w:sz w:val="21"/>
          <w:szCs w:val="21"/>
          <w:highlight w:val="none"/>
          <w:shd w:val="clear" w:color="auto" w:fill="FFFFFF"/>
        </w:rPr>
        <w:t>x</w:t>
      </w:r>
      <w:r>
        <w:rPr>
          <w:rFonts w:ascii="Helvetica" w:hAnsi="Helvetica"/>
          <w:color w:val="auto"/>
          <w:spacing w:val="8"/>
          <w:sz w:val="21"/>
          <w:szCs w:val="21"/>
          <w:highlight w:val="none"/>
          <w:shd w:val="clear" w:color="auto" w:fill="FFFFFF"/>
        </w:rPr>
        <w:t>〕</w:t>
      </w:r>
      <w:r>
        <w:rPr>
          <w:rFonts w:hint="eastAsia" w:ascii="Helvetica" w:hAnsi="Helvetica"/>
          <w:color w:val="auto"/>
          <w:spacing w:val="8"/>
          <w:sz w:val="21"/>
          <w:szCs w:val="21"/>
          <w:highlight w:val="none"/>
          <w:shd w:val="clear" w:color="auto" w:fill="FFFFFF"/>
        </w:rPr>
        <w:t>xx</w:t>
      </w:r>
      <w:r>
        <w:rPr>
          <w:rFonts w:hint="eastAsia"/>
          <w:color w:val="auto"/>
          <w:sz w:val="21"/>
          <w:szCs w:val="21"/>
          <w:highlight w:val="none"/>
        </w:rPr>
        <w:t>号</w:t>
      </w:r>
    </w:p>
    <w:p>
      <w:pPr>
        <w:pStyle w:val="35"/>
        <w:rPr>
          <w:color w:val="auto"/>
          <w:sz w:val="21"/>
          <w:szCs w:val="21"/>
          <w:highlight w:val="none"/>
        </w:rPr>
      </w:pPr>
    </w:p>
    <w:p>
      <w:pPr>
        <w:pStyle w:val="36"/>
        <w:ind w:firstLine="420"/>
        <w:rPr>
          <w:color w:val="auto"/>
          <w:sz w:val="21"/>
          <w:szCs w:val="21"/>
          <w:highlight w:val="none"/>
        </w:rPr>
      </w:pPr>
      <w:r>
        <w:rPr>
          <w:rFonts w:hint="eastAsia"/>
          <w:color w:val="auto"/>
          <w:sz w:val="21"/>
          <w:szCs w:val="21"/>
          <w:highlight w:val="none"/>
        </w:rPr>
        <w:t>经组织专家委员会审查，现批准《建筑电气工程现场检测技术</w:t>
      </w:r>
      <w:r>
        <w:rPr>
          <w:rFonts w:hint="eastAsia"/>
          <w:color w:val="auto"/>
          <w:sz w:val="21"/>
          <w:szCs w:val="21"/>
          <w:highlight w:val="none"/>
          <w:lang w:eastAsia="zh-CN"/>
        </w:rPr>
        <w:t>标准</w:t>
      </w:r>
      <w:r>
        <w:rPr>
          <w:rFonts w:hint="eastAsia"/>
          <w:color w:val="auto"/>
          <w:sz w:val="21"/>
          <w:szCs w:val="21"/>
          <w:highlight w:val="none"/>
        </w:rPr>
        <w:t>》为广东省地方标准，编号为DBJ/T 15-xx-202x。本标准自202x年x月x日起实施，</w:t>
      </w:r>
    </w:p>
    <w:p>
      <w:pPr>
        <w:pStyle w:val="36"/>
        <w:ind w:firstLine="420"/>
        <w:rPr>
          <w:color w:val="auto"/>
          <w:sz w:val="21"/>
          <w:szCs w:val="21"/>
          <w:highlight w:val="none"/>
        </w:rPr>
      </w:pPr>
      <w:r>
        <w:rPr>
          <w:rFonts w:hint="eastAsia"/>
          <w:color w:val="auto"/>
          <w:sz w:val="21"/>
          <w:szCs w:val="21"/>
          <w:highlight w:val="none"/>
        </w:rPr>
        <w:t>本标准由广东省住房和城乡建设厅负责管理，由主编单位负责具体技术内容的解释并于出版后在广东省住房和城乡建设厅门户网站( http : // zfcxjst. gd. gov.cn)公开标准全文。</w:t>
      </w:r>
    </w:p>
    <w:p>
      <w:pPr>
        <w:pStyle w:val="36"/>
        <w:ind w:firstLine="420"/>
        <w:rPr>
          <w:color w:val="auto"/>
          <w:sz w:val="21"/>
          <w:szCs w:val="21"/>
          <w:highlight w:val="none"/>
        </w:rPr>
      </w:pPr>
    </w:p>
    <w:p>
      <w:pPr>
        <w:pStyle w:val="35"/>
        <w:spacing w:line="360" w:lineRule="auto"/>
        <w:ind w:firstLine="3150" w:firstLineChars="1500"/>
        <w:jc w:val="right"/>
        <w:rPr>
          <w:rFonts w:hint="eastAsia" w:ascii="黑体" w:hAnsi="黑体" w:eastAsia="黑体"/>
          <w:color w:val="auto"/>
          <w:highlight w:val="none"/>
        </w:rPr>
      </w:pPr>
      <w:r>
        <w:rPr>
          <w:rFonts w:hint="eastAsia" w:ascii="黑体" w:hAnsi="黑体" w:eastAsia="黑体"/>
          <w:color w:val="auto"/>
          <w:highlight w:val="none"/>
        </w:rPr>
        <w:t>广东省住房和城乡建设厅</w:t>
      </w:r>
    </w:p>
    <w:p>
      <w:pPr>
        <w:pStyle w:val="35"/>
        <w:spacing w:line="360" w:lineRule="auto"/>
        <w:ind w:firstLine="3150" w:firstLineChars="1500"/>
        <w:jc w:val="right"/>
        <w:rPr>
          <w:color w:val="auto"/>
          <w:sz w:val="21"/>
          <w:szCs w:val="21"/>
          <w:highlight w:val="none"/>
        </w:rPr>
      </w:pPr>
      <w:r>
        <w:rPr>
          <w:rFonts w:hint="eastAsia" w:ascii="黑体" w:hAnsi="黑体" w:eastAsia="黑体"/>
          <w:color w:val="auto"/>
          <w:highlight w:val="none"/>
        </w:rPr>
        <w:t>202x年x月x日</w:t>
      </w:r>
    </w:p>
    <w:p>
      <w:pPr>
        <w:widowControl/>
        <w:spacing w:line="240" w:lineRule="auto"/>
        <w:jc w:val="left"/>
        <w:rPr>
          <w:rFonts w:ascii="Times New Roman" w:hAnsi="Times New Roman"/>
          <w:b/>
          <w:bCs/>
          <w:color w:val="auto"/>
          <w:kern w:val="44"/>
          <w:sz w:val="21"/>
          <w:szCs w:val="21"/>
          <w:highlight w:val="none"/>
        </w:rPr>
      </w:pPr>
      <w:r>
        <w:rPr>
          <w:color w:val="auto"/>
          <w:sz w:val="21"/>
          <w:szCs w:val="21"/>
          <w:highlight w:val="none"/>
        </w:rPr>
        <w:br w:type="page"/>
      </w:r>
    </w:p>
    <w:p>
      <w:pPr>
        <w:pStyle w:val="37"/>
        <w:ind w:firstLine="4216" w:firstLineChars="1500"/>
        <w:jc w:val="both"/>
        <w:rPr>
          <w:rFonts w:eastAsia="宋体" w:cs="Times New Roman"/>
          <w:bCs/>
          <w:color w:val="auto"/>
          <w:szCs w:val="44"/>
          <w:highlight w:val="none"/>
        </w:rPr>
      </w:pPr>
      <w:bookmarkStart w:id="0" w:name="_Toc11752"/>
      <w:bookmarkStart w:id="1" w:name="_Toc4055"/>
      <w:bookmarkStart w:id="2" w:name="_Toc29889"/>
      <w:bookmarkStart w:id="3" w:name="_Toc15031"/>
      <w:bookmarkStart w:id="4" w:name="_Toc16643"/>
      <w:bookmarkStart w:id="5" w:name="_Toc15551"/>
      <w:bookmarkStart w:id="6" w:name="_Toc7472"/>
      <w:bookmarkStart w:id="7" w:name="_Toc28323"/>
      <w:bookmarkStart w:id="8" w:name="_Toc25957"/>
      <w:bookmarkStart w:id="9" w:name="_Toc19073"/>
      <w:r>
        <w:rPr>
          <w:rFonts w:eastAsia="宋体" w:cs="Times New Roman"/>
          <w:bCs/>
          <w:color w:val="auto"/>
          <w:szCs w:val="44"/>
          <w:highlight w:val="none"/>
        </w:rPr>
        <w:drawing>
          <wp:anchor distT="0" distB="0" distL="114300" distR="114300" simplePos="0" relativeHeight="251662336" behindDoc="0" locked="0" layoutInCell="1" allowOverlap="1">
            <wp:simplePos x="0" y="0"/>
            <wp:positionH relativeFrom="column">
              <wp:posOffset>4123690</wp:posOffset>
            </wp:positionH>
            <wp:positionV relativeFrom="paragraph">
              <wp:posOffset>-8793480</wp:posOffset>
            </wp:positionV>
            <wp:extent cx="1541780" cy="835025"/>
            <wp:effectExtent l="0" t="0" r="7620" b="3175"/>
            <wp:wrapNone/>
            <wp:docPr id="1774646296" name="图片 1774646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646296" name="图片 1774646296"/>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41780" cy="835025"/>
                    </a:xfrm>
                    <a:prstGeom prst="rect">
                      <a:avLst/>
                    </a:prstGeom>
                  </pic:spPr>
                </pic:pic>
              </a:graphicData>
            </a:graphic>
          </wp:anchor>
        </w:drawing>
      </w:r>
      <w:r>
        <w:rPr>
          <w:rFonts w:eastAsia="宋体" w:cs="Times New Roman"/>
          <w:bCs/>
          <w:color w:val="auto"/>
          <w:szCs w:val="44"/>
          <w:highlight w:val="none"/>
        </w:rPr>
        <w:t>前</w:t>
      </w:r>
      <w:r>
        <w:rPr>
          <w:rFonts w:hint="eastAsia" w:eastAsia="宋体" w:cs="Times New Roman"/>
          <w:bCs/>
          <w:color w:val="auto"/>
          <w:szCs w:val="44"/>
          <w:highlight w:val="none"/>
          <w:lang w:val="en-US" w:eastAsia="zh-CN"/>
        </w:rPr>
        <w:t xml:space="preserve">  </w:t>
      </w:r>
      <w:r>
        <w:rPr>
          <w:rFonts w:eastAsia="宋体" w:cs="Times New Roman"/>
          <w:bCs/>
          <w:color w:val="auto"/>
          <w:szCs w:val="44"/>
          <w:highlight w:val="none"/>
        </w:rPr>
        <w:t xml:space="preserve">  言</w:t>
      </w:r>
      <w:bookmarkEnd w:id="0"/>
      <w:bookmarkEnd w:id="1"/>
      <w:bookmarkEnd w:id="2"/>
      <w:bookmarkEnd w:id="3"/>
      <w:bookmarkEnd w:id="4"/>
      <w:bookmarkEnd w:id="5"/>
      <w:bookmarkEnd w:id="6"/>
      <w:bookmarkEnd w:id="7"/>
      <w:bookmarkEnd w:id="8"/>
      <w:bookmarkEnd w:id="9"/>
    </w:p>
    <w:p>
      <w:pPr>
        <w:pStyle w:val="36"/>
        <w:ind w:firstLine="420"/>
        <w:rPr>
          <w:rFonts w:hint="default"/>
          <w:color w:val="auto"/>
          <w:sz w:val="21"/>
          <w:szCs w:val="21"/>
          <w:highlight w:val="none"/>
          <w:lang w:val="en-US" w:eastAsia="zh-CN"/>
        </w:rPr>
      </w:pPr>
      <w:r>
        <w:rPr>
          <w:color w:val="auto"/>
          <w:sz w:val="21"/>
          <w:szCs w:val="21"/>
          <w:highlight w:val="none"/>
        </w:rPr>
        <w:t>根据广东省住房和城乡建设厅</w:t>
      </w:r>
      <w:r>
        <w:rPr>
          <w:rFonts w:hint="eastAsia"/>
          <w:color w:val="auto"/>
          <w:sz w:val="21"/>
          <w:szCs w:val="21"/>
          <w:highlight w:val="none"/>
        </w:rPr>
        <w:t>2</w:t>
      </w:r>
      <w:r>
        <w:rPr>
          <w:color w:val="auto"/>
          <w:sz w:val="21"/>
          <w:szCs w:val="21"/>
          <w:highlight w:val="none"/>
        </w:rPr>
        <w:t>0</w:t>
      </w:r>
      <w:r>
        <w:rPr>
          <w:rFonts w:hint="eastAsia"/>
          <w:color w:val="auto"/>
          <w:sz w:val="21"/>
          <w:szCs w:val="21"/>
          <w:highlight w:val="none"/>
          <w:lang w:val="en-US" w:eastAsia="zh-CN"/>
        </w:rPr>
        <w:t>17</w:t>
      </w:r>
      <w:r>
        <w:rPr>
          <w:rFonts w:hint="eastAsia"/>
          <w:color w:val="auto"/>
          <w:sz w:val="21"/>
          <w:szCs w:val="21"/>
          <w:highlight w:val="none"/>
        </w:rPr>
        <w:t>年</w:t>
      </w:r>
      <w:r>
        <w:rPr>
          <w:rFonts w:hint="eastAsia"/>
          <w:color w:val="auto"/>
          <w:sz w:val="21"/>
          <w:szCs w:val="21"/>
          <w:highlight w:val="none"/>
          <w:lang w:val="en-US" w:eastAsia="zh-CN"/>
        </w:rPr>
        <w:t>10</w:t>
      </w:r>
      <w:r>
        <w:rPr>
          <w:rFonts w:hint="eastAsia"/>
          <w:color w:val="auto"/>
          <w:sz w:val="21"/>
          <w:szCs w:val="21"/>
          <w:highlight w:val="none"/>
        </w:rPr>
        <w:t>月</w:t>
      </w:r>
      <w:r>
        <w:rPr>
          <w:rFonts w:hint="eastAsia"/>
          <w:color w:val="auto"/>
          <w:sz w:val="21"/>
          <w:szCs w:val="21"/>
          <w:highlight w:val="none"/>
          <w:lang w:eastAsia="zh-CN"/>
        </w:rPr>
        <w:t>《</w:t>
      </w:r>
      <w:r>
        <w:rPr>
          <w:rFonts w:hint="eastAsia"/>
          <w:color w:val="auto"/>
          <w:sz w:val="21"/>
          <w:szCs w:val="21"/>
          <w:highlight w:val="none"/>
        </w:rPr>
        <w:t>关于下达广东省地方标准</w:t>
      </w:r>
      <w:r>
        <w:rPr>
          <w:rFonts w:hint="eastAsia"/>
          <w:color w:val="auto"/>
          <w:sz w:val="21"/>
          <w:szCs w:val="21"/>
          <w:highlight w:val="none"/>
          <w:lang w:val="en-US" w:eastAsia="zh-CN"/>
        </w:rPr>
        <w:t>&lt;</w:t>
      </w:r>
      <w:r>
        <w:rPr>
          <w:rFonts w:hint="eastAsia"/>
          <w:color w:val="auto"/>
          <w:sz w:val="21"/>
          <w:szCs w:val="21"/>
          <w:highlight w:val="none"/>
        </w:rPr>
        <w:t>建筑电气工程现场检测技术</w:t>
      </w:r>
      <w:r>
        <w:rPr>
          <w:rFonts w:hint="eastAsia"/>
          <w:color w:val="auto"/>
          <w:sz w:val="21"/>
          <w:szCs w:val="21"/>
          <w:highlight w:val="none"/>
          <w:lang w:eastAsia="zh-CN"/>
        </w:rPr>
        <w:t>标准</w:t>
      </w:r>
      <w:r>
        <w:rPr>
          <w:rFonts w:hint="eastAsia"/>
          <w:color w:val="auto"/>
          <w:sz w:val="21"/>
          <w:szCs w:val="21"/>
          <w:highlight w:val="none"/>
          <w:lang w:val="en-US" w:eastAsia="zh-CN"/>
        </w:rPr>
        <w:t>&gt;编制</w:t>
      </w:r>
      <w:r>
        <w:rPr>
          <w:rFonts w:hint="eastAsia"/>
          <w:color w:val="auto"/>
          <w:sz w:val="21"/>
          <w:szCs w:val="21"/>
          <w:highlight w:val="none"/>
        </w:rPr>
        <w:t>任务的通知</w:t>
      </w:r>
      <w:r>
        <w:rPr>
          <w:rFonts w:hint="eastAsia"/>
          <w:color w:val="auto"/>
          <w:sz w:val="21"/>
          <w:szCs w:val="21"/>
          <w:highlight w:val="none"/>
          <w:lang w:eastAsia="zh-CN"/>
        </w:rPr>
        <w:t>》</w:t>
      </w:r>
      <w:r>
        <w:rPr>
          <w:rFonts w:hint="eastAsia"/>
          <w:color w:val="auto"/>
          <w:sz w:val="21"/>
          <w:szCs w:val="21"/>
          <w:highlight w:val="none"/>
        </w:rPr>
        <w:t>粤建科函〔2017〕2904号</w:t>
      </w:r>
      <w:r>
        <w:rPr>
          <w:rFonts w:hint="eastAsia"/>
          <w:color w:val="auto"/>
          <w:sz w:val="21"/>
          <w:szCs w:val="21"/>
          <w:highlight w:val="none"/>
          <w:lang w:val="en-US" w:eastAsia="zh-CN"/>
        </w:rPr>
        <w:t>的要求</w:t>
      </w:r>
      <w:r>
        <w:rPr>
          <w:color w:val="auto"/>
          <w:sz w:val="21"/>
          <w:szCs w:val="21"/>
          <w:highlight w:val="none"/>
        </w:rPr>
        <w:t>，</w:t>
      </w:r>
      <w:r>
        <w:rPr>
          <w:rFonts w:hint="eastAsia"/>
          <w:color w:val="auto"/>
          <w:sz w:val="21"/>
          <w:szCs w:val="21"/>
          <w:highlight w:val="none"/>
          <w:lang w:val="en-US" w:eastAsia="zh-CN"/>
        </w:rPr>
        <w:t>编制组在广泛调研国内大量标准规范和研究成果的基础上，结合广东省具体情况，总结实践经验，提出征求意见稿。在全国范围内征求意见并经反复修改制定了广东省标准《</w:t>
      </w:r>
      <w:r>
        <w:rPr>
          <w:rFonts w:hint="eastAsia"/>
          <w:color w:val="auto"/>
          <w:sz w:val="21"/>
          <w:szCs w:val="21"/>
          <w:highlight w:val="none"/>
        </w:rPr>
        <w:t>建筑电气工程现场检测技术</w:t>
      </w:r>
      <w:r>
        <w:rPr>
          <w:rFonts w:hint="eastAsia"/>
          <w:color w:val="auto"/>
          <w:sz w:val="21"/>
          <w:szCs w:val="21"/>
          <w:highlight w:val="none"/>
          <w:lang w:eastAsia="zh-CN"/>
        </w:rPr>
        <w:t>标准</w:t>
      </w:r>
      <w:r>
        <w:rPr>
          <w:rFonts w:hint="eastAsia"/>
          <w:color w:val="auto"/>
          <w:sz w:val="21"/>
          <w:szCs w:val="21"/>
          <w:highlight w:val="none"/>
          <w:lang w:val="en-US" w:eastAsia="zh-CN"/>
        </w:rPr>
        <w:t>》。</w:t>
      </w:r>
    </w:p>
    <w:p>
      <w:pPr>
        <w:pStyle w:val="36"/>
        <w:ind w:firstLine="420"/>
        <w:rPr>
          <w:color w:val="auto"/>
          <w:sz w:val="21"/>
          <w:szCs w:val="21"/>
          <w:highlight w:val="none"/>
        </w:rPr>
      </w:pPr>
      <w:r>
        <w:rPr>
          <w:rFonts w:hint="eastAsia"/>
          <w:color w:val="auto"/>
          <w:sz w:val="21"/>
          <w:szCs w:val="21"/>
          <w:highlight w:val="none"/>
          <w:lang w:val="en-US" w:eastAsia="zh-CN"/>
        </w:rPr>
        <w:t>本标准分为总则、术语、基本规定、接地电阻检测、过渡电阻检测、绝缘电阻检测、交流工频耐压试验、接地故障回路阻抗检测、剩余电流动作保护器动作特性检测、接地正确性检测、温度检测、照度和照明功率密度检测、电源质量检测等共十三章，两个附录。对建筑电气工程各项电气性能的检测部位、检测数量、检测方法、检测结果评判进行了规定。</w:t>
      </w:r>
    </w:p>
    <w:p>
      <w:pPr>
        <w:pStyle w:val="36"/>
        <w:ind w:firstLine="420"/>
        <w:rPr>
          <w:color w:val="auto"/>
          <w:sz w:val="21"/>
          <w:szCs w:val="21"/>
          <w:highlight w:val="none"/>
        </w:rPr>
      </w:pPr>
      <w:r>
        <w:rPr>
          <w:color w:val="auto"/>
          <w:sz w:val="21"/>
          <w:szCs w:val="21"/>
          <w:highlight w:val="none"/>
        </w:rPr>
        <w:t>本</w:t>
      </w:r>
      <w:r>
        <w:rPr>
          <w:rFonts w:hint="eastAsia"/>
          <w:color w:val="auto"/>
          <w:sz w:val="21"/>
          <w:szCs w:val="21"/>
          <w:highlight w:val="none"/>
        </w:rPr>
        <w:t>标准</w:t>
      </w:r>
      <w:r>
        <w:rPr>
          <w:color w:val="auto"/>
          <w:sz w:val="21"/>
          <w:szCs w:val="21"/>
          <w:highlight w:val="none"/>
        </w:rPr>
        <w:t>由广东省住房和城乡建设厅负责管理，由</w:t>
      </w:r>
      <w:r>
        <w:rPr>
          <w:rFonts w:hint="eastAsia"/>
          <w:color w:val="auto"/>
          <w:sz w:val="21"/>
          <w:szCs w:val="21"/>
          <w:highlight w:val="none"/>
        </w:rPr>
        <w:t>主编单位</w:t>
      </w:r>
      <w:r>
        <w:rPr>
          <w:color w:val="auto"/>
          <w:sz w:val="21"/>
          <w:szCs w:val="21"/>
          <w:highlight w:val="none"/>
        </w:rPr>
        <w:t>负责具体技术内容的解释。在执行过程中，请各单位结合工程实践，认真总结经验并将意见和建议寄送至</w:t>
      </w:r>
      <w:r>
        <w:rPr>
          <w:rFonts w:hint="eastAsia"/>
          <w:color w:val="auto"/>
          <w:sz w:val="21"/>
          <w:szCs w:val="21"/>
          <w:highlight w:val="none"/>
        </w:rPr>
        <w:t>广州市建筑科学研究院集团有限公司</w:t>
      </w:r>
      <w:r>
        <w:rPr>
          <w:color w:val="auto"/>
          <w:sz w:val="21"/>
          <w:szCs w:val="21"/>
          <w:highlight w:val="none"/>
        </w:rPr>
        <w:t>（地址：广州市</w:t>
      </w:r>
      <w:r>
        <w:rPr>
          <w:rFonts w:hint="eastAsia"/>
          <w:color w:val="auto"/>
          <w:sz w:val="21"/>
          <w:szCs w:val="21"/>
          <w:highlight w:val="none"/>
          <w:lang w:val="en-US" w:eastAsia="zh-CN"/>
        </w:rPr>
        <w:t>白云区白云大道北833号建研大厦</w:t>
      </w:r>
      <w:r>
        <w:rPr>
          <w:color w:val="auto"/>
          <w:sz w:val="21"/>
          <w:szCs w:val="21"/>
          <w:highlight w:val="none"/>
        </w:rPr>
        <w:t>，邮编：510</w:t>
      </w:r>
      <w:r>
        <w:rPr>
          <w:rFonts w:hint="eastAsia"/>
          <w:color w:val="auto"/>
          <w:sz w:val="21"/>
          <w:szCs w:val="21"/>
          <w:highlight w:val="none"/>
          <w:lang w:val="en-US" w:eastAsia="zh-CN"/>
        </w:rPr>
        <w:t>440</w:t>
      </w:r>
      <w:r>
        <w:rPr>
          <w:color w:val="auto"/>
          <w:sz w:val="21"/>
          <w:szCs w:val="21"/>
          <w:highlight w:val="none"/>
        </w:rPr>
        <w:t>，联系人：</w:t>
      </w:r>
      <w:r>
        <w:rPr>
          <w:rFonts w:hint="eastAsia"/>
          <w:color w:val="auto"/>
          <w:sz w:val="21"/>
          <w:szCs w:val="21"/>
          <w:highlight w:val="none"/>
          <w:lang w:val="en-US" w:eastAsia="zh-CN"/>
        </w:rPr>
        <w:t>黄翠华</w:t>
      </w:r>
      <w:r>
        <w:rPr>
          <w:color w:val="auto"/>
          <w:sz w:val="21"/>
          <w:szCs w:val="21"/>
          <w:highlight w:val="none"/>
        </w:rPr>
        <w:t>，E-mail：</w:t>
      </w:r>
      <w:r>
        <w:rPr>
          <w:rFonts w:hint="eastAsia"/>
          <w:color w:val="auto"/>
          <w:sz w:val="21"/>
          <w:szCs w:val="21"/>
          <w:highlight w:val="none"/>
          <w:lang w:val="en-US" w:eastAsia="zh-CN"/>
        </w:rPr>
        <w:t>32318609</w:t>
      </w:r>
      <w:r>
        <w:rPr>
          <w:color w:val="auto"/>
          <w:sz w:val="21"/>
          <w:szCs w:val="21"/>
          <w:highlight w:val="none"/>
        </w:rPr>
        <w:t>@</w:t>
      </w:r>
      <w:r>
        <w:rPr>
          <w:rFonts w:hint="eastAsia"/>
          <w:color w:val="auto"/>
          <w:sz w:val="21"/>
          <w:szCs w:val="21"/>
          <w:highlight w:val="none"/>
          <w:lang w:val="en-US" w:eastAsia="zh-CN"/>
        </w:rPr>
        <w:t>qq</w:t>
      </w:r>
      <w:r>
        <w:rPr>
          <w:color w:val="auto"/>
          <w:sz w:val="21"/>
          <w:szCs w:val="21"/>
          <w:highlight w:val="none"/>
        </w:rPr>
        <w:t>.com）。</w:t>
      </w:r>
    </w:p>
    <w:p>
      <w:pPr>
        <w:pStyle w:val="36"/>
        <w:ind w:firstLine="420"/>
        <w:rPr>
          <w:color w:val="auto"/>
          <w:sz w:val="21"/>
          <w:szCs w:val="21"/>
          <w:highlight w:val="none"/>
        </w:rPr>
      </w:pPr>
    </w:p>
    <w:tbl>
      <w:tblPr>
        <w:tblStyle w:val="11"/>
        <w:tblW w:w="9628" w:type="dxa"/>
        <w:tblInd w:w="-108" w:type="dxa"/>
        <w:tblLayout w:type="fixed"/>
        <w:tblCellMar>
          <w:top w:w="0" w:type="dxa"/>
          <w:left w:w="108" w:type="dxa"/>
          <w:bottom w:w="0" w:type="dxa"/>
          <w:right w:w="108" w:type="dxa"/>
        </w:tblCellMar>
      </w:tblPr>
      <w:tblGrid>
        <w:gridCol w:w="1809"/>
        <w:gridCol w:w="264"/>
        <w:gridCol w:w="7555"/>
      </w:tblGrid>
      <w:tr>
        <w:tblPrEx>
          <w:tblCellMar>
            <w:top w:w="0" w:type="dxa"/>
            <w:left w:w="108" w:type="dxa"/>
            <w:bottom w:w="0" w:type="dxa"/>
            <w:right w:w="108" w:type="dxa"/>
          </w:tblCellMar>
        </w:tblPrEx>
        <w:tc>
          <w:tcPr>
            <w:tcW w:w="1809" w:type="dxa"/>
          </w:tcPr>
          <w:p>
            <w:pPr>
              <w:pStyle w:val="36"/>
              <w:ind w:firstLine="0" w:firstLineChars="0"/>
              <w:rPr>
                <w:color w:val="auto"/>
                <w:kern w:val="2"/>
                <w:sz w:val="21"/>
                <w:szCs w:val="21"/>
                <w:highlight w:val="none"/>
              </w:rPr>
            </w:pPr>
            <w:r>
              <w:rPr>
                <w:rFonts w:hint="eastAsia"/>
                <w:color w:val="auto"/>
                <w:kern w:val="2"/>
                <w:sz w:val="21"/>
                <w:szCs w:val="21"/>
                <w:highlight w:val="none"/>
              </w:rPr>
              <w:t>本标准主编单位</w:t>
            </w:r>
          </w:p>
        </w:tc>
        <w:tc>
          <w:tcPr>
            <w:tcW w:w="264" w:type="dxa"/>
          </w:tcPr>
          <w:p>
            <w:pPr>
              <w:pStyle w:val="36"/>
              <w:ind w:firstLine="0" w:firstLineChars="0"/>
              <w:rPr>
                <w:color w:val="auto"/>
                <w:kern w:val="2"/>
                <w:sz w:val="21"/>
                <w:szCs w:val="21"/>
                <w:highlight w:val="none"/>
              </w:rPr>
            </w:pPr>
            <w:r>
              <w:rPr>
                <w:rFonts w:hint="eastAsia"/>
                <w:color w:val="auto"/>
                <w:kern w:val="2"/>
                <w:sz w:val="21"/>
                <w:szCs w:val="21"/>
                <w:highlight w:val="none"/>
              </w:rPr>
              <w:t>：</w:t>
            </w:r>
          </w:p>
        </w:tc>
        <w:tc>
          <w:tcPr>
            <w:tcW w:w="7555" w:type="dxa"/>
          </w:tcPr>
          <w:p>
            <w:pPr>
              <w:pStyle w:val="36"/>
              <w:ind w:firstLine="0" w:firstLineChars="0"/>
              <w:rPr>
                <w:rFonts w:hint="eastAsia"/>
                <w:color w:val="auto"/>
                <w:kern w:val="2"/>
                <w:sz w:val="21"/>
                <w:szCs w:val="21"/>
                <w:highlight w:val="none"/>
              </w:rPr>
            </w:pPr>
            <w:r>
              <w:rPr>
                <w:rFonts w:hint="eastAsia"/>
                <w:color w:val="auto"/>
                <w:kern w:val="2"/>
                <w:sz w:val="21"/>
                <w:szCs w:val="21"/>
                <w:highlight w:val="none"/>
              </w:rPr>
              <w:t>广州市建筑科学研究院集团有限公司</w:t>
            </w:r>
          </w:p>
          <w:p>
            <w:pPr>
              <w:pStyle w:val="36"/>
              <w:ind w:firstLine="0" w:firstLineChars="0"/>
              <w:rPr>
                <w:rFonts w:hint="default" w:eastAsia="宋体"/>
                <w:color w:val="auto"/>
                <w:kern w:val="2"/>
                <w:sz w:val="21"/>
                <w:szCs w:val="21"/>
                <w:highlight w:val="none"/>
                <w:lang w:val="en-US" w:eastAsia="zh-CN"/>
              </w:rPr>
            </w:pPr>
            <w:r>
              <w:rPr>
                <w:rFonts w:hint="eastAsia"/>
                <w:color w:val="auto"/>
                <w:kern w:val="2"/>
                <w:sz w:val="21"/>
                <w:szCs w:val="21"/>
                <w:highlight w:val="none"/>
                <w:lang w:val="en-US" w:eastAsia="zh-CN"/>
              </w:rPr>
              <w:t>广州建设工程质量安全检测中心有限公司</w:t>
            </w:r>
          </w:p>
        </w:tc>
      </w:tr>
      <w:tr>
        <w:tblPrEx>
          <w:tblCellMar>
            <w:top w:w="0" w:type="dxa"/>
            <w:left w:w="108" w:type="dxa"/>
            <w:bottom w:w="0" w:type="dxa"/>
            <w:right w:w="108" w:type="dxa"/>
          </w:tblCellMar>
        </w:tblPrEx>
        <w:tc>
          <w:tcPr>
            <w:tcW w:w="1809" w:type="dxa"/>
          </w:tcPr>
          <w:p>
            <w:pPr>
              <w:pStyle w:val="36"/>
              <w:ind w:firstLine="0" w:firstLineChars="0"/>
              <w:rPr>
                <w:color w:val="auto"/>
                <w:kern w:val="2"/>
                <w:sz w:val="21"/>
                <w:szCs w:val="21"/>
                <w:highlight w:val="none"/>
              </w:rPr>
            </w:pPr>
            <w:r>
              <w:rPr>
                <w:rFonts w:hint="eastAsia"/>
                <w:color w:val="auto"/>
                <w:kern w:val="2"/>
                <w:sz w:val="21"/>
                <w:szCs w:val="21"/>
                <w:highlight w:val="none"/>
              </w:rPr>
              <w:t>本标准参编单位</w:t>
            </w:r>
          </w:p>
        </w:tc>
        <w:tc>
          <w:tcPr>
            <w:tcW w:w="264" w:type="dxa"/>
          </w:tcPr>
          <w:p>
            <w:pPr>
              <w:pStyle w:val="36"/>
              <w:ind w:firstLine="0" w:firstLineChars="0"/>
              <w:rPr>
                <w:color w:val="auto"/>
                <w:kern w:val="2"/>
                <w:sz w:val="21"/>
                <w:szCs w:val="21"/>
                <w:highlight w:val="none"/>
              </w:rPr>
            </w:pPr>
            <w:r>
              <w:rPr>
                <w:rFonts w:hint="eastAsia"/>
                <w:color w:val="auto"/>
                <w:kern w:val="2"/>
                <w:sz w:val="21"/>
                <w:szCs w:val="21"/>
                <w:highlight w:val="none"/>
              </w:rPr>
              <w:t>：</w:t>
            </w:r>
          </w:p>
        </w:tc>
        <w:tc>
          <w:tcPr>
            <w:tcW w:w="7555" w:type="dxa"/>
          </w:tcPr>
          <w:p>
            <w:pPr>
              <w:pStyle w:val="36"/>
              <w:ind w:firstLine="0" w:firstLineChars="0"/>
              <w:rPr>
                <w:rFonts w:hint="eastAsia"/>
                <w:color w:val="auto"/>
                <w:kern w:val="2"/>
                <w:sz w:val="21"/>
                <w:szCs w:val="21"/>
                <w:highlight w:val="none"/>
              </w:rPr>
            </w:pPr>
            <w:r>
              <w:rPr>
                <w:rFonts w:hint="eastAsia"/>
                <w:color w:val="auto"/>
                <w:kern w:val="2"/>
                <w:sz w:val="21"/>
                <w:szCs w:val="21"/>
                <w:highlight w:val="none"/>
              </w:rPr>
              <w:t>广州建筑股份有限公司</w:t>
            </w:r>
          </w:p>
          <w:p>
            <w:pPr>
              <w:pStyle w:val="36"/>
              <w:ind w:firstLine="0" w:firstLineChars="0"/>
              <w:rPr>
                <w:rFonts w:hint="eastAsia"/>
                <w:color w:val="auto"/>
                <w:kern w:val="2"/>
                <w:sz w:val="21"/>
                <w:szCs w:val="21"/>
                <w:highlight w:val="none"/>
              </w:rPr>
            </w:pPr>
            <w:r>
              <w:rPr>
                <w:rFonts w:hint="eastAsia"/>
                <w:color w:val="auto"/>
                <w:kern w:val="2"/>
                <w:sz w:val="21"/>
                <w:szCs w:val="21"/>
                <w:highlight w:val="none"/>
              </w:rPr>
              <w:t>广州市建设工程质量监督站</w:t>
            </w:r>
          </w:p>
          <w:p>
            <w:pPr>
              <w:pStyle w:val="36"/>
              <w:ind w:firstLine="0" w:firstLineChars="0"/>
              <w:rPr>
                <w:rFonts w:hint="eastAsia"/>
                <w:color w:val="auto"/>
                <w:kern w:val="2"/>
                <w:sz w:val="21"/>
                <w:szCs w:val="21"/>
                <w:highlight w:val="none"/>
              </w:rPr>
            </w:pPr>
            <w:r>
              <w:rPr>
                <w:rFonts w:hint="eastAsia"/>
                <w:color w:val="auto"/>
                <w:kern w:val="2"/>
                <w:sz w:val="21"/>
                <w:szCs w:val="21"/>
                <w:highlight w:val="none"/>
              </w:rPr>
              <w:t>广东惠和工程检测有限公司</w:t>
            </w:r>
          </w:p>
          <w:p>
            <w:pPr>
              <w:pStyle w:val="36"/>
              <w:ind w:firstLine="0" w:firstLineChars="0"/>
              <w:rPr>
                <w:rFonts w:hint="eastAsia"/>
                <w:color w:val="auto"/>
                <w:kern w:val="2"/>
                <w:sz w:val="21"/>
                <w:szCs w:val="21"/>
                <w:highlight w:val="none"/>
              </w:rPr>
            </w:pPr>
            <w:r>
              <w:rPr>
                <w:rFonts w:hint="eastAsia"/>
                <w:color w:val="auto"/>
                <w:kern w:val="2"/>
                <w:sz w:val="21"/>
                <w:szCs w:val="21"/>
                <w:highlight w:val="none"/>
              </w:rPr>
              <w:t>广州市安装集团有限公司</w:t>
            </w:r>
          </w:p>
          <w:p>
            <w:pPr>
              <w:pStyle w:val="36"/>
              <w:ind w:firstLine="0" w:firstLineChars="0"/>
              <w:rPr>
                <w:rFonts w:hint="eastAsia"/>
                <w:color w:val="auto"/>
                <w:kern w:val="2"/>
                <w:sz w:val="21"/>
                <w:szCs w:val="21"/>
                <w:highlight w:val="none"/>
              </w:rPr>
            </w:pPr>
            <w:r>
              <w:rPr>
                <w:rFonts w:hint="eastAsia"/>
                <w:color w:val="auto"/>
                <w:kern w:val="2"/>
                <w:sz w:val="21"/>
                <w:szCs w:val="21"/>
                <w:highlight w:val="none"/>
              </w:rPr>
              <w:t>广州白云电器设备股份有限公司</w:t>
            </w:r>
          </w:p>
          <w:p>
            <w:pPr>
              <w:pStyle w:val="36"/>
              <w:ind w:firstLine="0" w:firstLineChars="0"/>
              <w:rPr>
                <w:rFonts w:hint="eastAsia"/>
                <w:color w:val="auto"/>
                <w:kern w:val="2"/>
                <w:sz w:val="21"/>
                <w:szCs w:val="21"/>
                <w:highlight w:val="none"/>
              </w:rPr>
            </w:pPr>
            <w:r>
              <w:rPr>
                <w:rFonts w:hint="eastAsia"/>
                <w:color w:val="auto"/>
                <w:kern w:val="2"/>
                <w:sz w:val="21"/>
                <w:szCs w:val="21"/>
                <w:highlight w:val="none"/>
              </w:rPr>
              <w:t>茂名市建设工程质量检测站</w:t>
            </w:r>
          </w:p>
          <w:p>
            <w:pPr>
              <w:pStyle w:val="36"/>
              <w:ind w:firstLine="0" w:firstLineChars="0"/>
              <w:rPr>
                <w:rFonts w:hint="eastAsia"/>
                <w:color w:val="auto"/>
                <w:kern w:val="2"/>
                <w:sz w:val="21"/>
                <w:szCs w:val="21"/>
                <w:highlight w:val="none"/>
              </w:rPr>
            </w:pPr>
            <w:r>
              <w:rPr>
                <w:rFonts w:hint="eastAsia"/>
                <w:color w:val="auto"/>
                <w:kern w:val="2"/>
                <w:sz w:val="21"/>
                <w:szCs w:val="21"/>
                <w:highlight w:val="none"/>
              </w:rPr>
              <w:t>广东省建设工程质量安全检测总站有限公司</w:t>
            </w:r>
          </w:p>
          <w:p>
            <w:pPr>
              <w:pStyle w:val="36"/>
              <w:ind w:firstLine="0" w:firstLineChars="0"/>
              <w:rPr>
                <w:rFonts w:hint="eastAsia"/>
                <w:color w:val="auto"/>
                <w:kern w:val="2"/>
                <w:sz w:val="21"/>
                <w:szCs w:val="21"/>
                <w:highlight w:val="none"/>
              </w:rPr>
            </w:pPr>
            <w:r>
              <w:rPr>
                <w:rFonts w:hint="eastAsia"/>
                <w:color w:val="auto"/>
                <w:kern w:val="2"/>
                <w:sz w:val="21"/>
                <w:szCs w:val="21"/>
                <w:highlight w:val="none"/>
              </w:rPr>
              <w:t>深圳市房屋安全和工程质量检测鉴定中心</w:t>
            </w:r>
          </w:p>
          <w:p>
            <w:pPr>
              <w:pStyle w:val="36"/>
              <w:ind w:firstLine="0" w:firstLineChars="0"/>
              <w:rPr>
                <w:rFonts w:hint="eastAsia"/>
                <w:color w:val="auto"/>
                <w:kern w:val="2"/>
                <w:sz w:val="21"/>
                <w:szCs w:val="21"/>
                <w:highlight w:val="none"/>
              </w:rPr>
            </w:pPr>
            <w:r>
              <w:rPr>
                <w:rFonts w:hint="eastAsia"/>
                <w:color w:val="auto"/>
                <w:kern w:val="2"/>
                <w:sz w:val="21"/>
                <w:szCs w:val="21"/>
                <w:highlight w:val="none"/>
              </w:rPr>
              <w:t>广州市市政工程试验检测有限公司</w:t>
            </w:r>
          </w:p>
          <w:p>
            <w:pPr>
              <w:pStyle w:val="36"/>
              <w:ind w:firstLine="0" w:firstLineChars="0"/>
              <w:rPr>
                <w:rFonts w:hint="eastAsia"/>
                <w:color w:val="auto"/>
                <w:kern w:val="2"/>
                <w:sz w:val="21"/>
                <w:szCs w:val="21"/>
                <w:highlight w:val="none"/>
              </w:rPr>
            </w:pPr>
            <w:r>
              <w:rPr>
                <w:rFonts w:hint="eastAsia"/>
                <w:color w:val="auto"/>
                <w:kern w:val="2"/>
                <w:sz w:val="21"/>
                <w:szCs w:val="21"/>
                <w:highlight w:val="none"/>
              </w:rPr>
              <w:t>华南理工大学建筑设计研究院有限公司</w:t>
            </w:r>
          </w:p>
          <w:p>
            <w:pPr>
              <w:pStyle w:val="36"/>
              <w:ind w:firstLine="0" w:firstLineChars="0"/>
              <w:rPr>
                <w:rFonts w:hint="eastAsia"/>
                <w:color w:val="auto"/>
                <w:kern w:val="2"/>
                <w:sz w:val="21"/>
                <w:szCs w:val="21"/>
                <w:highlight w:val="none"/>
              </w:rPr>
            </w:pPr>
            <w:r>
              <w:rPr>
                <w:rFonts w:hint="eastAsia"/>
                <w:color w:val="auto"/>
                <w:kern w:val="2"/>
                <w:sz w:val="21"/>
                <w:szCs w:val="21"/>
                <w:highlight w:val="none"/>
              </w:rPr>
              <w:t>广东粤信建设工程质量安全检测有限公司</w:t>
            </w:r>
          </w:p>
          <w:p>
            <w:pPr>
              <w:pStyle w:val="36"/>
              <w:ind w:firstLine="0" w:firstLineChars="0"/>
              <w:rPr>
                <w:color w:val="auto"/>
                <w:kern w:val="2"/>
                <w:sz w:val="21"/>
                <w:szCs w:val="21"/>
                <w:highlight w:val="none"/>
              </w:rPr>
            </w:pPr>
            <w:r>
              <w:rPr>
                <w:rFonts w:hint="eastAsia"/>
                <w:color w:val="auto"/>
                <w:kern w:val="2"/>
                <w:sz w:val="21"/>
                <w:szCs w:val="21"/>
                <w:highlight w:val="none"/>
              </w:rPr>
              <w:t>广州建研工程科技有限公司</w:t>
            </w:r>
          </w:p>
        </w:tc>
      </w:tr>
      <w:tr>
        <w:tblPrEx>
          <w:tblCellMar>
            <w:top w:w="0" w:type="dxa"/>
            <w:left w:w="108" w:type="dxa"/>
            <w:bottom w:w="0" w:type="dxa"/>
            <w:right w:w="108" w:type="dxa"/>
          </w:tblCellMar>
        </w:tblPrEx>
        <w:tc>
          <w:tcPr>
            <w:tcW w:w="1809" w:type="dxa"/>
          </w:tcPr>
          <w:p>
            <w:pPr>
              <w:pStyle w:val="36"/>
              <w:ind w:firstLine="0" w:firstLineChars="0"/>
              <w:jc w:val="distribute"/>
              <w:rPr>
                <w:color w:val="auto"/>
                <w:kern w:val="2"/>
                <w:sz w:val="21"/>
                <w:szCs w:val="21"/>
                <w:highlight w:val="none"/>
              </w:rPr>
            </w:pPr>
            <w:r>
              <w:rPr>
                <w:rFonts w:hint="eastAsia"/>
                <w:color w:val="auto"/>
                <w:kern w:val="2"/>
                <w:sz w:val="21"/>
                <w:szCs w:val="21"/>
                <w:highlight w:val="none"/>
              </w:rPr>
              <w:t>本标准</w:t>
            </w:r>
            <w:r>
              <w:rPr>
                <w:color w:val="auto"/>
                <w:kern w:val="2"/>
                <w:sz w:val="21"/>
                <w:szCs w:val="21"/>
                <w:highlight w:val="none"/>
              </w:rPr>
              <w:t>主要起草人员</w:t>
            </w:r>
          </w:p>
        </w:tc>
        <w:tc>
          <w:tcPr>
            <w:tcW w:w="264" w:type="dxa"/>
          </w:tcPr>
          <w:p>
            <w:pPr>
              <w:pStyle w:val="36"/>
              <w:ind w:firstLine="0" w:firstLineChars="0"/>
              <w:rPr>
                <w:color w:val="auto"/>
                <w:kern w:val="2"/>
                <w:sz w:val="21"/>
                <w:szCs w:val="21"/>
                <w:highlight w:val="none"/>
              </w:rPr>
            </w:pPr>
            <w:r>
              <w:rPr>
                <w:color w:val="auto"/>
                <w:kern w:val="2"/>
                <w:sz w:val="21"/>
                <w:szCs w:val="21"/>
                <w:highlight w:val="none"/>
              </w:rPr>
              <w:t>：</w:t>
            </w:r>
          </w:p>
        </w:tc>
        <w:tc>
          <w:tcPr>
            <w:tcW w:w="7555" w:type="dxa"/>
          </w:tcPr>
          <w:p>
            <w:pPr>
              <w:pStyle w:val="36"/>
              <w:ind w:firstLine="0" w:firstLineChars="0"/>
              <w:rPr>
                <w:color w:val="auto"/>
                <w:kern w:val="2"/>
                <w:sz w:val="21"/>
                <w:szCs w:val="21"/>
                <w:highlight w:val="none"/>
              </w:rPr>
            </w:pPr>
            <w:r>
              <w:rPr>
                <w:rFonts w:hint="eastAsia" w:ascii="宋体" w:hAnsi="宋体"/>
                <w:color w:val="auto"/>
                <w:sz w:val="21"/>
                <w:szCs w:val="21"/>
                <w:highlight w:val="none"/>
                <w:lang w:val="en-US" w:eastAsia="zh-CN"/>
              </w:rPr>
              <w:t>黄翠华、路阳、白河山、刘淑波、曾庆鹏、罗德军、俞洋、陈箭、龙文德、汤志广、黄琦琪、刘志伟、陈仁进、杨  军、谭栋梁、孟繁超、李祥新、甘润华、张  硕、黄克鹏</w:t>
            </w:r>
            <w:r>
              <w:rPr>
                <w:rFonts w:hint="eastAsia" w:ascii="宋体" w:hAnsi="宋体"/>
                <w:color w:val="auto"/>
                <w:sz w:val="21"/>
                <w:szCs w:val="21"/>
                <w:highlight w:val="none"/>
              </w:rPr>
              <w:t xml:space="preserve"> </w:t>
            </w:r>
          </w:p>
        </w:tc>
      </w:tr>
      <w:tr>
        <w:tblPrEx>
          <w:tblCellMar>
            <w:top w:w="0" w:type="dxa"/>
            <w:left w:w="108" w:type="dxa"/>
            <w:bottom w:w="0" w:type="dxa"/>
            <w:right w:w="108" w:type="dxa"/>
          </w:tblCellMar>
        </w:tblPrEx>
        <w:tc>
          <w:tcPr>
            <w:tcW w:w="1809" w:type="dxa"/>
          </w:tcPr>
          <w:p>
            <w:pPr>
              <w:pStyle w:val="36"/>
              <w:ind w:firstLine="0" w:firstLineChars="0"/>
              <w:jc w:val="distribute"/>
              <w:rPr>
                <w:color w:val="auto"/>
                <w:kern w:val="2"/>
                <w:sz w:val="21"/>
                <w:szCs w:val="21"/>
                <w:highlight w:val="none"/>
              </w:rPr>
            </w:pPr>
            <w:r>
              <w:rPr>
                <w:rFonts w:hint="eastAsia"/>
                <w:color w:val="auto"/>
                <w:kern w:val="2"/>
                <w:sz w:val="21"/>
                <w:szCs w:val="21"/>
                <w:highlight w:val="none"/>
              </w:rPr>
              <w:t>本标准</w:t>
            </w:r>
            <w:r>
              <w:rPr>
                <w:color w:val="auto"/>
                <w:kern w:val="2"/>
                <w:sz w:val="21"/>
                <w:szCs w:val="21"/>
                <w:highlight w:val="none"/>
              </w:rPr>
              <w:t>主要审查人员</w:t>
            </w:r>
          </w:p>
        </w:tc>
        <w:tc>
          <w:tcPr>
            <w:tcW w:w="264" w:type="dxa"/>
          </w:tcPr>
          <w:p>
            <w:pPr>
              <w:pStyle w:val="36"/>
              <w:ind w:firstLine="0" w:firstLineChars="0"/>
              <w:rPr>
                <w:color w:val="auto"/>
                <w:kern w:val="2"/>
                <w:sz w:val="21"/>
                <w:szCs w:val="21"/>
                <w:highlight w:val="none"/>
              </w:rPr>
            </w:pPr>
            <w:r>
              <w:rPr>
                <w:color w:val="auto"/>
                <w:kern w:val="2"/>
                <w:sz w:val="21"/>
                <w:szCs w:val="21"/>
                <w:highlight w:val="none"/>
              </w:rPr>
              <w:t>：</w:t>
            </w:r>
          </w:p>
        </w:tc>
        <w:tc>
          <w:tcPr>
            <w:tcW w:w="7555" w:type="dxa"/>
          </w:tcPr>
          <w:p>
            <w:pPr>
              <w:pStyle w:val="36"/>
              <w:ind w:firstLine="0" w:firstLineChars="0"/>
              <w:rPr>
                <w:color w:val="auto"/>
                <w:kern w:val="2"/>
                <w:sz w:val="21"/>
                <w:szCs w:val="21"/>
                <w:highlight w:val="none"/>
              </w:rPr>
            </w:pPr>
          </w:p>
        </w:tc>
      </w:tr>
    </w:tbl>
    <w:p>
      <w:pPr>
        <w:rPr>
          <w:rFonts w:hint="eastAsia"/>
          <w:color w:val="auto"/>
          <w:sz w:val="21"/>
          <w:szCs w:val="21"/>
          <w:highlight w:val="none"/>
        </w:rPr>
      </w:pPr>
      <w:r>
        <w:rPr>
          <w:rFonts w:hint="eastAsia"/>
          <w:color w:val="auto"/>
          <w:sz w:val="21"/>
          <w:szCs w:val="21"/>
          <w:highlight w:val="none"/>
        </w:rPr>
        <w:br w:type="page"/>
      </w:r>
    </w:p>
    <w:p>
      <w:pPr>
        <w:pStyle w:val="37"/>
        <w:tabs>
          <w:tab w:val="right" w:pos="5161"/>
        </w:tabs>
        <w:ind w:firstLine="4216" w:firstLineChars="1500"/>
        <w:jc w:val="both"/>
        <w:rPr>
          <w:rFonts w:hint="eastAsia" w:eastAsia="宋体" w:cs="Times New Roman"/>
          <w:bCs/>
          <w:color w:val="auto"/>
          <w:sz w:val="21"/>
          <w:szCs w:val="21"/>
          <w:highlight w:val="none"/>
        </w:rPr>
      </w:pPr>
      <w:bookmarkStart w:id="10" w:name="_Toc4060"/>
      <w:bookmarkStart w:id="11" w:name="_Toc29612"/>
      <w:bookmarkStart w:id="12" w:name="_Toc17567"/>
      <w:bookmarkStart w:id="13" w:name="_Toc2602"/>
      <w:bookmarkStart w:id="14" w:name="_Toc3130"/>
      <w:bookmarkStart w:id="15" w:name="_Toc8992"/>
      <w:bookmarkStart w:id="16" w:name="_Toc32326"/>
      <w:bookmarkStart w:id="17" w:name="_Toc29749"/>
      <w:bookmarkStart w:id="18" w:name="_Toc30118"/>
      <w:r>
        <w:rPr>
          <w:rFonts w:hint="eastAsia" w:eastAsia="宋体" w:cs="Times New Roman"/>
          <w:bCs/>
          <w:color w:val="auto"/>
          <w:szCs w:val="44"/>
          <w:highlight w:val="none"/>
          <w:lang w:val="zh-CN" w:eastAsia="zh-CN"/>
        </w:rPr>
        <w:t xml:space="preserve">目 </w:t>
      </w:r>
      <w:r>
        <w:rPr>
          <w:rFonts w:hint="eastAsia" w:eastAsia="宋体" w:cs="Times New Roman"/>
          <w:bCs/>
          <w:color w:val="auto"/>
          <w:szCs w:val="44"/>
          <w:highlight w:val="none"/>
          <w:lang w:val="en-US" w:eastAsia="zh-CN"/>
        </w:rPr>
        <w:t xml:space="preserve">     </w:t>
      </w:r>
      <w:r>
        <w:rPr>
          <w:rFonts w:hint="eastAsia" w:eastAsia="宋体" w:cs="Times New Roman"/>
          <w:bCs/>
          <w:color w:val="auto"/>
          <w:szCs w:val="44"/>
          <w:highlight w:val="none"/>
          <w:lang w:val="zh-CN" w:eastAsia="zh-CN"/>
        </w:rPr>
        <w:t xml:space="preserve"> </w:t>
      </w:r>
      <w:r>
        <w:rPr>
          <w:rFonts w:hint="eastAsia" w:eastAsia="宋体" w:cs="Times New Roman"/>
          <w:bCs/>
          <w:color w:val="auto"/>
          <w:szCs w:val="44"/>
          <w:highlight w:val="none"/>
          <w:lang w:val="en-US" w:eastAsia="zh-CN"/>
        </w:rPr>
        <w:t>次</w:t>
      </w:r>
      <w:bookmarkEnd w:id="10"/>
      <w:bookmarkEnd w:id="11"/>
      <w:bookmarkEnd w:id="12"/>
      <w:bookmarkEnd w:id="13"/>
      <w:bookmarkEnd w:id="14"/>
      <w:bookmarkEnd w:id="15"/>
      <w:bookmarkEnd w:id="16"/>
      <w:bookmarkEnd w:id="17"/>
      <w:bookmarkEnd w:id="18"/>
      <w:r>
        <w:rPr>
          <w:rFonts w:hint="eastAsia" w:eastAsia="宋体" w:cs="Times New Roman"/>
          <w:bCs/>
          <w:color w:val="auto"/>
          <w:sz w:val="21"/>
          <w:szCs w:val="21"/>
          <w:highlight w:val="none"/>
          <w:lang w:val="en-US" w:eastAsia="zh-CN"/>
        </w:rPr>
        <w:tab/>
      </w:r>
    </w:p>
    <w:sdt>
      <w:sdtPr>
        <w:rPr>
          <w:bCs/>
          <w:color w:val="auto"/>
          <w:sz w:val="21"/>
          <w:szCs w:val="21"/>
          <w:highlight w:val="none"/>
          <w:lang w:val="zh-CN" w:eastAsia="zh-CN"/>
        </w:rPr>
        <w:id w:val="-1769602151"/>
        <w:docPartObj>
          <w:docPartGallery w:val="Table of Contents"/>
          <w:docPartUnique/>
        </w:docPartObj>
      </w:sdtPr>
      <w:sdtEndPr>
        <w:rPr>
          <w:rFonts w:asciiTheme="minorHAnsi" w:hAnsiTheme="minorHAnsi" w:eastAsiaTheme="minorEastAsia" w:cstheme="minorBidi"/>
          <w:b/>
          <w:bCs/>
          <w:color w:val="auto"/>
          <w:kern w:val="2"/>
          <w:sz w:val="21"/>
          <w:szCs w:val="21"/>
          <w:highlight w:val="none"/>
          <w:lang w:val="zh-CN" w:eastAsia="zh-CN"/>
        </w:rPr>
      </w:sdtEndPr>
      <w:sdtContent>
        <w:p>
          <w:pPr>
            <w:pStyle w:val="8"/>
            <w:keepNext w:val="0"/>
            <w:keepLines w:val="0"/>
            <w:pageBreakBefore w:val="0"/>
            <w:widowControl w:val="0"/>
            <w:tabs>
              <w:tab w:val="right" w:leader="dot" w:pos="9377"/>
            </w:tabs>
            <w:kinsoku/>
            <w:wordWrap/>
            <w:overflowPunct/>
            <w:topLinePunct w:val="0"/>
            <w:autoSpaceDE/>
            <w:autoSpaceDN/>
            <w:bidi w:val="0"/>
            <w:adjustRightInd/>
            <w:snapToGrid/>
            <w:spacing w:line="312" w:lineRule="auto"/>
            <w:textAlignment w:val="auto"/>
            <w:rPr>
              <w:color w:val="auto"/>
              <w:highlight w:val="none"/>
            </w:rPr>
          </w:pPr>
          <w:r>
            <w:rPr>
              <w:bCs/>
              <w:color w:val="auto"/>
              <w:sz w:val="21"/>
              <w:szCs w:val="21"/>
              <w:highlight w:val="none"/>
              <w:lang w:val="zh-CN"/>
            </w:rPr>
            <w:fldChar w:fldCharType="begin"/>
          </w:r>
          <w:r>
            <w:rPr>
              <w:bCs/>
              <w:color w:val="auto"/>
              <w:sz w:val="21"/>
              <w:szCs w:val="21"/>
              <w:highlight w:val="none"/>
              <w:lang w:val="zh-CN"/>
            </w:rPr>
            <w:instrText xml:space="preserve"> TOC \o "1-3" \h \z \u </w:instrText>
          </w:r>
          <w:r>
            <w:rPr>
              <w:bCs/>
              <w:color w:val="auto"/>
              <w:sz w:val="21"/>
              <w:szCs w:val="21"/>
              <w:highlight w:val="none"/>
              <w:lang w:val="zh-CN"/>
            </w:rPr>
            <w:fldChar w:fldCharType="separate"/>
          </w:r>
          <w:r>
            <w:rPr>
              <w:bCs/>
              <w:color w:val="auto"/>
              <w:szCs w:val="21"/>
              <w:highlight w:val="none"/>
              <w:lang w:val="zh-CN"/>
            </w:rPr>
            <w:fldChar w:fldCharType="begin"/>
          </w:r>
          <w:r>
            <w:rPr>
              <w:bCs/>
              <w:color w:val="auto"/>
              <w:szCs w:val="21"/>
              <w:highlight w:val="none"/>
              <w:lang w:val="zh-CN"/>
            </w:rPr>
            <w:instrText xml:space="preserve"> HYPERLINK \l _Toc8676 </w:instrText>
          </w:r>
          <w:r>
            <w:rPr>
              <w:bCs/>
              <w:color w:val="auto"/>
              <w:szCs w:val="21"/>
              <w:highlight w:val="none"/>
              <w:lang w:val="zh-CN"/>
            </w:rPr>
            <w:fldChar w:fldCharType="separate"/>
          </w:r>
          <w:r>
            <w:rPr>
              <w:rFonts w:hint="eastAsia" w:eastAsia="宋体" w:cs="Times New Roman"/>
              <w:bCs/>
              <w:color w:val="auto"/>
              <w:szCs w:val="44"/>
              <w:highlight w:val="none"/>
            </w:rPr>
            <w:t>1</w:t>
          </w:r>
          <w:r>
            <w:rPr>
              <w:rFonts w:eastAsia="宋体" w:cs="Times New Roman"/>
              <w:bCs/>
              <w:color w:val="auto"/>
              <w:szCs w:val="44"/>
              <w:highlight w:val="none"/>
            </w:rPr>
            <w:t xml:space="preserve"> </w:t>
          </w:r>
          <w:r>
            <w:rPr>
              <w:rFonts w:hint="eastAsia" w:eastAsia="宋体" w:cs="Times New Roman"/>
              <w:bCs/>
              <w:color w:val="auto"/>
              <w:szCs w:val="44"/>
              <w:highlight w:val="none"/>
              <w:lang w:val="en-US" w:eastAsia="zh-CN"/>
            </w:rPr>
            <w:t xml:space="preserve">  </w:t>
          </w:r>
          <w:r>
            <w:rPr>
              <w:rFonts w:hint="eastAsia" w:eastAsia="宋体" w:cs="Times New Roman"/>
              <w:bCs/>
              <w:color w:val="auto"/>
              <w:szCs w:val="44"/>
              <w:highlight w:val="none"/>
            </w:rPr>
            <w:t>总</w:t>
          </w:r>
          <w:r>
            <w:rPr>
              <w:rFonts w:hint="eastAsia" w:eastAsia="宋体" w:cs="Times New Roman"/>
              <w:bCs/>
              <w:color w:val="auto"/>
              <w:szCs w:val="44"/>
              <w:highlight w:val="none"/>
              <w:lang w:val="en-US" w:eastAsia="zh-CN"/>
            </w:rPr>
            <w:t xml:space="preserve">        </w:t>
          </w:r>
          <w:r>
            <w:rPr>
              <w:rFonts w:hint="eastAsia" w:eastAsia="宋体" w:cs="Times New Roman"/>
              <w:bCs/>
              <w:color w:val="auto"/>
              <w:szCs w:val="44"/>
              <w:highlight w:val="none"/>
            </w:rPr>
            <w:t>则</w:t>
          </w:r>
          <w:r>
            <w:rPr>
              <w:color w:val="auto"/>
              <w:highlight w:val="none"/>
            </w:rPr>
            <w:tab/>
          </w:r>
          <w:r>
            <w:rPr>
              <w:color w:val="auto"/>
              <w:highlight w:val="none"/>
            </w:rPr>
            <w:fldChar w:fldCharType="begin"/>
          </w:r>
          <w:r>
            <w:rPr>
              <w:color w:val="auto"/>
              <w:highlight w:val="none"/>
            </w:rPr>
            <w:instrText xml:space="preserve"> PAGEREF _Toc8676 \h </w:instrText>
          </w:r>
          <w:r>
            <w:rPr>
              <w:color w:val="auto"/>
              <w:highlight w:val="none"/>
            </w:rPr>
            <w:fldChar w:fldCharType="separate"/>
          </w:r>
          <w:r>
            <w:rPr>
              <w:color w:val="auto"/>
              <w:highlight w:val="none"/>
            </w:rPr>
            <w:t>1</w:t>
          </w:r>
          <w:r>
            <w:rPr>
              <w:color w:val="auto"/>
              <w:highlight w:val="none"/>
            </w:rPr>
            <w:fldChar w:fldCharType="end"/>
          </w:r>
          <w:r>
            <w:rPr>
              <w:bCs/>
              <w:color w:val="auto"/>
              <w:szCs w:val="21"/>
              <w:highlight w:val="none"/>
              <w:lang w:val="zh-CN"/>
            </w:rPr>
            <w:fldChar w:fldCharType="end"/>
          </w:r>
        </w:p>
        <w:p>
          <w:pPr>
            <w:pStyle w:val="8"/>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_Toc18769 </w:instrText>
          </w:r>
          <w:r>
            <w:rPr>
              <w:bCs/>
              <w:color w:val="auto"/>
              <w:szCs w:val="21"/>
              <w:highlight w:val="none"/>
              <w:lang w:val="zh-CN"/>
            </w:rPr>
            <w:fldChar w:fldCharType="separate"/>
          </w:r>
          <w:r>
            <w:rPr>
              <w:rFonts w:hint="eastAsia" w:eastAsia="宋体" w:cs="Times New Roman"/>
              <w:bCs/>
              <w:color w:val="auto"/>
              <w:szCs w:val="44"/>
              <w:highlight w:val="none"/>
            </w:rPr>
            <w:t>2</w:t>
          </w:r>
          <w:r>
            <w:rPr>
              <w:rFonts w:hint="eastAsia" w:eastAsia="宋体" w:cs="Times New Roman"/>
              <w:bCs/>
              <w:color w:val="auto"/>
              <w:szCs w:val="44"/>
              <w:highlight w:val="none"/>
              <w:lang w:val="en-US" w:eastAsia="zh-CN"/>
            </w:rPr>
            <w:t xml:space="preserve">   </w:t>
          </w:r>
          <w:r>
            <w:rPr>
              <w:rFonts w:hint="eastAsia" w:eastAsia="宋体" w:cs="Times New Roman"/>
              <w:bCs/>
              <w:color w:val="auto"/>
              <w:szCs w:val="44"/>
              <w:highlight w:val="none"/>
            </w:rPr>
            <w:t>术</w:t>
          </w:r>
          <w:r>
            <w:rPr>
              <w:rFonts w:hint="eastAsia" w:eastAsia="宋体" w:cs="Times New Roman"/>
              <w:bCs/>
              <w:color w:val="auto"/>
              <w:szCs w:val="44"/>
              <w:highlight w:val="none"/>
              <w:lang w:val="en-US" w:eastAsia="zh-CN"/>
            </w:rPr>
            <w:t xml:space="preserve">        </w:t>
          </w:r>
          <w:r>
            <w:rPr>
              <w:rFonts w:hint="eastAsia" w:eastAsia="宋体" w:cs="Times New Roman"/>
              <w:bCs/>
              <w:color w:val="auto"/>
              <w:szCs w:val="44"/>
              <w:highlight w:val="none"/>
            </w:rPr>
            <w:t>语</w:t>
          </w:r>
          <w:r>
            <w:rPr>
              <w:color w:val="auto"/>
              <w:highlight w:val="none"/>
            </w:rPr>
            <w:tab/>
          </w:r>
          <w:r>
            <w:rPr>
              <w:color w:val="auto"/>
              <w:highlight w:val="none"/>
            </w:rPr>
            <w:fldChar w:fldCharType="begin"/>
          </w:r>
          <w:r>
            <w:rPr>
              <w:color w:val="auto"/>
              <w:highlight w:val="none"/>
            </w:rPr>
            <w:instrText xml:space="preserve"> PAGEREF _Toc18769 \h </w:instrText>
          </w:r>
          <w:r>
            <w:rPr>
              <w:color w:val="auto"/>
              <w:highlight w:val="none"/>
            </w:rPr>
            <w:fldChar w:fldCharType="separate"/>
          </w:r>
          <w:r>
            <w:rPr>
              <w:color w:val="auto"/>
              <w:highlight w:val="none"/>
            </w:rPr>
            <w:t>2</w:t>
          </w:r>
          <w:r>
            <w:rPr>
              <w:color w:val="auto"/>
              <w:highlight w:val="none"/>
            </w:rPr>
            <w:fldChar w:fldCharType="end"/>
          </w:r>
          <w:r>
            <w:rPr>
              <w:bCs/>
              <w:color w:val="auto"/>
              <w:szCs w:val="21"/>
              <w:highlight w:val="none"/>
              <w:lang w:val="zh-CN"/>
            </w:rPr>
            <w:fldChar w:fldCharType="end"/>
          </w:r>
        </w:p>
        <w:p>
          <w:pPr>
            <w:pStyle w:val="8"/>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_Toc18381 </w:instrText>
          </w:r>
          <w:r>
            <w:rPr>
              <w:bCs/>
              <w:color w:val="auto"/>
              <w:szCs w:val="21"/>
              <w:highlight w:val="none"/>
              <w:lang w:val="zh-CN"/>
            </w:rPr>
            <w:fldChar w:fldCharType="separate"/>
          </w:r>
          <w:r>
            <w:rPr>
              <w:rFonts w:eastAsia="宋体" w:cs="Times New Roman"/>
              <w:bCs/>
              <w:color w:val="auto"/>
              <w:szCs w:val="44"/>
              <w:highlight w:val="none"/>
            </w:rPr>
            <w:t xml:space="preserve">3 </w:t>
          </w:r>
          <w:r>
            <w:rPr>
              <w:rFonts w:hint="eastAsia" w:eastAsia="宋体" w:cs="Times New Roman"/>
              <w:bCs/>
              <w:color w:val="auto"/>
              <w:szCs w:val="44"/>
              <w:highlight w:val="none"/>
              <w:lang w:val="en-US" w:eastAsia="zh-CN"/>
            </w:rPr>
            <w:t xml:space="preserve">  </w:t>
          </w:r>
          <w:r>
            <w:rPr>
              <w:rFonts w:hint="eastAsia" w:eastAsia="宋体" w:cs="Times New Roman"/>
              <w:bCs/>
              <w:color w:val="auto"/>
              <w:szCs w:val="44"/>
              <w:highlight w:val="none"/>
            </w:rPr>
            <w:t>基本规定</w:t>
          </w:r>
          <w:r>
            <w:rPr>
              <w:color w:val="auto"/>
              <w:highlight w:val="none"/>
            </w:rPr>
            <w:tab/>
          </w:r>
          <w:r>
            <w:rPr>
              <w:color w:val="auto"/>
              <w:highlight w:val="none"/>
            </w:rPr>
            <w:fldChar w:fldCharType="begin"/>
          </w:r>
          <w:r>
            <w:rPr>
              <w:color w:val="auto"/>
              <w:highlight w:val="none"/>
            </w:rPr>
            <w:instrText xml:space="preserve"> PAGEREF _Toc18381 \h </w:instrText>
          </w:r>
          <w:r>
            <w:rPr>
              <w:color w:val="auto"/>
              <w:highlight w:val="none"/>
            </w:rPr>
            <w:fldChar w:fldCharType="separate"/>
          </w:r>
          <w:r>
            <w:rPr>
              <w:color w:val="auto"/>
              <w:highlight w:val="none"/>
            </w:rPr>
            <w:t>3</w:t>
          </w:r>
          <w:r>
            <w:rPr>
              <w:color w:val="auto"/>
              <w:highlight w:val="none"/>
            </w:rPr>
            <w:fldChar w:fldCharType="end"/>
          </w:r>
          <w:r>
            <w:rPr>
              <w:bCs/>
              <w:color w:val="auto"/>
              <w:szCs w:val="21"/>
              <w:highlight w:val="none"/>
              <w:lang w:val="zh-CN"/>
            </w:rPr>
            <w:fldChar w:fldCharType="end"/>
          </w:r>
        </w:p>
        <w:p>
          <w:pPr>
            <w:pStyle w:val="8"/>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_Toc20866 </w:instrText>
          </w:r>
          <w:r>
            <w:rPr>
              <w:bCs/>
              <w:color w:val="auto"/>
              <w:szCs w:val="21"/>
              <w:highlight w:val="none"/>
              <w:lang w:val="zh-CN"/>
            </w:rPr>
            <w:fldChar w:fldCharType="separate"/>
          </w:r>
          <w:r>
            <w:rPr>
              <w:rFonts w:hint="eastAsia" w:eastAsia="宋体" w:cs="Times New Roman"/>
              <w:bCs/>
              <w:color w:val="auto"/>
              <w:szCs w:val="44"/>
              <w:highlight w:val="none"/>
              <w:lang w:val="en-US" w:eastAsia="zh-CN"/>
            </w:rPr>
            <w:t>4</w:t>
          </w:r>
          <w:r>
            <w:rPr>
              <w:rFonts w:hint="default" w:eastAsia="宋体" w:cs="Times New Roman"/>
              <w:bCs/>
              <w:color w:val="auto"/>
              <w:szCs w:val="44"/>
              <w:highlight w:val="none"/>
              <w:lang w:val="en-US"/>
            </w:rPr>
            <w:t xml:space="preserve"> </w:t>
          </w:r>
          <w:r>
            <w:rPr>
              <w:rFonts w:hint="eastAsia" w:eastAsia="宋体" w:cs="Times New Roman"/>
              <w:bCs/>
              <w:color w:val="auto"/>
              <w:szCs w:val="44"/>
              <w:highlight w:val="none"/>
              <w:lang w:val="en-US" w:eastAsia="zh-CN"/>
            </w:rPr>
            <w:t xml:space="preserve">  接地电阻检测</w:t>
          </w:r>
          <w:r>
            <w:rPr>
              <w:color w:val="auto"/>
              <w:highlight w:val="none"/>
            </w:rPr>
            <w:tab/>
          </w:r>
          <w:r>
            <w:rPr>
              <w:color w:val="auto"/>
              <w:highlight w:val="none"/>
            </w:rPr>
            <w:fldChar w:fldCharType="begin"/>
          </w:r>
          <w:r>
            <w:rPr>
              <w:color w:val="auto"/>
              <w:highlight w:val="none"/>
            </w:rPr>
            <w:instrText xml:space="preserve"> PAGEREF _Toc20866 \h </w:instrText>
          </w:r>
          <w:r>
            <w:rPr>
              <w:color w:val="auto"/>
              <w:highlight w:val="none"/>
            </w:rPr>
            <w:fldChar w:fldCharType="separate"/>
          </w:r>
          <w:r>
            <w:rPr>
              <w:color w:val="auto"/>
              <w:highlight w:val="none"/>
            </w:rPr>
            <w:t>4</w:t>
          </w:r>
          <w:r>
            <w:rPr>
              <w:color w:val="auto"/>
              <w:highlight w:val="none"/>
            </w:rPr>
            <w:fldChar w:fldCharType="end"/>
          </w:r>
          <w:r>
            <w:rPr>
              <w:bCs/>
              <w:color w:val="auto"/>
              <w:szCs w:val="21"/>
              <w:highlight w:val="none"/>
              <w:lang w:val="zh-CN"/>
            </w:rPr>
            <w:fldChar w:fldCharType="end"/>
          </w:r>
        </w:p>
        <w:p>
          <w:pPr>
            <w:pStyle w:val="9"/>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_Toc14997 </w:instrText>
          </w:r>
          <w:r>
            <w:rPr>
              <w:bCs/>
              <w:color w:val="auto"/>
              <w:szCs w:val="21"/>
              <w:highlight w:val="none"/>
              <w:lang w:val="zh-CN"/>
            </w:rPr>
            <w:fldChar w:fldCharType="separate"/>
          </w:r>
          <w:r>
            <w:rPr>
              <w:rFonts w:hint="eastAsia" w:ascii="宋体" w:hAnsi="宋体" w:eastAsia="宋体" w:cs="宋体"/>
              <w:color w:val="auto"/>
              <w:szCs w:val="21"/>
              <w:highlight w:val="none"/>
              <w:lang w:val="en-US" w:eastAsia="zh-CN"/>
            </w:rPr>
            <w:t>4</w:t>
          </w:r>
          <w:r>
            <w:rPr>
              <w:rFonts w:hint="default" w:ascii="宋体" w:hAnsi="宋体" w:eastAsia="宋体" w:cs="宋体"/>
              <w:color w:val="auto"/>
              <w:szCs w:val="21"/>
              <w:highlight w:val="none"/>
              <w:lang w:val="en-US" w:eastAsia="zh-CN"/>
            </w:rPr>
            <w:t xml:space="preserve">.1 </w:t>
          </w:r>
          <w:r>
            <w:rPr>
              <w:rFonts w:hint="eastAsia" w:ascii="宋体" w:hAnsi="宋体" w:eastAsia="宋体" w:cs="宋体"/>
              <w:color w:val="auto"/>
              <w:szCs w:val="21"/>
              <w:highlight w:val="none"/>
              <w:lang w:val="en-US" w:eastAsia="zh-CN"/>
            </w:rPr>
            <w:t xml:space="preserve"> 一般规定</w:t>
          </w:r>
          <w:r>
            <w:rPr>
              <w:color w:val="auto"/>
              <w:highlight w:val="none"/>
            </w:rPr>
            <w:tab/>
          </w:r>
          <w:r>
            <w:rPr>
              <w:color w:val="auto"/>
              <w:highlight w:val="none"/>
            </w:rPr>
            <w:fldChar w:fldCharType="begin"/>
          </w:r>
          <w:r>
            <w:rPr>
              <w:color w:val="auto"/>
              <w:highlight w:val="none"/>
            </w:rPr>
            <w:instrText xml:space="preserve"> PAGEREF _Toc14997 \h </w:instrText>
          </w:r>
          <w:r>
            <w:rPr>
              <w:color w:val="auto"/>
              <w:highlight w:val="none"/>
            </w:rPr>
            <w:fldChar w:fldCharType="separate"/>
          </w:r>
          <w:r>
            <w:rPr>
              <w:color w:val="auto"/>
              <w:highlight w:val="none"/>
            </w:rPr>
            <w:t>4</w:t>
          </w:r>
          <w:r>
            <w:rPr>
              <w:color w:val="auto"/>
              <w:highlight w:val="none"/>
            </w:rPr>
            <w:fldChar w:fldCharType="end"/>
          </w:r>
          <w:r>
            <w:rPr>
              <w:bCs/>
              <w:color w:val="auto"/>
              <w:szCs w:val="21"/>
              <w:highlight w:val="none"/>
              <w:lang w:val="zh-CN"/>
            </w:rPr>
            <w:fldChar w:fldCharType="end"/>
          </w:r>
        </w:p>
        <w:p>
          <w:pPr>
            <w:pStyle w:val="9"/>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_Toc27573 </w:instrText>
          </w:r>
          <w:r>
            <w:rPr>
              <w:bCs/>
              <w:color w:val="auto"/>
              <w:szCs w:val="21"/>
              <w:highlight w:val="none"/>
              <w:lang w:val="zh-CN"/>
            </w:rPr>
            <w:fldChar w:fldCharType="separate"/>
          </w:r>
          <w:r>
            <w:rPr>
              <w:rFonts w:hint="eastAsia" w:ascii="宋体" w:hAnsi="宋体" w:eastAsia="宋体" w:cs="宋体"/>
              <w:color w:val="auto"/>
              <w:szCs w:val="21"/>
              <w:highlight w:val="none"/>
              <w:lang w:val="en-US" w:eastAsia="zh-CN"/>
            </w:rPr>
            <w:t>4</w:t>
          </w:r>
          <w:r>
            <w:rPr>
              <w:rFonts w:hint="default"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en-US" w:eastAsia="zh-CN"/>
            </w:rPr>
            <w:t>2</w:t>
          </w:r>
          <w:r>
            <w:rPr>
              <w:rFonts w:hint="default"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t xml:space="preserve"> 检测部位和检测数量</w:t>
          </w:r>
          <w:r>
            <w:rPr>
              <w:color w:val="auto"/>
              <w:highlight w:val="none"/>
            </w:rPr>
            <w:tab/>
          </w:r>
          <w:r>
            <w:rPr>
              <w:color w:val="auto"/>
              <w:highlight w:val="none"/>
            </w:rPr>
            <w:fldChar w:fldCharType="begin"/>
          </w:r>
          <w:r>
            <w:rPr>
              <w:color w:val="auto"/>
              <w:highlight w:val="none"/>
            </w:rPr>
            <w:instrText xml:space="preserve"> PAGEREF _Toc27573 \h </w:instrText>
          </w:r>
          <w:r>
            <w:rPr>
              <w:color w:val="auto"/>
              <w:highlight w:val="none"/>
            </w:rPr>
            <w:fldChar w:fldCharType="separate"/>
          </w:r>
          <w:r>
            <w:rPr>
              <w:color w:val="auto"/>
              <w:highlight w:val="none"/>
            </w:rPr>
            <w:t>4</w:t>
          </w:r>
          <w:r>
            <w:rPr>
              <w:color w:val="auto"/>
              <w:highlight w:val="none"/>
            </w:rPr>
            <w:fldChar w:fldCharType="end"/>
          </w:r>
          <w:r>
            <w:rPr>
              <w:bCs/>
              <w:color w:val="auto"/>
              <w:szCs w:val="21"/>
              <w:highlight w:val="none"/>
              <w:lang w:val="zh-CN"/>
            </w:rPr>
            <w:fldChar w:fldCharType="end"/>
          </w:r>
        </w:p>
        <w:p>
          <w:pPr>
            <w:pStyle w:val="9"/>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_Toc22143 </w:instrText>
          </w:r>
          <w:r>
            <w:rPr>
              <w:bCs/>
              <w:color w:val="auto"/>
              <w:szCs w:val="21"/>
              <w:highlight w:val="none"/>
              <w:lang w:val="zh-CN"/>
            </w:rPr>
            <w:fldChar w:fldCharType="separate"/>
          </w:r>
          <w:r>
            <w:rPr>
              <w:rFonts w:hint="eastAsia" w:ascii="宋体" w:hAnsi="宋体" w:eastAsia="宋体" w:cs="宋体"/>
              <w:color w:val="auto"/>
              <w:szCs w:val="21"/>
              <w:highlight w:val="none"/>
              <w:lang w:val="en-US" w:eastAsia="zh-CN"/>
            </w:rPr>
            <w:t>4.3  检测方法</w:t>
          </w:r>
          <w:r>
            <w:rPr>
              <w:color w:val="auto"/>
              <w:highlight w:val="none"/>
            </w:rPr>
            <w:tab/>
          </w:r>
          <w:r>
            <w:rPr>
              <w:color w:val="auto"/>
              <w:highlight w:val="none"/>
            </w:rPr>
            <w:fldChar w:fldCharType="begin"/>
          </w:r>
          <w:r>
            <w:rPr>
              <w:color w:val="auto"/>
              <w:highlight w:val="none"/>
            </w:rPr>
            <w:instrText xml:space="preserve"> PAGEREF _Toc22143 \h </w:instrText>
          </w:r>
          <w:r>
            <w:rPr>
              <w:color w:val="auto"/>
              <w:highlight w:val="none"/>
            </w:rPr>
            <w:fldChar w:fldCharType="separate"/>
          </w:r>
          <w:r>
            <w:rPr>
              <w:color w:val="auto"/>
              <w:highlight w:val="none"/>
            </w:rPr>
            <w:t>4</w:t>
          </w:r>
          <w:r>
            <w:rPr>
              <w:color w:val="auto"/>
              <w:highlight w:val="none"/>
            </w:rPr>
            <w:fldChar w:fldCharType="end"/>
          </w:r>
          <w:r>
            <w:rPr>
              <w:bCs/>
              <w:color w:val="auto"/>
              <w:szCs w:val="21"/>
              <w:highlight w:val="none"/>
              <w:lang w:val="zh-CN"/>
            </w:rPr>
            <w:fldChar w:fldCharType="end"/>
          </w:r>
        </w:p>
        <w:p>
          <w:pPr>
            <w:pStyle w:val="9"/>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_Toc4626 </w:instrText>
          </w:r>
          <w:r>
            <w:rPr>
              <w:bCs/>
              <w:color w:val="auto"/>
              <w:szCs w:val="21"/>
              <w:highlight w:val="none"/>
              <w:lang w:val="zh-CN"/>
            </w:rPr>
            <w:fldChar w:fldCharType="separate"/>
          </w:r>
          <w:r>
            <w:rPr>
              <w:rFonts w:hint="eastAsia" w:ascii="宋体" w:hAnsi="宋体" w:eastAsia="宋体" w:cs="宋体"/>
              <w:color w:val="auto"/>
              <w:szCs w:val="21"/>
              <w:highlight w:val="none"/>
              <w:lang w:val="en-US" w:eastAsia="zh-CN"/>
            </w:rPr>
            <w:t>4.4  检测结果的评价</w:t>
          </w:r>
          <w:r>
            <w:rPr>
              <w:color w:val="auto"/>
              <w:highlight w:val="none"/>
            </w:rPr>
            <w:tab/>
          </w:r>
          <w:r>
            <w:rPr>
              <w:color w:val="auto"/>
              <w:highlight w:val="none"/>
            </w:rPr>
            <w:fldChar w:fldCharType="begin"/>
          </w:r>
          <w:r>
            <w:rPr>
              <w:color w:val="auto"/>
              <w:highlight w:val="none"/>
            </w:rPr>
            <w:instrText xml:space="preserve"> PAGEREF _Toc4626 \h </w:instrText>
          </w:r>
          <w:r>
            <w:rPr>
              <w:color w:val="auto"/>
              <w:highlight w:val="none"/>
            </w:rPr>
            <w:fldChar w:fldCharType="separate"/>
          </w:r>
          <w:r>
            <w:rPr>
              <w:color w:val="auto"/>
              <w:highlight w:val="none"/>
            </w:rPr>
            <w:t>5</w:t>
          </w:r>
          <w:r>
            <w:rPr>
              <w:color w:val="auto"/>
              <w:highlight w:val="none"/>
            </w:rPr>
            <w:fldChar w:fldCharType="end"/>
          </w:r>
          <w:r>
            <w:rPr>
              <w:bCs/>
              <w:color w:val="auto"/>
              <w:szCs w:val="21"/>
              <w:highlight w:val="none"/>
              <w:lang w:val="zh-CN"/>
            </w:rPr>
            <w:fldChar w:fldCharType="end"/>
          </w:r>
        </w:p>
        <w:p>
          <w:pPr>
            <w:pStyle w:val="8"/>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_Toc18490 </w:instrText>
          </w:r>
          <w:r>
            <w:rPr>
              <w:bCs/>
              <w:color w:val="auto"/>
              <w:szCs w:val="21"/>
              <w:highlight w:val="none"/>
              <w:lang w:val="zh-CN"/>
            </w:rPr>
            <w:fldChar w:fldCharType="separate"/>
          </w:r>
          <w:r>
            <w:rPr>
              <w:rFonts w:hint="eastAsia" w:eastAsia="宋体" w:cs="Times New Roman"/>
              <w:bCs/>
              <w:color w:val="auto"/>
              <w:szCs w:val="44"/>
              <w:highlight w:val="none"/>
            </w:rPr>
            <w:t>5</w:t>
          </w:r>
          <w:r>
            <w:rPr>
              <w:rFonts w:eastAsia="宋体" w:cs="Times New Roman"/>
              <w:bCs/>
              <w:color w:val="auto"/>
              <w:szCs w:val="44"/>
              <w:highlight w:val="none"/>
            </w:rPr>
            <w:t xml:space="preserve"> </w:t>
          </w:r>
          <w:r>
            <w:rPr>
              <w:rFonts w:hint="eastAsia" w:eastAsia="宋体" w:cs="Times New Roman"/>
              <w:bCs/>
              <w:color w:val="auto"/>
              <w:szCs w:val="44"/>
              <w:highlight w:val="none"/>
              <w:lang w:val="en-US" w:eastAsia="zh-CN"/>
            </w:rPr>
            <w:t xml:space="preserve"> </w:t>
          </w:r>
          <w:r>
            <w:rPr>
              <w:rFonts w:hint="eastAsia" w:eastAsia="宋体" w:cs="Times New Roman"/>
              <w:bCs/>
              <w:color w:val="auto"/>
              <w:szCs w:val="44"/>
              <w:highlight w:val="none"/>
            </w:rPr>
            <w:t xml:space="preserve"> 过渡电阻检测</w:t>
          </w:r>
          <w:r>
            <w:rPr>
              <w:color w:val="auto"/>
              <w:highlight w:val="none"/>
            </w:rPr>
            <w:tab/>
          </w:r>
          <w:r>
            <w:rPr>
              <w:color w:val="auto"/>
              <w:highlight w:val="none"/>
            </w:rPr>
            <w:fldChar w:fldCharType="begin"/>
          </w:r>
          <w:r>
            <w:rPr>
              <w:color w:val="auto"/>
              <w:highlight w:val="none"/>
            </w:rPr>
            <w:instrText xml:space="preserve"> PAGEREF _Toc18490 \h </w:instrText>
          </w:r>
          <w:r>
            <w:rPr>
              <w:color w:val="auto"/>
              <w:highlight w:val="none"/>
            </w:rPr>
            <w:fldChar w:fldCharType="separate"/>
          </w:r>
          <w:r>
            <w:rPr>
              <w:color w:val="auto"/>
              <w:highlight w:val="none"/>
            </w:rPr>
            <w:t>7</w:t>
          </w:r>
          <w:r>
            <w:rPr>
              <w:color w:val="auto"/>
              <w:highlight w:val="none"/>
            </w:rPr>
            <w:fldChar w:fldCharType="end"/>
          </w:r>
          <w:r>
            <w:rPr>
              <w:bCs/>
              <w:color w:val="auto"/>
              <w:szCs w:val="21"/>
              <w:highlight w:val="none"/>
              <w:lang w:val="zh-CN"/>
            </w:rPr>
            <w:fldChar w:fldCharType="end"/>
          </w:r>
        </w:p>
        <w:p>
          <w:pPr>
            <w:pStyle w:val="9"/>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_Toc5387 </w:instrText>
          </w:r>
          <w:r>
            <w:rPr>
              <w:bCs/>
              <w:color w:val="auto"/>
              <w:szCs w:val="21"/>
              <w:highlight w:val="none"/>
              <w:lang w:val="zh-CN"/>
            </w:rPr>
            <w:fldChar w:fldCharType="separate"/>
          </w:r>
          <w:r>
            <w:rPr>
              <w:rFonts w:hint="eastAsia" w:ascii="宋体" w:hAnsi="宋体" w:eastAsia="宋体" w:cs="宋体"/>
              <w:color w:val="auto"/>
              <w:szCs w:val="21"/>
              <w:highlight w:val="none"/>
            </w:rPr>
            <w:t>5</w:t>
          </w:r>
          <w:r>
            <w:rPr>
              <w:rFonts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 xml:space="preserve">  一般规定</w:t>
          </w:r>
          <w:r>
            <w:rPr>
              <w:color w:val="auto"/>
              <w:highlight w:val="none"/>
            </w:rPr>
            <w:tab/>
          </w:r>
          <w:r>
            <w:rPr>
              <w:color w:val="auto"/>
              <w:highlight w:val="none"/>
            </w:rPr>
            <w:fldChar w:fldCharType="begin"/>
          </w:r>
          <w:r>
            <w:rPr>
              <w:color w:val="auto"/>
              <w:highlight w:val="none"/>
            </w:rPr>
            <w:instrText xml:space="preserve"> PAGEREF _Toc5387 \h </w:instrText>
          </w:r>
          <w:r>
            <w:rPr>
              <w:color w:val="auto"/>
              <w:highlight w:val="none"/>
            </w:rPr>
            <w:fldChar w:fldCharType="separate"/>
          </w:r>
          <w:r>
            <w:rPr>
              <w:color w:val="auto"/>
              <w:highlight w:val="none"/>
            </w:rPr>
            <w:t>7</w:t>
          </w:r>
          <w:r>
            <w:rPr>
              <w:color w:val="auto"/>
              <w:highlight w:val="none"/>
            </w:rPr>
            <w:fldChar w:fldCharType="end"/>
          </w:r>
          <w:r>
            <w:rPr>
              <w:bCs/>
              <w:color w:val="auto"/>
              <w:szCs w:val="21"/>
              <w:highlight w:val="none"/>
              <w:lang w:val="zh-CN"/>
            </w:rPr>
            <w:fldChar w:fldCharType="end"/>
          </w:r>
        </w:p>
        <w:p>
          <w:pPr>
            <w:pStyle w:val="9"/>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_Toc8938 </w:instrText>
          </w:r>
          <w:r>
            <w:rPr>
              <w:bCs/>
              <w:color w:val="auto"/>
              <w:szCs w:val="21"/>
              <w:highlight w:val="none"/>
              <w:lang w:val="zh-CN"/>
            </w:rPr>
            <w:fldChar w:fldCharType="separate"/>
          </w:r>
          <w:r>
            <w:rPr>
              <w:rFonts w:hint="eastAsia" w:ascii="宋体" w:hAnsi="宋体" w:eastAsia="宋体" w:cs="宋体"/>
              <w:color w:val="auto"/>
              <w:szCs w:val="21"/>
              <w:highlight w:val="none"/>
            </w:rPr>
            <w:t>5</w:t>
          </w:r>
          <w:r>
            <w:rPr>
              <w:rFonts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检测部位和检测数量</w:t>
          </w:r>
          <w:r>
            <w:rPr>
              <w:color w:val="auto"/>
              <w:highlight w:val="none"/>
            </w:rPr>
            <w:tab/>
          </w:r>
          <w:r>
            <w:rPr>
              <w:color w:val="auto"/>
              <w:highlight w:val="none"/>
            </w:rPr>
            <w:fldChar w:fldCharType="begin"/>
          </w:r>
          <w:r>
            <w:rPr>
              <w:color w:val="auto"/>
              <w:highlight w:val="none"/>
            </w:rPr>
            <w:instrText xml:space="preserve"> PAGEREF _Toc8938 \h </w:instrText>
          </w:r>
          <w:r>
            <w:rPr>
              <w:color w:val="auto"/>
              <w:highlight w:val="none"/>
            </w:rPr>
            <w:fldChar w:fldCharType="separate"/>
          </w:r>
          <w:r>
            <w:rPr>
              <w:color w:val="auto"/>
              <w:highlight w:val="none"/>
            </w:rPr>
            <w:t>7</w:t>
          </w:r>
          <w:r>
            <w:rPr>
              <w:color w:val="auto"/>
              <w:highlight w:val="none"/>
            </w:rPr>
            <w:fldChar w:fldCharType="end"/>
          </w:r>
          <w:r>
            <w:rPr>
              <w:bCs/>
              <w:color w:val="auto"/>
              <w:szCs w:val="21"/>
              <w:highlight w:val="none"/>
              <w:lang w:val="zh-CN"/>
            </w:rPr>
            <w:fldChar w:fldCharType="end"/>
          </w:r>
        </w:p>
        <w:p>
          <w:pPr>
            <w:pStyle w:val="9"/>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_Toc5582 </w:instrText>
          </w:r>
          <w:r>
            <w:rPr>
              <w:bCs/>
              <w:color w:val="auto"/>
              <w:szCs w:val="21"/>
              <w:highlight w:val="none"/>
              <w:lang w:val="zh-CN"/>
            </w:rPr>
            <w:fldChar w:fldCharType="separate"/>
          </w:r>
          <w:r>
            <w:rPr>
              <w:rFonts w:hint="eastAsia" w:ascii="宋体" w:hAnsi="宋体" w:eastAsia="宋体" w:cs="宋体"/>
              <w:color w:val="auto"/>
              <w:szCs w:val="21"/>
              <w:highlight w:val="none"/>
              <w:lang w:val="en-US" w:eastAsia="zh-CN"/>
            </w:rPr>
            <w:t>5.3  检测方法</w:t>
          </w:r>
          <w:r>
            <w:rPr>
              <w:color w:val="auto"/>
              <w:highlight w:val="none"/>
            </w:rPr>
            <w:tab/>
          </w:r>
          <w:r>
            <w:rPr>
              <w:color w:val="auto"/>
              <w:highlight w:val="none"/>
            </w:rPr>
            <w:fldChar w:fldCharType="begin"/>
          </w:r>
          <w:r>
            <w:rPr>
              <w:color w:val="auto"/>
              <w:highlight w:val="none"/>
            </w:rPr>
            <w:instrText xml:space="preserve"> PAGEREF _Toc5582 \h </w:instrText>
          </w:r>
          <w:r>
            <w:rPr>
              <w:color w:val="auto"/>
              <w:highlight w:val="none"/>
            </w:rPr>
            <w:fldChar w:fldCharType="separate"/>
          </w:r>
          <w:r>
            <w:rPr>
              <w:color w:val="auto"/>
              <w:highlight w:val="none"/>
            </w:rPr>
            <w:t>8</w:t>
          </w:r>
          <w:r>
            <w:rPr>
              <w:color w:val="auto"/>
              <w:highlight w:val="none"/>
            </w:rPr>
            <w:fldChar w:fldCharType="end"/>
          </w:r>
          <w:r>
            <w:rPr>
              <w:bCs/>
              <w:color w:val="auto"/>
              <w:szCs w:val="21"/>
              <w:highlight w:val="none"/>
              <w:lang w:val="zh-CN"/>
            </w:rPr>
            <w:fldChar w:fldCharType="end"/>
          </w:r>
        </w:p>
        <w:p>
          <w:pPr>
            <w:pStyle w:val="9"/>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_Toc15182 </w:instrText>
          </w:r>
          <w:r>
            <w:rPr>
              <w:bCs/>
              <w:color w:val="auto"/>
              <w:szCs w:val="21"/>
              <w:highlight w:val="none"/>
              <w:lang w:val="zh-CN"/>
            </w:rPr>
            <w:fldChar w:fldCharType="separate"/>
          </w:r>
          <w:r>
            <w:rPr>
              <w:rFonts w:hint="eastAsia" w:ascii="宋体" w:hAnsi="宋体" w:eastAsia="宋体" w:cs="宋体"/>
              <w:color w:val="auto"/>
              <w:szCs w:val="21"/>
              <w:highlight w:val="none"/>
              <w:lang w:val="en-US" w:eastAsia="zh-CN"/>
            </w:rPr>
            <w:t>5.4  检测结果的评价</w:t>
          </w:r>
          <w:r>
            <w:rPr>
              <w:color w:val="auto"/>
              <w:highlight w:val="none"/>
            </w:rPr>
            <w:tab/>
          </w:r>
          <w:r>
            <w:rPr>
              <w:color w:val="auto"/>
              <w:highlight w:val="none"/>
            </w:rPr>
            <w:fldChar w:fldCharType="begin"/>
          </w:r>
          <w:r>
            <w:rPr>
              <w:color w:val="auto"/>
              <w:highlight w:val="none"/>
            </w:rPr>
            <w:instrText xml:space="preserve"> PAGEREF _Toc15182 \h </w:instrText>
          </w:r>
          <w:r>
            <w:rPr>
              <w:color w:val="auto"/>
              <w:highlight w:val="none"/>
            </w:rPr>
            <w:fldChar w:fldCharType="separate"/>
          </w:r>
          <w:r>
            <w:rPr>
              <w:color w:val="auto"/>
              <w:highlight w:val="none"/>
            </w:rPr>
            <w:t>8</w:t>
          </w:r>
          <w:r>
            <w:rPr>
              <w:color w:val="auto"/>
              <w:highlight w:val="none"/>
            </w:rPr>
            <w:fldChar w:fldCharType="end"/>
          </w:r>
          <w:r>
            <w:rPr>
              <w:bCs/>
              <w:color w:val="auto"/>
              <w:szCs w:val="21"/>
              <w:highlight w:val="none"/>
              <w:lang w:val="zh-CN"/>
            </w:rPr>
            <w:fldChar w:fldCharType="end"/>
          </w:r>
        </w:p>
        <w:p>
          <w:pPr>
            <w:pStyle w:val="8"/>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_Toc5433 </w:instrText>
          </w:r>
          <w:r>
            <w:rPr>
              <w:bCs/>
              <w:color w:val="auto"/>
              <w:szCs w:val="21"/>
              <w:highlight w:val="none"/>
              <w:lang w:val="zh-CN"/>
            </w:rPr>
            <w:fldChar w:fldCharType="separate"/>
          </w:r>
          <w:r>
            <w:rPr>
              <w:rFonts w:eastAsia="宋体" w:cs="Times New Roman"/>
              <w:bCs/>
              <w:color w:val="auto"/>
              <w:szCs w:val="44"/>
              <w:highlight w:val="none"/>
            </w:rPr>
            <w:t>6</w:t>
          </w:r>
          <w:r>
            <w:rPr>
              <w:rFonts w:hint="eastAsia" w:eastAsia="宋体" w:cs="Times New Roman"/>
              <w:bCs/>
              <w:color w:val="auto"/>
              <w:szCs w:val="44"/>
              <w:highlight w:val="none"/>
              <w:lang w:val="en-US" w:eastAsia="zh-CN"/>
            </w:rPr>
            <w:t xml:space="preserve">   </w:t>
          </w:r>
          <w:r>
            <w:rPr>
              <w:rFonts w:hint="eastAsia" w:eastAsia="宋体" w:cs="Times New Roman"/>
              <w:bCs/>
              <w:color w:val="auto"/>
              <w:szCs w:val="44"/>
              <w:highlight w:val="none"/>
            </w:rPr>
            <w:t>绝缘电阻检测</w:t>
          </w:r>
          <w:r>
            <w:rPr>
              <w:color w:val="auto"/>
              <w:highlight w:val="none"/>
            </w:rPr>
            <w:tab/>
          </w:r>
          <w:r>
            <w:rPr>
              <w:color w:val="auto"/>
              <w:highlight w:val="none"/>
            </w:rPr>
            <w:fldChar w:fldCharType="begin"/>
          </w:r>
          <w:r>
            <w:rPr>
              <w:color w:val="auto"/>
              <w:highlight w:val="none"/>
            </w:rPr>
            <w:instrText xml:space="preserve"> PAGEREF _Toc5433 \h </w:instrText>
          </w:r>
          <w:r>
            <w:rPr>
              <w:color w:val="auto"/>
              <w:highlight w:val="none"/>
            </w:rPr>
            <w:fldChar w:fldCharType="separate"/>
          </w:r>
          <w:r>
            <w:rPr>
              <w:color w:val="auto"/>
              <w:highlight w:val="none"/>
            </w:rPr>
            <w:t>9</w:t>
          </w:r>
          <w:r>
            <w:rPr>
              <w:color w:val="auto"/>
              <w:highlight w:val="none"/>
            </w:rPr>
            <w:fldChar w:fldCharType="end"/>
          </w:r>
          <w:r>
            <w:rPr>
              <w:bCs/>
              <w:color w:val="auto"/>
              <w:szCs w:val="21"/>
              <w:highlight w:val="none"/>
              <w:lang w:val="zh-CN"/>
            </w:rPr>
            <w:fldChar w:fldCharType="end"/>
          </w:r>
        </w:p>
        <w:p>
          <w:pPr>
            <w:pStyle w:val="9"/>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_Toc6503 </w:instrText>
          </w:r>
          <w:r>
            <w:rPr>
              <w:bCs/>
              <w:color w:val="auto"/>
              <w:szCs w:val="21"/>
              <w:highlight w:val="none"/>
              <w:lang w:val="zh-CN"/>
            </w:rPr>
            <w:fldChar w:fldCharType="separate"/>
          </w:r>
          <w:r>
            <w:rPr>
              <w:rFonts w:ascii="宋体" w:hAnsi="宋体" w:eastAsia="宋体" w:cs="宋体"/>
              <w:color w:val="auto"/>
              <w:szCs w:val="21"/>
              <w:highlight w:val="none"/>
            </w:rPr>
            <w:t>6.1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一般规定</w:t>
          </w:r>
          <w:r>
            <w:rPr>
              <w:color w:val="auto"/>
              <w:highlight w:val="none"/>
            </w:rPr>
            <w:tab/>
          </w:r>
          <w:r>
            <w:rPr>
              <w:color w:val="auto"/>
              <w:highlight w:val="none"/>
            </w:rPr>
            <w:fldChar w:fldCharType="begin"/>
          </w:r>
          <w:r>
            <w:rPr>
              <w:color w:val="auto"/>
              <w:highlight w:val="none"/>
            </w:rPr>
            <w:instrText xml:space="preserve"> PAGEREF _Toc6503 \h </w:instrText>
          </w:r>
          <w:r>
            <w:rPr>
              <w:color w:val="auto"/>
              <w:highlight w:val="none"/>
            </w:rPr>
            <w:fldChar w:fldCharType="separate"/>
          </w:r>
          <w:r>
            <w:rPr>
              <w:color w:val="auto"/>
              <w:highlight w:val="none"/>
            </w:rPr>
            <w:t>9</w:t>
          </w:r>
          <w:r>
            <w:rPr>
              <w:color w:val="auto"/>
              <w:highlight w:val="none"/>
            </w:rPr>
            <w:fldChar w:fldCharType="end"/>
          </w:r>
          <w:r>
            <w:rPr>
              <w:bCs/>
              <w:color w:val="auto"/>
              <w:szCs w:val="21"/>
              <w:highlight w:val="none"/>
              <w:lang w:val="zh-CN"/>
            </w:rPr>
            <w:fldChar w:fldCharType="end"/>
          </w:r>
        </w:p>
        <w:p>
          <w:pPr>
            <w:pStyle w:val="9"/>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_Toc17277 </w:instrText>
          </w:r>
          <w:r>
            <w:rPr>
              <w:bCs/>
              <w:color w:val="auto"/>
              <w:szCs w:val="21"/>
              <w:highlight w:val="none"/>
              <w:lang w:val="zh-CN"/>
            </w:rPr>
            <w:fldChar w:fldCharType="separate"/>
          </w:r>
          <w:r>
            <w:rPr>
              <w:rFonts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检测部位和检测数量</w:t>
          </w:r>
          <w:r>
            <w:rPr>
              <w:color w:val="auto"/>
              <w:highlight w:val="none"/>
            </w:rPr>
            <w:tab/>
          </w:r>
          <w:r>
            <w:rPr>
              <w:color w:val="auto"/>
              <w:highlight w:val="none"/>
            </w:rPr>
            <w:fldChar w:fldCharType="begin"/>
          </w:r>
          <w:r>
            <w:rPr>
              <w:color w:val="auto"/>
              <w:highlight w:val="none"/>
            </w:rPr>
            <w:instrText xml:space="preserve"> PAGEREF _Toc17277 \h </w:instrText>
          </w:r>
          <w:r>
            <w:rPr>
              <w:color w:val="auto"/>
              <w:highlight w:val="none"/>
            </w:rPr>
            <w:fldChar w:fldCharType="separate"/>
          </w:r>
          <w:r>
            <w:rPr>
              <w:color w:val="auto"/>
              <w:highlight w:val="none"/>
            </w:rPr>
            <w:t>9</w:t>
          </w:r>
          <w:r>
            <w:rPr>
              <w:color w:val="auto"/>
              <w:highlight w:val="none"/>
            </w:rPr>
            <w:fldChar w:fldCharType="end"/>
          </w:r>
          <w:r>
            <w:rPr>
              <w:bCs/>
              <w:color w:val="auto"/>
              <w:szCs w:val="21"/>
              <w:highlight w:val="none"/>
              <w:lang w:val="zh-CN"/>
            </w:rPr>
            <w:fldChar w:fldCharType="end"/>
          </w:r>
        </w:p>
        <w:p>
          <w:pPr>
            <w:pStyle w:val="9"/>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_Toc7180 </w:instrText>
          </w:r>
          <w:r>
            <w:rPr>
              <w:bCs/>
              <w:color w:val="auto"/>
              <w:szCs w:val="21"/>
              <w:highlight w:val="none"/>
              <w:lang w:val="zh-CN"/>
            </w:rPr>
            <w:fldChar w:fldCharType="separate"/>
          </w:r>
          <w:r>
            <w:rPr>
              <w:rFonts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 xml:space="preserve">3  </w:t>
          </w:r>
          <w:r>
            <w:rPr>
              <w:rFonts w:hint="eastAsia" w:ascii="宋体" w:hAnsi="宋体" w:eastAsia="宋体" w:cs="宋体"/>
              <w:color w:val="auto"/>
              <w:szCs w:val="21"/>
              <w:highlight w:val="none"/>
            </w:rPr>
            <w:t>检测方法</w:t>
          </w:r>
          <w:r>
            <w:rPr>
              <w:color w:val="auto"/>
              <w:highlight w:val="none"/>
            </w:rPr>
            <w:tab/>
          </w:r>
          <w:r>
            <w:rPr>
              <w:color w:val="auto"/>
              <w:highlight w:val="none"/>
            </w:rPr>
            <w:fldChar w:fldCharType="begin"/>
          </w:r>
          <w:r>
            <w:rPr>
              <w:color w:val="auto"/>
              <w:highlight w:val="none"/>
            </w:rPr>
            <w:instrText xml:space="preserve"> PAGEREF _Toc7180 \h </w:instrText>
          </w:r>
          <w:r>
            <w:rPr>
              <w:color w:val="auto"/>
              <w:highlight w:val="none"/>
            </w:rPr>
            <w:fldChar w:fldCharType="separate"/>
          </w:r>
          <w:r>
            <w:rPr>
              <w:color w:val="auto"/>
              <w:highlight w:val="none"/>
            </w:rPr>
            <w:t>10</w:t>
          </w:r>
          <w:r>
            <w:rPr>
              <w:color w:val="auto"/>
              <w:highlight w:val="none"/>
            </w:rPr>
            <w:fldChar w:fldCharType="end"/>
          </w:r>
          <w:r>
            <w:rPr>
              <w:bCs/>
              <w:color w:val="auto"/>
              <w:szCs w:val="21"/>
              <w:highlight w:val="none"/>
              <w:lang w:val="zh-CN"/>
            </w:rPr>
            <w:fldChar w:fldCharType="end"/>
          </w:r>
        </w:p>
        <w:p>
          <w:pPr>
            <w:pStyle w:val="9"/>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_Toc24022 </w:instrText>
          </w:r>
          <w:r>
            <w:rPr>
              <w:bCs/>
              <w:color w:val="auto"/>
              <w:szCs w:val="21"/>
              <w:highlight w:val="none"/>
              <w:lang w:val="zh-CN"/>
            </w:rPr>
            <w:fldChar w:fldCharType="separate"/>
          </w:r>
          <w:r>
            <w:rPr>
              <w:rFonts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 xml:space="preserve">4  </w:t>
          </w:r>
          <w:r>
            <w:rPr>
              <w:rFonts w:hint="eastAsia" w:ascii="宋体" w:hAnsi="宋体" w:eastAsia="宋体" w:cs="宋体"/>
              <w:color w:val="auto"/>
              <w:szCs w:val="21"/>
              <w:highlight w:val="none"/>
            </w:rPr>
            <w:t>检测结果</w:t>
          </w:r>
          <w:r>
            <w:rPr>
              <w:rFonts w:hint="eastAsia" w:ascii="宋体" w:hAnsi="宋体" w:eastAsia="宋体" w:cs="宋体"/>
              <w:color w:val="auto"/>
              <w:szCs w:val="21"/>
              <w:highlight w:val="none"/>
              <w:lang w:val="en-US" w:eastAsia="zh-CN"/>
            </w:rPr>
            <w:t>的评价</w:t>
          </w:r>
          <w:r>
            <w:rPr>
              <w:color w:val="auto"/>
              <w:highlight w:val="none"/>
            </w:rPr>
            <w:tab/>
          </w:r>
          <w:r>
            <w:rPr>
              <w:color w:val="auto"/>
              <w:highlight w:val="none"/>
            </w:rPr>
            <w:fldChar w:fldCharType="begin"/>
          </w:r>
          <w:r>
            <w:rPr>
              <w:color w:val="auto"/>
              <w:highlight w:val="none"/>
            </w:rPr>
            <w:instrText xml:space="preserve"> PAGEREF _Toc24022 \h </w:instrText>
          </w:r>
          <w:r>
            <w:rPr>
              <w:color w:val="auto"/>
              <w:highlight w:val="none"/>
            </w:rPr>
            <w:fldChar w:fldCharType="separate"/>
          </w:r>
          <w:r>
            <w:rPr>
              <w:color w:val="auto"/>
              <w:highlight w:val="none"/>
            </w:rPr>
            <w:t>11</w:t>
          </w:r>
          <w:r>
            <w:rPr>
              <w:color w:val="auto"/>
              <w:highlight w:val="none"/>
            </w:rPr>
            <w:fldChar w:fldCharType="end"/>
          </w:r>
          <w:r>
            <w:rPr>
              <w:bCs/>
              <w:color w:val="auto"/>
              <w:szCs w:val="21"/>
              <w:highlight w:val="none"/>
              <w:lang w:val="zh-CN"/>
            </w:rPr>
            <w:fldChar w:fldCharType="end"/>
          </w:r>
        </w:p>
        <w:p>
          <w:pPr>
            <w:pStyle w:val="8"/>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_Toc1606 </w:instrText>
          </w:r>
          <w:r>
            <w:rPr>
              <w:bCs/>
              <w:color w:val="auto"/>
              <w:szCs w:val="21"/>
              <w:highlight w:val="none"/>
              <w:lang w:val="zh-CN"/>
            </w:rPr>
            <w:fldChar w:fldCharType="separate"/>
          </w:r>
          <w:r>
            <w:rPr>
              <w:rFonts w:hint="eastAsia" w:eastAsia="宋体" w:cs="Times New Roman"/>
              <w:bCs/>
              <w:color w:val="auto"/>
              <w:szCs w:val="44"/>
              <w:highlight w:val="none"/>
            </w:rPr>
            <w:t xml:space="preserve">7 </w:t>
          </w:r>
          <w:r>
            <w:rPr>
              <w:rFonts w:hint="eastAsia" w:eastAsia="宋体" w:cs="Times New Roman"/>
              <w:bCs/>
              <w:color w:val="auto"/>
              <w:szCs w:val="44"/>
              <w:highlight w:val="none"/>
              <w:lang w:val="en-US" w:eastAsia="zh-CN"/>
            </w:rPr>
            <w:t xml:space="preserve">  </w:t>
          </w:r>
          <w:r>
            <w:rPr>
              <w:rFonts w:hint="eastAsia" w:eastAsia="宋体" w:cs="Times New Roman"/>
              <w:bCs/>
              <w:color w:val="auto"/>
              <w:szCs w:val="44"/>
              <w:highlight w:val="none"/>
            </w:rPr>
            <w:t>交流工频耐压试验</w:t>
          </w:r>
          <w:r>
            <w:rPr>
              <w:color w:val="auto"/>
              <w:highlight w:val="none"/>
            </w:rPr>
            <w:tab/>
          </w:r>
          <w:r>
            <w:rPr>
              <w:color w:val="auto"/>
              <w:highlight w:val="none"/>
            </w:rPr>
            <w:fldChar w:fldCharType="begin"/>
          </w:r>
          <w:r>
            <w:rPr>
              <w:color w:val="auto"/>
              <w:highlight w:val="none"/>
            </w:rPr>
            <w:instrText xml:space="preserve"> PAGEREF _Toc1606 \h </w:instrText>
          </w:r>
          <w:r>
            <w:rPr>
              <w:color w:val="auto"/>
              <w:highlight w:val="none"/>
            </w:rPr>
            <w:fldChar w:fldCharType="separate"/>
          </w:r>
          <w:r>
            <w:rPr>
              <w:color w:val="auto"/>
              <w:highlight w:val="none"/>
            </w:rPr>
            <w:t>12</w:t>
          </w:r>
          <w:r>
            <w:rPr>
              <w:color w:val="auto"/>
              <w:highlight w:val="none"/>
            </w:rPr>
            <w:fldChar w:fldCharType="end"/>
          </w:r>
          <w:r>
            <w:rPr>
              <w:bCs/>
              <w:color w:val="auto"/>
              <w:szCs w:val="21"/>
              <w:highlight w:val="none"/>
              <w:lang w:val="zh-CN"/>
            </w:rPr>
            <w:fldChar w:fldCharType="end"/>
          </w:r>
        </w:p>
        <w:p>
          <w:pPr>
            <w:pStyle w:val="9"/>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_Toc4861 </w:instrText>
          </w:r>
          <w:r>
            <w:rPr>
              <w:bCs/>
              <w:color w:val="auto"/>
              <w:szCs w:val="21"/>
              <w:highlight w:val="none"/>
              <w:lang w:val="zh-CN"/>
            </w:rPr>
            <w:fldChar w:fldCharType="separate"/>
          </w:r>
          <w:r>
            <w:rPr>
              <w:rFonts w:hint="eastAsia" w:ascii="宋体" w:hAnsi="宋体" w:eastAsia="宋体" w:cs="宋体"/>
              <w:color w:val="auto"/>
              <w:szCs w:val="21"/>
              <w:highlight w:val="none"/>
              <w:lang w:val="en-US" w:eastAsia="zh-CN"/>
            </w:rPr>
            <w:t>7.1  一般规定</w:t>
          </w:r>
          <w:r>
            <w:rPr>
              <w:color w:val="auto"/>
              <w:highlight w:val="none"/>
            </w:rPr>
            <w:tab/>
          </w:r>
          <w:r>
            <w:rPr>
              <w:color w:val="auto"/>
              <w:highlight w:val="none"/>
            </w:rPr>
            <w:fldChar w:fldCharType="begin"/>
          </w:r>
          <w:r>
            <w:rPr>
              <w:color w:val="auto"/>
              <w:highlight w:val="none"/>
            </w:rPr>
            <w:instrText xml:space="preserve"> PAGEREF _Toc4861 \h </w:instrText>
          </w:r>
          <w:r>
            <w:rPr>
              <w:color w:val="auto"/>
              <w:highlight w:val="none"/>
            </w:rPr>
            <w:fldChar w:fldCharType="separate"/>
          </w:r>
          <w:r>
            <w:rPr>
              <w:color w:val="auto"/>
              <w:highlight w:val="none"/>
            </w:rPr>
            <w:t>12</w:t>
          </w:r>
          <w:r>
            <w:rPr>
              <w:color w:val="auto"/>
              <w:highlight w:val="none"/>
            </w:rPr>
            <w:fldChar w:fldCharType="end"/>
          </w:r>
          <w:r>
            <w:rPr>
              <w:bCs/>
              <w:color w:val="auto"/>
              <w:szCs w:val="21"/>
              <w:highlight w:val="none"/>
              <w:lang w:val="zh-CN"/>
            </w:rPr>
            <w:fldChar w:fldCharType="end"/>
          </w:r>
        </w:p>
        <w:p>
          <w:pPr>
            <w:pStyle w:val="9"/>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_Toc11375 </w:instrText>
          </w:r>
          <w:r>
            <w:rPr>
              <w:bCs/>
              <w:color w:val="auto"/>
              <w:szCs w:val="21"/>
              <w:highlight w:val="none"/>
              <w:lang w:val="zh-CN"/>
            </w:rPr>
            <w:fldChar w:fldCharType="separate"/>
          </w:r>
          <w:r>
            <w:rPr>
              <w:rFonts w:hint="eastAsia" w:ascii="宋体" w:hAnsi="宋体" w:eastAsia="宋体" w:cs="宋体"/>
              <w:color w:val="auto"/>
              <w:szCs w:val="21"/>
              <w:highlight w:val="none"/>
              <w:lang w:val="en-US" w:eastAsia="zh-CN"/>
            </w:rPr>
            <w:t>7.2  检测部位和检测数量</w:t>
          </w:r>
          <w:r>
            <w:rPr>
              <w:color w:val="auto"/>
              <w:highlight w:val="none"/>
            </w:rPr>
            <w:tab/>
          </w:r>
          <w:r>
            <w:rPr>
              <w:color w:val="auto"/>
              <w:highlight w:val="none"/>
            </w:rPr>
            <w:fldChar w:fldCharType="begin"/>
          </w:r>
          <w:r>
            <w:rPr>
              <w:color w:val="auto"/>
              <w:highlight w:val="none"/>
            </w:rPr>
            <w:instrText xml:space="preserve"> PAGEREF _Toc11375 \h </w:instrText>
          </w:r>
          <w:r>
            <w:rPr>
              <w:color w:val="auto"/>
              <w:highlight w:val="none"/>
            </w:rPr>
            <w:fldChar w:fldCharType="separate"/>
          </w:r>
          <w:r>
            <w:rPr>
              <w:color w:val="auto"/>
              <w:highlight w:val="none"/>
            </w:rPr>
            <w:t>12</w:t>
          </w:r>
          <w:r>
            <w:rPr>
              <w:color w:val="auto"/>
              <w:highlight w:val="none"/>
            </w:rPr>
            <w:fldChar w:fldCharType="end"/>
          </w:r>
          <w:r>
            <w:rPr>
              <w:bCs/>
              <w:color w:val="auto"/>
              <w:szCs w:val="21"/>
              <w:highlight w:val="none"/>
              <w:lang w:val="zh-CN"/>
            </w:rPr>
            <w:fldChar w:fldCharType="end"/>
          </w:r>
        </w:p>
        <w:p>
          <w:pPr>
            <w:pStyle w:val="9"/>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_Toc27719 </w:instrText>
          </w:r>
          <w:r>
            <w:rPr>
              <w:bCs/>
              <w:color w:val="auto"/>
              <w:szCs w:val="21"/>
              <w:highlight w:val="none"/>
              <w:lang w:val="zh-CN"/>
            </w:rPr>
            <w:fldChar w:fldCharType="separate"/>
          </w:r>
          <w:r>
            <w:rPr>
              <w:rFonts w:hint="eastAsia" w:ascii="宋体" w:hAnsi="宋体" w:eastAsia="宋体" w:cs="宋体"/>
              <w:color w:val="auto"/>
              <w:szCs w:val="21"/>
              <w:highlight w:val="none"/>
              <w:lang w:val="en-US" w:eastAsia="zh-CN"/>
            </w:rPr>
            <w:t>7</w:t>
          </w:r>
          <w:r>
            <w:rPr>
              <w:rFonts w:hint="default"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en-US" w:eastAsia="zh-CN"/>
            </w:rPr>
            <w:t xml:space="preserve">  检测方法</w:t>
          </w:r>
          <w:r>
            <w:rPr>
              <w:color w:val="auto"/>
              <w:highlight w:val="none"/>
            </w:rPr>
            <w:tab/>
          </w:r>
          <w:r>
            <w:rPr>
              <w:color w:val="auto"/>
              <w:highlight w:val="none"/>
            </w:rPr>
            <w:fldChar w:fldCharType="begin"/>
          </w:r>
          <w:r>
            <w:rPr>
              <w:color w:val="auto"/>
              <w:highlight w:val="none"/>
            </w:rPr>
            <w:instrText xml:space="preserve"> PAGEREF _Toc27719 \h </w:instrText>
          </w:r>
          <w:r>
            <w:rPr>
              <w:color w:val="auto"/>
              <w:highlight w:val="none"/>
            </w:rPr>
            <w:fldChar w:fldCharType="separate"/>
          </w:r>
          <w:r>
            <w:rPr>
              <w:color w:val="auto"/>
              <w:highlight w:val="none"/>
            </w:rPr>
            <w:t>12</w:t>
          </w:r>
          <w:r>
            <w:rPr>
              <w:color w:val="auto"/>
              <w:highlight w:val="none"/>
            </w:rPr>
            <w:fldChar w:fldCharType="end"/>
          </w:r>
          <w:r>
            <w:rPr>
              <w:bCs/>
              <w:color w:val="auto"/>
              <w:szCs w:val="21"/>
              <w:highlight w:val="none"/>
              <w:lang w:val="zh-CN"/>
            </w:rPr>
            <w:fldChar w:fldCharType="end"/>
          </w:r>
        </w:p>
        <w:p>
          <w:pPr>
            <w:pStyle w:val="9"/>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_Toc26470 </w:instrText>
          </w:r>
          <w:r>
            <w:rPr>
              <w:bCs/>
              <w:color w:val="auto"/>
              <w:szCs w:val="21"/>
              <w:highlight w:val="none"/>
              <w:lang w:val="zh-CN"/>
            </w:rPr>
            <w:fldChar w:fldCharType="separate"/>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en-US" w:eastAsia="zh-CN"/>
            </w:rPr>
            <w:t xml:space="preserve">4  </w:t>
          </w:r>
          <w:r>
            <w:rPr>
              <w:rFonts w:hint="eastAsia" w:ascii="宋体" w:hAnsi="宋体" w:eastAsia="宋体" w:cs="宋体"/>
              <w:color w:val="auto"/>
              <w:szCs w:val="21"/>
              <w:highlight w:val="none"/>
            </w:rPr>
            <w:t>检测结果</w:t>
          </w:r>
          <w:r>
            <w:rPr>
              <w:rFonts w:hint="eastAsia" w:ascii="宋体" w:hAnsi="宋体" w:eastAsia="宋体" w:cs="宋体"/>
              <w:color w:val="auto"/>
              <w:szCs w:val="21"/>
              <w:highlight w:val="none"/>
              <w:lang w:val="en-US" w:eastAsia="zh-CN"/>
            </w:rPr>
            <w:t>的评价</w:t>
          </w:r>
          <w:r>
            <w:rPr>
              <w:color w:val="auto"/>
              <w:highlight w:val="none"/>
            </w:rPr>
            <w:tab/>
          </w:r>
          <w:r>
            <w:rPr>
              <w:color w:val="auto"/>
              <w:highlight w:val="none"/>
            </w:rPr>
            <w:fldChar w:fldCharType="begin"/>
          </w:r>
          <w:r>
            <w:rPr>
              <w:color w:val="auto"/>
              <w:highlight w:val="none"/>
            </w:rPr>
            <w:instrText xml:space="preserve"> PAGEREF _Toc26470 \h </w:instrText>
          </w:r>
          <w:r>
            <w:rPr>
              <w:color w:val="auto"/>
              <w:highlight w:val="none"/>
            </w:rPr>
            <w:fldChar w:fldCharType="separate"/>
          </w:r>
          <w:r>
            <w:rPr>
              <w:color w:val="auto"/>
              <w:highlight w:val="none"/>
            </w:rPr>
            <w:t>13</w:t>
          </w:r>
          <w:r>
            <w:rPr>
              <w:color w:val="auto"/>
              <w:highlight w:val="none"/>
            </w:rPr>
            <w:fldChar w:fldCharType="end"/>
          </w:r>
          <w:r>
            <w:rPr>
              <w:bCs/>
              <w:color w:val="auto"/>
              <w:szCs w:val="21"/>
              <w:highlight w:val="none"/>
              <w:lang w:val="zh-CN"/>
            </w:rPr>
            <w:fldChar w:fldCharType="end"/>
          </w:r>
        </w:p>
        <w:p>
          <w:pPr>
            <w:pStyle w:val="8"/>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_Toc26757 </w:instrText>
          </w:r>
          <w:r>
            <w:rPr>
              <w:bCs/>
              <w:color w:val="auto"/>
              <w:szCs w:val="21"/>
              <w:highlight w:val="none"/>
              <w:lang w:val="zh-CN"/>
            </w:rPr>
            <w:fldChar w:fldCharType="separate"/>
          </w:r>
          <w:r>
            <w:rPr>
              <w:rFonts w:hint="eastAsia" w:eastAsia="宋体" w:cs="Times New Roman"/>
              <w:bCs/>
              <w:color w:val="auto"/>
              <w:szCs w:val="44"/>
              <w:highlight w:val="none"/>
            </w:rPr>
            <w:t>8</w:t>
          </w:r>
          <w:r>
            <w:rPr>
              <w:rFonts w:hint="eastAsia" w:eastAsia="宋体" w:cs="Times New Roman"/>
              <w:bCs/>
              <w:color w:val="auto"/>
              <w:szCs w:val="44"/>
              <w:highlight w:val="none"/>
              <w:lang w:val="en-US" w:eastAsia="zh-CN"/>
            </w:rPr>
            <w:t xml:space="preserve">   </w:t>
          </w:r>
          <w:r>
            <w:rPr>
              <w:rFonts w:hint="eastAsia" w:eastAsia="宋体" w:cs="Times New Roman"/>
              <w:bCs/>
              <w:color w:val="auto"/>
              <w:szCs w:val="44"/>
              <w:highlight w:val="none"/>
            </w:rPr>
            <w:t>接地故障回路阻抗检测</w:t>
          </w:r>
          <w:r>
            <w:rPr>
              <w:color w:val="auto"/>
              <w:highlight w:val="none"/>
            </w:rPr>
            <w:tab/>
          </w:r>
          <w:r>
            <w:rPr>
              <w:color w:val="auto"/>
              <w:highlight w:val="none"/>
            </w:rPr>
            <w:fldChar w:fldCharType="begin"/>
          </w:r>
          <w:r>
            <w:rPr>
              <w:color w:val="auto"/>
              <w:highlight w:val="none"/>
            </w:rPr>
            <w:instrText xml:space="preserve"> PAGEREF _Toc26757 \h </w:instrText>
          </w:r>
          <w:r>
            <w:rPr>
              <w:color w:val="auto"/>
              <w:highlight w:val="none"/>
            </w:rPr>
            <w:fldChar w:fldCharType="separate"/>
          </w:r>
          <w:r>
            <w:rPr>
              <w:color w:val="auto"/>
              <w:highlight w:val="none"/>
            </w:rPr>
            <w:t>14</w:t>
          </w:r>
          <w:r>
            <w:rPr>
              <w:color w:val="auto"/>
              <w:highlight w:val="none"/>
            </w:rPr>
            <w:fldChar w:fldCharType="end"/>
          </w:r>
          <w:r>
            <w:rPr>
              <w:bCs/>
              <w:color w:val="auto"/>
              <w:szCs w:val="21"/>
              <w:highlight w:val="none"/>
              <w:lang w:val="zh-CN"/>
            </w:rPr>
            <w:fldChar w:fldCharType="end"/>
          </w:r>
        </w:p>
        <w:p>
          <w:pPr>
            <w:pStyle w:val="9"/>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_Toc26205 </w:instrText>
          </w:r>
          <w:r>
            <w:rPr>
              <w:bCs/>
              <w:color w:val="auto"/>
              <w:szCs w:val="21"/>
              <w:highlight w:val="none"/>
              <w:lang w:val="zh-CN"/>
            </w:rPr>
            <w:fldChar w:fldCharType="separate"/>
          </w:r>
          <w:r>
            <w:rPr>
              <w:rFonts w:hint="eastAsia" w:ascii="宋体" w:hAnsi="宋体" w:eastAsia="宋体" w:cs="宋体"/>
              <w:color w:val="auto"/>
              <w:szCs w:val="21"/>
              <w:highlight w:val="none"/>
              <w:lang w:val="en-US" w:eastAsia="zh-CN"/>
            </w:rPr>
            <w:t>8.1  一般规定</w:t>
          </w:r>
          <w:r>
            <w:rPr>
              <w:color w:val="auto"/>
              <w:highlight w:val="none"/>
            </w:rPr>
            <w:tab/>
          </w:r>
          <w:r>
            <w:rPr>
              <w:color w:val="auto"/>
              <w:highlight w:val="none"/>
            </w:rPr>
            <w:fldChar w:fldCharType="begin"/>
          </w:r>
          <w:r>
            <w:rPr>
              <w:color w:val="auto"/>
              <w:highlight w:val="none"/>
            </w:rPr>
            <w:instrText xml:space="preserve"> PAGEREF _Toc26205 \h </w:instrText>
          </w:r>
          <w:r>
            <w:rPr>
              <w:color w:val="auto"/>
              <w:highlight w:val="none"/>
            </w:rPr>
            <w:fldChar w:fldCharType="separate"/>
          </w:r>
          <w:r>
            <w:rPr>
              <w:color w:val="auto"/>
              <w:highlight w:val="none"/>
            </w:rPr>
            <w:t>14</w:t>
          </w:r>
          <w:r>
            <w:rPr>
              <w:color w:val="auto"/>
              <w:highlight w:val="none"/>
            </w:rPr>
            <w:fldChar w:fldCharType="end"/>
          </w:r>
          <w:r>
            <w:rPr>
              <w:bCs/>
              <w:color w:val="auto"/>
              <w:szCs w:val="21"/>
              <w:highlight w:val="none"/>
              <w:lang w:val="zh-CN"/>
            </w:rPr>
            <w:fldChar w:fldCharType="end"/>
          </w:r>
        </w:p>
        <w:p>
          <w:pPr>
            <w:pStyle w:val="9"/>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_Toc7975 </w:instrText>
          </w:r>
          <w:r>
            <w:rPr>
              <w:bCs/>
              <w:color w:val="auto"/>
              <w:szCs w:val="21"/>
              <w:highlight w:val="none"/>
              <w:lang w:val="zh-CN"/>
            </w:rPr>
            <w:fldChar w:fldCharType="separate"/>
          </w:r>
          <w:r>
            <w:rPr>
              <w:rFonts w:hint="eastAsia" w:ascii="宋体" w:hAnsi="宋体" w:eastAsia="宋体" w:cs="宋体"/>
              <w:color w:val="auto"/>
              <w:szCs w:val="21"/>
              <w:highlight w:val="none"/>
              <w:lang w:val="en-US" w:eastAsia="zh-CN"/>
            </w:rPr>
            <w:t>8.2  检测部位和检测数量</w:t>
          </w:r>
          <w:r>
            <w:rPr>
              <w:color w:val="auto"/>
              <w:highlight w:val="none"/>
            </w:rPr>
            <w:tab/>
          </w:r>
          <w:r>
            <w:rPr>
              <w:color w:val="auto"/>
              <w:highlight w:val="none"/>
            </w:rPr>
            <w:fldChar w:fldCharType="begin"/>
          </w:r>
          <w:r>
            <w:rPr>
              <w:color w:val="auto"/>
              <w:highlight w:val="none"/>
            </w:rPr>
            <w:instrText xml:space="preserve"> PAGEREF _Toc7975 \h </w:instrText>
          </w:r>
          <w:r>
            <w:rPr>
              <w:color w:val="auto"/>
              <w:highlight w:val="none"/>
            </w:rPr>
            <w:fldChar w:fldCharType="separate"/>
          </w:r>
          <w:r>
            <w:rPr>
              <w:color w:val="auto"/>
              <w:highlight w:val="none"/>
            </w:rPr>
            <w:t>14</w:t>
          </w:r>
          <w:r>
            <w:rPr>
              <w:color w:val="auto"/>
              <w:highlight w:val="none"/>
            </w:rPr>
            <w:fldChar w:fldCharType="end"/>
          </w:r>
          <w:r>
            <w:rPr>
              <w:bCs/>
              <w:color w:val="auto"/>
              <w:szCs w:val="21"/>
              <w:highlight w:val="none"/>
              <w:lang w:val="zh-CN"/>
            </w:rPr>
            <w:fldChar w:fldCharType="end"/>
          </w:r>
        </w:p>
        <w:p>
          <w:pPr>
            <w:pStyle w:val="9"/>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_Toc31748 </w:instrText>
          </w:r>
          <w:r>
            <w:rPr>
              <w:bCs/>
              <w:color w:val="auto"/>
              <w:szCs w:val="21"/>
              <w:highlight w:val="none"/>
              <w:lang w:val="zh-CN"/>
            </w:rPr>
            <w:fldChar w:fldCharType="separate"/>
          </w:r>
          <w:r>
            <w:rPr>
              <w:rFonts w:hint="eastAsia" w:ascii="宋体" w:hAnsi="宋体" w:eastAsia="宋体" w:cs="宋体"/>
              <w:color w:val="auto"/>
              <w:szCs w:val="21"/>
              <w:highlight w:val="none"/>
              <w:lang w:val="en-US" w:eastAsia="zh-CN"/>
            </w:rPr>
            <w:t>8.3  检测方法</w:t>
          </w:r>
          <w:r>
            <w:rPr>
              <w:color w:val="auto"/>
              <w:highlight w:val="none"/>
            </w:rPr>
            <w:tab/>
          </w:r>
          <w:r>
            <w:rPr>
              <w:color w:val="auto"/>
              <w:highlight w:val="none"/>
            </w:rPr>
            <w:fldChar w:fldCharType="begin"/>
          </w:r>
          <w:r>
            <w:rPr>
              <w:color w:val="auto"/>
              <w:highlight w:val="none"/>
            </w:rPr>
            <w:instrText xml:space="preserve"> PAGEREF _Toc31748 \h </w:instrText>
          </w:r>
          <w:r>
            <w:rPr>
              <w:color w:val="auto"/>
              <w:highlight w:val="none"/>
            </w:rPr>
            <w:fldChar w:fldCharType="separate"/>
          </w:r>
          <w:r>
            <w:rPr>
              <w:color w:val="auto"/>
              <w:highlight w:val="none"/>
            </w:rPr>
            <w:t>14</w:t>
          </w:r>
          <w:r>
            <w:rPr>
              <w:color w:val="auto"/>
              <w:highlight w:val="none"/>
            </w:rPr>
            <w:fldChar w:fldCharType="end"/>
          </w:r>
          <w:r>
            <w:rPr>
              <w:bCs/>
              <w:color w:val="auto"/>
              <w:szCs w:val="21"/>
              <w:highlight w:val="none"/>
              <w:lang w:val="zh-CN"/>
            </w:rPr>
            <w:fldChar w:fldCharType="end"/>
          </w:r>
        </w:p>
        <w:p>
          <w:pPr>
            <w:pStyle w:val="9"/>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_Toc13614 </w:instrText>
          </w:r>
          <w:r>
            <w:rPr>
              <w:bCs/>
              <w:color w:val="auto"/>
              <w:szCs w:val="21"/>
              <w:highlight w:val="none"/>
              <w:lang w:val="zh-CN"/>
            </w:rPr>
            <w:fldChar w:fldCharType="separate"/>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en-US" w:eastAsia="zh-CN"/>
            </w:rPr>
            <w:t xml:space="preserve">4  </w:t>
          </w:r>
          <w:r>
            <w:rPr>
              <w:rFonts w:hint="eastAsia" w:ascii="宋体" w:hAnsi="宋体" w:eastAsia="宋体" w:cs="宋体"/>
              <w:color w:val="auto"/>
              <w:szCs w:val="21"/>
              <w:highlight w:val="none"/>
            </w:rPr>
            <w:t>检测结果</w:t>
          </w:r>
          <w:r>
            <w:rPr>
              <w:color w:val="auto"/>
              <w:highlight w:val="none"/>
            </w:rPr>
            <w:tab/>
          </w:r>
          <w:r>
            <w:rPr>
              <w:color w:val="auto"/>
              <w:highlight w:val="none"/>
            </w:rPr>
            <w:fldChar w:fldCharType="begin"/>
          </w:r>
          <w:r>
            <w:rPr>
              <w:color w:val="auto"/>
              <w:highlight w:val="none"/>
            </w:rPr>
            <w:instrText xml:space="preserve"> PAGEREF _Toc13614 \h </w:instrText>
          </w:r>
          <w:r>
            <w:rPr>
              <w:color w:val="auto"/>
              <w:highlight w:val="none"/>
            </w:rPr>
            <w:fldChar w:fldCharType="separate"/>
          </w:r>
          <w:r>
            <w:rPr>
              <w:color w:val="auto"/>
              <w:highlight w:val="none"/>
            </w:rPr>
            <w:t>14</w:t>
          </w:r>
          <w:r>
            <w:rPr>
              <w:color w:val="auto"/>
              <w:highlight w:val="none"/>
            </w:rPr>
            <w:fldChar w:fldCharType="end"/>
          </w:r>
          <w:r>
            <w:rPr>
              <w:bCs/>
              <w:color w:val="auto"/>
              <w:szCs w:val="21"/>
              <w:highlight w:val="none"/>
              <w:lang w:val="zh-CN"/>
            </w:rPr>
            <w:fldChar w:fldCharType="end"/>
          </w:r>
        </w:p>
        <w:p>
          <w:pPr>
            <w:pStyle w:val="8"/>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_Toc10783 </w:instrText>
          </w:r>
          <w:r>
            <w:rPr>
              <w:bCs/>
              <w:color w:val="auto"/>
              <w:szCs w:val="21"/>
              <w:highlight w:val="none"/>
              <w:lang w:val="zh-CN"/>
            </w:rPr>
            <w:fldChar w:fldCharType="separate"/>
          </w:r>
          <w:r>
            <w:rPr>
              <w:rFonts w:eastAsia="宋体" w:cs="Times New Roman"/>
              <w:bCs/>
              <w:color w:val="auto"/>
              <w:szCs w:val="44"/>
              <w:highlight w:val="none"/>
            </w:rPr>
            <w:t>9</w:t>
          </w:r>
          <w:r>
            <w:rPr>
              <w:rFonts w:hint="eastAsia" w:eastAsia="宋体" w:cs="Times New Roman"/>
              <w:bCs/>
              <w:color w:val="auto"/>
              <w:szCs w:val="44"/>
              <w:highlight w:val="none"/>
              <w:lang w:val="en-US" w:eastAsia="zh-CN"/>
            </w:rPr>
            <w:t xml:space="preserve">   </w:t>
          </w:r>
          <w:r>
            <w:rPr>
              <w:rFonts w:hint="eastAsia" w:eastAsia="宋体" w:cs="Times New Roman"/>
              <w:bCs/>
              <w:color w:val="auto"/>
              <w:szCs w:val="44"/>
              <w:highlight w:val="none"/>
            </w:rPr>
            <w:t>剩余电流动作保护</w:t>
          </w:r>
          <w:r>
            <w:rPr>
              <w:rFonts w:hint="eastAsia" w:eastAsia="宋体" w:cs="Times New Roman"/>
              <w:bCs/>
              <w:color w:val="auto"/>
              <w:szCs w:val="44"/>
              <w:highlight w:val="none"/>
              <w:lang w:val="en-US" w:eastAsia="zh-CN"/>
            </w:rPr>
            <w:t>器动作</w:t>
          </w:r>
          <w:r>
            <w:rPr>
              <w:rFonts w:hint="eastAsia" w:eastAsia="宋体" w:cs="Times New Roman"/>
              <w:bCs/>
              <w:color w:val="auto"/>
              <w:szCs w:val="44"/>
              <w:highlight w:val="none"/>
            </w:rPr>
            <w:t>特性检测</w:t>
          </w:r>
          <w:r>
            <w:rPr>
              <w:color w:val="auto"/>
              <w:highlight w:val="none"/>
            </w:rPr>
            <w:tab/>
          </w:r>
          <w:r>
            <w:rPr>
              <w:color w:val="auto"/>
              <w:highlight w:val="none"/>
            </w:rPr>
            <w:fldChar w:fldCharType="begin"/>
          </w:r>
          <w:r>
            <w:rPr>
              <w:color w:val="auto"/>
              <w:highlight w:val="none"/>
            </w:rPr>
            <w:instrText xml:space="preserve"> PAGEREF _Toc10783 \h </w:instrText>
          </w:r>
          <w:r>
            <w:rPr>
              <w:color w:val="auto"/>
              <w:highlight w:val="none"/>
            </w:rPr>
            <w:fldChar w:fldCharType="separate"/>
          </w:r>
          <w:r>
            <w:rPr>
              <w:color w:val="auto"/>
              <w:highlight w:val="none"/>
            </w:rPr>
            <w:t>16</w:t>
          </w:r>
          <w:r>
            <w:rPr>
              <w:color w:val="auto"/>
              <w:highlight w:val="none"/>
            </w:rPr>
            <w:fldChar w:fldCharType="end"/>
          </w:r>
          <w:r>
            <w:rPr>
              <w:bCs/>
              <w:color w:val="auto"/>
              <w:szCs w:val="21"/>
              <w:highlight w:val="none"/>
              <w:lang w:val="zh-CN"/>
            </w:rPr>
            <w:fldChar w:fldCharType="end"/>
          </w:r>
        </w:p>
        <w:p>
          <w:pPr>
            <w:pStyle w:val="9"/>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_Toc31469 </w:instrText>
          </w:r>
          <w:r>
            <w:rPr>
              <w:bCs/>
              <w:color w:val="auto"/>
              <w:szCs w:val="21"/>
              <w:highlight w:val="none"/>
              <w:lang w:val="zh-CN"/>
            </w:rPr>
            <w:fldChar w:fldCharType="separate"/>
          </w:r>
          <w:r>
            <w:rPr>
              <w:rFonts w:ascii="宋体" w:hAnsi="宋体" w:eastAsia="宋体" w:cs="宋体"/>
              <w:color w:val="auto"/>
              <w:szCs w:val="21"/>
              <w:highlight w:val="none"/>
            </w:rPr>
            <w:t>9.1</w:t>
          </w:r>
          <w:r>
            <w:rPr>
              <w:rFonts w:hint="eastAsia" w:ascii="宋体" w:hAnsi="宋体" w:eastAsia="宋体" w:cs="宋体"/>
              <w:color w:val="auto"/>
              <w:szCs w:val="21"/>
              <w:highlight w:val="none"/>
              <w:lang w:val="en-US" w:eastAsia="zh-CN"/>
            </w:rPr>
            <w:t xml:space="preserve">  一般规定</w:t>
          </w:r>
          <w:r>
            <w:rPr>
              <w:color w:val="auto"/>
              <w:highlight w:val="none"/>
            </w:rPr>
            <w:tab/>
          </w:r>
          <w:r>
            <w:rPr>
              <w:color w:val="auto"/>
              <w:highlight w:val="none"/>
            </w:rPr>
            <w:fldChar w:fldCharType="begin"/>
          </w:r>
          <w:r>
            <w:rPr>
              <w:color w:val="auto"/>
              <w:highlight w:val="none"/>
            </w:rPr>
            <w:instrText xml:space="preserve"> PAGEREF _Toc31469 \h </w:instrText>
          </w:r>
          <w:r>
            <w:rPr>
              <w:color w:val="auto"/>
              <w:highlight w:val="none"/>
            </w:rPr>
            <w:fldChar w:fldCharType="separate"/>
          </w:r>
          <w:r>
            <w:rPr>
              <w:color w:val="auto"/>
              <w:highlight w:val="none"/>
            </w:rPr>
            <w:t>16</w:t>
          </w:r>
          <w:r>
            <w:rPr>
              <w:color w:val="auto"/>
              <w:highlight w:val="none"/>
            </w:rPr>
            <w:fldChar w:fldCharType="end"/>
          </w:r>
          <w:r>
            <w:rPr>
              <w:bCs/>
              <w:color w:val="auto"/>
              <w:szCs w:val="21"/>
              <w:highlight w:val="none"/>
              <w:lang w:val="zh-CN"/>
            </w:rPr>
            <w:fldChar w:fldCharType="end"/>
          </w:r>
        </w:p>
        <w:p>
          <w:pPr>
            <w:pStyle w:val="9"/>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_Toc1745 </w:instrText>
          </w:r>
          <w:r>
            <w:rPr>
              <w:bCs/>
              <w:color w:val="auto"/>
              <w:szCs w:val="21"/>
              <w:highlight w:val="none"/>
              <w:lang w:val="zh-CN"/>
            </w:rPr>
            <w:fldChar w:fldCharType="separate"/>
          </w:r>
          <w:r>
            <w:rPr>
              <w:rFonts w:ascii="宋体" w:hAnsi="宋体" w:eastAsia="宋体" w:cs="宋体"/>
              <w:color w:val="auto"/>
              <w:szCs w:val="21"/>
              <w:highlight w:val="none"/>
            </w:rPr>
            <w:t>9.</w:t>
          </w:r>
          <w:r>
            <w:rPr>
              <w:rFonts w:hint="eastAsia" w:ascii="宋体" w:hAnsi="宋体" w:eastAsia="宋体" w:cs="宋体"/>
              <w:color w:val="auto"/>
              <w:szCs w:val="21"/>
              <w:highlight w:val="none"/>
              <w:lang w:val="en-US" w:eastAsia="zh-CN"/>
            </w:rPr>
            <w:t xml:space="preserve">2  </w:t>
          </w:r>
          <w:r>
            <w:rPr>
              <w:rFonts w:hint="eastAsia" w:ascii="宋体" w:hAnsi="宋体" w:eastAsia="宋体" w:cs="宋体"/>
              <w:color w:val="auto"/>
              <w:szCs w:val="21"/>
              <w:highlight w:val="none"/>
            </w:rPr>
            <w:t>检测部位和检测数量</w:t>
          </w:r>
          <w:r>
            <w:rPr>
              <w:color w:val="auto"/>
              <w:highlight w:val="none"/>
            </w:rPr>
            <w:tab/>
          </w:r>
          <w:r>
            <w:rPr>
              <w:color w:val="auto"/>
              <w:highlight w:val="none"/>
            </w:rPr>
            <w:fldChar w:fldCharType="begin"/>
          </w:r>
          <w:r>
            <w:rPr>
              <w:color w:val="auto"/>
              <w:highlight w:val="none"/>
            </w:rPr>
            <w:instrText xml:space="preserve"> PAGEREF _Toc1745 \h </w:instrText>
          </w:r>
          <w:r>
            <w:rPr>
              <w:color w:val="auto"/>
              <w:highlight w:val="none"/>
            </w:rPr>
            <w:fldChar w:fldCharType="separate"/>
          </w:r>
          <w:r>
            <w:rPr>
              <w:color w:val="auto"/>
              <w:highlight w:val="none"/>
            </w:rPr>
            <w:t>16</w:t>
          </w:r>
          <w:r>
            <w:rPr>
              <w:color w:val="auto"/>
              <w:highlight w:val="none"/>
            </w:rPr>
            <w:fldChar w:fldCharType="end"/>
          </w:r>
          <w:r>
            <w:rPr>
              <w:bCs/>
              <w:color w:val="auto"/>
              <w:szCs w:val="21"/>
              <w:highlight w:val="none"/>
              <w:lang w:val="zh-CN"/>
            </w:rPr>
            <w:fldChar w:fldCharType="end"/>
          </w:r>
        </w:p>
        <w:p>
          <w:pPr>
            <w:pStyle w:val="9"/>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_Toc178 </w:instrText>
          </w:r>
          <w:r>
            <w:rPr>
              <w:bCs/>
              <w:color w:val="auto"/>
              <w:szCs w:val="21"/>
              <w:highlight w:val="none"/>
              <w:lang w:val="zh-CN"/>
            </w:rPr>
            <w:fldChar w:fldCharType="separate"/>
          </w:r>
          <w:r>
            <w:rPr>
              <w:rFonts w:ascii="宋体" w:hAnsi="宋体" w:eastAsia="宋体" w:cs="宋体"/>
              <w:color w:val="auto"/>
              <w:szCs w:val="21"/>
              <w:highlight w:val="none"/>
            </w:rPr>
            <w:t>9.</w:t>
          </w:r>
          <w:r>
            <w:rPr>
              <w:rFonts w:hint="eastAsia" w:ascii="宋体" w:hAnsi="宋体" w:eastAsia="宋体" w:cs="宋体"/>
              <w:color w:val="auto"/>
              <w:szCs w:val="21"/>
              <w:highlight w:val="none"/>
              <w:lang w:val="en-US" w:eastAsia="zh-CN"/>
            </w:rPr>
            <w:t>3  检测</w:t>
          </w:r>
          <w:r>
            <w:rPr>
              <w:rFonts w:hint="eastAsia" w:ascii="宋体" w:hAnsi="宋体" w:eastAsia="宋体" w:cs="宋体"/>
              <w:color w:val="auto"/>
              <w:szCs w:val="21"/>
              <w:highlight w:val="none"/>
            </w:rPr>
            <w:t>方法</w:t>
          </w:r>
          <w:r>
            <w:rPr>
              <w:color w:val="auto"/>
              <w:highlight w:val="none"/>
            </w:rPr>
            <w:tab/>
          </w:r>
          <w:r>
            <w:rPr>
              <w:color w:val="auto"/>
              <w:highlight w:val="none"/>
            </w:rPr>
            <w:fldChar w:fldCharType="begin"/>
          </w:r>
          <w:r>
            <w:rPr>
              <w:color w:val="auto"/>
              <w:highlight w:val="none"/>
            </w:rPr>
            <w:instrText xml:space="preserve"> PAGEREF _Toc178 \h </w:instrText>
          </w:r>
          <w:r>
            <w:rPr>
              <w:color w:val="auto"/>
              <w:highlight w:val="none"/>
            </w:rPr>
            <w:fldChar w:fldCharType="separate"/>
          </w:r>
          <w:r>
            <w:rPr>
              <w:color w:val="auto"/>
              <w:highlight w:val="none"/>
            </w:rPr>
            <w:t>16</w:t>
          </w:r>
          <w:r>
            <w:rPr>
              <w:color w:val="auto"/>
              <w:highlight w:val="none"/>
            </w:rPr>
            <w:fldChar w:fldCharType="end"/>
          </w:r>
          <w:r>
            <w:rPr>
              <w:bCs/>
              <w:color w:val="auto"/>
              <w:szCs w:val="21"/>
              <w:highlight w:val="none"/>
              <w:lang w:val="zh-CN"/>
            </w:rPr>
            <w:fldChar w:fldCharType="end"/>
          </w:r>
        </w:p>
        <w:p>
          <w:pPr>
            <w:pStyle w:val="9"/>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_Toc12565 </w:instrText>
          </w:r>
          <w:r>
            <w:rPr>
              <w:bCs/>
              <w:color w:val="auto"/>
              <w:szCs w:val="21"/>
              <w:highlight w:val="none"/>
              <w:lang w:val="zh-CN"/>
            </w:rPr>
            <w:fldChar w:fldCharType="separate"/>
          </w:r>
          <w:r>
            <w:rPr>
              <w:rFonts w:ascii="宋体" w:hAnsi="宋体" w:eastAsia="宋体" w:cs="宋体"/>
              <w:color w:val="auto"/>
              <w:szCs w:val="21"/>
              <w:highlight w:val="none"/>
            </w:rPr>
            <w:t>9.</w:t>
          </w:r>
          <w:r>
            <w:rPr>
              <w:rFonts w:hint="eastAsia" w:ascii="宋体" w:hAnsi="宋体" w:eastAsia="宋体" w:cs="宋体"/>
              <w:color w:val="auto"/>
              <w:szCs w:val="21"/>
              <w:highlight w:val="none"/>
              <w:lang w:val="en-US" w:eastAsia="zh-CN"/>
            </w:rPr>
            <w:t xml:space="preserve">4  </w:t>
          </w:r>
          <w:r>
            <w:rPr>
              <w:rFonts w:hint="eastAsia" w:ascii="宋体" w:hAnsi="宋体" w:eastAsia="宋体" w:cs="宋体"/>
              <w:color w:val="auto"/>
              <w:szCs w:val="21"/>
              <w:highlight w:val="none"/>
            </w:rPr>
            <w:t>检测结果</w:t>
          </w:r>
          <w:r>
            <w:rPr>
              <w:rFonts w:hint="eastAsia" w:ascii="宋体" w:hAnsi="宋体" w:eastAsia="宋体" w:cs="宋体"/>
              <w:color w:val="auto"/>
              <w:szCs w:val="21"/>
              <w:highlight w:val="none"/>
              <w:lang w:val="en-US" w:eastAsia="zh-CN"/>
            </w:rPr>
            <w:t>的评价</w:t>
          </w:r>
          <w:r>
            <w:rPr>
              <w:color w:val="auto"/>
              <w:highlight w:val="none"/>
            </w:rPr>
            <w:tab/>
          </w:r>
          <w:r>
            <w:rPr>
              <w:color w:val="auto"/>
              <w:highlight w:val="none"/>
            </w:rPr>
            <w:fldChar w:fldCharType="begin"/>
          </w:r>
          <w:r>
            <w:rPr>
              <w:color w:val="auto"/>
              <w:highlight w:val="none"/>
            </w:rPr>
            <w:instrText xml:space="preserve"> PAGEREF _Toc12565 \h </w:instrText>
          </w:r>
          <w:r>
            <w:rPr>
              <w:color w:val="auto"/>
              <w:highlight w:val="none"/>
            </w:rPr>
            <w:fldChar w:fldCharType="separate"/>
          </w:r>
          <w:r>
            <w:rPr>
              <w:color w:val="auto"/>
              <w:highlight w:val="none"/>
            </w:rPr>
            <w:t>17</w:t>
          </w:r>
          <w:r>
            <w:rPr>
              <w:color w:val="auto"/>
              <w:highlight w:val="none"/>
            </w:rPr>
            <w:fldChar w:fldCharType="end"/>
          </w:r>
          <w:r>
            <w:rPr>
              <w:bCs/>
              <w:color w:val="auto"/>
              <w:szCs w:val="21"/>
              <w:highlight w:val="none"/>
              <w:lang w:val="zh-CN"/>
            </w:rPr>
            <w:fldChar w:fldCharType="end"/>
          </w:r>
        </w:p>
        <w:p>
          <w:pPr>
            <w:pStyle w:val="8"/>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_Toc8648 </w:instrText>
          </w:r>
          <w:r>
            <w:rPr>
              <w:bCs/>
              <w:color w:val="auto"/>
              <w:szCs w:val="21"/>
              <w:highlight w:val="none"/>
              <w:lang w:val="zh-CN"/>
            </w:rPr>
            <w:fldChar w:fldCharType="separate"/>
          </w:r>
          <w:r>
            <w:rPr>
              <w:rFonts w:hint="eastAsia" w:eastAsia="宋体" w:cs="Times New Roman"/>
              <w:bCs/>
              <w:color w:val="auto"/>
              <w:szCs w:val="44"/>
              <w:highlight w:val="none"/>
            </w:rPr>
            <w:t>10</w:t>
          </w:r>
          <w:r>
            <w:rPr>
              <w:rFonts w:hint="eastAsia" w:eastAsia="宋体" w:cs="Times New Roman"/>
              <w:bCs/>
              <w:color w:val="auto"/>
              <w:szCs w:val="44"/>
              <w:highlight w:val="none"/>
              <w:lang w:val="en-US" w:eastAsia="zh-CN"/>
            </w:rPr>
            <w:t xml:space="preserve">   </w:t>
          </w:r>
          <w:r>
            <w:rPr>
              <w:rFonts w:hint="eastAsia" w:eastAsia="宋体" w:cs="Times New Roman"/>
              <w:bCs/>
              <w:color w:val="auto"/>
              <w:szCs w:val="44"/>
              <w:highlight w:val="none"/>
            </w:rPr>
            <w:t>接线正确性检测</w:t>
          </w:r>
          <w:r>
            <w:rPr>
              <w:color w:val="auto"/>
              <w:highlight w:val="none"/>
            </w:rPr>
            <w:tab/>
          </w:r>
          <w:r>
            <w:rPr>
              <w:color w:val="auto"/>
              <w:highlight w:val="none"/>
            </w:rPr>
            <w:fldChar w:fldCharType="begin"/>
          </w:r>
          <w:r>
            <w:rPr>
              <w:color w:val="auto"/>
              <w:highlight w:val="none"/>
            </w:rPr>
            <w:instrText xml:space="preserve"> PAGEREF _Toc8648 \h </w:instrText>
          </w:r>
          <w:r>
            <w:rPr>
              <w:color w:val="auto"/>
              <w:highlight w:val="none"/>
            </w:rPr>
            <w:fldChar w:fldCharType="separate"/>
          </w:r>
          <w:r>
            <w:rPr>
              <w:color w:val="auto"/>
              <w:highlight w:val="none"/>
            </w:rPr>
            <w:t>18</w:t>
          </w:r>
          <w:r>
            <w:rPr>
              <w:color w:val="auto"/>
              <w:highlight w:val="none"/>
            </w:rPr>
            <w:fldChar w:fldCharType="end"/>
          </w:r>
          <w:r>
            <w:rPr>
              <w:bCs/>
              <w:color w:val="auto"/>
              <w:szCs w:val="21"/>
              <w:highlight w:val="none"/>
              <w:lang w:val="zh-CN"/>
            </w:rPr>
            <w:fldChar w:fldCharType="end"/>
          </w:r>
        </w:p>
        <w:p>
          <w:pPr>
            <w:pStyle w:val="9"/>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_Toc30279 </w:instrText>
          </w:r>
          <w:r>
            <w:rPr>
              <w:bCs/>
              <w:color w:val="auto"/>
              <w:szCs w:val="21"/>
              <w:highlight w:val="none"/>
              <w:lang w:val="zh-CN"/>
            </w:rPr>
            <w:fldChar w:fldCharType="separate"/>
          </w:r>
          <w:r>
            <w:rPr>
              <w:rFonts w:hint="eastAsia" w:ascii="宋体" w:hAnsi="宋体" w:eastAsia="宋体" w:cs="宋体"/>
              <w:color w:val="auto"/>
              <w:szCs w:val="21"/>
              <w:highlight w:val="none"/>
              <w:lang w:val="en-US" w:eastAsia="zh-CN"/>
            </w:rPr>
            <w:t>10.1  一般规定</w:t>
          </w:r>
          <w:r>
            <w:rPr>
              <w:color w:val="auto"/>
              <w:highlight w:val="none"/>
            </w:rPr>
            <w:tab/>
          </w:r>
          <w:r>
            <w:rPr>
              <w:color w:val="auto"/>
              <w:highlight w:val="none"/>
            </w:rPr>
            <w:fldChar w:fldCharType="begin"/>
          </w:r>
          <w:r>
            <w:rPr>
              <w:color w:val="auto"/>
              <w:highlight w:val="none"/>
            </w:rPr>
            <w:instrText xml:space="preserve"> PAGEREF _Toc30279 \h </w:instrText>
          </w:r>
          <w:r>
            <w:rPr>
              <w:color w:val="auto"/>
              <w:highlight w:val="none"/>
            </w:rPr>
            <w:fldChar w:fldCharType="separate"/>
          </w:r>
          <w:r>
            <w:rPr>
              <w:color w:val="auto"/>
              <w:highlight w:val="none"/>
            </w:rPr>
            <w:t>18</w:t>
          </w:r>
          <w:r>
            <w:rPr>
              <w:color w:val="auto"/>
              <w:highlight w:val="none"/>
            </w:rPr>
            <w:fldChar w:fldCharType="end"/>
          </w:r>
          <w:r>
            <w:rPr>
              <w:bCs/>
              <w:color w:val="auto"/>
              <w:szCs w:val="21"/>
              <w:highlight w:val="none"/>
              <w:lang w:val="zh-CN"/>
            </w:rPr>
            <w:fldChar w:fldCharType="end"/>
          </w:r>
        </w:p>
        <w:p>
          <w:pPr>
            <w:pStyle w:val="9"/>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_Toc16499 </w:instrText>
          </w:r>
          <w:r>
            <w:rPr>
              <w:bCs/>
              <w:color w:val="auto"/>
              <w:szCs w:val="21"/>
              <w:highlight w:val="none"/>
              <w:lang w:val="zh-CN"/>
            </w:rPr>
            <w:fldChar w:fldCharType="separate"/>
          </w: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val="en-US" w:eastAsia="zh-CN"/>
            </w:rPr>
            <w:t xml:space="preserve">2  </w:t>
          </w:r>
          <w:r>
            <w:rPr>
              <w:rFonts w:hint="eastAsia" w:ascii="宋体" w:hAnsi="宋体" w:eastAsia="宋体" w:cs="宋体"/>
              <w:color w:val="auto"/>
              <w:szCs w:val="21"/>
              <w:highlight w:val="none"/>
            </w:rPr>
            <w:t>检测部位和检测数量</w:t>
          </w:r>
          <w:r>
            <w:rPr>
              <w:color w:val="auto"/>
              <w:highlight w:val="none"/>
            </w:rPr>
            <w:tab/>
          </w:r>
          <w:r>
            <w:rPr>
              <w:color w:val="auto"/>
              <w:highlight w:val="none"/>
            </w:rPr>
            <w:fldChar w:fldCharType="begin"/>
          </w:r>
          <w:r>
            <w:rPr>
              <w:color w:val="auto"/>
              <w:highlight w:val="none"/>
            </w:rPr>
            <w:instrText xml:space="preserve"> PAGEREF _Toc16499 \h </w:instrText>
          </w:r>
          <w:r>
            <w:rPr>
              <w:color w:val="auto"/>
              <w:highlight w:val="none"/>
            </w:rPr>
            <w:fldChar w:fldCharType="separate"/>
          </w:r>
          <w:r>
            <w:rPr>
              <w:color w:val="auto"/>
              <w:highlight w:val="none"/>
            </w:rPr>
            <w:t>18</w:t>
          </w:r>
          <w:r>
            <w:rPr>
              <w:color w:val="auto"/>
              <w:highlight w:val="none"/>
            </w:rPr>
            <w:fldChar w:fldCharType="end"/>
          </w:r>
          <w:r>
            <w:rPr>
              <w:bCs/>
              <w:color w:val="auto"/>
              <w:szCs w:val="21"/>
              <w:highlight w:val="none"/>
              <w:lang w:val="zh-CN"/>
            </w:rPr>
            <w:fldChar w:fldCharType="end"/>
          </w:r>
        </w:p>
        <w:p>
          <w:pPr>
            <w:pStyle w:val="9"/>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_Toc6312 </w:instrText>
          </w:r>
          <w:r>
            <w:rPr>
              <w:bCs/>
              <w:color w:val="auto"/>
              <w:szCs w:val="21"/>
              <w:highlight w:val="none"/>
              <w:lang w:val="zh-CN"/>
            </w:rPr>
            <w:fldChar w:fldCharType="separate"/>
          </w: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val="en-US" w:eastAsia="zh-CN"/>
            </w:rPr>
            <w:t xml:space="preserve">3  </w:t>
          </w:r>
          <w:r>
            <w:rPr>
              <w:rFonts w:hint="eastAsia" w:ascii="宋体" w:hAnsi="宋体" w:eastAsia="宋体" w:cs="宋体"/>
              <w:color w:val="auto"/>
              <w:szCs w:val="21"/>
              <w:highlight w:val="none"/>
            </w:rPr>
            <w:t>检测方法</w:t>
          </w:r>
          <w:r>
            <w:rPr>
              <w:color w:val="auto"/>
              <w:highlight w:val="none"/>
            </w:rPr>
            <w:tab/>
          </w:r>
          <w:r>
            <w:rPr>
              <w:color w:val="auto"/>
              <w:highlight w:val="none"/>
            </w:rPr>
            <w:fldChar w:fldCharType="begin"/>
          </w:r>
          <w:r>
            <w:rPr>
              <w:color w:val="auto"/>
              <w:highlight w:val="none"/>
            </w:rPr>
            <w:instrText xml:space="preserve"> PAGEREF _Toc6312 \h </w:instrText>
          </w:r>
          <w:r>
            <w:rPr>
              <w:color w:val="auto"/>
              <w:highlight w:val="none"/>
            </w:rPr>
            <w:fldChar w:fldCharType="separate"/>
          </w:r>
          <w:r>
            <w:rPr>
              <w:color w:val="auto"/>
              <w:highlight w:val="none"/>
            </w:rPr>
            <w:t>18</w:t>
          </w:r>
          <w:r>
            <w:rPr>
              <w:color w:val="auto"/>
              <w:highlight w:val="none"/>
            </w:rPr>
            <w:fldChar w:fldCharType="end"/>
          </w:r>
          <w:r>
            <w:rPr>
              <w:bCs/>
              <w:color w:val="auto"/>
              <w:szCs w:val="21"/>
              <w:highlight w:val="none"/>
              <w:lang w:val="zh-CN"/>
            </w:rPr>
            <w:fldChar w:fldCharType="end"/>
          </w:r>
        </w:p>
        <w:p>
          <w:pPr>
            <w:pStyle w:val="9"/>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_Toc718 </w:instrText>
          </w:r>
          <w:r>
            <w:rPr>
              <w:bCs/>
              <w:color w:val="auto"/>
              <w:szCs w:val="21"/>
              <w:highlight w:val="none"/>
              <w:lang w:val="zh-CN"/>
            </w:rPr>
            <w:fldChar w:fldCharType="separate"/>
          </w: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val="en-US" w:eastAsia="zh-CN"/>
            </w:rPr>
            <w:t xml:space="preserve">4  </w:t>
          </w:r>
          <w:r>
            <w:rPr>
              <w:rFonts w:hint="eastAsia" w:ascii="宋体" w:hAnsi="宋体" w:eastAsia="宋体" w:cs="宋体"/>
              <w:color w:val="auto"/>
              <w:szCs w:val="21"/>
              <w:highlight w:val="none"/>
            </w:rPr>
            <w:t>检测结果</w:t>
          </w:r>
          <w:r>
            <w:rPr>
              <w:rFonts w:hint="eastAsia" w:ascii="宋体" w:hAnsi="宋体" w:eastAsia="宋体" w:cs="宋体"/>
              <w:color w:val="auto"/>
              <w:szCs w:val="21"/>
              <w:highlight w:val="none"/>
              <w:lang w:val="en-US" w:eastAsia="zh-CN"/>
            </w:rPr>
            <w:t>的评价</w:t>
          </w:r>
          <w:r>
            <w:rPr>
              <w:color w:val="auto"/>
              <w:highlight w:val="none"/>
            </w:rPr>
            <w:tab/>
          </w:r>
          <w:r>
            <w:rPr>
              <w:color w:val="auto"/>
              <w:highlight w:val="none"/>
            </w:rPr>
            <w:fldChar w:fldCharType="begin"/>
          </w:r>
          <w:r>
            <w:rPr>
              <w:color w:val="auto"/>
              <w:highlight w:val="none"/>
            </w:rPr>
            <w:instrText xml:space="preserve"> PAGEREF _Toc718 \h </w:instrText>
          </w:r>
          <w:r>
            <w:rPr>
              <w:color w:val="auto"/>
              <w:highlight w:val="none"/>
            </w:rPr>
            <w:fldChar w:fldCharType="separate"/>
          </w:r>
          <w:r>
            <w:rPr>
              <w:color w:val="auto"/>
              <w:highlight w:val="none"/>
            </w:rPr>
            <w:t>19</w:t>
          </w:r>
          <w:r>
            <w:rPr>
              <w:color w:val="auto"/>
              <w:highlight w:val="none"/>
            </w:rPr>
            <w:fldChar w:fldCharType="end"/>
          </w:r>
          <w:r>
            <w:rPr>
              <w:bCs/>
              <w:color w:val="auto"/>
              <w:szCs w:val="21"/>
              <w:highlight w:val="none"/>
              <w:lang w:val="zh-CN"/>
            </w:rPr>
            <w:fldChar w:fldCharType="end"/>
          </w:r>
        </w:p>
        <w:p>
          <w:pPr>
            <w:pStyle w:val="8"/>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_Toc26428 </w:instrText>
          </w:r>
          <w:r>
            <w:rPr>
              <w:bCs/>
              <w:color w:val="auto"/>
              <w:szCs w:val="21"/>
              <w:highlight w:val="none"/>
              <w:lang w:val="zh-CN"/>
            </w:rPr>
            <w:fldChar w:fldCharType="separate"/>
          </w:r>
          <w:r>
            <w:rPr>
              <w:rFonts w:hint="eastAsia" w:eastAsia="宋体" w:cs="Times New Roman"/>
              <w:bCs/>
              <w:color w:val="auto"/>
              <w:szCs w:val="44"/>
              <w:highlight w:val="none"/>
            </w:rPr>
            <w:t>11</w:t>
          </w:r>
          <w:r>
            <w:rPr>
              <w:rFonts w:hint="eastAsia" w:eastAsia="宋体" w:cs="Times New Roman"/>
              <w:bCs/>
              <w:color w:val="auto"/>
              <w:szCs w:val="44"/>
              <w:highlight w:val="none"/>
              <w:lang w:val="en-US" w:eastAsia="zh-CN"/>
            </w:rPr>
            <w:t xml:space="preserve"> </w:t>
          </w:r>
          <w:r>
            <w:rPr>
              <w:rFonts w:hint="eastAsia" w:eastAsia="宋体" w:cs="Times New Roman"/>
              <w:bCs/>
              <w:color w:val="auto"/>
              <w:szCs w:val="44"/>
              <w:highlight w:val="none"/>
            </w:rPr>
            <w:t xml:space="preserve"> </w:t>
          </w:r>
          <w:r>
            <w:rPr>
              <w:rFonts w:hint="eastAsia" w:eastAsia="宋体" w:cs="Times New Roman"/>
              <w:bCs/>
              <w:color w:val="auto"/>
              <w:szCs w:val="44"/>
              <w:highlight w:val="none"/>
              <w:lang w:val="en-US" w:eastAsia="zh-CN"/>
            </w:rPr>
            <w:t xml:space="preserve"> 温度检测</w:t>
          </w:r>
          <w:r>
            <w:rPr>
              <w:color w:val="auto"/>
              <w:highlight w:val="none"/>
            </w:rPr>
            <w:tab/>
          </w:r>
          <w:r>
            <w:rPr>
              <w:color w:val="auto"/>
              <w:highlight w:val="none"/>
            </w:rPr>
            <w:fldChar w:fldCharType="begin"/>
          </w:r>
          <w:r>
            <w:rPr>
              <w:color w:val="auto"/>
              <w:highlight w:val="none"/>
            </w:rPr>
            <w:instrText xml:space="preserve"> PAGEREF _Toc26428 \h </w:instrText>
          </w:r>
          <w:r>
            <w:rPr>
              <w:color w:val="auto"/>
              <w:highlight w:val="none"/>
            </w:rPr>
            <w:fldChar w:fldCharType="separate"/>
          </w:r>
          <w:r>
            <w:rPr>
              <w:color w:val="auto"/>
              <w:highlight w:val="none"/>
            </w:rPr>
            <w:t>20</w:t>
          </w:r>
          <w:r>
            <w:rPr>
              <w:color w:val="auto"/>
              <w:highlight w:val="none"/>
            </w:rPr>
            <w:fldChar w:fldCharType="end"/>
          </w:r>
          <w:r>
            <w:rPr>
              <w:bCs/>
              <w:color w:val="auto"/>
              <w:szCs w:val="21"/>
              <w:highlight w:val="none"/>
              <w:lang w:val="zh-CN"/>
            </w:rPr>
            <w:fldChar w:fldCharType="end"/>
          </w:r>
        </w:p>
        <w:p>
          <w:pPr>
            <w:pStyle w:val="9"/>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_Toc8127 </w:instrText>
          </w:r>
          <w:r>
            <w:rPr>
              <w:bCs/>
              <w:color w:val="auto"/>
              <w:szCs w:val="21"/>
              <w:highlight w:val="none"/>
              <w:lang w:val="zh-CN"/>
            </w:rPr>
            <w:fldChar w:fldCharType="separate"/>
          </w:r>
          <w:r>
            <w:rPr>
              <w:rFonts w:hint="eastAsia" w:ascii="宋体" w:hAnsi="宋体" w:eastAsia="宋体" w:cs="宋体"/>
              <w:color w:val="auto"/>
              <w:szCs w:val="21"/>
              <w:highlight w:val="none"/>
            </w:rPr>
            <w:t xml:space="preserve">11.1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一般规定</w:t>
          </w:r>
          <w:r>
            <w:rPr>
              <w:color w:val="auto"/>
              <w:highlight w:val="none"/>
            </w:rPr>
            <w:tab/>
          </w:r>
          <w:r>
            <w:rPr>
              <w:color w:val="auto"/>
              <w:highlight w:val="none"/>
            </w:rPr>
            <w:fldChar w:fldCharType="begin"/>
          </w:r>
          <w:r>
            <w:rPr>
              <w:color w:val="auto"/>
              <w:highlight w:val="none"/>
            </w:rPr>
            <w:instrText xml:space="preserve"> PAGEREF _Toc8127 \h </w:instrText>
          </w:r>
          <w:r>
            <w:rPr>
              <w:color w:val="auto"/>
              <w:highlight w:val="none"/>
            </w:rPr>
            <w:fldChar w:fldCharType="separate"/>
          </w:r>
          <w:r>
            <w:rPr>
              <w:color w:val="auto"/>
              <w:highlight w:val="none"/>
            </w:rPr>
            <w:t>20</w:t>
          </w:r>
          <w:r>
            <w:rPr>
              <w:color w:val="auto"/>
              <w:highlight w:val="none"/>
            </w:rPr>
            <w:fldChar w:fldCharType="end"/>
          </w:r>
          <w:r>
            <w:rPr>
              <w:bCs/>
              <w:color w:val="auto"/>
              <w:szCs w:val="21"/>
              <w:highlight w:val="none"/>
              <w:lang w:val="zh-CN"/>
            </w:rPr>
            <w:fldChar w:fldCharType="end"/>
          </w:r>
        </w:p>
        <w:p>
          <w:pPr>
            <w:pStyle w:val="9"/>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_Toc6527 </w:instrText>
          </w:r>
          <w:r>
            <w:rPr>
              <w:bCs/>
              <w:color w:val="auto"/>
              <w:szCs w:val="21"/>
              <w:highlight w:val="none"/>
              <w:lang w:val="zh-CN"/>
            </w:rPr>
            <w:fldChar w:fldCharType="separate"/>
          </w:r>
          <w:r>
            <w:rPr>
              <w:rFonts w:hint="eastAsia" w:ascii="宋体" w:hAnsi="宋体" w:eastAsia="宋体" w:cs="宋体"/>
              <w:color w:val="auto"/>
              <w:szCs w:val="21"/>
              <w:highlight w:val="none"/>
            </w:rPr>
            <w:t xml:space="preserve">11.2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检测部位及检测数量</w:t>
          </w:r>
          <w:r>
            <w:rPr>
              <w:color w:val="auto"/>
              <w:highlight w:val="none"/>
            </w:rPr>
            <w:tab/>
          </w:r>
          <w:r>
            <w:rPr>
              <w:color w:val="auto"/>
              <w:highlight w:val="none"/>
            </w:rPr>
            <w:fldChar w:fldCharType="begin"/>
          </w:r>
          <w:r>
            <w:rPr>
              <w:color w:val="auto"/>
              <w:highlight w:val="none"/>
            </w:rPr>
            <w:instrText xml:space="preserve"> PAGEREF _Toc6527 \h </w:instrText>
          </w:r>
          <w:r>
            <w:rPr>
              <w:color w:val="auto"/>
              <w:highlight w:val="none"/>
            </w:rPr>
            <w:fldChar w:fldCharType="separate"/>
          </w:r>
          <w:r>
            <w:rPr>
              <w:color w:val="auto"/>
              <w:highlight w:val="none"/>
            </w:rPr>
            <w:t>20</w:t>
          </w:r>
          <w:r>
            <w:rPr>
              <w:color w:val="auto"/>
              <w:highlight w:val="none"/>
            </w:rPr>
            <w:fldChar w:fldCharType="end"/>
          </w:r>
          <w:r>
            <w:rPr>
              <w:bCs/>
              <w:color w:val="auto"/>
              <w:szCs w:val="21"/>
              <w:highlight w:val="none"/>
              <w:lang w:val="zh-CN"/>
            </w:rPr>
            <w:fldChar w:fldCharType="end"/>
          </w:r>
        </w:p>
        <w:p>
          <w:pPr>
            <w:pStyle w:val="9"/>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_Toc1110 </w:instrText>
          </w:r>
          <w:r>
            <w:rPr>
              <w:bCs/>
              <w:color w:val="auto"/>
              <w:szCs w:val="21"/>
              <w:highlight w:val="none"/>
              <w:lang w:val="zh-CN"/>
            </w:rPr>
            <w:fldChar w:fldCharType="separate"/>
          </w:r>
          <w:r>
            <w:rPr>
              <w:rFonts w:hint="eastAsia" w:ascii="宋体" w:hAnsi="宋体" w:eastAsia="宋体" w:cs="宋体"/>
              <w:color w:val="auto"/>
              <w:szCs w:val="21"/>
              <w:highlight w:val="none"/>
            </w:rPr>
            <w:t>11.3</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检测方法</w:t>
          </w:r>
          <w:r>
            <w:rPr>
              <w:color w:val="auto"/>
              <w:highlight w:val="none"/>
            </w:rPr>
            <w:tab/>
          </w:r>
          <w:r>
            <w:rPr>
              <w:color w:val="auto"/>
              <w:highlight w:val="none"/>
            </w:rPr>
            <w:fldChar w:fldCharType="begin"/>
          </w:r>
          <w:r>
            <w:rPr>
              <w:color w:val="auto"/>
              <w:highlight w:val="none"/>
            </w:rPr>
            <w:instrText xml:space="preserve"> PAGEREF _Toc1110 \h </w:instrText>
          </w:r>
          <w:r>
            <w:rPr>
              <w:color w:val="auto"/>
              <w:highlight w:val="none"/>
            </w:rPr>
            <w:fldChar w:fldCharType="separate"/>
          </w:r>
          <w:r>
            <w:rPr>
              <w:color w:val="auto"/>
              <w:highlight w:val="none"/>
            </w:rPr>
            <w:t>20</w:t>
          </w:r>
          <w:r>
            <w:rPr>
              <w:color w:val="auto"/>
              <w:highlight w:val="none"/>
            </w:rPr>
            <w:fldChar w:fldCharType="end"/>
          </w:r>
          <w:r>
            <w:rPr>
              <w:bCs/>
              <w:color w:val="auto"/>
              <w:szCs w:val="21"/>
              <w:highlight w:val="none"/>
              <w:lang w:val="zh-CN"/>
            </w:rPr>
            <w:fldChar w:fldCharType="end"/>
          </w:r>
        </w:p>
        <w:p>
          <w:pPr>
            <w:pStyle w:val="9"/>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_Toc13752 </w:instrText>
          </w:r>
          <w:r>
            <w:rPr>
              <w:bCs/>
              <w:color w:val="auto"/>
              <w:szCs w:val="21"/>
              <w:highlight w:val="none"/>
              <w:lang w:val="zh-CN"/>
            </w:rPr>
            <w:fldChar w:fldCharType="separate"/>
          </w:r>
          <w:r>
            <w:rPr>
              <w:rFonts w:hint="eastAsia" w:ascii="宋体" w:hAnsi="宋体" w:eastAsia="宋体" w:cs="宋体"/>
              <w:color w:val="auto"/>
              <w:szCs w:val="21"/>
              <w:highlight w:val="none"/>
            </w:rPr>
            <w:t xml:space="preserve">11.4 </w:t>
          </w:r>
          <w:r>
            <w:rPr>
              <w:rFonts w:hint="eastAsia" w:ascii="宋体" w:hAnsi="宋体" w:eastAsia="宋体" w:cs="宋体"/>
              <w:color w:val="auto"/>
              <w:szCs w:val="21"/>
              <w:highlight w:val="none"/>
              <w:lang w:val="en-US" w:eastAsia="zh-CN"/>
            </w:rPr>
            <w:t xml:space="preserve"> 检测结果的评价</w:t>
          </w:r>
          <w:r>
            <w:rPr>
              <w:color w:val="auto"/>
              <w:highlight w:val="none"/>
            </w:rPr>
            <w:tab/>
          </w:r>
          <w:r>
            <w:rPr>
              <w:color w:val="auto"/>
              <w:highlight w:val="none"/>
            </w:rPr>
            <w:fldChar w:fldCharType="begin"/>
          </w:r>
          <w:r>
            <w:rPr>
              <w:color w:val="auto"/>
              <w:highlight w:val="none"/>
            </w:rPr>
            <w:instrText xml:space="preserve"> PAGEREF _Toc13752 \h </w:instrText>
          </w:r>
          <w:r>
            <w:rPr>
              <w:color w:val="auto"/>
              <w:highlight w:val="none"/>
            </w:rPr>
            <w:fldChar w:fldCharType="separate"/>
          </w:r>
          <w:r>
            <w:rPr>
              <w:color w:val="auto"/>
              <w:highlight w:val="none"/>
            </w:rPr>
            <w:t>21</w:t>
          </w:r>
          <w:r>
            <w:rPr>
              <w:color w:val="auto"/>
              <w:highlight w:val="none"/>
            </w:rPr>
            <w:fldChar w:fldCharType="end"/>
          </w:r>
          <w:r>
            <w:rPr>
              <w:bCs/>
              <w:color w:val="auto"/>
              <w:szCs w:val="21"/>
              <w:highlight w:val="none"/>
              <w:lang w:val="zh-CN"/>
            </w:rPr>
            <w:fldChar w:fldCharType="end"/>
          </w:r>
        </w:p>
        <w:p>
          <w:pPr>
            <w:pStyle w:val="8"/>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_Toc7506 </w:instrText>
          </w:r>
          <w:r>
            <w:rPr>
              <w:bCs/>
              <w:color w:val="auto"/>
              <w:szCs w:val="21"/>
              <w:highlight w:val="none"/>
              <w:lang w:val="zh-CN"/>
            </w:rPr>
            <w:fldChar w:fldCharType="separate"/>
          </w:r>
          <w:r>
            <w:rPr>
              <w:rFonts w:eastAsia="宋体" w:cs="Times New Roman"/>
              <w:bCs/>
              <w:color w:val="auto"/>
              <w:szCs w:val="44"/>
              <w:highlight w:val="none"/>
            </w:rPr>
            <w:t>1</w:t>
          </w:r>
          <w:r>
            <w:rPr>
              <w:rFonts w:hint="eastAsia" w:eastAsia="宋体" w:cs="Times New Roman"/>
              <w:bCs/>
              <w:color w:val="auto"/>
              <w:szCs w:val="44"/>
              <w:highlight w:val="none"/>
            </w:rPr>
            <w:t>2</w:t>
          </w:r>
          <w:r>
            <w:rPr>
              <w:rFonts w:eastAsia="宋体" w:cs="Times New Roman"/>
              <w:bCs/>
              <w:color w:val="auto"/>
              <w:szCs w:val="44"/>
              <w:highlight w:val="none"/>
            </w:rPr>
            <w:t xml:space="preserve"> </w:t>
          </w:r>
          <w:r>
            <w:rPr>
              <w:rFonts w:hint="eastAsia" w:eastAsia="宋体" w:cs="Times New Roman"/>
              <w:bCs/>
              <w:color w:val="auto"/>
              <w:szCs w:val="44"/>
              <w:highlight w:val="none"/>
              <w:lang w:val="en-US" w:eastAsia="zh-CN"/>
            </w:rPr>
            <w:t xml:space="preserve"> </w:t>
          </w:r>
          <w:r>
            <w:rPr>
              <w:rFonts w:hint="eastAsia" w:eastAsia="宋体" w:cs="Times New Roman"/>
              <w:bCs/>
              <w:color w:val="auto"/>
              <w:szCs w:val="44"/>
              <w:highlight w:val="none"/>
            </w:rPr>
            <w:t xml:space="preserve"> </w:t>
          </w:r>
          <w:r>
            <w:rPr>
              <w:rFonts w:hint="eastAsia" w:eastAsia="宋体" w:cs="Times New Roman"/>
              <w:bCs/>
              <w:color w:val="auto"/>
              <w:szCs w:val="44"/>
              <w:highlight w:val="none"/>
              <w:lang w:val="en-US" w:eastAsia="zh-CN"/>
            </w:rPr>
            <w:t>照明的照度和功率密度检测</w:t>
          </w:r>
          <w:r>
            <w:rPr>
              <w:color w:val="auto"/>
              <w:highlight w:val="none"/>
            </w:rPr>
            <w:tab/>
          </w:r>
          <w:r>
            <w:rPr>
              <w:color w:val="auto"/>
              <w:highlight w:val="none"/>
            </w:rPr>
            <w:fldChar w:fldCharType="begin"/>
          </w:r>
          <w:r>
            <w:rPr>
              <w:color w:val="auto"/>
              <w:highlight w:val="none"/>
            </w:rPr>
            <w:instrText xml:space="preserve"> PAGEREF _Toc7506 \h </w:instrText>
          </w:r>
          <w:r>
            <w:rPr>
              <w:color w:val="auto"/>
              <w:highlight w:val="none"/>
            </w:rPr>
            <w:fldChar w:fldCharType="separate"/>
          </w:r>
          <w:r>
            <w:rPr>
              <w:color w:val="auto"/>
              <w:highlight w:val="none"/>
            </w:rPr>
            <w:t>24</w:t>
          </w:r>
          <w:r>
            <w:rPr>
              <w:color w:val="auto"/>
              <w:highlight w:val="none"/>
            </w:rPr>
            <w:fldChar w:fldCharType="end"/>
          </w:r>
          <w:r>
            <w:rPr>
              <w:bCs/>
              <w:color w:val="auto"/>
              <w:szCs w:val="21"/>
              <w:highlight w:val="none"/>
              <w:lang w:val="zh-CN"/>
            </w:rPr>
            <w:fldChar w:fldCharType="end"/>
          </w:r>
        </w:p>
        <w:p>
          <w:pPr>
            <w:pStyle w:val="9"/>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_Toc16118 </w:instrText>
          </w:r>
          <w:r>
            <w:rPr>
              <w:bCs/>
              <w:color w:val="auto"/>
              <w:szCs w:val="21"/>
              <w:highlight w:val="none"/>
              <w:lang w:val="zh-CN"/>
            </w:rPr>
            <w:fldChar w:fldCharType="separate"/>
          </w:r>
          <w:r>
            <w:rPr>
              <w:rFonts w:hint="eastAsia" w:ascii="宋体" w:hAnsi="宋体" w:eastAsia="宋体" w:cs="宋体"/>
              <w:color w:val="auto"/>
              <w:szCs w:val="21"/>
              <w:highlight w:val="none"/>
            </w:rPr>
            <w:t>12.</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一般</w:t>
          </w:r>
          <w:r>
            <w:rPr>
              <w:rFonts w:hint="eastAsia" w:ascii="宋体" w:hAnsi="宋体" w:eastAsia="宋体" w:cs="宋体"/>
              <w:color w:val="auto"/>
              <w:szCs w:val="21"/>
              <w:highlight w:val="none"/>
              <w:lang w:val="en-US" w:eastAsia="zh-CN"/>
            </w:rPr>
            <w:t>规定</w:t>
          </w:r>
          <w:r>
            <w:rPr>
              <w:color w:val="auto"/>
              <w:highlight w:val="none"/>
            </w:rPr>
            <w:tab/>
          </w:r>
          <w:r>
            <w:rPr>
              <w:color w:val="auto"/>
              <w:highlight w:val="none"/>
            </w:rPr>
            <w:fldChar w:fldCharType="begin"/>
          </w:r>
          <w:r>
            <w:rPr>
              <w:color w:val="auto"/>
              <w:highlight w:val="none"/>
            </w:rPr>
            <w:instrText xml:space="preserve"> PAGEREF _Toc16118 \h </w:instrText>
          </w:r>
          <w:r>
            <w:rPr>
              <w:color w:val="auto"/>
              <w:highlight w:val="none"/>
            </w:rPr>
            <w:fldChar w:fldCharType="separate"/>
          </w:r>
          <w:r>
            <w:rPr>
              <w:color w:val="auto"/>
              <w:highlight w:val="none"/>
            </w:rPr>
            <w:t>24</w:t>
          </w:r>
          <w:r>
            <w:rPr>
              <w:color w:val="auto"/>
              <w:highlight w:val="none"/>
            </w:rPr>
            <w:fldChar w:fldCharType="end"/>
          </w:r>
          <w:r>
            <w:rPr>
              <w:bCs/>
              <w:color w:val="auto"/>
              <w:szCs w:val="21"/>
              <w:highlight w:val="none"/>
              <w:lang w:val="zh-CN"/>
            </w:rPr>
            <w:fldChar w:fldCharType="end"/>
          </w:r>
        </w:p>
        <w:p>
          <w:pPr>
            <w:pStyle w:val="9"/>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_Toc11682 </w:instrText>
          </w:r>
          <w:r>
            <w:rPr>
              <w:bCs/>
              <w:color w:val="auto"/>
              <w:szCs w:val="21"/>
              <w:highlight w:val="none"/>
              <w:lang w:val="zh-CN"/>
            </w:rPr>
            <w:fldChar w:fldCharType="separate"/>
          </w:r>
          <w:r>
            <w:rPr>
              <w:rFonts w:ascii="宋体" w:hAnsi="宋体" w:eastAsia="宋体" w:cs="宋体"/>
              <w:color w:val="auto"/>
              <w:szCs w:val="21"/>
              <w:highlight w:val="none"/>
            </w:rPr>
            <w:t>1</w:t>
          </w:r>
          <w:r>
            <w:rPr>
              <w:rFonts w:hint="eastAsia" w:ascii="宋体" w:hAnsi="宋体" w:eastAsia="宋体" w:cs="宋体"/>
              <w:color w:val="auto"/>
              <w:szCs w:val="21"/>
              <w:highlight w:val="none"/>
            </w:rPr>
            <w:t>2</w:t>
          </w:r>
          <w:r>
            <w:rPr>
              <w:rFonts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 xml:space="preserve">2  </w:t>
          </w:r>
          <w:r>
            <w:rPr>
              <w:rFonts w:hint="eastAsia" w:ascii="宋体" w:hAnsi="宋体" w:eastAsia="宋体" w:cs="宋体"/>
              <w:color w:val="auto"/>
              <w:szCs w:val="21"/>
              <w:highlight w:val="none"/>
            </w:rPr>
            <w:t>检测部位和检测数量</w:t>
          </w:r>
          <w:r>
            <w:rPr>
              <w:color w:val="auto"/>
              <w:highlight w:val="none"/>
            </w:rPr>
            <w:tab/>
          </w:r>
          <w:r>
            <w:rPr>
              <w:color w:val="auto"/>
              <w:highlight w:val="none"/>
            </w:rPr>
            <w:fldChar w:fldCharType="begin"/>
          </w:r>
          <w:r>
            <w:rPr>
              <w:color w:val="auto"/>
              <w:highlight w:val="none"/>
            </w:rPr>
            <w:instrText xml:space="preserve"> PAGEREF _Toc11682 \h </w:instrText>
          </w:r>
          <w:r>
            <w:rPr>
              <w:color w:val="auto"/>
              <w:highlight w:val="none"/>
            </w:rPr>
            <w:fldChar w:fldCharType="separate"/>
          </w:r>
          <w:r>
            <w:rPr>
              <w:color w:val="auto"/>
              <w:highlight w:val="none"/>
            </w:rPr>
            <w:t>24</w:t>
          </w:r>
          <w:r>
            <w:rPr>
              <w:color w:val="auto"/>
              <w:highlight w:val="none"/>
            </w:rPr>
            <w:fldChar w:fldCharType="end"/>
          </w:r>
          <w:r>
            <w:rPr>
              <w:bCs/>
              <w:color w:val="auto"/>
              <w:szCs w:val="21"/>
              <w:highlight w:val="none"/>
              <w:lang w:val="zh-CN"/>
            </w:rPr>
            <w:fldChar w:fldCharType="end"/>
          </w:r>
        </w:p>
        <w:p>
          <w:pPr>
            <w:pStyle w:val="9"/>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_Toc4100 </w:instrText>
          </w:r>
          <w:r>
            <w:rPr>
              <w:bCs/>
              <w:color w:val="auto"/>
              <w:szCs w:val="21"/>
              <w:highlight w:val="none"/>
              <w:lang w:val="zh-CN"/>
            </w:rPr>
            <w:fldChar w:fldCharType="separate"/>
          </w:r>
          <w:r>
            <w:rPr>
              <w:rFonts w:hint="eastAsia" w:ascii="宋体" w:hAnsi="宋体" w:eastAsia="宋体" w:cs="宋体"/>
              <w:color w:val="auto"/>
              <w:szCs w:val="21"/>
              <w:highlight w:val="none"/>
            </w:rPr>
            <w:t>12.</w:t>
          </w:r>
          <w:r>
            <w:rPr>
              <w:rFonts w:hint="eastAsia" w:ascii="宋体" w:hAnsi="宋体" w:eastAsia="宋体" w:cs="宋体"/>
              <w:color w:val="auto"/>
              <w:szCs w:val="21"/>
              <w:highlight w:val="none"/>
              <w:lang w:val="en-US" w:eastAsia="zh-CN"/>
            </w:rPr>
            <w:t xml:space="preserve">3  </w:t>
          </w:r>
          <w:r>
            <w:rPr>
              <w:rFonts w:hint="eastAsia" w:ascii="宋体" w:hAnsi="宋体" w:eastAsia="宋体" w:cs="宋体"/>
              <w:color w:val="auto"/>
              <w:szCs w:val="21"/>
              <w:highlight w:val="none"/>
            </w:rPr>
            <w:t>检测方法</w:t>
          </w:r>
          <w:r>
            <w:rPr>
              <w:color w:val="auto"/>
              <w:highlight w:val="none"/>
            </w:rPr>
            <w:tab/>
          </w:r>
          <w:r>
            <w:rPr>
              <w:color w:val="auto"/>
              <w:highlight w:val="none"/>
            </w:rPr>
            <w:fldChar w:fldCharType="begin"/>
          </w:r>
          <w:r>
            <w:rPr>
              <w:color w:val="auto"/>
              <w:highlight w:val="none"/>
            </w:rPr>
            <w:instrText xml:space="preserve"> PAGEREF _Toc4100 \h </w:instrText>
          </w:r>
          <w:r>
            <w:rPr>
              <w:color w:val="auto"/>
              <w:highlight w:val="none"/>
            </w:rPr>
            <w:fldChar w:fldCharType="separate"/>
          </w:r>
          <w:r>
            <w:rPr>
              <w:color w:val="auto"/>
              <w:highlight w:val="none"/>
            </w:rPr>
            <w:t>25</w:t>
          </w:r>
          <w:r>
            <w:rPr>
              <w:color w:val="auto"/>
              <w:highlight w:val="none"/>
            </w:rPr>
            <w:fldChar w:fldCharType="end"/>
          </w:r>
          <w:r>
            <w:rPr>
              <w:bCs/>
              <w:color w:val="auto"/>
              <w:szCs w:val="21"/>
              <w:highlight w:val="none"/>
              <w:lang w:val="zh-CN"/>
            </w:rPr>
            <w:fldChar w:fldCharType="end"/>
          </w:r>
        </w:p>
        <w:p>
          <w:pPr>
            <w:pStyle w:val="9"/>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_Toc8732 </w:instrText>
          </w:r>
          <w:r>
            <w:rPr>
              <w:bCs/>
              <w:color w:val="auto"/>
              <w:szCs w:val="21"/>
              <w:highlight w:val="none"/>
              <w:lang w:val="zh-CN"/>
            </w:rPr>
            <w:fldChar w:fldCharType="separate"/>
          </w:r>
          <w:r>
            <w:rPr>
              <w:rFonts w:hint="eastAsia" w:ascii="宋体" w:hAnsi="宋体" w:eastAsia="宋体" w:cs="宋体"/>
              <w:color w:val="auto"/>
              <w:szCs w:val="21"/>
              <w:highlight w:val="none"/>
            </w:rPr>
            <w:t>12.</w:t>
          </w:r>
          <w:r>
            <w:rPr>
              <w:rFonts w:hint="eastAsia" w:ascii="宋体" w:hAnsi="宋体" w:eastAsia="宋体" w:cs="宋体"/>
              <w:color w:val="auto"/>
              <w:szCs w:val="21"/>
              <w:highlight w:val="none"/>
              <w:lang w:val="en-US" w:eastAsia="zh-CN"/>
            </w:rPr>
            <w:t xml:space="preserve">4  </w:t>
          </w:r>
          <w:r>
            <w:rPr>
              <w:rFonts w:hint="eastAsia" w:ascii="宋体" w:hAnsi="宋体" w:eastAsia="宋体" w:cs="宋体"/>
              <w:color w:val="auto"/>
              <w:szCs w:val="21"/>
              <w:highlight w:val="none"/>
            </w:rPr>
            <w:t>检测结果</w:t>
          </w:r>
          <w:r>
            <w:rPr>
              <w:rFonts w:hint="eastAsia" w:ascii="宋体" w:hAnsi="宋体" w:eastAsia="宋体" w:cs="宋体"/>
              <w:color w:val="auto"/>
              <w:szCs w:val="21"/>
              <w:highlight w:val="none"/>
              <w:lang w:val="en-US" w:eastAsia="zh-CN"/>
            </w:rPr>
            <w:t>的评价</w:t>
          </w:r>
          <w:r>
            <w:rPr>
              <w:color w:val="auto"/>
              <w:highlight w:val="none"/>
            </w:rPr>
            <w:tab/>
          </w:r>
          <w:r>
            <w:rPr>
              <w:color w:val="auto"/>
              <w:highlight w:val="none"/>
            </w:rPr>
            <w:fldChar w:fldCharType="begin"/>
          </w:r>
          <w:r>
            <w:rPr>
              <w:color w:val="auto"/>
              <w:highlight w:val="none"/>
            </w:rPr>
            <w:instrText xml:space="preserve"> PAGEREF _Toc8732 \h </w:instrText>
          </w:r>
          <w:r>
            <w:rPr>
              <w:color w:val="auto"/>
              <w:highlight w:val="none"/>
            </w:rPr>
            <w:fldChar w:fldCharType="separate"/>
          </w:r>
          <w:r>
            <w:rPr>
              <w:color w:val="auto"/>
              <w:highlight w:val="none"/>
            </w:rPr>
            <w:t>31</w:t>
          </w:r>
          <w:r>
            <w:rPr>
              <w:color w:val="auto"/>
              <w:highlight w:val="none"/>
            </w:rPr>
            <w:fldChar w:fldCharType="end"/>
          </w:r>
          <w:r>
            <w:rPr>
              <w:bCs/>
              <w:color w:val="auto"/>
              <w:szCs w:val="21"/>
              <w:highlight w:val="none"/>
              <w:lang w:val="zh-CN"/>
            </w:rPr>
            <w:fldChar w:fldCharType="end"/>
          </w:r>
        </w:p>
        <w:p>
          <w:pPr>
            <w:pStyle w:val="8"/>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_Toc13004 </w:instrText>
          </w:r>
          <w:r>
            <w:rPr>
              <w:bCs/>
              <w:color w:val="auto"/>
              <w:szCs w:val="21"/>
              <w:highlight w:val="none"/>
              <w:lang w:val="zh-CN"/>
            </w:rPr>
            <w:fldChar w:fldCharType="separate"/>
          </w:r>
          <w:r>
            <w:rPr>
              <w:rFonts w:hint="eastAsia" w:ascii="Times New Roman" w:hAnsi="Times New Roman" w:eastAsia="宋体" w:cs="Times New Roman"/>
              <w:bCs/>
              <w:color w:val="auto"/>
              <w:kern w:val="44"/>
              <w:szCs w:val="44"/>
              <w:highlight w:val="none"/>
              <w:lang w:val="en-US" w:eastAsia="zh-CN" w:bidi="ar-SA"/>
            </w:rPr>
            <w:t>13  电源质量检测</w:t>
          </w:r>
          <w:r>
            <w:rPr>
              <w:color w:val="auto"/>
              <w:highlight w:val="none"/>
            </w:rPr>
            <w:tab/>
          </w:r>
          <w:r>
            <w:rPr>
              <w:color w:val="auto"/>
              <w:highlight w:val="none"/>
            </w:rPr>
            <w:fldChar w:fldCharType="begin"/>
          </w:r>
          <w:r>
            <w:rPr>
              <w:color w:val="auto"/>
              <w:highlight w:val="none"/>
            </w:rPr>
            <w:instrText xml:space="preserve"> PAGEREF _Toc13004 \h </w:instrText>
          </w:r>
          <w:r>
            <w:rPr>
              <w:color w:val="auto"/>
              <w:highlight w:val="none"/>
            </w:rPr>
            <w:fldChar w:fldCharType="separate"/>
          </w:r>
          <w:r>
            <w:rPr>
              <w:color w:val="auto"/>
              <w:highlight w:val="none"/>
            </w:rPr>
            <w:t>33</w:t>
          </w:r>
          <w:r>
            <w:rPr>
              <w:color w:val="auto"/>
              <w:highlight w:val="none"/>
            </w:rPr>
            <w:fldChar w:fldCharType="end"/>
          </w:r>
          <w:r>
            <w:rPr>
              <w:bCs/>
              <w:color w:val="auto"/>
              <w:szCs w:val="21"/>
              <w:highlight w:val="none"/>
              <w:lang w:val="zh-CN"/>
            </w:rPr>
            <w:fldChar w:fldCharType="end"/>
          </w:r>
        </w:p>
        <w:p>
          <w:pPr>
            <w:pStyle w:val="9"/>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_Toc5058 </w:instrText>
          </w:r>
          <w:r>
            <w:rPr>
              <w:bCs/>
              <w:color w:val="auto"/>
              <w:szCs w:val="21"/>
              <w:highlight w:val="none"/>
              <w:lang w:val="zh-CN"/>
            </w:rPr>
            <w:fldChar w:fldCharType="separate"/>
          </w:r>
          <w:r>
            <w:rPr>
              <w:rFonts w:hint="eastAsia" w:ascii="宋体" w:hAnsi="宋体" w:eastAsia="宋体" w:cs="宋体"/>
              <w:color w:val="auto"/>
              <w:szCs w:val="21"/>
              <w:highlight w:val="none"/>
            </w:rPr>
            <w:t>13.</w:t>
          </w:r>
          <w:r>
            <w:rPr>
              <w:rFonts w:hint="eastAsia" w:ascii="宋体" w:hAnsi="宋体" w:eastAsia="宋体" w:cs="宋体"/>
              <w:color w:val="auto"/>
              <w:szCs w:val="21"/>
              <w:highlight w:val="none"/>
              <w:lang w:val="en-US" w:eastAsia="zh-CN"/>
            </w:rPr>
            <w:t xml:space="preserve">1  </w:t>
          </w:r>
          <w:r>
            <w:rPr>
              <w:rFonts w:hint="eastAsia" w:ascii="宋体" w:hAnsi="宋体" w:eastAsia="宋体" w:cs="宋体"/>
              <w:color w:val="auto"/>
              <w:szCs w:val="21"/>
              <w:highlight w:val="none"/>
            </w:rPr>
            <w:t>一般规定</w:t>
          </w:r>
          <w:r>
            <w:rPr>
              <w:color w:val="auto"/>
              <w:highlight w:val="none"/>
            </w:rPr>
            <w:tab/>
          </w:r>
          <w:r>
            <w:rPr>
              <w:color w:val="auto"/>
              <w:highlight w:val="none"/>
            </w:rPr>
            <w:fldChar w:fldCharType="begin"/>
          </w:r>
          <w:r>
            <w:rPr>
              <w:color w:val="auto"/>
              <w:highlight w:val="none"/>
            </w:rPr>
            <w:instrText xml:space="preserve"> PAGEREF _Toc5058 \h </w:instrText>
          </w:r>
          <w:r>
            <w:rPr>
              <w:color w:val="auto"/>
              <w:highlight w:val="none"/>
            </w:rPr>
            <w:fldChar w:fldCharType="separate"/>
          </w:r>
          <w:r>
            <w:rPr>
              <w:color w:val="auto"/>
              <w:highlight w:val="none"/>
            </w:rPr>
            <w:t>33</w:t>
          </w:r>
          <w:r>
            <w:rPr>
              <w:color w:val="auto"/>
              <w:highlight w:val="none"/>
            </w:rPr>
            <w:fldChar w:fldCharType="end"/>
          </w:r>
          <w:r>
            <w:rPr>
              <w:bCs/>
              <w:color w:val="auto"/>
              <w:szCs w:val="21"/>
              <w:highlight w:val="none"/>
              <w:lang w:val="zh-CN"/>
            </w:rPr>
            <w:fldChar w:fldCharType="end"/>
          </w:r>
        </w:p>
        <w:p>
          <w:pPr>
            <w:pStyle w:val="9"/>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_Toc16387 </w:instrText>
          </w:r>
          <w:r>
            <w:rPr>
              <w:bCs/>
              <w:color w:val="auto"/>
              <w:szCs w:val="21"/>
              <w:highlight w:val="none"/>
              <w:lang w:val="zh-CN"/>
            </w:rPr>
            <w:fldChar w:fldCharType="separate"/>
          </w:r>
          <w:r>
            <w:rPr>
              <w:rFonts w:hint="eastAsia" w:ascii="宋体" w:hAnsi="宋体" w:eastAsia="宋体" w:cs="宋体"/>
              <w:color w:val="auto"/>
              <w:szCs w:val="21"/>
              <w:highlight w:val="none"/>
              <w:lang w:val="en-US" w:eastAsia="zh-CN"/>
            </w:rPr>
            <w:t>13.2  检测部位和检测数量</w:t>
          </w:r>
          <w:r>
            <w:rPr>
              <w:color w:val="auto"/>
              <w:highlight w:val="none"/>
            </w:rPr>
            <w:tab/>
          </w:r>
          <w:r>
            <w:rPr>
              <w:color w:val="auto"/>
              <w:highlight w:val="none"/>
            </w:rPr>
            <w:fldChar w:fldCharType="begin"/>
          </w:r>
          <w:r>
            <w:rPr>
              <w:color w:val="auto"/>
              <w:highlight w:val="none"/>
            </w:rPr>
            <w:instrText xml:space="preserve"> PAGEREF _Toc16387 \h </w:instrText>
          </w:r>
          <w:r>
            <w:rPr>
              <w:color w:val="auto"/>
              <w:highlight w:val="none"/>
            </w:rPr>
            <w:fldChar w:fldCharType="separate"/>
          </w:r>
          <w:r>
            <w:rPr>
              <w:color w:val="auto"/>
              <w:highlight w:val="none"/>
            </w:rPr>
            <w:t>33</w:t>
          </w:r>
          <w:r>
            <w:rPr>
              <w:color w:val="auto"/>
              <w:highlight w:val="none"/>
            </w:rPr>
            <w:fldChar w:fldCharType="end"/>
          </w:r>
          <w:r>
            <w:rPr>
              <w:bCs/>
              <w:color w:val="auto"/>
              <w:szCs w:val="21"/>
              <w:highlight w:val="none"/>
              <w:lang w:val="zh-CN"/>
            </w:rPr>
            <w:fldChar w:fldCharType="end"/>
          </w:r>
        </w:p>
        <w:p>
          <w:pPr>
            <w:pStyle w:val="9"/>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_Toc30021 </w:instrText>
          </w:r>
          <w:r>
            <w:rPr>
              <w:bCs/>
              <w:color w:val="auto"/>
              <w:szCs w:val="21"/>
              <w:highlight w:val="none"/>
              <w:lang w:val="zh-CN"/>
            </w:rPr>
            <w:fldChar w:fldCharType="separate"/>
          </w:r>
          <w:r>
            <w:rPr>
              <w:rFonts w:hint="eastAsia" w:ascii="宋体" w:hAnsi="宋体" w:eastAsia="宋体" w:cs="宋体"/>
              <w:color w:val="auto"/>
              <w:szCs w:val="21"/>
              <w:highlight w:val="none"/>
            </w:rPr>
            <w:t xml:space="preserve">13.3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检测方法</w:t>
          </w:r>
          <w:r>
            <w:rPr>
              <w:color w:val="auto"/>
              <w:highlight w:val="none"/>
            </w:rPr>
            <w:tab/>
          </w:r>
          <w:r>
            <w:rPr>
              <w:color w:val="auto"/>
              <w:highlight w:val="none"/>
            </w:rPr>
            <w:fldChar w:fldCharType="begin"/>
          </w:r>
          <w:r>
            <w:rPr>
              <w:color w:val="auto"/>
              <w:highlight w:val="none"/>
            </w:rPr>
            <w:instrText xml:space="preserve"> PAGEREF _Toc30021 \h </w:instrText>
          </w:r>
          <w:r>
            <w:rPr>
              <w:color w:val="auto"/>
              <w:highlight w:val="none"/>
            </w:rPr>
            <w:fldChar w:fldCharType="separate"/>
          </w:r>
          <w:r>
            <w:rPr>
              <w:color w:val="auto"/>
              <w:highlight w:val="none"/>
            </w:rPr>
            <w:t>33</w:t>
          </w:r>
          <w:r>
            <w:rPr>
              <w:color w:val="auto"/>
              <w:highlight w:val="none"/>
            </w:rPr>
            <w:fldChar w:fldCharType="end"/>
          </w:r>
          <w:r>
            <w:rPr>
              <w:bCs/>
              <w:color w:val="auto"/>
              <w:szCs w:val="21"/>
              <w:highlight w:val="none"/>
              <w:lang w:val="zh-CN"/>
            </w:rPr>
            <w:fldChar w:fldCharType="end"/>
          </w:r>
        </w:p>
        <w:p>
          <w:pPr>
            <w:pStyle w:val="9"/>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_Toc28955 </w:instrText>
          </w:r>
          <w:r>
            <w:rPr>
              <w:bCs/>
              <w:color w:val="auto"/>
              <w:szCs w:val="21"/>
              <w:highlight w:val="none"/>
              <w:lang w:val="zh-CN"/>
            </w:rPr>
            <w:fldChar w:fldCharType="separate"/>
          </w:r>
          <w:r>
            <w:rPr>
              <w:rFonts w:hint="eastAsia" w:ascii="宋体" w:hAnsi="宋体" w:eastAsia="宋体" w:cs="宋体"/>
              <w:color w:val="auto"/>
              <w:szCs w:val="21"/>
              <w:highlight w:val="none"/>
            </w:rPr>
            <w:t xml:space="preserve">13.4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检测结果</w:t>
          </w:r>
          <w:r>
            <w:rPr>
              <w:rFonts w:hint="eastAsia" w:ascii="宋体" w:hAnsi="宋体" w:eastAsia="宋体" w:cs="宋体"/>
              <w:color w:val="auto"/>
              <w:szCs w:val="21"/>
              <w:highlight w:val="none"/>
              <w:lang w:val="en-US" w:eastAsia="zh-CN"/>
            </w:rPr>
            <w:t>的评价</w:t>
          </w:r>
          <w:r>
            <w:rPr>
              <w:color w:val="auto"/>
              <w:highlight w:val="none"/>
            </w:rPr>
            <w:tab/>
          </w:r>
          <w:r>
            <w:rPr>
              <w:color w:val="auto"/>
              <w:highlight w:val="none"/>
            </w:rPr>
            <w:fldChar w:fldCharType="begin"/>
          </w:r>
          <w:r>
            <w:rPr>
              <w:color w:val="auto"/>
              <w:highlight w:val="none"/>
            </w:rPr>
            <w:instrText xml:space="preserve"> PAGEREF _Toc28955 \h </w:instrText>
          </w:r>
          <w:r>
            <w:rPr>
              <w:color w:val="auto"/>
              <w:highlight w:val="none"/>
            </w:rPr>
            <w:fldChar w:fldCharType="separate"/>
          </w:r>
          <w:r>
            <w:rPr>
              <w:color w:val="auto"/>
              <w:highlight w:val="none"/>
            </w:rPr>
            <w:t>34</w:t>
          </w:r>
          <w:r>
            <w:rPr>
              <w:color w:val="auto"/>
              <w:highlight w:val="none"/>
            </w:rPr>
            <w:fldChar w:fldCharType="end"/>
          </w:r>
          <w:r>
            <w:rPr>
              <w:bCs/>
              <w:color w:val="auto"/>
              <w:szCs w:val="21"/>
              <w:highlight w:val="none"/>
              <w:lang w:val="zh-CN"/>
            </w:rPr>
            <w:fldChar w:fldCharType="end"/>
          </w:r>
        </w:p>
        <w:p>
          <w:pPr>
            <w:pStyle w:val="8"/>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_Toc3508 </w:instrText>
          </w:r>
          <w:r>
            <w:rPr>
              <w:bCs/>
              <w:color w:val="auto"/>
              <w:szCs w:val="21"/>
              <w:highlight w:val="none"/>
              <w:lang w:val="zh-CN"/>
            </w:rPr>
            <w:fldChar w:fldCharType="separate"/>
          </w:r>
          <w:r>
            <w:rPr>
              <w:rFonts w:hint="eastAsia" w:eastAsia="宋体" w:cs="Times New Roman"/>
              <w:bCs/>
              <w:color w:val="auto"/>
              <w:szCs w:val="44"/>
              <w:highlight w:val="none"/>
              <w:lang w:val="en-US" w:eastAsia="zh-CN"/>
            </w:rPr>
            <w:t>附录A   常用材料发射率的参考值</w:t>
          </w:r>
          <w:r>
            <w:rPr>
              <w:color w:val="auto"/>
              <w:highlight w:val="none"/>
            </w:rPr>
            <w:tab/>
          </w:r>
          <w:r>
            <w:rPr>
              <w:color w:val="auto"/>
              <w:highlight w:val="none"/>
            </w:rPr>
            <w:fldChar w:fldCharType="begin"/>
          </w:r>
          <w:r>
            <w:rPr>
              <w:color w:val="auto"/>
              <w:highlight w:val="none"/>
            </w:rPr>
            <w:instrText xml:space="preserve"> PAGEREF _Toc3508 \h </w:instrText>
          </w:r>
          <w:r>
            <w:rPr>
              <w:color w:val="auto"/>
              <w:highlight w:val="none"/>
            </w:rPr>
            <w:fldChar w:fldCharType="separate"/>
          </w:r>
          <w:r>
            <w:rPr>
              <w:color w:val="auto"/>
              <w:highlight w:val="none"/>
            </w:rPr>
            <w:t>36</w:t>
          </w:r>
          <w:r>
            <w:rPr>
              <w:color w:val="auto"/>
              <w:highlight w:val="none"/>
            </w:rPr>
            <w:fldChar w:fldCharType="end"/>
          </w:r>
          <w:r>
            <w:rPr>
              <w:bCs/>
              <w:color w:val="auto"/>
              <w:szCs w:val="21"/>
              <w:highlight w:val="none"/>
              <w:lang w:val="zh-CN"/>
            </w:rPr>
            <w:fldChar w:fldCharType="end"/>
          </w:r>
        </w:p>
        <w:p>
          <w:pPr>
            <w:pStyle w:val="8"/>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_Toc7877 </w:instrText>
          </w:r>
          <w:r>
            <w:rPr>
              <w:bCs/>
              <w:color w:val="auto"/>
              <w:szCs w:val="21"/>
              <w:highlight w:val="none"/>
              <w:lang w:val="zh-CN"/>
            </w:rPr>
            <w:fldChar w:fldCharType="separate"/>
          </w:r>
          <w:r>
            <w:rPr>
              <w:rFonts w:hint="eastAsia" w:eastAsia="宋体" w:cs="Times New Roman"/>
              <w:bCs/>
              <w:color w:val="auto"/>
              <w:szCs w:val="44"/>
              <w:highlight w:val="none"/>
              <w:lang w:val="en-US" w:eastAsia="zh-CN"/>
            </w:rPr>
            <w:t>附录B 建筑照明照度测点布置</w:t>
          </w:r>
          <w:r>
            <w:rPr>
              <w:color w:val="auto"/>
              <w:highlight w:val="none"/>
            </w:rPr>
            <w:tab/>
          </w:r>
          <w:r>
            <w:rPr>
              <w:color w:val="auto"/>
              <w:highlight w:val="none"/>
            </w:rPr>
            <w:fldChar w:fldCharType="begin"/>
          </w:r>
          <w:r>
            <w:rPr>
              <w:color w:val="auto"/>
              <w:highlight w:val="none"/>
            </w:rPr>
            <w:instrText xml:space="preserve"> PAGEREF _Toc7877 \h </w:instrText>
          </w:r>
          <w:r>
            <w:rPr>
              <w:color w:val="auto"/>
              <w:highlight w:val="none"/>
            </w:rPr>
            <w:fldChar w:fldCharType="separate"/>
          </w:r>
          <w:r>
            <w:rPr>
              <w:color w:val="auto"/>
              <w:highlight w:val="none"/>
            </w:rPr>
            <w:t>37</w:t>
          </w:r>
          <w:r>
            <w:rPr>
              <w:color w:val="auto"/>
              <w:highlight w:val="none"/>
            </w:rPr>
            <w:fldChar w:fldCharType="end"/>
          </w:r>
          <w:r>
            <w:rPr>
              <w:bCs/>
              <w:color w:val="auto"/>
              <w:szCs w:val="21"/>
              <w:highlight w:val="none"/>
              <w:lang w:val="zh-CN"/>
            </w:rPr>
            <w:fldChar w:fldCharType="end"/>
          </w:r>
        </w:p>
        <w:p>
          <w:pPr>
            <w:pStyle w:val="8"/>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_Toc12655 </w:instrText>
          </w:r>
          <w:r>
            <w:rPr>
              <w:bCs/>
              <w:color w:val="auto"/>
              <w:szCs w:val="21"/>
              <w:highlight w:val="none"/>
              <w:lang w:val="zh-CN"/>
            </w:rPr>
            <w:fldChar w:fldCharType="separate"/>
          </w:r>
          <w:r>
            <w:rPr>
              <w:rFonts w:ascii="Times New Roman" w:hAnsi="Times New Roman" w:eastAsia="宋体" w:cs="Times New Roman"/>
              <w:bCs/>
              <w:color w:val="auto"/>
              <w:kern w:val="44"/>
              <w:szCs w:val="44"/>
              <w:highlight w:val="none"/>
              <w:lang w:val="en-US" w:eastAsia="zh-CN" w:bidi="ar-SA"/>
            </w:rPr>
            <w:t>本标准用词说明</w:t>
          </w:r>
          <w:r>
            <w:rPr>
              <w:color w:val="auto"/>
              <w:highlight w:val="none"/>
            </w:rPr>
            <w:tab/>
          </w:r>
          <w:r>
            <w:rPr>
              <w:color w:val="auto"/>
              <w:highlight w:val="none"/>
            </w:rPr>
            <w:fldChar w:fldCharType="begin"/>
          </w:r>
          <w:r>
            <w:rPr>
              <w:color w:val="auto"/>
              <w:highlight w:val="none"/>
            </w:rPr>
            <w:instrText xml:space="preserve"> PAGEREF _Toc12655 \h </w:instrText>
          </w:r>
          <w:r>
            <w:rPr>
              <w:color w:val="auto"/>
              <w:highlight w:val="none"/>
            </w:rPr>
            <w:fldChar w:fldCharType="separate"/>
          </w:r>
          <w:r>
            <w:rPr>
              <w:color w:val="auto"/>
              <w:highlight w:val="none"/>
            </w:rPr>
            <w:t>44</w:t>
          </w:r>
          <w:r>
            <w:rPr>
              <w:color w:val="auto"/>
              <w:highlight w:val="none"/>
            </w:rPr>
            <w:fldChar w:fldCharType="end"/>
          </w:r>
          <w:r>
            <w:rPr>
              <w:bCs/>
              <w:color w:val="auto"/>
              <w:szCs w:val="21"/>
              <w:highlight w:val="none"/>
              <w:lang w:val="zh-CN"/>
            </w:rPr>
            <w:fldChar w:fldCharType="end"/>
          </w:r>
        </w:p>
        <w:p>
          <w:pPr>
            <w:pStyle w:val="8"/>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_Toc30862 </w:instrText>
          </w:r>
          <w:r>
            <w:rPr>
              <w:bCs/>
              <w:color w:val="auto"/>
              <w:szCs w:val="21"/>
              <w:highlight w:val="none"/>
              <w:lang w:val="zh-CN"/>
            </w:rPr>
            <w:fldChar w:fldCharType="separate"/>
          </w:r>
          <w:r>
            <w:rPr>
              <w:rFonts w:ascii="Times New Roman" w:hAnsi="Times New Roman" w:eastAsia="宋体" w:cs="Times New Roman"/>
              <w:bCs/>
              <w:color w:val="auto"/>
              <w:kern w:val="44"/>
              <w:szCs w:val="44"/>
              <w:highlight w:val="none"/>
              <w:lang w:val="en-US" w:eastAsia="zh-CN" w:bidi="ar-SA"/>
            </w:rPr>
            <w:t>引用标准名录</w:t>
          </w:r>
          <w:r>
            <w:rPr>
              <w:color w:val="auto"/>
              <w:highlight w:val="none"/>
            </w:rPr>
            <w:tab/>
          </w:r>
          <w:r>
            <w:rPr>
              <w:color w:val="auto"/>
              <w:highlight w:val="none"/>
            </w:rPr>
            <w:fldChar w:fldCharType="begin"/>
          </w:r>
          <w:r>
            <w:rPr>
              <w:color w:val="auto"/>
              <w:highlight w:val="none"/>
            </w:rPr>
            <w:instrText xml:space="preserve"> PAGEREF _Toc30862 \h </w:instrText>
          </w:r>
          <w:r>
            <w:rPr>
              <w:color w:val="auto"/>
              <w:highlight w:val="none"/>
            </w:rPr>
            <w:fldChar w:fldCharType="separate"/>
          </w:r>
          <w:r>
            <w:rPr>
              <w:color w:val="auto"/>
              <w:highlight w:val="none"/>
            </w:rPr>
            <w:t>45</w:t>
          </w:r>
          <w:r>
            <w:rPr>
              <w:color w:val="auto"/>
              <w:highlight w:val="none"/>
            </w:rPr>
            <w:fldChar w:fldCharType="end"/>
          </w:r>
          <w:r>
            <w:rPr>
              <w:bCs/>
              <w:color w:val="auto"/>
              <w:szCs w:val="21"/>
              <w:highlight w:val="none"/>
              <w:lang w:val="zh-CN"/>
            </w:rPr>
            <w:fldChar w:fldCharType="end"/>
          </w:r>
        </w:p>
        <w:p>
          <w:pPr>
            <w:pStyle w:val="8"/>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_Toc29648 </w:instrText>
          </w:r>
          <w:r>
            <w:rPr>
              <w:bCs/>
              <w:color w:val="auto"/>
              <w:szCs w:val="21"/>
              <w:highlight w:val="none"/>
              <w:lang w:val="zh-CN"/>
            </w:rPr>
            <w:fldChar w:fldCharType="separate"/>
          </w:r>
          <w:r>
            <w:rPr>
              <w:color w:val="auto"/>
              <w:szCs w:val="32"/>
              <w:highlight w:val="none"/>
            </w:rPr>
            <w:t>条文说明</w:t>
          </w:r>
          <w:r>
            <w:rPr>
              <w:color w:val="auto"/>
              <w:highlight w:val="none"/>
            </w:rPr>
            <w:tab/>
          </w:r>
          <w:r>
            <w:rPr>
              <w:color w:val="auto"/>
              <w:highlight w:val="none"/>
            </w:rPr>
            <w:fldChar w:fldCharType="begin"/>
          </w:r>
          <w:r>
            <w:rPr>
              <w:color w:val="auto"/>
              <w:highlight w:val="none"/>
            </w:rPr>
            <w:instrText xml:space="preserve"> PAGEREF _Toc29648 \h </w:instrText>
          </w:r>
          <w:r>
            <w:rPr>
              <w:color w:val="auto"/>
              <w:highlight w:val="none"/>
            </w:rPr>
            <w:fldChar w:fldCharType="separate"/>
          </w:r>
          <w:r>
            <w:rPr>
              <w:color w:val="auto"/>
              <w:highlight w:val="none"/>
            </w:rPr>
            <w:t>46</w:t>
          </w:r>
          <w:r>
            <w:rPr>
              <w:color w:val="auto"/>
              <w:highlight w:val="none"/>
            </w:rPr>
            <w:fldChar w:fldCharType="end"/>
          </w:r>
          <w:r>
            <w:rPr>
              <w:bCs/>
              <w:color w:val="auto"/>
              <w:szCs w:val="21"/>
              <w:highlight w:val="none"/>
              <w:lang w:val="zh-CN"/>
            </w:rPr>
            <w:fldChar w:fldCharType="end"/>
          </w:r>
        </w:p>
        <w:p>
          <w:pPr>
            <w:pStyle w:val="8"/>
            <w:keepNext w:val="0"/>
            <w:keepLines w:val="0"/>
            <w:pageBreakBefore w:val="0"/>
            <w:widowControl w:val="0"/>
            <w:tabs>
              <w:tab w:val="right" w:leader="dot" w:pos="9377"/>
            </w:tabs>
            <w:kinsoku/>
            <w:wordWrap/>
            <w:overflowPunct/>
            <w:topLinePunct w:val="0"/>
            <w:autoSpaceDE/>
            <w:autoSpaceDN/>
            <w:bidi w:val="0"/>
            <w:adjustRightInd/>
            <w:snapToGrid/>
            <w:spacing w:line="312" w:lineRule="auto"/>
            <w:textAlignment w:val="auto"/>
            <w:rPr>
              <w:color w:val="auto"/>
              <w:sz w:val="21"/>
              <w:szCs w:val="21"/>
              <w:highlight w:val="none"/>
            </w:rPr>
          </w:pPr>
          <w:r>
            <w:rPr>
              <w:bCs/>
              <w:color w:val="auto"/>
              <w:sz w:val="21"/>
              <w:szCs w:val="21"/>
              <w:highlight w:val="none"/>
              <w:lang w:val="zh-CN"/>
            </w:rPr>
            <w:fldChar w:fldCharType="end"/>
          </w:r>
        </w:p>
      </w:sdtContent>
    </w:sdt>
    <w:p>
      <w:pPr>
        <w:pStyle w:val="2"/>
        <w:jc w:val="center"/>
        <w:rPr>
          <w:rFonts w:hint="eastAsia" w:ascii="宋体" w:hAnsi="宋体" w:eastAsia="宋体" w:cs="宋体"/>
          <w:color w:val="auto"/>
          <w:sz w:val="21"/>
          <w:szCs w:val="21"/>
          <w:highlight w:val="none"/>
          <w:lang w:val="en-US" w:eastAsia="zh-CN"/>
        </w:rPr>
      </w:pPr>
    </w:p>
    <w:p>
      <w:pPr>
        <w:pStyle w:val="2"/>
        <w:jc w:val="center"/>
        <w:rPr>
          <w:rFonts w:hint="eastAsia" w:ascii="宋体" w:hAnsi="宋体" w:eastAsia="宋体" w:cs="宋体"/>
          <w:color w:val="auto"/>
          <w:sz w:val="21"/>
          <w:szCs w:val="21"/>
          <w:highlight w:val="none"/>
        </w:rPr>
        <w:sectPr>
          <w:footerReference r:id="rId3" w:type="default"/>
          <w:pgSz w:w="11906" w:h="16838"/>
          <w:pgMar w:top="1440" w:right="1236" w:bottom="1440" w:left="1293" w:header="851" w:footer="992" w:gutter="0"/>
          <w:cols w:space="425" w:num="1"/>
          <w:docGrid w:type="lines" w:linePitch="312" w:charSpace="0"/>
        </w:sectPr>
      </w:pPr>
    </w:p>
    <w:p>
      <w:pPr>
        <w:pStyle w:val="37"/>
        <w:rPr>
          <w:rFonts w:hint="eastAsia" w:eastAsia="宋体" w:cs="Times New Roman"/>
          <w:bCs/>
          <w:color w:val="auto"/>
          <w:sz w:val="21"/>
          <w:szCs w:val="21"/>
          <w:highlight w:val="none"/>
        </w:rPr>
      </w:pPr>
      <w:bookmarkStart w:id="19" w:name="_Toc30885"/>
      <w:bookmarkStart w:id="20" w:name="_Toc1134"/>
      <w:bookmarkStart w:id="21" w:name="_Toc58161562"/>
      <w:bookmarkStart w:id="22" w:name="_Toc10695"/>
      <w:bookmarkStart w:id="23" w:name="_Toc55682782"/>
      <w:bookmarkStart w:id="24" w:name="_Toc22628"/>
      <w:bookmarkStart w:id="25" w:name="_Toc55684062"/>
      <w:bookmarkStart w:id="26" w:name="_Toc4804"/>
      <w:bookmarkStart w:id="27" w:name="_Toc55684332"/>
      <w:bookmarkStart w:id="28" w:name="_Toc40630499"/>
      <w:bookmarkStart w:id="29" w:name="_Toc19451"/>
      <w:r>
        <w:rPr>
          <w:color w:val="auto"/>
          <w:highlight w:val="none"/>
        </w:rPr>
        <w:t>Contents</w:t>
      </w:r>
      <w:bookmarkEnd w:id="19"/>
      <w:bookmarkEnd w:id="20"/>
      <w:bookmarkEnd w:id="21"/>
      <w:bookmarkEnd w:id="22"/>
      <w:bookmarkEnd w:id="23"/>
      <w:bookmarkEnd w:id="24"/>
      <w:bookmarkEnd w:id="25"/>
      <w:bookmarkEnd w:id="26"/>
      <w:bookmarkEnd w:id="27"/>
      <w:bookmarkEnd w:id="28"/>
      <w:r>
        <w:rPr>
          <w:rFonts w:hint="eastAsia" w:eastAsia="宋体" w:cs="Times New Roman"/>
          <w:bCs/>
          <w:color w:val="auto"/>
          <w:sz w:val="21"/>
          <w:szCs w:val="21"/>
          <w:highlight w:val="none"/>
          <w:lang w:val="en-US" w:eastAsia="zh-CN"/>
        </w:rPr>
        <w:tab/>
      </w:r>
    </w:p>
    <w:sdt>
      <w:sdtPr>
        <w:rPr>
          <w:bCs/>
          <w:color w:val="auto"/>
          <w:sz w:val="21"/>
          <w:szCs w:val="21"/>
          <w:highlight w:val="none"/>
          <w:lang w:val="zh-CN" w:eastAsia="zh-CN"/>
        </w:rPr>
        <w:id w:val="147473176"/>
        <w:docPartObj>
          <w:docPartGallery w:val="Table of Contents"/>
          <w:docPartUnique/>
        </w:docPartObj>
      </w:sdtPr>
      <w:sdtEndPr>
        <w:rPr>
          <w:rFonts w:asciiTheme="minorHAnsi" w:hAnsiTheme="minorHAnsi" w:eastAsiaTheme="minorEastAsia" w:cstheme="minorBidi"/>
          <w:b/>
          <w:bCs/>
          <w:color w:val="auto"/>
          <w:kern w:val="2"/>
          <w:sz w:val="21"/>
          <w:szCs w:val="21"/>
          <w:highlight w:val="none"/>
          <w:lang w:val="zh-CN" w:eastAsia="zh-CN"/>
        </w:rPr>
      </w:sdtEndPr>
      <w:sdtContent>
        <w:p>
          <w:pPr>
            <w:pStyle w:val="8"/>
            <w:keepNext w:val="0"/>
            <w:keepLines w:val="0"/>
            <w:pageBreakBefore w:val="0"/>
            <w:widowControl w:val="0"/>
            <w:tabs>
              <w:tab w:val="right" w:leader="dot" w:pos="9377"/>
            </w:tabs>
            <w:kinsoku/>
            <w:wordWrap/>
            <w:overflowPunct/>
            <w:topLinePunct w:val="0"/>
            <w:autoSpaceDE/>
            <w:autoSpaceDN/>
            <w:bidi w:val="0"/>
            <w:adjustRightInd/>
            <w:snapToGrid/>
            <w:spacing w:line="312" w:lineRule="auto"/>
            <w:textAlignment w:val="auto"/>
            <w:rPr>
              <w:color w:val="auto"/>
              <w:highlight w:val="none"/>
            </w:rPr>
          </w:pPr>
          <w:r>
            <w:rPr>
              <w:bCs/>
              <w:color w:val="auto"/>
              <w:sz w:val="21"/>
              <w:szCs w:val="21"/>
              <w:highlight w:val="none"/>
              <w:lang w:val="zh-CN"/>
            </w:rPr>
            <w:fldChar w:fldCharType="begin"/>
          </w:r>
          <w:r>
            <w:rPr>
              <w:bCs/>
              <w:color w:val="auto"/>
              <w:sz w:val="21"/>
              <w:szCs w:val="21"/>
              <w:highlight w:val="none"/>
              <w:lang w:val="zh-CN"/>
            </w:rPr>
            <w:instrText xml:space="preserve"> TOC \o "1-3" \h \z \u </w:instrText>
          </w:r>
          <w:r>
            <w:rPr>
              <w:bCs/>
              <w:color w:val="auto"/>
              <w:sz w:val="21"/>
              <w:szCs w:val="21"/>
              <w:highlight w:val="none"/>
              <w:lang w:val="zh-CN"/>
            </w:rPr>
            <w:fldChar w:fldCharType="separate"/>
          </w:r>
          <w:r>
            <w:rPr>
              <w:bCs/>
              <w:color w:val="auto"/>
              <w:szCs w:val="21"/>
              <w:highlight w:val="none"/>
              <w:lang w:val="zh-CN"/>
            </w:rPr>
            <w:fldChar w:fldCharType="begin"/>
          </w:r>
          <w:r>
            <w:rPr>
              <w:bCs/>
              <w:color w:val="auto"/>
              <w:szCs w:val="21"/>
              <w:highlight w:val="none"/>
              <w:lang w:val="zh-CN"/>
            </w:rPr>
            <w:instrText xml:space="preserve"> HYPERLINK \l _Toc19451 </w:instrText>
          </w:r>
          <w:r>
            <w:rPr>
              <w:bCs/>
              <w:color w:val="auto"/>
              <w:szCs w:val="21"/>
              <w:highlight w:val="none"/>
              <w:lang w:val="zh-CN"/>
            </w:rPr>
            <w:fldChar w:fldCharType="separate"/>
          </w:r>
          <w:r>
            <w:rPr>
              <w:rFonts w:hint="eastAsia" w:eastAsia="宋体" w:cs="Times New Roman"/>
              <w:bCs/>
              <w:color w:val="auto"/>
              <w:szCs w:val="44"/>
              <w:highlight w:val="none"/>
            </w:rPr>
            <w:t>1</w:t>
          </w:r>
          <w:r>
            <w:rPr>
              <w:rFonts w:eastAsia="宋体" w:cs="Times New Roman"/>
              <w:bCs/>
              <w:color w:val="auto"/>
              <w:szCs w:val="44"/>
              <w:highlight w:val="none"/>
            </w:rPr>
            <w:t xml:space="preserve"> </w:t>
          </w:r>
          <w:r>
            <w:rPr>
              <w:rFonts w:hint="eastAsia" w:eastAsia="宋体" w:cs="Times New Roman"/>
              <w:bCs/>
              <w:color w:val="auto"/>
              <w:szCs w:val="44"/>
              <w:highlight w:val="none"/>
              <w:lang w:val="en-US" w:eastAsia="zh-CN"/>
            </w:rPr>
            <w:t xml:space="preserve">  </w:t>
          </w:r>
          <w:r>
            <w:rPr>
              <w:rFonts w:hint="eastAsia" w:eastAsia="宋体" w:cs="Times New Roman"/>
              <w:bCs/>
              <w:color w:val="auto"/>
              <w:szCs w:val="44"/>
              <w:highlight w:val="none"/>
            </w:rPr>
            <w:t>General Provisions</w:t>
          </w:r>
          <w:r>
            <w:rPr>
              <w:color w:val="auto"/>
              <w:highlight w:val="none"/>
            </w:rPr>
            <w:tab/>
          </w:r>
          <w:r>
            <w:rPr>
              <w:color w:val="auto"/>
              <w:highlight w:val="none"/>
            </w:rPr>
            <w:fldChar w:fldCharType="begin"/>
          </w:r>
          <w:r>
            <w:rPr>
              <w:color w:val="auto"/>
              <w:highlight w:val="none"/>
            </w:rPr>
            <w:instrText xml:space="preserve"> PAGEREF _Toc8676 \h </w:instrText>
          </w:r>
          <w:r>
            <w:rPr>
              <w:color w:val="auto"/>
              <w:highlight w:val="none"/>
            </w:rPr>
            <w:fldChar w:fldCharType="separate"/>
          </w:r>
          <w:r>
            <w:rPr>
              <w:color w:val="auto"/>
              <w:highlight w:val="none"/>
            </w:rPr>
            <w:t>1</w:t>
          </w:r>
          <w:r>
            <w:rPr>
              <w:color w:val="auto"/>
              <w:highlight w:val="none"/>
            </w:rPr>
            <w:fldChar w:fldCharType="end"/>
          </w:r>
          <w:r>
            <w:rPr>
              <w:bCs/>
              <w:color w:val="auto"/>
              <w:szCs w:val="21"/>
              <w:highlight w:val="none"/>
              <w:lang w:val="zh-CN"/>
            </w:rPr>
            <w:fldChar w:fldCharType="end"/>
          </w:r>
        </w:p>
        <w:p>
          <w:pPr>
            <w:pStyle w:val="8"/>
            <w:keepNext w:val="0"/>
            <w:keepLines w:val="0"/>
            <w:pageBreakBefore w:val="0"/>
            <w:widowControl w:val="0"/>
            <w:tabs>
              <w:tab w:val="right" w:leader="dot" w:pos="9377"/>
            </w:tabs>
            <w:kinsoku/>
            <w:wordWrap/>
            <w:overflowPunct/>
            <w:topLinePunct w:val="0"/>
            <w:autoSpaceDE/>
            <w:autoSpaceDN/>
            <w:bidi w:val="0"/>
            <w:adjustRightInd/>
            <w:snapToGrid/>
            <w:spacing w:line="312" w:lineRule="auto"/>
            <w:textAlignment w:val="auto"/>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_Toc7398 </w:instrText>
          </w:r>
          <w:r>
            <w:rPr>
              <w:bCs/>
              <w:color w:val="auto"/>
              <w:szCs w:val="21"/>
              <w:highlight w:val="none"/>
              <w:lang w:val="zh-CN"/>
            </w:rPr>
            <w:fldChar w:fldCharType="separate"/>
          </w:r>
          <w:r>
            <w:rPr>
              <w:rFonts w:hint="eastAsia" w:eastAsia="宋体" w:cs="Times New Roman"/>
              <w:bCs/>
              <w:color w:val="auto"/>
              <w:szCs w:val="44"/>
              <w:highlight w:val="none"/>
            </w:rPr>
            <w:t>2</w:t>
          </w:r>
          <w:r>
            <w:rPr>
              <w:rFonts w:hint="eastAsia" w:eastAsia="宋体" w:cs="Times New Roman"/>
              <w:bCs/>
              <w:color w:val="auto"/>
              <w:szCs w:val="44"/>
              <w:highlight w:val="none"/>
              <w:lang w:val="en-US" w:eastAsia="zh-CN"/>
            </w:rPr>
            <w:t xml:space="preserve">   </w:t>
          </w:r>
          <w:r>
            <w:rPr>
              <w:rFonts w:hint="eastAsia" w:eastAsia="宋体" w:cs="Times New Roman"/>
              <w:bCs/>
              <w:color w:val="auto"/>
              <w:szCs w:val="44"/>
              <w:highlight w:val="none"/>
            </w:rPr>
            <w:t>Terms</w:t>
          </w:r>
          <w:r>
            <w:rPr>
              <w:color w:val="auto"/>
              <w:highlight w:val="none"/>
            </w:rPr>
            <w:tab/>
          </w:r>
          <w:r>
            <w:rPr>
              <w:color w:val="auto"/>
              <w:highlight w:val="none"/>
            </w:rPr>
            <w:fldChar w:fldCharType="begin"/>
          </w:r>
          <w:r>
            <w:rPr>
              <w:color w:val="auto"/>
              <w:highlight w:val="none"/>
            </w:rPr>
            <w:instrText xml:space="preserve"> PAGEREF _Toc7398 \h </w:instrText>
          </w:r>
          <w:r>
            <w:rPr>
              <w:color w:val="auto"/>
              <w:highlight w:val="none"/>
            </w:rPr>
            <w:fldChar w:fldCharType="separate"/>
          </w:r>
          <w:r>
            <w:rPr>
              <w:color w:val="auto"/>
              <w:highlight w:val="none"/>
            </w:rPr>
            <w:t>2</w:t>
          </w:r>
          <w:r>
            <w:rPr>
              <w:color w:val="auto"/>
              <w:highlight w:val="none"/>
            </w:rPr>
            <w:fldChar w:fldCharType="end"/>
          </w:r>
          <w:r>
            <w:rPr>
              <w:bCs/>
              <w:color w:val="auto"/>
              <w:szCs w:val="21"/>
              <w:highlight w:val="none"/>
              <w:lang w:val="zh-CN"/>
            </w:rPr>
            <w:fldChar w:fldCharType="end"/>
          </w:r>
        </w:p>
        <w:p>
          <w:pPr>
            <w:pStyle w:val="8"/>
            <w:keepNext w:val="0"/>
            <w:keepLines w:val="0"/>
            <w:pageBreakBefore w:val="0"/>
            <w:widowControl w:val="0"/>
            <w:tabs>
              <w:tab w:val="right" w:leader="dot" w:pos="9377"/>
            </w:tabs>
            <w:kinsoku/>
            <w:wordWrap/>
            <w:overflowPunct/>
            <w:topLinePunct w:val="0"/>
            <w:autoSpaceDE/>
            <w:autoSpaceDN/>
            <w:bidi w:val="0"/>
            <w:adjustRightInd/>
            <w:snapToGrid/>
            <w:spacing w:line="312" w:lineRule="auto"/>
            <w:textAlignment w:val="auto"/>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_Toc12925 </w:instrText>
          </w:r>
          <w:r>
            <w:rPr>
              <w:bCs/>
              <w:color w:val="auto"/>
              <w:szCs w:val="21"/>
              <w:highlight w:val="none"/>
              <w:lang w:val="zh-CN"/>
            </w:rPr>
            <w:fldChar w:fldCharType="separate"/>
          </w:r>
          <w:r>
            <w:rPr>
              <w:rFonts w:eastAsia="宋体" w:cs="Times New Roman"/>
              <w:bCs/>
              <w:color w:val="auto"/>
              <w:szCs w:val="44"/>
              <w:highlight w:val="none"/>
            </w:rPr>
            <w:t xml:space="preserve">3 </w:t>
          </w:r>
          <w:r>
            <w:rPr>
              <w:rFonts w:hint="eastAsia" w:eastAsia="宋体" w:cs="Times New Roman"/>
              <w:bCs/>
              <w:color w:val="auto"/>
              <w:szCs w:val="44"/>
              <w:highlight w:val="none"/>
              <w:lang w:val="en-US" w:eastAsia="zh-CN"/>
            </w:rPr>
            <w:t xml:space="preserve">  </w:t>
          </w:r>
          <w:r>
            <w:rPr>
              <w:rFonts w:hint="eastAsia" w:eastAsia="宋体" w:cs="Times New Roman"/>
              <w:bCs/>
              <w:color w:val="auto"/>
              <w:szCs w:val="44"/>
              <w:highlight w:val="none"/>
            </w:rPr>
            <w:t>Basic Requirement</w:t>
          </w:r>
          <w:r>
            <w:rPr>
              <w:color w:val="auto"/>
              <w:highlight w:val="none"/>
            </w:rPr>
            <w:tab/>
          </w:r>
          <w:r>
            <w:rPr>
              <w:color w:val="auto"/>
              <w:highlight w:val="none"/>
            </w:rPr>
            <w:fldChar w:fldCharType="begin"/>
          </w:r>
          <w:r>
            <w:rPr>
              <w:color w:val="auto"/>
              <w:highlight w:val="none"/>
            </w:rPr>
            <w:instrText xml:space="preserve"> PAGEREF _Toc12925 \h </w:instrText>
          </w:r>
          <w:r>
            <w:rPr>
              <w:color w:val="auto"/>
              <w:highlight w:val="none"/>
            </w:rPr>
            <w:fldChar w:fldCharType="separate"/>
          </w:r>
          <w:r>
            <w:rPr>
              <w:color w:val="auto"/>
              <w:highlight w:val="none"/>
            </w:rPr>
            <w:t>3</w:t>
          </w:r>
          <w:r>
            <w:rPr>
              <w:color w:val="auto"/>
              <w:highlight w:val="none"/>
            </w:rPr>
            <w:fldChar w:fldCharType="end"/>
          </w:r>
          <w:r>
            <w:rPr>
              <w:bCs/>
              <w:color w:val="auto"/>
              <w:szCs w:val="21"/>
              <w:highlight w:val="none"/>
              <w:lang w:val="zh-CN"/>
            </w:rPr>
            <w:fldChar w:fldCharType="end"/>
          </w:r>
        </w:p>
        <w:p>
          <w:pPr>
            <w:pStyle w:val="8"/>
            <w:keepNext w:val="0"/>
            <w:keepLines w:val="0"/>
            <w:pageBreakBefore w:val="0"/>
            <w:widowControl w:val="0"/>
            <w:tabs>
              <w:tab w:val="right" w:leader="dot" w:pos="9377"/>
            </w:tabs>
            <w:kinsoku/>
            <w:wordWrap/>
            <w:overflowPunct/>
            <w:topLinePunct w:val="0"/>
            <w:autoSpaceDE/>
            <w:autoSpaceDN/>
            <w:bidi w:val="0"/>
            <w:adjustRightInd/>
            <w:snapToGrid/>
            <w:spacing w:line="312" w:lineRule="auto"/>
            <w:textAlignment w:val="auto"/>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_Toc20514 </w:instrText>
          </w:r>
          <w:r>
            <w:rPr>
              <w:bCs/>
              <w:color w:val="auto"/>
              <w:szCs w:val="21"/>
              <w:highlight w:val="none"/>
              <w:lang w:val="zh-CN"/>
            </w:rPr>
            <w:fldChar w:fldCharType="separate"/>
          </w:r>
          <w:r>
            <w:rPr>
              <w:rFonts w:hint="eastAsia" w:eastAsia="宋体" w:cs="Times New Roman"/>
              <w:bCs/>
              <w:color w:val="auto"/>
              <w:szCs w:val="44"/>
              <w:highlight w:val="none"/>
              <w:lang w:val="en-US" w:eastAsia="zh-CN"/>
            </w:rPr>
            <w:t>4</w:t>
          </w:r>
          <w:r>
            <w:rPr>
              <w:rFonts w:hint="default" w:eastAsia="宋体" w:cs="Times New Roman"/>
              <w:bCs/>
              <w:color w:val="auto"/>
              <w:szCs w:val="44"/>
              <w:highlight w:val="none"/>
              <w:lang w:val="en-US"/>
            </w:rPr>
            <w:t xml:space="preserve"> </w:t>
          </w:r>
          <w:r>
            <w:rPr>
              <w:rFonts w:hint="eastAsia" w:eastAsia="宋体" w:cs="Times New Roman"/>
              <w:bCs/>
              <w:color w:val="auto"/>
              <w:szCs w:val="44"/>
              <w:highlight w:val="none"/>
              <w:lang w:val="en-US" w:eastAsia="zh-CN"/>
            </w:rPr>
            <w:t xml:space="preserve">  Testing of Earthing Resistance</w:t>
          </w:r>
          <w:r>
            <w:rPr>
              <w:color w:val="auto"/>
              <w:highlight w:val="none"/>
            </w:rPr>
            <w:tab/>
          </w:r>
          <w:r>
            <w:rPr>
              <w:color w:val="auto"/>
              <w:highlight w:val="none"/>
            </w:rPr>
            <w:fldChar w:fldCharType="begin"/>
          </w:r>
          <w:r>
            <w:rPr>
              <w:color w:val="auto"/>
              <w:highlight w:val="none"/>
            </w:rPr>
            <w:instrText xml:space="preserve"> PAGEREF _Toc20514 \h </w:instrText>
          </w:r>
          <w:r>
            <w:rPr>
              <w:color w:val="auto"/>
              <w:highlight w:val="none"/>
            </w:rPr>
            <w:fldChar w:fldCharType="separate"/>
          </w:r>
          <w:r>
            <w:rPr>
              <w:color w:val="auto"/>
              <w:highlight w:val="none"/>
            </w:rPr>
            <w:t>4</w:t>
          </w:r>
          <w:r>
            <w:rPr>
              <w:color w:val="auto"/>
              <w:highlight w:val="none"/>
            </w:rPr>
            <w:fldChar w:fldCharType="end"/>
          </w:r>
          <w:r>
            <w:rPr>
              <w:bCs/>
              <w:color w:val="auto"/>
              <w:szCs w:val="21"/>
              <w:highlight w:val="none"/>
              <w:lang w:val="zh-CN"/>
            </w:rPr>
            <w:fldChar w:fldCharType="end"/>
          </w:r>
        </w:p>
        <w:p>
          <w:pPr>
            <w:pStyle w:val="9"/>
            <w:keepNext w:val="0"/>
            <w:keepLines w:val="0"/>
            <w:pageBreakBefore w:val="0"/>
            <w:widowControl w:val="0"/>
            <w:tabs>
              <w:tab w:val="right" w:leader="dot" w:pos="9377"/>
            </w:tabs>
            <w:kinsoku/>
            <w:wordWrap/>
            <w:overflowPunct/>
            <w:topLinePunct w:val="0"/>
            <w:autoSpaceDE/>
            <w:autoSpaceDN/>
            <w:bidi w:val="0"/>
            <w:adjustRightInd/>
            <w:snapToGrid/>
            <w:spacing w:line="312" w:lineRule="auto"/>
            <w:textAlignment w:val="auto"/>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_Toc13732 </w:instrText>
          </w:r>
          <w:r>
            <w:rPr>
              <w:bCs/>
              <w:color w:val="auto"/>
              <w:szCs w:val="21"/>
              <w:highlight w:val="none"/>
              <w:lang w:val="zh-CN"/>
            </w:rPr>
            <w:fldChar w:fldCharType="separate"/>
          </w:r>
          <w:r>
            <w:rPr>
              <w:rFonts w:hint="eastAsia" w:ascii="宋体" w:hAnsi="宋体" w:eastAsia="宋体" w:cs="宋体"/>
              <w:color w:val="auto"/>
              <w:szCs w:val="21"/>
              <w:highlight w:val="none"/>
              <w:lang w:val="en-US" w:eastAsia="zh-CN"/>
            </w:rPr>
            <w:t>4</w:t>
          </w:r>
          <w:r>
            <w:rPr>
              <w:rFonts w:hint="default" w:ascii="宋体" w:hAnsi="宋体" w:eastAsia="宋体" w:cs="宋体"/>
              <w:color w:val="auto"/>
              <w:szCs w:val="21"/>
              <w:highlight w:val="none"/>
              <w:lang w:val="en-US" w:eastAsia="zh-CN"/>
            </w:rPr>
            <w:t xml:space="preserve">.1 </w:t>
          </w:r>
          <w:r>
            <w:rPr>
              <w:rFonts w:hint="eastAsia" w:ascii="宋体" w:hAnsi="宋体" w:eastAsia="宋体" w:cs="宋体"/>
              <w:color w:val="auto"/>
              <w:szCs w:val="21"/>
              <w:highlight w:val="none"/>
              <w:lang w:val="en-US" w:eastAsia="zh-CN"/>
            </w:rPr>
            <w:t xml:space="preserve"> General Requirements</w:t>
          </w:r>
          <w:r>
            <w:rPr>
              <w:color w:val="auto"/>
              <w:highlight w:val="none"/>
            </w:rPr>
            <w:tab/>
          </w:r>
          <w:r>
            <w:rPr>
              <w:color w:val="auto"/>
              <w:highlight w:val="none"/>
            </w:rPr>
            <w:fldChar w:fldCharType="begin"/>
          </w:r>
          <w:r>
            <w:rPr>
              <w:color w:val="auto"/>
              <w:highlight w:val="none"/>
            </w:rPr>
            <w:instrText xml:space="preserve"> PAGEREF _Toc13732 \h </w:instrText>
          </w:r>
          <w:r>
            <w:rPr>
              <w:color w:val="auto"/>
              <w:highlight w:val="none"/>
            </w:rPr>
            <w:fldChar w:fldCharType="separate"/>
          </w:r>
          <w:r>
            <w:rPr>
              <w:color w:val="auto"/>
              <w:highlight w:val="none"/>
            </w:rPr>
            <w:t>4</w:t>
          </w:r>
          <w:r>
            <w:rPr>
              <w:color w:val="auto"/>
              <w:highlight w:val="none"/>
            </w:rPr>
            <w:fldChar w:fldCharType="end"/>
          </w:r>
          <w:r>
            <w:rPr>
              <w:bCs/>
              <w:color w:val="auto"/>
              <w:szCs w:val="21"/>
              <w:highlight w:val="none"/>
              <w:lang w:val="zh-CN"/>
            </w:rPr>
            <w:fldChar w:fldCharType="end"/>
          </w:r>
        </w:p>
        <w:p>
          <w:pPr>
            <w:pStyle w:val="9"/>
            <w:keepNext w:val="0"/>
            <w:keepLines w:val="0"/>
            <w:pageBreakBefore w:val="0"/>
            <w:widowControl w:val="0"/>
            <w:tabs>
              <w:tab w:val="right" w:leader="dot" w:pos="9377"/>
            </w:tabs>
            <w:kinsoku/>
            <w:wordWrap/>
            <w:overflowPunct/>
            <w:topLinePunct w:val="0"/>
            <w:autoSpaceDE/>
            <w:autoSpaceDN/>
            <w:bidi w:val="0"/>
            <w:adjustRightInd/>
            <w:snapToGrid/>
            <w:spacing w:line="312" w:lineRule="auto"/>
            <w:textAlignment w:val="auto"/>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_Toc31933 </w:instrText>
          </w:r>
          <w:r>
            <w:rPr>
              <w:bCs/>
              <w:color w:val="auto"/>
              <w:szCs w:val="21"/>
              <w:highlight w:val="none"/>
              <w:lang w:val="zh-CN"/>
            </w:rPr>
            <w:fldChar w:fldCharType="separate"/>
          </w:r>
          <w:r>
            <w:rPr>
              <w:rFonts w:hint="eastAsia" w:ascii="宋体" w:hAnsi="宋体" w:eastAsia="宋体" w:cs="宋体"/>
              <w:color w:val="auto"/>
              <w:szCs w:val="21"/>
              <w:highlight w:val="none"/>
              <w:lang w:val="en-US" w:eastAsia="zh-CN"/>
            </w:rPr>
            <w:t>4</w:t>
          </w:r>
          <w:r>
            <w:rPr>
              <w:rFonts w:hint="default"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en-US" w:eastAsia="zh-CN"/>
            </w:rPr>
            <w:t>2</w:t>
          </w:r>
          <w:r>
            <w:rPr>
              <w:rFonts w:hint="default"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t xml:space="preserve"> Testing Location and Quantity</w:t>
          </w:r>
          <w:r>
            <w:rPr>
              <w:color w:val="auto"/>
              <w:highlight w:val="none"/>
            </w:rPr>
            <w:tab/>
          </w:r>
          <w:r>
            <w:rPr>
              <w:color w:val="auto"/>
              <w:highlight w:val="none"/>
            </w:rPr>
            <w:fldChar w:fldCharType="begin"/>
          </w:r>
          <w:r>
            <w:rPr>
              <w:color w:val="auto"/>
              <w:highlight w:val="none"/>
            </w:rPr>
            <w:instrText xml:space="preserve"> PAGEREF _Toc31933 \h </w:instrText>
          </w:r>
          <w:r>
            <w:rPr>
              <w:color w:val="auto"/>
              <w:highlight w:val="none"/>
            </w:rPr>
            <w:fldChar w:fldCharType="separate"/>
          </w:r>
          <w:r>
            <w:rPr>
              <w:color w:val="auto"/>
              <w:highlight w:val="none"/>
            </w:rPr>
            <w:t>4</w:t>
          </w:r>
          <w:r>
            <w:rPr>
              <w:color w:val="auto"/>
              <w:highlight w:val="none"/>
            </w:rPr>
            <w:fldChar w:fldCharType="end"/>
          </w:r>
          <w:r>
            <w:rPr>
              <w:bCs/>
              <w:color w:val="auto"/>
              <w:szCs w:val="21"/>
              <w:highlight w:val="none"/>
              <w:lang w:val="zh-CN"/>
            </w:rPr>
            <w:fldChar w:fldCharType="end"/>
          </w:r>
        </w:p>
        <w:p>
          <w:pPr>
            <w:pStyle w:val="9"/>
            <w:keepNext w:val="0"/>
            <w:keepLines w:val="0"/>
            <w:pageBreakBefore w:val="0"/>
            <w:widowControl w:val="0"/>
            <w:tabs>
              <w:tab w:val="right" w:leader="dot" w:pos="9377"/>
            </w:tabs>
            <w:kinsoku/>
            <w:wordWrap/>
            <w:overflowPunct/>
            <w:topLinePunct w:val="0"/>
            <w:autoSpaceDE/>
            <w:autoSpaceDN/>
            <w:bidi w:val="0"/>
            <w:adjustRightInd/>
            <w:snapToGrid/>
            <w:spacing w:line="312" w:lineRule="auto"/>
            <w:textAlignment w:val="auto"/>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_Toc26563 </w:instrText>
          </w:r>
          <w:r>
            <w:rPr>
              <w:bCs/>
              <w:color w:val="auto"/>
              <w:szCs w:val="21"/>
              <w:highlight w:val="none"/>
              <w:lang w:val="zh-CN"/>
            </w:rPr>
            <w:fldChar w:fldCharType="separate"/>
          </w:r>
          <w:r>
            <w:rPr>
              <w:rFonts w:hint="eastAsia" w:ascii="宋体" w:hAnsi="宋体" w:eastAsia="宋体" w:cs="宋体"/>
              <w:color w:val="auto"/>
              <w:szCs w:val="21"/>
              <w:highlight w:val="none"/>
              <w:lang w:val="en-US" w:eastAsia="zh-CN"/>
            </w:rPr>
            <w:t xml:space="preserve">4.3  Testing Method </w:t>
          </w:r>
          <w:r>
            <w:rPr>
              <w:color w:val="auto"/>
              <w:highlight w:val="none"/>
            </w:rPr>
            <w:tab/>
          </w:r>
          <w:r>
            <w:rPr>
              <w:color w:val="auto"/>
              <w:highlight w:val="none"/>
            </w:rPr>
            <w:fldChar w:fldCharType="begin"/>
          </w:r>
          <w:r>
            <w:rPr>
              <w:color w:val="auto"/>
              <w:highlight w:val="none"/>
            </w:rPr>
            <w:instrText xml:space="preserve"> PAGEREF _Toc26563 \h </w:instrText>
          </w:r>
          <w:r>
            <w:rPr>
              <w:color w:val="auto"/>
              <w:highlight w:val="none"/>
            </w:rPr>
            <w:fldChar w:fldCharType="separate"/>
          </w:r>
          <w:r>
            <w:rPr>
              <w:color w:val="auto"/>
              <w:highlight w:val="none"/>
            </w:rPr>
            <w:t>4</w:t>
          </w:r>
          <w:r>
            <w:rPr>
              <w:color w:val="auto"/>
              <w:highlight w:val="none"/>
            </w:rPr>
            <w:fldChar w:fldCharType="end"/>
          </w:r>
          <w:r>
            <w:rPr>
              <w:bCs/>
              <w:color w:val="auto"/>
              <w:szCs w:val="21"/>
              <w:highlight w:val="none"/>
              <w:lang w:val="zh-CN"/>
            </w:rPr>
            <w:fldChar w:fldCharType="end"/>
          </w:r>
        </w:p>
        <w:p>
          <w:pPr>
            <w:pStyle w:val="9"/>
            <w:keepNext w:val="0"/>
            <w:keepLines w:val="0"/>
            <w:pageBreakBefore w:val="0"/>
            <w:widowControl w:val="0"/>
            <w:tabs>
              <w:tab w:val="right" w:leader="dot" w:pos="9377"/>
            </w:tabs>
            <w:kinsoku/>
            <w:wordWrap/>
            <w:overflowPunct/>
            <w:topLinePunct w:val="0"/>
            <w:autoSpaceDE/>
            <w:autoSpaceDN/>
            <w:bidi w:val="0"/>
            <w:adjustRightInd/>
            <w:snapToGrid/>
            <w:spacing w:line="312" w:lineRule="auto"/>
            <w:textAlignment w:val="auto"/>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_Toc12338 </w:instrText>
          </w:r>
          <w:r>
            <w:rPr>
              <w:bCs/>
              <w:color w:val="auto"/>
              <w:szCs w:val="21"/>
              <w:highlight w:val="none"/>
              <w:lang w:val="zh-CN"/>
            </w:rPr>
            <w:fldChar w:fldCharType="separate"/>
          </w:r>
          <w:r>
            <w:rPr>
              <w:rFonts w:hint="eastAsia" w:ascii="宋体" w:hAnsi="宋体" w:eastAsia="宋体" w:cs="宋体"/>
              <w:color w:val="auto"/>
              <w:szCs w:val="21"/>
              <w:highlight w:val="none"/>
              <w:lang w:val="en-US" w:eastAsia="zh-CN"/>
            </w:rPr>
            <w:t xml:space="preserve">4.4  Evaluation of Test Results </w:t>
          </w:r>
          <w:r>
            <w:rPr>
              <w:color w:val="auto"/>
              <w:highlight w:val="none"/>
            </w:rPr>
            <w:tab/>
          </w:r>
          <w:r>
            <w:rPr>
              <w:color w:val="auto"/>
              <w:highlight w:val="none"/>
            </w:rPr>
            <w:fldChar w:fldCharType="begin"/>
          </w:r>
          <w:r>
            <w:rPr>
              <w:color w:val="auto"/>
              <w:highlight w:val="none"/>
            </w:rPr>
            <w:instrText xml:space="preserve"> PAGEREF _Toc12338 \h </w:instrText>
          </w:r>
          <w:r>
            <w:rPr>
              <w:color w:val="auto"/>
              <w:highlight w:val="none"/>
            </w:rPr>
            <w:fldChar w:fldCharType="separate"/>
          </w:r>
          <w:r>
            <w:rPr>
              <w:color w:val="auto"/>
              <w:highlight w:val="none"/>
            </w:rPr>
            <w:t>5</w:t>
          </w:r>
          <w:r>
            <w:rPr>
              <w:color w:val="auto"/>
              <w:highlight w:val="none"/>
            </w:rPr>
            <w:fldChar w:fldCharType="end"/>
          </w:r>
          <w:r>
            <w:rPr>
              <w:bCs/>
              <w:color w:val="auto"/>
              <w:szCs w:val="21"/>
              <w:highlight w:val="none"/>
              <w:lang w:val="zh-CN"/>
            </w:rPr>
            <w:fldChar w:fldCharType="end"/>
          </w:r>
        </w:p>
        <w:p>
          <w:pPr>
            <w:pStyle w:val="8"/>
            <w:keepNext w:val="0"/>
            <w:keepLines w:val="0"/>
            <w:pageBreakBefore w:val="0"/>
            <w:widowControl w:val="0"/>
            <w:tabs>
              <w:tab w:val="right" w:leader="dot" w:pos="9377"/>
            </w:tabs>
            <w:kinsoku/>
            <w:wordWrap/>
            <w:overflowPunct/>
            <w:topLinePunct w:val="0"/>
            <w:autoSpaceDE/>
            <w:autoSpaceDN/>
            <w:bidi w:val="0"/>
            <w:adjustRightInd/>
            <w:snapToGrid/>
            <w:spacing w:line="312" w:lineRule="auto"/>
            <w:textAlignment w:val="auto"/>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_Toc6931 </w:instrText>
          </w:r>
          <w:r>
            <w:rPr>
              <w:bCs/>
              <w:color w:val="auto"/>
              <w:szCs w:val="21"/>
              <w:highlight w:val="none"/>
              <w:lang w:val="zh-CN"/>
            </w:rPr>
            <w:fldChar w:fldCharType="separate"/>
          </w:r>
          <w:r>
            <w:rPr>
              <w:rFonts w:hint="eastAsia" w:eastAsia="宋体" w:cs="Times New Roman"/>
              <w:bCs/>
              <w:color w:val="auto"/>
              <w:szCs w:val="44"/>
              <w:highlight w:val="none"/>
            </w:rPr>
            <w:t>5</w:t>
          </w:r>
          <w:r>
            <w:rPr>
              <w:rFonts w:eastAsia="宋体" w:cs="Times New Roman"/>
              <w:bCs/>
              <w:color w:val="auto"/>
              <w:szCs w:val="44"/>
              <w:highlight w:val="none"/>
            </w:rPr>
            <w:t xml:space="preserve"> </w:t>
          </w:r>
          <w:r>
            <w:rPr>
              <w:rFonts w:hint="eastAsia" w:eastAsia="宋体" w:cs="Times New Roman"/>
              <w:bCs/>
              <w:color w:val="auto"/>
              <w:szCs w:val="44"/>
              <w:highlight w:val="none"/>
              <w:lang w:val="en-US" w:eastAsia="zh-CN"/>
            </w:rPr>
            <w:t xml:space="preserve"> </w:t>
          </w:r>
          <w:r>
            <w:rPr>
              <w:rFonts w:hint="eastAsia" w:eastAsia="宋体" w:cs="Times New Roman"/>
              <w:bCs/>
              <w:color w:val="auto"/>
              <w:szCs w:val="44"/>
              <w:highlight w:val="none"/>
            </w:rPr>
            <w:t xml:space="preserve"> </w:t>
          </w:r>
          <w:r>
            <w:rPr>
              <w:rFonts w:hint="eastAsia" w:eastAsia="宋体" w:cs="Times New Roman"/>
              <w:bCs/>
              <w:color w:val="auto"/>
              <w:szCs w:val="44"/>
              <w:highlight w:val="none"/>
              <w:lang w:eastAsia="zh-CN"/>
            </w:rPr>
            <w:t>Testing of Transition Resistance</w:t>
          </w:r>
          <w:r>
            <w:rPr>
              <w:color w:val="auto"/>
              <w:highlight w:val="none"/>
            </w:rPr>
            <w:tab/>
          </w:r>
          <w:r>
            <w:rPr>
              <w:color w:val="auto"/>
              <w:highlight w:val="none"/>
            </w:rPr>
            <w:fldChar w:fldCharType="begin"/>
          </w:r>
          <w:r>
            <w:rPr>
              <w:color w:val="auto"/>
              <w:highlight w:val="none"/>
            </w:rPr>
            <w:instrText xml:space="preserve"> PAGEREF _Toc6931 \h </w:instrText>
          </w:r>
          <w:r>
            <w:rPr>
              <w:color w:val="auto"/>
              <w:highlight w:val="none"/>
            </w:rPr>
            <w:fldChar w:fldCharType="separate"/>
          </w:r>
          <w:r>
            <w:rPr>
              <w:color w:val="auto"/>
              <w:highlight w:val="none"/>
            </w:rPr>
            <w:t>7</w:t>
          </w:r>
          <w:r>
            <w:rPr>
              <w:color w:val="auto"/>
              <w:highlight w:val="none"/>
            </w:rPr>
            <w:fldChar w:fldCharType="end"/>
          </w:r>
          <w:r>
            <w:rPr>
              <w:bCs/>
              <w:color w:val="auto"/>
              <w:szCs w:val="21"/>
              <w:highlight w:val="none"/>
              <w:lang w:val="zh-CN"/>
            </w:rPr>
            <w:fldChar w:fldCharType="end"/>
          </w:r>
        </w:p>
        <w:p>
          <w:pPr>
            <w:pStyle w:val="9"/>
            <w:keepNext w:val="0"/>
            <w:keepLines w:val="0"/>
            <w:pageBreakBefore w:val="0"/>
            <w:widowControl w:val="0"/>
            <w:tabs>
              <w:tab w:val="right" w:leader="dot" w:pos="9377"/>
            </w:tabs>
            <w:kinsoku/>
            <w:wordWrap/>
            <w:overflowPunct/>
            <w:topLinePunct w:val="0"/>
            <w:autoSpaceDE/>
            <w:autoSpaceDN/>
            <w:bidi w:val="0"/>
            <w:adjustRightInd/>
            <w:snapToGrid/>
            <w:spacing w:line="312" w:lineRule="auto"/>
            <w:textAlignment w:val="auto"/>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_Toc11221 </w:instrText>
          </w:r>
          <w:r>
            <w:rPr>
              <w:bCs/>
              <w:color w:val="auto"/>
              <w:szCs w:val="21"/>
              <w:highlight w:val="none"/>
              <w:lang w:val="zh-CN"/>
            </w:rPr>
            <w:fldChar w:fldCharType="separate"/>
          </w:r>
          <w:r>
            <w:rPr>
              <w:rFonts w:hint="eastAsia" w:ascii="宋体" w:hAnsi="宋体" w:eastAsia="宋体" w:cs="宋体"/>
              <w:color w:val="auto"/>
              <w:szCs w:val="21"/>
              <w:highlight w:val="none"/>
            </w:rPr>
            <w:t>5</w:t>
          </w:r>
          <w:r>
            <w:rPr>
              <w:rFonts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 xml:space="preserve">  General Requirements</w:t>
          </w:r>
          <w:r>
            <w:rPr>
              <w:color w:val="auto"/>
              <w:highlight w:val="none"/>
            </w:rPr>
            <w:tab/>
          </w:r>
          <w:r>
            <w:rPr>
              <w:color w:val="auto"/>
              <w:highlight w:val="none"/>
            </w:rPr>
            <w:fldChar w:fldCharType="begin"/>
          </w:r>
          <w:r>
            <w:rPr>
              <w:color w:val="auto"/>
              <w:highlight w:val="none"/>
            </w:rPr>
            <w:instrText xml:space="preserve"> PAGEREF _Toc11221 \h </w:instrText>
          </w:r>
          <w:r>
            <w:rPr>
              <w:color w:val="auto"/>
              <w:highlight w:val="none"/>
            </w:rPr>
            <w:fldChar w:fldCharType="separate"/>
          </w:r>
          <w:r>
            <w:rPr>
              <w:color w:val="auto"/>
              <w:highlight w:val="none"/>
            </w:rPr>
            <w:t>7</w:t>
          </w:r>
          <w:r>
            <w:rPr>
              <w:color w:val="auto"/>
              <w:highlight w:val="none"/>
            </w:rPr>
            <w:fldChar w:fldCharType="end"/>
          </w:r>
          <w:r>
            <w:rPr>
              <w:bCs/>
              <w:color w:val="auto"/>
              <w:szCs w:val="21"/>
              <w:highlight w:val="none"/>
              <w:lang w:val="zh-CN"/>
            </w:rPr>
            <w:fldChar w:fldCharType="end"/>
          </w:r>
        </w:p>
        <w:p>
          <w:pPr>
            <w:pStyle w:val="9"/>
            <w:keepNext w:val="0"/>
            <w:keepLines w:val="0"/>
            <w:pageBreakBefore w:val="0"/>
            <w:widowControl w:val="0"/>
            <w:tabs>
              <w:tab w:val="right" w:leader="dot" w:pos="9377"/>
            </w:tabs>
            <w:kinsoku/>
            <w:wordWrap/>
            <w:overflowPunct/>
            <w:topLinePunct w:val="0"/>
            <w:autoSpaceDE/>
            <w:autoSpaceDN/>
            <w:bidi w:val="0"/>
            <w:adjustRightInd/>
            <w:snapToGrid/>
            <w:spacing w:line="312" w:lineRule="auto"/>
            <w:textAlignment w:val="auto"/>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_Toc27539 </w:instrText>
          </w:r>
          <w:r>
            <w:rPr>
              <w:bCs/>
              <w:color w:val="auto"/>
              <w:szCs w:val="21"/>
              <w:highlight w:val="none"/>
              <w:lang w:val="zh-CN"/>
            </w:rPr>
            <w:fldChar w:fldCharType="separate"/>
          </w:r>
          <w:r>
            <w:rPr>
              <w:rFonts w:hint="eastAsia" w:ascii="宋体" w:hAnsi="宋体" w:eastAsia="宋体" w:cs="宋体"/>
              <w:color w:val="auto"/>
              <w:szCs w:val="21"/>
              <w:highlight w:val="none"/>
            </w:rPr>
            <w:t>5</w:t>
          </w:r>
          <w:r>
            <w:rPr>
              <w:rFonts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Testing Location and Quantity</w:t>
          </w:r>
          <w:r>
            <w:rPr>
              <w:color w:val="auto"/>
              <w:highlight w:val="none"/>
            </w:rPr>
            <w:tab/>
          </w:r>
          <w:r>
            <w:rPr>
              <w:color w:val="auto"/>
              <w:highlight w:val="none"/>
            </w:rPr>
            <w:fldChar w:fldCharType="begin"/>
          </w:r>
          <w:r>
            <w:rPr>
              <w:color w:val="auto"/>
              <w:highlight w:val="none"/>
            </w:rPr>
            <w:instrText xml:space="preserve"> PAGEREF _Toc27539 \h </w:instrText>
          </w:r>
          <w:r>
            <w:rPr>
              <w:color w:val="auto"/>
              <w:highlight w:val="none"/>
            </w:rPr>
            <w:fldChar w:fldCharType="separate"/>
          </w:r>
          <w:r>
            <w:rPr>
              <w:color w:val="auto"/>
              <w:highlight w:val="none"/>
            </w:rPr>
            <w:t>7</w:t>
          </w:r>
          <w:r>
            <w:rPr>
              <w:color w:val="auto"/>
              <w:highlight w:val="none"/>
            </w:rPr>
            <w:fldChar w:fldCharType="end"/>
          </w:r>
          <w:r>
            <w:rPr>
              <w:bCs/>
              <w:color w:val="auto"/>
              <w:szCs w:val="21"/>
              <w:highlight w:val="none"/>
              <w:lang w:val="zh-CN"/>
            </w:rPr>
            <w:fldChar w:fldCharType="end"/>
          </w:r>
        </w:p>
        <w:p>
          <w:pPr>
            <w:pStyle w:val="9"/>
            <w:keepNext w:val="0"/>
            <w:keepLines w:val="0"/>
            <w:pageBreakBefore w:val="0"/>
            <w:widowControl w:val="0"/>
            <w:tabs>
              <w:tab w:val="right" w:leader="dot" w:pos="9377"/>
            </w:tabs>
            <w:kinsoku/>
            <w:wordWrap/>
            <w:overflowPunct/>
            <w:topLinePunct w:val="0"/>
            <w:autoSpaceDE/>
            <w:autoSpaceDN/>
            <w:bidi w:val="0"/>
            <w:adjustRightInd/>
            <w:snapToGrid/>
            <w:spacing w:line="312" w:lineRule="auto"/>
            <w:textAlignment w:val="auto"/>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_Toc25530 </w:instrText>
          </w:r>
          <w:r>
            <w:rPr>
              <w:bCs/>
              <w:color w:val="auto"/>
              <w:szCs w:val="21"/>
              <w:highlight w:val="none"/>
              <w:lang w:val="zh-CN"/>
            </w:rPr>
            <w:fldChar w:fldCharType="separate"/>
          </w:r>
          <w:r>
            <w:rPr>
              <w:rFonts w:hint="eastAsia" w:ascii="宋体" w:hAnsi="宋体" w:eastAsia="宋体" w:cs="宋体"/>
              <w:color w:val="auto"/>
              <w:szCs w:val="21"/>
              <w:highlight w:val="none"/>
              <w:lang w:val="en-US" w:eastAsia="zh-CN"/>
            </w:rPr>
            <w:t>5.3  Testing Method</w:t>
          </w:r>
          <w:r>
            <w:rPr>
              <w:color w:val="auto"/>
              <w:highlight w:val="none"/>
            </w:rPr>
            <w:tab/>
          </w:r>
          <w:r>
            <w:rPr>
              <w:color w:val="auto"/>
              <w:highlight w:val="none"/>
            </w:rPr>
            <w:fldChar w:fldCharType="begin"/>
          </w:r>
          <w:r>
            <w:rPr>
              <w:color w:val="auto"/>
              <w:highlight w:val="none"/>
            </w:rPr>
            <w:instrText xml:space="preserve"> PAGEREF _Toc25530 \h </w:instrText>
          </w:r>
          <w:r>
            <w:rPr>
              <w:color w:val="auto"/>
              <w:highlight w:val="none"/>
            </w:rPr>
            <w:fldChar w:fldCharType="separate"/>
          </w:r>
          <w:r>
            <w:rPr>
              <w:color w:val="auto"/>
              <w:highlight w:val="none"/>
            </w:rPr>
            <w:t>8</w:t>
          </w:r>
          <w:r>
            <w:rPr>
              <w:color w:val="auto"/>
              <w:highlight w:val="none"/>
            </w:rPr>
            <w:fldChar w:fldCharType="end"/>
          </w:r>
          <w:r>
            <w:rPr>
              <w:bCs/>
              <w:color w:val="auto"/>
              <w:szCs w:val="21"/>
              <w:highlight w:val="none"/>
              <w:lang w:val="zh-CN"/>
            </w:rPr>
            <w:fldChar w:fldCharType="end"/>
          </w:r>
        </w:p>
        <w:p>
          <w:pPr>
            <w:pStyle w:val="9"/>
            <w:keepNext w:val="0"/>
            <w:keepLines w:val="0"/>
            <w:pageBreakBefore w:val="0"/>
            <w:widowControl w:val="0"/>
            <w:tabs>
              <w:tab w:val="right" w:leader="dot" w:pos="9377"/>
            </w:tabs>
            <w:kinsoku/>
            <w:wordWrap/>
            <w:overflowPunct/>
            <w:topLinePunct w:val="0"/>
            <w:autoSpaceDE/>
            <w:autoSpaceDN/>
            <w:bidi w:val="0"/>
            <w:adjustRightInd/>
            <w:snapToGrid/>
            <w:spacing w:line="312" w:lineRule="auto"/>
            <w:textAlignment w:val="auto"/>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_Toc27854 </w:instrText>
          </w:r>
          <w:r>
            <w:rPr>
              <w:bCs/>
              <w:color w:val="auto"/>
              <w:szCs w:val="21"/>
              <w:highlight w:val="none"/>
              <w:lang w:val="zh-CN"/>
            </w:rPr>
            <w:fldChar w:fldCharType="separate"/>
          </w:r>
          <w:r>
            <w:rPr>
              <w:rFonts w:hint="eastAsia" w:ascii="宋体" w:hAnsi="宋体" w:eastAsia="宋体" w:cs="宋体"/>
              <w:color w:val="auto"/>
              <w:szCs w:val="21"/>
              <w:highlight w:val="none"/>
              <w:lang w:val="en-US" w:eastAsia="zh-CN"/>
            </w:rPr>
            <w:t>5.4  Evaluation of Test Results</w:t>
          </w:r>
          <w:r>
            <w:rPr>
              <w:color w:val="auto"/>
              <w:highlight w:val="none"/>
            </w:rPr>
            <w:tab/>
          </w:r>
          <w:r>
            <w:rPr>
              <w:color w:val="auto"/>
              <w:highlight w:val="none"/>
            </w:rPr>
            <w:fldChar w:fldCharType="begin"/>
          </w:r>
          <w:r>
            <w:rPr>
              <w:color w:val="auto"/>
              <w:highlight w:val="none"/>
            </w:rPr>
            <w:instrText xml:space="preserve"> PAGEREF _Toc27854 \h </w:instrText>
          </w:r>
          <w:r>
            <w:rPr>
              <w:color w:val="auto"/>
              <w:highlight w:val="none"/>
            </w:rPr>
            <w:fldChar w:fldCharType="separate"/>
          </w:r>
          <w:r>
            <w:rPr>
              <w:color w:val="auto"/>
              <w:highlight w:val="none"/>
            </w:rPr>
            <w:t>8</w:t>
          </w:r>
          <w:r>
            <w:rPr>
              <w:color w:val="auto"/>
              <w:highlight w:val="none"/>
            </w:rPr>
            <w:fldChar w:fldCharType="end"/>
          </w:r>
          <w:r>
            <w:rPr>
              <w:bCs/>
              <w:color w:val="auto"/>
              <w:szCs w:val="21"/>
              <w:highlight w:val="none"/>
              <w:lang w:val="zh-CN"/>
            </w:rPr>
            <w:fldChar w:fldCharType="end"/>
          </w:r>
        </w:p>
        <w:p>
          <w:pPr>
            <w:pStyle w:val="8"/>
            <w:keepNext w:val="0"/>
            <w:keepLines w:val="0"/>
            <w:pageBreakBefore w:val="0"/>
            <w:widowControl w:val="0"/>
            <w:tabs>
              <w:tab w:val="right" w:leader="dot" w:pos="9377"/>
            </w:tabs>
            <w:kinsoku/>
            <w:wordWrap/>
            <w:overflowPunct/>
            <w:topLinePunct w:val="0"/>
            <w:autoSpaceDE/>
            <w:autoSpaceDN/>
            <w:bidi w:val="0"/>
            <w:adjustRightInd/>
            <w:snapToGrid/>
            <w:spacing w:line="312" w:lineRule="auto"/>
            <w:textAlignment w:val="auto"/>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_Toc30184 </w:instrText>
          </w:r>
          <w:r>
            <w:rPr>
              <w:bCs/>
              <w:color w:val="auto"/>
              <w:szCs w:val="21"/>
              <w:highlight w:val="none"/>
              <w:lang w:val="zh-CN"/>
            </w:rPr>
            <w:fldChar w:fldCharType="separate"/>
          </w:r>
          <w:r>
            <w:rPr>
              <w:rFonts w:eastAsia="宋体" w:cs="Times New Roman"/>
              <w:bCs/>
              <w:color w:val="auto"/>
              <w:szCs w:val="44"/>
              <w:highlight w:val="none"/>
            </w:rPr>
            <w:t>6</w:t>
          </w:r>
          <w:r>
            <w:rPr>
              <w:rFonts w:hint="eastAsia" w:eastAsia="宋体" w:cs="Times New Roman"/>
              <w:bCs/>
              <w:color w:val="auto"/>
              <w:szCs w:val="44"/>
              <w:highlight w:val="none"/>
              <w:lang w:val="en-US" w:eastAsia="zh-CN"/>
            </w:rPr>
            <w:t xml:space="preserve">   </w:t>
          </w:r>
          <w:r>
            <w:rPr>
              <w:rFonts w:hint="eastAsia" w:eastAsia="宋体" w:cs="Times New Roman"/>
              <w:bCs/>
              <w:color w:val="auto"/>
              <w:szCs w:val="44"/>
              <w:highlight w:val="none"/>
              <w:lang w:eastAsia="zh-CN"/>
            </w:rPr>
            <w:t xml:space="preserve">Testing of </w:t>
          </w:r>
          <w:r>
            <w:rPr>
              <w:rFonts w:hint="eastAsia" w:eastAsia="宋体" w:cs="Times New Roman"/>
              <w:bCs/>
              <w:color w:val="auto"/>
              <w:szCs w:val="44"/>
              <w:highlight w:val="none"/>
              <w:lang w:val="en-US" w:eastAsia="zh-CN"/>
            </w:rPr>
            <w:t>Insulation Resistance</w:t>
          </w:r>
          <w:r>
            <w:rPr>
              <w:color w:val="auto"/>
              <w:highlight w:val="none"/>
            </w:rPr>
            <w:tab/>
          </w:r>
          <w:r>
            <w:rPr>
              <w:color w:val="auto"/>
              <w:highlight w:val="none"/>
            </w:rPr>
            <w:fldChar w:fldCharType="begin"/>
          </w:r>
          <w:r>
            <w:rPr>
              <w:color w:val="auto"/>
              <w:highlight w:val="none"/>
            </w:rPr>
            <w:instrText xml:space="preserve"> PAGEREF _Toc30184 \h </w:instrText>
          </w:r>
          <w:r>
            <w:rPr>
              <w:color w:val="auto"/>
              <w:highlight w:val="none"/>
            </w:rPr>
            <w:fldChar w:fldCharType="separate"/>
          </w:r>
          <w:r>
            <w:rPr>
              <w:color w:val="auto"/>
              <w:highlight w:val="none"/>
            </w:rPr>
            <w:t>9</w:t>
          </w:r>
          <w:r>
            <w:rPr>
              <w:color w:val="auto"/>
              <w:highlight w:val="none"/>
            </w:rPr>
            <w:fldChar w:fldCharType="end"/>
          </w:r>
          <w:r>
            <w:rPr>
              <w:bCs/>
              <w:color w:val="auto"/>
              <w:szCs w:val="21"/>
              <w:highlight w:val="none"/>
              <w:lang w:val="zh-CN"/>
            </w:rPr>
            <w:fldChar w:fldCharType="end"/>
          </w:r>
        </w:p>
        <w:p>
          <w:pPr>
            <w:pStyle w:val="9"/>
            <w:keepNext w:val="0"/>
            <w:keepLines w:val="0"/>
            <w:pageBreakBefore w:val="0"/>
            <w:widowControl w:val="0"/>
            <w:tabs>
              <w:tab w:val="right" w:leader="dot" w:pos="9377"/>
            </w:tabs>
            <w:kinsoku/>
            <w:wordWrap/>
            <w:overflowPunct/>
            <w:topLinePunct w:val="0"/>
            <w:autoSpaceDE/>
            <w:autoSpaceDN/>
            <w:bidi w:val="0"/>
            <w:adjustRightInd/>
            <w:snapToGrid/>
            <w:spacing w:line="312" w:lineRule="auto"/>
            <w:textAlignment w:val="auto"/>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_Toc17102 </w:instrText>
          </w:r>
          <w:r>
            <w:rPr>
              <w:bCs/>
              <w:color w:val="auto"/>
              <w:szCs w:val="21"/>
              <w:highlight w:val="none"/>
              <w:lang w:val="zh-CN"/>
            </w:rPr>
            <w:fldChar w:fldCharType="separate"/>
          </w:r>
          <w:r>
            <w:rPr>
              <w:rFonts w:ascii="宋体" w:hAnsi="宋体" w:eastAsia="宋体" w:cs="宋体"/>
              <w:color w:val="auto"/>
              <w:szCs w:val="21"/>
              <w:highlight w:val="none"/>
            </w:rPr>
            <w:t>6.1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General Requirements</w:t>
          </w:r>
          <w:r>
            <w:rPr>
              <w:color w:val="auto"/>
              <w:highlight w:val="none"/>
            </w:rPr>
            <w:tab/>
          </w:r>
          <w:r>
            <w:rPr>
              <w:color w:val="auto"/>
              <w:highlight w:val="none"/>
            </w:rPr>
            <w:fldChar w:fldCharType="begin"/>
          </w:r>
          <w:r>
            <w:rPr>
              <w:color w:val="auto"/>
              <w:highlight w:val="none"/>
            </w:rPr>
            <w:instrText xml:space="preserve"> PAGEREF _Toc17102 \h </w:instrText>
          </w:r>
          <w:r>
            <w:rPr>
              <w:color w:val="auto"/>
              <w:highlight w:val="none"/>
            </w:rPr>
            <w:fldChar w:fldCharType="separate"/>
          </w:r>
          <w:r>
            <w:rPr>
              <w:color w:val="auto"/>
              <w:highlight w:val="none"/>
            </w:rPr>
            <w:t>9</w:t>
          </w:r>
          <w:r>
            <w:rPr>
              <w:color w:val="auto"/>
              <w:highlight w:val="none"/>
            </w:rPr>
            <w:fldChar w:fldCharType="end"/>
          </w:r>
          <w:r>
            <w:rPr>
              <w:bCs/>
              <w:color w:val="auto"/>
              <w:szCs w:val="21"/>
              <w:highlight w:val="none"/>
              <w:lang w:val="zh-CN"/>
            </w:rPr>
            <w:fldChar w:fldCharType="end"/>
          </w:r>
        </w:p>
        <w:p>
          <w:pPr>
            <w:pStyle w:val="9"/>
            <w:keepNext w:val="0"/>
            <w:keepLines w:val="0"/>
            <w:pageBreakBefore w:val="0"/>
            <w:widowControl w:val="0"/>
            <w:tabs>
              <w:tab w:val="right" w:leader="dot" w:pos="9377"/>
            </w:tabs>
            <w:kinsoku/>
            <w:wordWrap/>
            <w:overflowPunct/>
            <w:topLinePunct w:val="0"/>
            <w:autoSpaceDE/>
            <w:autoSpaceDN/>
            <w:bidi w:val="0"/>
            <w:adjustRightInd/>
            <w:snapToGrid/>
            <w:spacing w:line="312" w:lineRule="auto"/>
            <w:textAlignment w:val="auto"/>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_Toc25580 </w:instrText>
          </w:r>
          <w:r>
            <w:rPr>
              <w:bCs/>
              <w:color w:val="auto"/>
              <w:szCs w:val="21"/>
              <w:highlight w:val="none"/>
              <w:lang w:val="zh-CN"/>
            </w:rPr>
            <w:fldChar w:fldCharType="separate"/>
          </w:r>
          <w:r>
            <w:rPr>
              <w:rFonts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Testing Location and Quantity</w:t>
          </w:r>
          <w:r>
            <w:rPr>
              <w:color w:val="auto"/>
              <w:highlight w:val="none"/>
            </w:rPr>
            <w:tab/>
          </w:r>
          <w:r>
            <w:rPr>
              <w:color w:val="auto"/>
              <w:highlight w:val="none"/>
            </w:rPr>
            <w:fldChar w:fldCharType="begin"/>
          </w:r>
          <w:r>
            <w:rPr>
              <w:color w:val="auto"/>
              <w:highlight w:val="none"/>
            </w:rPr>
            <w:instrText xml:space="preserve"> PAGEREF _Toc25580 \h </w:instrText>
          </w:r>
          <w:r>
            <w:rPr>
              <w:color w:val="auto"/>
              <w:highlight w:val="none"/>
            </w:rPr>
            <w:fldChar w:fldCharType="separate"/>
          </w:r>
          <w:r>
            <w:rPr>
              <w:color w:val="auto"/>
              <w:highlight w:val="none"/>
            </w:rPr>
            <w:t>9</w:t>
          </w:r>
          <w:r>
            <w:rPr>
              <w:color w:val="auto"/>
              <w:highlight w:val="none"/>
            </w:rPr>
            <w:fldChar w:fldCharType="end"/>
          </w:r>
          <w:r>
            <w:rPr>
              <w:bCs/>
              <w:color w:val="auto"/>
              <w:szCs w:val="21"/>
              <w:highlight w:val="none"/>
              <w:lang w:val="zh-CN"/>
            </w:rPr>
            <w:fldChar w:fldCharType="end"/>
          </w:r>
        </w:p>
        <w:p>
          <w:pPr>
            <w:pStyle w:val="9"/>
            <w:keepNext w:val="0"/>
            <w:keepLines w:val="0"/>
            <w:pageBreakBefore w:val="0"/>
            <w:widowControl w:val="0"/>
            <w:tabs>
              <w:tab w:val="right" w:leader="dot" w:pos="9377"/>
            </w:tabs>
            <w:kinsoku/>
            <w:wordWrap/>
            <w:overflowPunct/>
            <w:topLinePunct w:val="0"/>
            <w:autoSpaceDE/>
            <w:autoSpaceDN/>
            <w:bidi w:val="0"/>
            <w:adjustRightInd/>
            <w:snapToGrid/>
            <w:spacing w:line="312" w:lineRule="auto"/>
            <w:textAlignment w:val="auto"/>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_Toc26578 </w:instrText>
          </w:r>
          <w:r>
            <w:rPr>
              <w:bCs/>
              <w:color w:val="auto"/>
              <w:szCs w:val="21"/>
              <w:highlight w:val="none"/>
              <w:lang w:val="zh-CN"/>
            </w:rPr>
            <w:fldChar w:fldCharType="separate"/>
          </w:r>
          <w:r>
            <w:rPr>
              <w:rFonts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 xml:space="preserve">3  </w:t>
          </w:r>
          <w:r>
            <w:rPr>
              <w:rFonts w:hint="eastAsia" w:ascii="宋体" w:hAnsi="宋体" w:eastAsia="宋体" w:cs="宋体"/>
              <w:color w:val="auto"/>
              <w:szCs w:val="21"/>
              <w:highlight w:val="none"/>
              <w:lang w:eastAsia="zh-CN"/>
            </w:rPr>
            <w:t>Testing Method</w:t>
          </w:r>
          <w:r>
            <w:rPr>
              <w:color w:val="auto"/>
              <w:highlight w:val="none"/>
            </w:rPr>
            <w:tab/>
          </w:r>
          <w:r>
            <w:rPr>
              <w:color w:val="auto"/>
              <w:highlight w:val="none"/>
            </w:rPr>
            <w:fldChar w:fldCharType="begin"/>
          </w:r>
          <w:r>
            <w:rPr>
              <w:color w:val="auto"/>
              <w:highlight w:val="none"/>
            </w:rPr>
            <w:instrText xml:space="preserve"> PAGEREF _Toc26578 \h </w:instrText>
          </w:r>
          <w:r>
            <w:rPr>
              <w:color w:val="auto"/>
              <w:highlight w:val="none"/>
            </w:rPr>
            <w:fldChar w:fldCharType="separate"/>
          </w:r>
          <w:r>
            <w:rPr>
              <w:color w:val="auto"/>
              <w:highlight w:val="none"/>
            </w:rPr>
            <w:t>10</w:t>
          </w:r>
          <w:r>
            <w:rPr>
              <w:color w:val="auto"/>
              <w:highlight w:val="none"/>
            </w:rPr>
            <w:fldChar w:fldCharType="end"/>
          </w:r>
          <w:r>
            <w:rPr>
              <w:bCs/>
              <w:color w:val="auto"/>
              <w:szCs w:val="21"/>
              <w:highlight w:val="none"/>
              <w:lang w:val="zh-CN"/>
            </w:rPr>
            <w:fldChar w:fldCharType="end"/>
          </w:r>
        </w:p>
        <w:p>
          <w:pPr>
            <w:pStyle w:val="9"/>
            <w:keepNext w:val="0"/>
            <w:keepLines w:val="0"/>
            <w:pageBreakBefore w:val="0"/>
            <w:widowControl w:val="0"/>
            <w:tabs>
              <w:tab w:val="right" w:leader="dot" w:pos="9377"/>
            </w:tabs>
            <w:kinsoku/>
            <w:wordWrap/>
            <w:overflowPunct/>
            <w:topLinePunct w:val="0"/>
            <w:autoSpaceDE/>
            <w:autoSpaceDN/>
            <w:bidi w:val="0"/>
            <w:adjustRightInd/>
            <w:snapToGrid/>
            <w:spacing w:line="312" w:lineRule="auto"/>
            <w:textAlignment w:val="auto"/>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_Toc27215 </w:instrText>
          </w:r>
          <w:r>
            <w:rPr>
              <w:bCs/>
              <w:color w:val="auto"/>
              <w:szCs w:val="21"/>
              <w:highlight w:val="none"/>
              <w:lang w:val="zh-CN"/>
            </w:rPr>
            <w:fldChar w:fldCharType="separate"/>
          </w:r>
          <w:r>
            <w:rPr>
              <w:rFonts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4  Evaluation of Test Results</w:t>
          </w:r>
          <w:r>
            <w:rPr>
              <w:color w:val="auto"/>
              <w:highlight w:val="none"/>
            </w:rPr>
            <w:tab/>
          </w:r>
          <w:r>
            <w:rPr>
              <w:color w:val="auto"/>
              <w:highlight w:val="none"/>
            </w:rPr>
            <w:fldChar w:fldCharType="begin"/>
          </w:r>
          <w:r>
            <w:rPr>
              <w:color w:val="auto"/>
              <w:highlight w:val="none"/>
            </w:rPr>
            <w:instrText xml:space="preserve"> PAGEREF _Toc27215 \h </w:instrText>
          </w:r>
          <w:r>
            <w:rPr>
              <w:color w:val="auto"/>
              <w:highlight w:val="none"/>
            </w:rPr>
            <w:fldChar w:fldCharType="separate"/>
          </w:r>
          <w:r>
            <w:rPr>
              <w:color w:val="auto"/>
              <w:highlight w:val="none"/>
            </w:rPr>
            <w:t>11</w:t>
          </w:r>
          <w:r>
            <w:rPr>
              <w:color w:val="auto"/>
              <w:highlight w:val="none"/>
            </w:rPr>
            <w:fldChar w:fldCharType="end"/>
          </w:r>
          <w:r>
            <w:rPr>
              <w:bCs/>
              <w:color w:val="auto"/>
              <w:szCs w:val="21"/>
              <w:highlight w:val="none"/>
              <w:lang w:val="zh-CN"/>
            </w:rPr>
            <w:fldChar w:fldCharType="end"/>
          </w:r>
        </w:p>
        <w:p>
          <w:pPr>
            <w:pStyle w:val="8"/>
            <w:keepNext w:val="0"/>
            <w:keepLines w:val="0"/>
            <w:pageBreakBefore w:val="0"/>
            <w:widowControl w:val="0"/>
            <w:tabs>
              <w:tab w:val="right" w:leader="dot" w:pos="9377"/>
            </w:tabs>
            <w:kinsoku/>
            <w:wordWrap/>
            <w:overflowPunct/>
            <w:topLinePunct w:val="0"/>
            <w:autoSpaceDE/>
            <w:autoSpaceDN/>
            <w:bidi w:val="0"/>
            <w:adjustRightInd/>
            <w:snapToGrid/>
            <w:spacing w:line="312" w:lineRule="auto"/>
            <w:textAlignment w:val="auto"/>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_Toc11388 </w:instrText>
          </w:r>
          <w:r>
            <w:rPr>
              <w:bCs/>
              <w:color w:val="auto"/>
              <w:szCs w:val="21"/>
              <w:highlight w:val="none"/>
              <w:lang w:val="zh-CN"/>
            </w:rPr>
            <w:fldChar w:fldCharType="separate"/>
          </w:r>
          <w:r>
            <w:rPr>
              <w:rFonts w:hint="eastAsia" w:eastAsia="宋体" w:cs="Times New Roman"/>
              <w:bCs/>
              <w:color w:val="auto"/>
              <w:szCs w:val="44"/>
              <w:highlight w:val="none"/>
            </w:rPr>
            <w:t xml:space="preserve">7 </w:t>
          </w:r>
          <w:r>
            <w:rPr>
              <w:rFonts w:hint="eastAsia" w:eastAsia="宋体" w:cs="Times New Roman"/>
              <w:bCs/>
              <w:color w:val="auto"/>
              <w:szCs w:val="44"/>
              <w:highlight w:val="none"/>
              <w:lang w:val="en-US" w:eastAsia="zh-CN"/>
            </w:rPr>
            <w:t xml:space="preserve">  A</w:t>
          </w:r>
          <w:r>
            <w:rPr>
              <w:rFonts w:hint="eastAsia" w:eastAsia="宋体" w:cs="Times New Roman"/>
              <w:bCs/>
              <w:color w:val="auto"/>
              <w:szCs w:val="44"/>
              <w:highlight w:val="none"/>
            </w:rPr>
            <w:t xml:space="preserve">C </w:t>
          </w:r>
          <w:r>
            <w:rPr>
              <w:rFonts w:hint="eastAsia" w:eastAsia="宋体" w:cs="Times New Roman"/>
              <w:bCs/>
              <w:color w:val="auto"/>
              <w:szCs w:val="44"/>
              <w:highlight w:val="none"/>
              <w:lang w:val="en-US" w:eastAsia="zh-CN"/>
            </w:rPr>
            <w:t>V</w:t>
          </w:r>
          <w:r>
            <w:rPr>
              <w:rFonts w:hint="eastAsia" w:eastAsia="宋体" w:cs="Times New Roman"/>
              <w:bCs/>
              <w:color w:val="auto"/>
              <w:szCs w:val="44"/>
              <w:highlight w:val="none"/>
            </w:rPr>
            <w:t xml:space="preserve">oltage </w:t>
          </w:r>
          <w:r>
            <w:rPr>
              <w:rFonts w:hint="eastAsia" w:eastAsia="宋体" w:cs="Times New Roman"/>
              <w:bCs/>
              <w:color w:val="auto"/>
              <w:szCs w:val="44"/>
              <w:highlight w:val="none"/>
              <w:lang w:val="en-US" w:eastAsia="zh-CN"/>
            </w:rPr>
            <w:t>W</w:t>
          </w:r>
          <w:r>
            <w:rPr>
              <w:rFonts w:hint="eastAsia" w:eastAsia="宋体" w:cs="Times New Roman"/>
              <w:bCs/>
              <w:color w:val="auto"/>
              <w:szCs w:val="44"/>
              <w:highlight w:val="none"/>
            </w:rPr>
            <w:t xml:space="preserve">ithstanding </w:t>
          </w:r>
          <w:r>
            <w:rPr>
              <w:rFonts w:hint="eastAsia" w:eastAsia="宋体" w:cs="Times New Roman"/>
              <w:bCs/>
              <w:color w:val="auto"/>
              <w:szCs w:val="44"/>
              <w:highlight w:val="none"/>
              <w:lang w:val="en-US" w:eastAsia="zh-CN"/>
            </w:rPr>
            <w:t>T</w:t>
          </w:r>
          <w:r>
            <w:rPr>
              <w:rFonts w:hint="eastAsia" w:eastAsia="宋体" w:cs="Times New Roman"/>
              <w:bCs/>
              <w:color w:val="auto"/>
              <w:szCs w:val="44"/>
              <w:highlight w:val="none"/>
            </w:rPr>
            <w:t>est</w:t>
          </w:r>
          <w:r>
            <w:rPr>
              <w:color w:val="auto"/>
              <w:highlight w:val="none"/>
            </w:rPr>
            <w:tab/>
          </w:r>
          <w:r>
            <w:rPr>
              <w:color w:val="auto"/>
              <w:highlight w:val="none"/>
            </w:rPr>
            <w:fldChar w:fldCharType="begin"/>
          </w:r>
          <w:r>
            <w:rPr>
              <w:color w:val="auto"/>
              <w:highlight w:val="none"/>
            </w:rPr>
            <w:instrText xml:space="preserve"> PAGEREF _Toc11388 \h </w:instrText>
          </w:r>
          <w:r>
            <w:rPr>
              <w:color w:val="auto"/>
              <w:highlight w:val="none"/>
            </w:rPr>
            <w:fldChar w:fldCharType="separate"/>
          </w:r>
          <w:r>
            <w:rPr>
              <w:color w:val="auto"/>
              <w:highlight w:val="none"/>
            </w:rPr>
            <w:t>12</w:t>
          </w:r>
          <w:r>
            <w:rPr>
              <w:color w:val="auto"/>
              <w:highlight w:val="none"/>
            </w:rPr>
            <w:fldChar w:fldCharType="end"/>
          </w:r>
          <w:r>
            <w:rPr>
              <w:bCs/>
              <w:color w:val="auto"/>
              <w:szCs w:val="21"/>
              <w:highlight w:val="none"/>
              <w:lang w:val="zh-CN"/>
            </w:rPr>
            <w:fldChar w:fldCharType="end"/>
          </w:r>
        </w:p>
        <w:p>
          <w:pPr>
            <w:pStyle w:val="9"/>
            <w:keepNext w:val="0"/>
            <w:keepLines w:val="0"/>
            <w:pageBreakBefore w:val="0"/>
            <w:widowControl w:val="0"/>
            <w:tabs>
              <w:tab w:val="right" w:leader="dot" w:pos="9377"/>
            </w:tabs>
            <w:kinsoku/>
            <w:wordWrap/>
            <w:overflowPunct/>
            <w:topLinePunct w:val="0"/>
            <w:autoSpaceDE/>
            <w:autoSpaceDN/>
            <w:bidi w:val="0"/>
            <w:adjustRightInd/>
            <w:snapToGrid/>
            <w:spacing w:line="312" w:lineRule="auto"/>
            <w:textAlignment w:val="auto"/>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_Toc27775 </w:instrText>
          </w:r>
          <w:r>
            <w:rPr>
              <w:bCs/>
              <w:color w:val="auto"/>
              <w:szCs w:val="21"/>
              <w:highlight w:val="none"/>
              <w:lang w:val="zh-CN"/>
            </w:rPr>
            <w:fldChar w:fldCharType="separate"/>
          </w:r>
          <w:r>
            <w:rPr>
              <w:rFonts w:hint="eastAsia" w:ascii="宋体" w:hAnsi="宋体" w:eastAsia="宋体" w:cs="宋体"/>
              <w:color w:val="auto"/>
              <w:szCs w:val="21"/>
              <w:highlight w:val="none"/>
              <w:lang w:val="en-US" w:eastAsia="zh-CN"/>
            </w:rPr>
            <w:t>7.1  General Requirements</w:t>
          </w:r>
          <w:r>
            <w:rPr>
              <w:color w:val="auto"/>
              <w:highlight w:val="none"/>
            </w:rPr>
            <w:tab/>
          </w:r>
          <w:r>
            <w:rPr>
              <w:color w:val="auto"/>
              <w:highlight w:val="none"/>
            </w:rPr>
            <w:fldChar w:fldCharType="begin"/>
          </w:r>
          <w:r>
            <w:rPr>
              <w:color w:val="auto"/>
              <w:highlight w:val="none"/>
            </w:rPr>
            <w:instrText xml:space="preserve"> PAGEREF _Toc27775 \h </w:instrText>
          </w:r>
          <w:r>
            <w:rPr>
              <w:color w:val="auto"/>
              <w:highlight w:val="none"/>
            </w:rPr>
            <w:fldChar w:fldCharType="separate"/>
          </w:r>
          <w:r>
            <w:rPr>
              <w:color w:val="auto"/>
              <w:highlight w:val="none"/>
            </w:rPr>
            <w:t>12</w:t>
          </w:r>
          <w:r>
            <w:rPr>
              <w:color w:val="auto"/>
              <w:highlight w:val="none"/>
            </w:rPr>
            <w:fldChar w:fldCharType="end"/>
          </w:r>
          <w:r>
            <w:rPr>
              <w:bCs/>
              <w:color w:val="auto"/>
              <w:szCs w:val="21"/>
              <w:highlight w:val="none"/>
              <w:lang w:val="zh-CN"/>
            </w:rPr>
            <w:fldChar w:fldCharType="end"/>
          </w:r>
        </w:p>
        <w:p>
          <w:pPr>
            <w:pStyle w:val="9"/>
            <w:keepNext w:val="0"/>
            <w:keepLines w:val="0"/>
            <w:pageBreakBefore w:val="0"/>
            <w:widowControl w:val="0"/>
            <w:tabs>
              <w:tab w:val="right" w:leader="dot" w:pos="9377"/>
            </w:tabs>
            <w:kinsoku/>
            <w:wordWrap/>
            <w:overflowPunct/>
            <w:topLinePunct w:val="0"/>
            <w:autoSpaceDE/>
            <w:autoSpaceDN/>
            <w:bidi w:val="0"/>
            <w:adjustRightInd/>
            <w:snapToGrid/>
            <w:spacing w:line="312" w:lineRule="auto"/>
            <w:textAlignment w:val="auto"/>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_Toc11912 </w:instrText>
          </w:r>
          <w:r>
            <w:rPr>
              <w:bCs/>
              <w:color w:val="auto"/>
              <w:szCs w:val="21"/>
              <w:highlight w:val="none"/>
              <w:lang w:val="zh-CN"/>
            </w:rPr>
            <w:fldChar w:fldCharType="separate"/>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Testing Location and Quantity</w:t>
          </w:r>
          <w:r>
            <w:rPr>
              <w:color w:val="auto"/>
              <w:highlight w:val="none"/>
            </w:rPr>
            <w:tab/>
          </w:r>
          <w:r>
            <w:rPr>
              <w:color w:val="auto"/>
              <w:highlight w:val="none"/>
            </w:rPr>
            <w:fldChar w:fldCharType="begin"/>
          </w:r>
          <w:r>
            <w:rPr>
              <w:color w:val="auto"/>
              <w:highlight w:val="none"/>
            </w:rPr>
            <w:instrText xml:space="preserve"> PAGEREF _Toc11375 \h </w:instrText>
          </w:r>
          <w:r>
            <w:rPr>
              <w:color w:val="auto"/>
              <w:highlight w:val="none"/>
            </w:rPr>
            <w:fldChar w:fldCharType="separate"/>
          </w:r>
          <w:r>
            <w:rPr>
              <w:color w:val="auto"/>
              <w:highlight w:val="none"/>
            </w:rPr>
            <w:t>12</w:t>
          </w:r>
          <w:r>
            <w:rPr>
              <w:color w:val="auto"/>
              <w:highlight w:val="none"/>
            </w:rPr>
            <w:fldChar w:fldCharType="end"/>
          </w:r>
          <w:r>
            <w:rPr>
              <w:bCs/>
              <w:color w:val="auto"/>
              <w:szCs w:val="21"/>
              <w:highlight w:val="none"/>
              <w:lang w:val="zh-CN"/>
            </w:rPr>
            <w:fldChar w:fldCharType="end"/>
          </w:r>
        </w:p>
        <w:p>
          <w:pPr>
            <w:pStyle w:val="9"/>
            <w:keepNext w:val="0"/>
            <w:keepLines w:val="0"/>
            <w:pageBreakBefore w:val="0"/>
            <w:widowControl w:val="0"/>
            <w:tabs>
              <w:tab w:val="right" w:leader="dot" w:pos="9377"/>
            </w:tabs>
            <w:kinsoku/>
            <w:wordWrap/>
            <w:overflowPunct/>
            <w:topLinePunct w:val="0"/>
            <w:autoSpaceDE/>
            <w:autoSpaceDN/>
            <w:bidi w:val="0"/>
            <w:adjustRightInd/>
            <w:snapToGrid/>
            <w:spacing w:line="312" w:lineRule="auto"/>
            <w:textAlignment w:val="auto"/>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_Toc24866 </w:instrText>
          </w:r>
          <w:r>
            <w:rPr>
              <w:bCs/>
              <w:color w:val="auto"/>
              <w:szCs w:val="21"/>
              <w:highlight w:val="none"/>
              <w:lang w:val="zh-CN"/>
            </w:rPr>
            <w:fldChar w:fldCharType="separate"/>
          </w:r>
          <w:r>
            <w:rPr>
              <w:rFonts w:hint="eastAsia" w:ascii="宋体" w:hAnsi="宋体" w:eastAsia="宋体" w:cs="宋体"/>
              <w:color w:val="auto"/>
              <w:szCs w:val="21"/>
              <w:highlight w:val="none"/>
            </w:rPr>
            <w:t>7</w:t>
          </w:r>
          <w:r>
            <w:rPr>
              <w:rFonts w:hint="default" w:ascii="宋体" w:hAnsi="宋体" w:eastAsia="宋体" w:cs="宋体"/>
              <w:color w:val="auto"/>
              <w:szCs w:val="21"/>
              <w:highlight w:val="none"/>
              <w:lang w:val="en-US"/>
            </w:rPr>
            <w:t>.3</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Testing Method</w:t>
          </w:r>
          <w:r>
            <w:rPr>
              <w:color w:val="auto"/>
              <w:highlight w:val="none"/>
            </w:rPr>
            <w:tab/>
          </w:r>
          <w:r>
            <w:rPr>
              <w:color w:val="auto"/>
              <w:highlight w:val="none"/>
            </w:rPr>
            <w:fldChar w:fldCharType="begin"/>
          </w:r>
          <w:r>
            <w:rPr>
              <w:color w:val="auto"/>
              <w:highlight w:val="none"/>
            </w:rPr>
            <w:instrText xml:space="preserve"> PAGEREF _Toc11375 \h </w:instrText>
          </w:r>
          <w:r>
            <w:rPr>
              <w:color w:val="auto"/>
              <w:highlight w:val="none"/>
            </w:rPr>
            <w:fldChar w:fldCharType="separate"/>
          </w:r>
          <w:r>
            <w:rPr>
              <w:color w:val="auto"/>
              <w:highlight w:val="none"/>
            </w:rPr>
            <w:t>12</w:t>
          </w:r>
          <w:r>
            <w:rPr>
              <w:color w:val="auto"/>
              <w:highlight w:val="none"/>
            </w:rPr>
            <w:fldChar w:fldCharType="end"/>
          </w:r>
          <w:r>
            <w:rPr>
              <w:bCs/>
              <w:color w:val="auto"/>
              <w:szCs w:val="21"/>
              <w:highlight w:val="none"/>
              <w:lang w:val="zh-CN"/>
            </w:rPr>
            <w:fldChar w:fldCharType="end"/>
          </w:r>
        </w:p>
        <w:p>
          <w:pPr>
            <w:pStyle w:val="9"/>
            <w:keepNext w:val="0"/>
            <w:keepLines w:val="0"/>
            <w:pageBreakBefore w:val="0"/>
            <w:widowControl w:val="0"/>
            <w:tabs>
              <w:tab w:val="right" w:leader="dot" w:pos="9377"/>
            </w:tabs>
            <w:kinsoku/>
            <w:wordWrap/>
            <w:overflowPunct/>
            <w:topLinePunct w:val="0"/>
            <w:autoSpaceDE/>
            <w:autoSpaceDN/>
            <w:bidi w:val="0"/>
            <w:adjustRightInd/>
            <w:snapToGrid/>
            <w:spacing w:line="312" w:lineRule="auto"/>
            <w:textAlignment w:val="auto"/>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_Toc8800 </w:instrText>
          </w:r>
          <w:r>
            <w:rPr>
              <w:bCs/>
              <w:color w:val="auto"/>
              <w:szCs w:val="21"/>
              <w:highlight w:val="none"/>
              <w:lang w:val="zh-CN"/>
            </w:rPr>
            <w:fldChar w:fldCharType="separate"/>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en-US" w:eastAsia="zh-CN"/>
            </w:rPr>
            <w:t>4  Evaluation of Test Results</w:t>
          </w:r>
          <w:r>
            <w:rPr>
              <w:color w:val="auto"/>
              <w:highlight w:val="none"/>
            </w:rPr>
            <w:tab/>
          </w:r>
          <w:r>
            <w:rPr>
              <w:color w:val="auto"/>
              <w:highlight w:val="none"/>
            </w:rPr>
            <w:fldChar w:fldCharType="begin"/>
          </w:r>
          <w:r>
            <w:rPr>
              <w:color w:val="auto"/>
              <w:highlight w:val="none"/>
            </w:rPr>
            <w:instrText xml:space="preserve"> PAGEREF _Toc26470 \h </w:instrText>
          </w:r>
          <w:r>
            <w:rPr>
              <w:color w:val="auto"/>
              <w:highlight w:val="none"/>
            </w:rPr>
            <w:fldChar w:fldCharType="separate"/>
          </w:r>
          <w:r>
            <w:rPr>
              <w:color w:val="auto"/>
              <w:highlight w:val="none"/>
            </w:rPr>
            <w:t>13</w:t>
          </w:r>
          <w:r>
            <w:rPr>
              <w:color w:val="auto"/>
              <w:highlight w:val="none"/>
            </w:rPr>
            <w:fldChar w:fldCharType="end"/>
          </w:r>
          <w:r>
            <w:rPr>
              <w:bCs/>
              <w:color w:val="auto"/>
              <w:szCs w:val="21"/>
              <w:highlight w:val="none"/>
              <w:lang w:val="zh-CN"/>
            </w:rPr>
            <w:fldChar w:fldCharType="end"/>
          </w:r>
        </w:p>
        <w:p>
          <w:pPr>
            <w:pStyle w:val="8"/>
            <w:keepNext w:val="0"/>
            <w:keepLines w:val="0"/>
            <w:pageBreakBefore w:val="0"/>
            <w:widowControl w:val="0"/>
            <w:tabs>
              <w:tab w:val="right" w:leader="dot" w:pos="9377"/>
            </w:tabs>
            <w:kinsoku/>
            <w:wordWrap/>
            <w:overflowPunct/>
            <w:topLinePunct w:val="0"/>
            <w:autoSpaceDE/>
            <w:autoSpaceDN/>
            <w:bidi w:val="0"/>
            <w:adjustRightInd/>
            <w:snapToGrid/>
            <w:spacing w:line="312" w:lineRule="auto"/>
            <w:textAlignment w:val="auto"/>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_Toc18934 </w:instrText>
          </w:r>
          <w:r>
            <w:rPr>
              <w:bCs/>
              <w:color w:val="auto"/>
              <w:szCs w:val="21"/>
              <w:highlight w:val="none"/>
              <w:lang w:val="zh-CN"/>
            </w:rPr>
            <w:fldChar w:fldCharType="separate"/>
          </w:r>
          <w:r>
            <w:rPr>
              <w:rFonts w:hint="eastAsia" w:eastAsia="宋体" w:cs="Times New Roman"/>
              <w:bCs/>
              <w:color w:val="auto"/>
              <w:szCs w:val="44"/>
              <w:highlight w:val="none"/>
            </w:rPr>
            <w:t>8</w:t>
          </w:r>
          <w:r>
            <w:rPr>
              <w:rFonts w:hint="eastAsia" w:eastAsia="宋体" w:cs="Times New Roman"/>
              <w:bCs/>
              <w:color w:val="auto"/>
              <w:szCs w:val="44"/>
              <w:highlight w:val="none"/>
              <w:lang w:val="en-US" w:eastAsia="zh-CN"/>
            </w:rPr>
            <w:t xml:space="preserve">   </w:t>
          </w:r>
          <w:r>
            <w:rPr>
              <w:rFonts w:hint="eastAsia" w:eastAsia="宋体" w:cs="Times New Roman"/>
              <w:bCs/>
              <w:color w:val="auto"/>
              <w:szCs w:val="44"/>
              <w:highlight w:val="none"/>
              <w:lang w:eastAsia="zh-CN"/>
            </w:rPr>
            <w:t>Testing of Grounding Fault Loop Impedance</w:t>
          </w:r>
          <w:r>
            <w:rPr>
              <w:color w:val="auto"/>
              <w:highlight w:val="none"/>
            </w:rPr>
            <w:tab/>
          </w:r>
          <w:r>
            <w:rPr>
              <w:color w:val="auto"/>
              <w:highlight w:val="none"/>
            </w:rPr>
            <w:fldChar w:fldCharType="begin"/>
          </w:r>
          <w:r>
            <w:rPr>
              <w:color w:val="auto"/>
              <w:highlight w:val="none"/>
            </w:rPr>
            <w:instrText xml:space="preserve"> PAGEREF _Toc18934 \h </w:instrText>
          </w:r>
          <w:r>
            <w:rPr>
              <w:color w:val="auto"/>
              <w:highlight w:val="none"/>
            </w:rPr>
            <w:fldChar w:fldCharType="separate"/>
          </w:r>
          <w:r>
            <w:rPr>
              <w:color w:val="auto"/>
              <w:highlight w:val="none"/>
            </w:rPr>
            <w:t>14</w:t>
          </w:r>
          <w:r>
            <w:rPr>
              <w:color w:val="auto"/>
              <w:highlight w:val="none"/>
            </w:rPr>
            <w:fldChar w:fldCharType="end"/>
          </w:r>
          <w:r>
            <w:rPr>
              <w:bCs/>
              <w:color w:val="auto"/>
              <w:szCs w:val="21"/>
              <w:highlight w:val="none"/>
              <w:lang w:val="zh-CN"/>
            </w:rPr>
            <w:fldChar w:fldCharType="end"/>
          </w:r>
        </w:p>
        <w:p>
          <w:pPr>
            <w:pStyle w:val="9"/>
            <w:keepNext w:val="0"/>
            <w:keepLines w:val="0"/>
            <w:pageBreakBefore w:val="0"/>
            <w:widowControl w:val="0"/>
            <w:tabs>
              <w:tab w:val="right" w:leader="dot" w:pos="9377"/>
            </w:tabs>
            <w:kinsoku/>
            <w:wordWrap/>
            <w:overflowPunct/>
            <w:topLinePunct w:val="0"/>
            <w:autoSpaceDE/>
            <w:autoSpaceDN/>
            <w:bidi w:val="0"/>
            <w:adjustRightInd/>
            <w:snapToGrid/>
            <w:spacing w:line="312" w:lineRule="auto"/>
            <w:textAlignment w:val="auto"/>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_Toc28150 </w:instrText>
          </w:r>
          <w:r>
            <w:rPr>
              <w:bCs/>
              <w:color w:val="auto"/>
              <w:szCs w:val="21"/>
              <w:highlight w:val="none"/>
              <w:lang w:val="zh-CN"/>
            </w:rPr>
            <w:fldChar w:fldCharType="separate"/>
          </w:r>
          <w:r>
            <w:rPr>
              <w:rFonts w:hint="eastAsia" w:ascii="宋体" w:hAnsi="宋体" w:eastAsia="宋体" w:cs="宋体"/>
              <w:color w:val="auto"/>
              <w:szCs w:val="21"/>
              <w:highlight w:val="none"/>
              <w:lang w:val="en-US" w:eastAsia="zh-CN"/>
            </w:rPr>
            <w:t>8.1  General Requirements</w:t>
          </w:r>
          <w:r>
            <w:rPr>
              <w:color w:val="auto"/>
              <w:highlight w:val="none"/>
            </w:rPr>
            <w:tab/>
          </w:r>
          <w:r>
            <w:rPr>
              <w:color w:val="auto"/>
              <w:highlight w:val="none"/>
            </w:rPr>
            <w:fldChar w:fldCharType="begin"/>
          </w:r>
          <w:r>
            <w:rPr>
              <w:color w:val="auto"/>
              <w:highlight w:val="none"/>
            </w:rPr>
            <w:instrText xml:space="preserve"> PAGEREF _Toc28150 \h </w:instrText>
          </w:r>
          <w:r>
            <w:rPr>
              <w:color w:val="auto"/>
              <w:highlight w:val="none"/>
            </w:rPr>
            <w:fldChar w:fldCharType="separate"/>
          </w:r>
          <w:r>
            <w:rPr>
              <w:color w:val="auto"/>
              <w:highlight w:val="none"/>
            </w:rPr>
            <w:t>14</w:t>
          </w:r>
          <w:r>
            <w:rPr>
              <w:color w:val="auto"/>
              <w:highlight w:val="none"/>
            </w:rPr>
            <w:fldChar w:fldCharType="end"/>
          </w:r>
          <w:r>
            <w:rPr>
              <w:bCs/>
              <w:color w:val="auto"/>
              <w:szCs w:val="21"/>
              <w:highlight w:val="none"/>
              <w:lang w:val="zh-CN"/>
            </w:rPr>
            <w:fldChar w:fldCharType="end"/>
          </w:r>
        </w:p>
        <w:p>
          <w:pPr>
            <w:pStyle w:val="9"/>
            <w:keepNext w:val="0"/>
            <w:keepLines w:val="0"/>
            <w:pageBreakBefore w:val="0"/>
            <w:widowControl w:val="0"/>
            <w:tabs>
              <w:tab w:val="right" w:leader="dot" w:pos="9377"/>
            </w:tabs>
            <w:kinsoku/>
            <w:wordWrap/>
            <w:overflowPunct/>
            <w:topLinePunct w:val="0"/>
            <w:autoSpaceDE/>
            <w:autoSpaceDN/>
            <w:bidi w:val="0"/>
            <w:adjustRightInd/>
            <w:snapToGrid/>
            <w:spacing w:line="312" w:lineRule="auto"/>
            <w:textAlignment w:val="auto"/>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_Toc23457 </w:instrText>
          </w:r>
          <w:r>
            <w:rPr>
              <w:bCs/>
              <w:color w:val="auto"/>
              <w:szCs w:val="21"/>
              <w:highlight w:val="none"/>
              <w:lang w:val="zh-CN"/>
            </w:rPr>
            <w:fldChar w:fldCharType="separate"/>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en-US" w:eastAsia="zh-CN"/>
            </w:rPr>
            <w:t xml:space="preserve">2  </w:t>
          </w:r>
          <w:r>
            <w:rPr>
              <w:rFonts w:hint="eastAsia" w:ascii="宋体" w:hAnsi="宋体" w:eastAsia="宋体" w:cs="宋体"/>
              <w:color w:val="auto"/>
              <w:szCs w:val="21"/>
              <w:highlight w:val="none"/>
              <w:lang w:eastAsia="zh-CN"/>
            </w:rPr>
            <w:t>Testing Location and Quantity</w:t>
          </w:r>
          <w:r>
            <w:rPr>
              <w:color w:val="auto"/>
              <w:highlight w:val="none"/>
            </w:rPr>
            <w:tab/>
          </w:r>
          <w:r>
            <w:rPr>
              <w:color w:val="auto"/>
              <w:highlight w:val="none"/>
            </w:rPr>
            <w:fldChar w:fldCharType="begin"/>
          </w:r>
          <w:r>
            <w:rPr>
              <w:color w:val="auto"/>
              <w:highlight w:val="none"/>
            </w:rPr>
            <w:instrText xml:space="preserve"> PAGEREF _Toc7975 \h </w:instrText>
          </w:r>
          <w:r>
            <w:rPr>
              <w:color w:val="auto"/>
              <w:highlight w:val="none"/>
            </w:rPr>
            <w:fldChar w:fldCharType="separate"/>
          </w:r>
          <w:r>
            <w:rPr>
              <w:color w:val="auto"/>
              <w:highlight w:val="none"/>
            </w:rPr>
            <w:t>14</w:t>
          </w:r>
          <w:r>
            <w:rPr>
              <w:color w:val="auto"/>
              <w:highlight w:val="none"/>
            </w:rPr>
            <w:fldChar w:fldCharType="end"/>
          </w:r>
          <w:r>
            <w:rPr>
              <w:bCs/>
              <w:color w:val="auto"/>
              <w:szCs w:val="21"/>
              <w:highlight w:val="none"/>
              <w:lang w:val="zh-CN"/>
            </w:rPr>
            <w:fldChar w:fldCharType="end"/>
          </w:r>
        </w:p>
        <w:p>
          <w:pPr>
            <w:pStyle w:val="9"/>
            <w:keepNext w:val="0"/>
            <w:keepLines w:val="0"/>
            <w:pageBreakBefore w:val="0"/>
            <w:widowControl w:val="0"/>
            <w:tabs>
              <w:tab w:val="right" w:leader="dot" w:pos="9377"/>
            </w:tabs>
            <w:kinsoku/>
            <w:wordWrap/>
            <w:overflowPunct/>
            <w:topLinePunct w:val="0"/>
            <w:autoSpaceDE/>
            <w:autoSpaceDN/>
            <w:bidi w:val="0"/>
            <w:adjustRightInd/>
            <w:snapToGrid/>
            <w:spacing w:line="312" w:lineRule="auto"/>
            <w:textAlignment w:val="auto"/>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_Toc18383 </w:instrText>
          </w:r>
          <w:r>
            <w:rPr>
              <w:bCs/>
              <w:color w:val="auto"/>
              <w:szCs w:val="21"/>
              <w:highlight w:val="none"/>
              <w:lang w:val="zh-CN"/>
            </w:rPr>
            <w:fldChar w:fldCharType="separate"/>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en-US" w:eastAsia="zh-CN"/>
            </w:rPr>
            <w:t xml:space="preserve">3  </w:t>
          </w:r>
          <w:r>
            <w:rPr>
              <w:rFonts w:hint="eastAsia" w:ascii="宋体" w:hAnsi="宋体" w:eastAsia="宋体" w:cs="宋体"/>
              <w:color w:val="auto"/>
              <w:szCs w:val="21"/>
              <w:highlight w:val="none"/>
              <w:lang w:eastAsia="zh-CN"/>
            </w:rPr>
            <w:t>Testing Method</w:t>
          </w:r>
          <w:r>
            <w:rPr>
              <w:color w:val="auto"/>
              <w:highlight w:val="none"/>
            </w:rPr>
            <w:tab/>
          </w:r>
          <w:r>
            <w:rPr>
              <w:color w:val="auto"/>
              <w:highlight w:val="none"/>
            </w:rPr>
            <w:fldChar w:fldCharType="begin"/>
          </w:r>
          <w:r>
            <w:rPr>
              <w:color w:val="auto"/>
              <w:highlight w:val="none"/>
            </w:rPr>
            <w:instrText xml:space="preserve"> PAGEREF _Toc7975 \h </w:instrText>
          </w:r>
          <w:r>
            <w:rPr>
              <w:color w:val="auto"/>
              <w:highlight w:val="none"/>
            </w:rPr>
            <w:fldChar w:fldCharType="separate"/>
          </w:r>
          <w:r>
            <w:rPr>
              <w:color w:val="auto"/>
              <w:highlight w:val="none"/>
            </w:rPr>
            <w:t>14</w:t>
          </w:r>
          <w:r>
            <w:rPr>
              <w:color w:val="auto"/>
              <w:highlight w:val="none"/>
            </w:rPr>
            <w:fldChar w:fldCharType="end"/>
          </w:r>
          <w:r>
            <w:rPr>
              <w:bCs/>
              <w:color w:val="auto"/>
              <w:szCs w:val="21"/>
              <w:highlight w:val="none"/>
              <w:lang w:val="zh-CN"/>
            </w:rPr>
            <w:fldChar w:fldCharType="end"/>
          </w:r>
        </w:p>
        <w:p>
          <w:pPr>
            <w:pStyle w:val="9"/>
            <w:keepNext w:val="0"/>
            <w:keepLines w:val="0"/>
            <w:pageBreakBefore w:val="0"/>
            <w:widowControl w:val="0"/>
            <w:tabs>
              <w:tab w:val="right" w:leader="dot" w:pos="9377"/>
            </w:tabs>
            <w:kinsoku/>
            <w:wordWrap/>
            <w:overflowPunct/>
            <w:topLinePunct w:val="0"/>
            <w:autoSpaceDE/>
            <w:autoSpaceDN/>
            <w:bidi w:val="0"/>
            <w:adjustRightInd/>
            <w:snapToGrid/>
            <w:spacing w:line="312" w:lineRule="auto"/>
            <w:textAlignment w:val="auto"/>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_Toc23844 </w:instrText>
          </w:r>
          <w:r>
            <w:rPr>
              <w:bCs/>
              <w:color w:val="auto"/>
              <w:szCs w:val="21"/>
              <w:highlight w:val="none"/>
              <w:lang w:val="zh-CN"/>
            </w:rPr>
            <w:fldChar w:fldCharType="separate"/>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en-US" w:eastAsia="zh-CN"/>
            </w:rPr>
            <w:t>4  Evaluation of Test Results</w:t>
          </w:r>
          <w:r>
            <w:rPr>
              <w:color w:val="auto"/>
              <w:highlight w:val="none"/>
            </w:rPr>
            <w:tab/>
          </w:r>
          <w:r>
            <w:rPr>
              <w:color w:val="auto"/>
              <w:highlight w:val="none"/>
            </w:rPr>
            <w:fldChar w:fldCharType="begin"/>
          </w:r>
          <w:r>
            <w:rPr>
              <w:color w:val="auto"/>
              <w:highlight w:val="none"/>
            </w:rPr>
            <w:instrText xml:space="preserve"> PAGEREF _Toc7975 \h </w:instrText>
          </w:r>
          <w:r>
            <w:rPr>
              <w:color w:val="auto"/>
              <w:highlight w:val="none"/>
            </w:rPr>
            <w:fldChar w:fldCharType="separate"/>
          </w:r>
          <w:r>
            <w:rPr>
              <w:color w:val="auto"/>
              <w:highlight w:val="none"/>
            </w:rPr>
            <w:t>14</w:t>
          </w:r>
          <w:r>
            <w:rPr>
              <w:color w:val="auto"/>
              <w:highlight w:val="none"/>
            </w:rPr>
            <w:fldChar w:fldCharType="end"/>
          </w:r>
          <w:r>
            <w:rPr>
              <w:bCs/>
              <w:color w:val="auto"/>
              <w:szCs w:val="21"/>
              <w:highlight w:val="none"/>
              <w:lang w:val="zh-CN"/>
            </w:rPr>
            <w:fldChar w:fldCharType="end"/>
          </w:r>
        </w:p>
        <w:p>
          <w:pPr>
            <w:pStyle w:val="8"/>
            <w:keepNext w:val="0"/>
            <w:keepLines w:val="0"/>
            <w:pageBreakBefore w:val="0"/>
            <w:widowControl w:val="0"/>
            <w:tabs>
              <w:tab w:val="right" w:leader="dot" w:pos="9377"/>
            </w:tabs>
            <w:kinsoku/>
            <w:wordWrap/>
            <w:overflowPunct/>
            <w:topLinePunct w:val="0"/>
            <w:autoSpaceDE/>
            <w:autoSpaceDN/>
            <w:bidi w:val="0"/>
            <w:adjustRightInd/>
            <w:snapToGrid/>
            <w:spacing w:line="312" w:lineRule="auto"/>
            <w:textAlignment w:val="auto"/>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_Toc25394 </w:instrText>
          </w:r>
          <w:r>
            <w:rPr>
              <w:bCs/>
              <w:color w:val="auto"/>
              <w:szCs w:val="21"/>
              <w:highlight w:val="none"/>
              <w:lang w:val="zh-CN"/>
            </w:rPr>
            <w:fldChar w:fldCharType="separate"/>
          </w:r>
          <w:r>
            <w:rPr>
              <w:rFonts w:eastAsia="宋体" w:cs="Times New Roman"/>
              <w:bCs/>
              <w:color w:val="auto"/>
              <w:szCs w:val="44"/>
              <w:highlight w:val="none"/>
            </w:rPr>
            <w:t>9</w:t>
          </w:r>
          <w:r>
            <w:rPr>
              <w:rFonts w:hint="eastAsia" w:eastAsia="宋体" w:cs="Times New Roman"/>
              <w:bCs/>
              <w:color w:val="auto"/>
              <w:szCs w:val="44"/>
              <w:highlight w:val="none"/>
              <w:lang w:val="en-US" w:eastAsia="zh-CN"/>
            </w:rPr>
            <w:t xml:space="preserve">   </w:t>
          </w:r>
          <w:r>
            <w:rPr>
              <w:rFonts w:hint="eastAsia" w:eastAsia="宋体" w:cs="Times New Roman"/>
              <w:bCs/>
              <w:color w:val="auto"/>
              <w:szCs w:val="44"/>
              <w:highlight w:val="none"/>
              <w:lang w:eastAsia="zh-CN"/>
            </w:rPr>
            <w:t>Testing of Operating Characteristics of Residual Current</w:t>
          </w:r>
          <w:r>
            <w:rPr>
              <w:rFonts w:hint="eastAsia" w:eastAsia="宋体" w:cs="Times New Roman"/>
              <w:bCs/>
              <w:color w:val="auto"/>
              <w:szCs w:val="44"/>
              <w:highlight w:val="none"/>
              <w:lang w:val="en-US" w:eastAsia="zh-CN"/>
            </w:rPr>
            <w:t xml:space="preserve"> </w:t>
          </w:r>
          <w:r>
            <w:rPr>
              <w:rFonts w:hint="eastAsia" w:eastAsia="宋体" w:cs="Times New Roman"/>
              <w:bCs/>
              <w:color w:val="auto"/>
              <w:szCs w:val="44"/>
              <w:highlight w:val="none"/>
              <w:lang w:eastAsia="zh-CN"/>
            </w:rPr>
            <w:t>Protective Device</w:t>
          </w:r>
          <w:r>
            <w:rPr>
              <w:color w:val="auto"/>
              <w:highlight w:val="none"/>
            </w:rPr>
            <w:tab/>
          </w:r>
          <w:r>
            <w:rPr>
              <w:color w:val="auto"/>
              <w:highlight w:val="none"/>
            </w:rPr>
            <w:fldChar w:fldCharType="begin"/>
          </w:r>
          <w:r>
            <w:rPr>
              <w:color w:val="auto"/>
              <w:highlight w:val="none"/>
            </w:rPr>
            <w:instrText xml:space="preserve"> PAGEREF _Toc25394 \h </w:instrText>
          </w:r>
          <w:r>
            <w:rPr>
              <w:color w:val="auto"/>
              <w:highlight w:val="none"/>
            </w:rPr>
            <w:fldChar w:fldCharType="separate"/>
          </w:r>
          <w:r>
            <w:rPr>
              <w:color w:val="auto"/>
              <w:highlight w:val="none"/>
            </w:rPr>
            <w:t>16</w:t>
          </w:r>
          <w:r>
            <w:rPr>
              <w:color w:val="auto"/>
              <w:highlight w:val="none"/>
            </w:rPr>
            <w:fldChar w:fldCharType="end"/>
          </w:r>
          <w:r>
            <w:rPr>
              <w:bCs/>
              <w:color w:val="auto"/>
              <w:szCs w:val="21"/>
              <w:highlight w:val="none"/>
              <w:lang w:val="zh-CN"/>
            </w:rPr>
            <w:fldChar w:fldCharType="end"/>
          </w:r>
        </w:p>
        <w:p>
          <w:pPr>
            <w:pStyle w:val="9"/>
            <w:keepNext w:val="0"/>
            <w:keepLines w:val="0"/>
            <w:pageBreakBefore w:val="0"/>
            <w:widowControl w:val="0"/>
            <w:tabs>
              <w:tab w:val="right" w:leader="dot" w:pos="9377"/>
            </w:tabs>
            <w:kinsoku/>
            <w:wordWrap/>
            <w:overflowPunct/>
            <w:topLinePunct w:val="0"/>
            <w:autoSpaceDE/>
            <w:autoSpaceDN/>
            <w:bidi w:val="0"/>
            <w:adjustRightInd/>
            <w:snapToGrid/>
            <w:spacing w:line="312" w:lineRule="auto"/>
            <w:textAlignment w:val="auto"/>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_Toc17362 </w:instrText>
          </w:r>
          <w:r>
            <w:rPr>
              <w:bCs/>
              <w:color w:val="auto"/>
              <w:szCs w:val="21"/>
              <w:highlight w:val="none"/>
              <w:lang w:val="zh-CN"/>
            </w:rPr>
            <w:fldChar w:fldCharType="separate"/>
          </w:r>
          <w:r>
            <w:rPr>
              <w:rFonts w:ascii="宋体" w:hAnsi="宋体" w:eastAsia="宋体" w:cs="宋体"/>
              <w:color w:val="auto"/>
              <w:szCs w:val="21"/>
              <w:highlight w:val="none"/>
            </w:rPr>
            <w:t>9.1</w:t>
          </w:r>
          <w:r>
            <w:rPr>
              <w:rFonts w:hint="eastAsia" w:ascii="宋体" w:hAnsi="宋体" w:eastAsia="宋体" w:cs="宋体"/>
              <w:color w:val="auto"/>
              <w:szCs w:val="21"/>
              <w:highlight w:val="none"/>
              <w:lang w:val="en-US" w:eastAsia="zh-CN"/>
            </w:rPr>
            <w:t xml:space="preserve">  General Requirements</w:t>
          </w:r>
          <w:r>
            <w:rPr>
              <w:color w:val="auto"/>
              <w:highlight w:val="none"/>
            </w:rPr>
            <w:tab/>
          </w:r>
          <w:r>
            <w:rPr>
              <w:color w:val="auto"/>
              <w:highlight w:val="none"/>
            </w:rPr>
            <w:fldChar w:fldCharType="begin"/>
          </w:r>
          <w:r>
            <w:rPr>
              <w:color w:val="auto"/>
              <w:highlight w:val="none"/>
            </w:rPr>
            <w:instrText xml:space="preserve"> PAGEREF _Toc17362 \h </w:instrText>
          </w:r>
          <w:r>
            <w:rPr>
              <w:color w:val="auto"/>
              <w:highlight w:val="none"/>
            </w:rPr>
            <w:fldChar w:fldCharType="separate"/>
          </w:r>
          <w:r>
            <w:rPr>
              <w:color w:val="auto"/>
              <w:highlight w:val="none"/>
            </w:rPr>
            <w:t>16</w:t>
          </w:r>
          <w:r>
            <w:rPr>
              <w:color w:val="auto"/>
              <w:highlight w:val="none"/>
            </w:rPr>
            <w:fldChar w:fldCharType="end"/>
          </w:r>
          <w:r>
            <w:rPr>
              <w:bCs/>
              <w:color w:val="auto"/>
              <w:szCs w:val="21"/>
              <w:highlight w:val="none"/>
              <w:lang w:val="zh-CN"/>
            </w:rPr>
            <w:fldChar w:fldCharType="end"/>
          </w:r>
        </w:p>
        <w:p>
          <w:pPr>
            <w:pStyle w:val="9"/>
            <w:keepNext w:val="0"/>
            <w:keepLines w:val="0"/>
            <w:pageBreakBefore w:val="0"/>
            <w:widowControl w:val="0"/>
            <w:tabs>
              <w:tab w:val="right" w:leader="dot" w:pos="9377"/>
            </w:tabs>
            <w:kinsoku/>
            <w:wordWrap/>
            <w:overflowPunct/>
            <w:topLinePunct w:val="0"/>
            <w:autoSpaceDE/>
            <w:autoSpaceDN/>
            <w:bidi w:val="0"/>
            <w:adjustRightInd/>
            <w:snapToGrid/>
            <w:spacing w:line="312" w:lineRule="auto"/>
            <w:textAlignment w:val="auto"/>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_Toc15043 </w:instrText>
          </w:r>
          <w:r>
            <w:rPr>
              <w:bCs/>
              <w:color w:val="auto"/>
              <w:szCs w:val="21"/>
              <w:highlight w:val="none"/>
              <w:lang w:val="zh-CN"/>
            </w:rPr>
            <w:fldChar w:fldCharType="separate"/>
          </w:r>
          <w:r>
            <w:rPr>
              <w:rFonts w:ascii="宋体" w:hAnsi="宋体" w:eastAsia="宋体" w:cs="宋体"/>
              <w:color w:val="auto"/>
              <w:szCs w:val="21"/>
              <w:highlight w:val="none"/>
            </w:rPr>
            <w:t>9.</w:t>
          </w:r>
          <w:r>
            <w:rPr>
              <w:rFonts w:hint="eastAsia" w:ascii="宋体" w:hAnsi="宋体" w:eastAsia="宋体" w:cs="宋体"/>
              <w:color w:val="auto"/>
              <w:szCs w:val="21"/>
              <w:highlight w:val="none"/>
              <w:lang w:val="en-US" w:eastAsia="zh-CN"/>
            </w:rPr>
            <w:t xml:space="preserve">2  </w:t>
          </w:r>
          <w:r>
            <w:rPr>
              <w:rFonts w:hint="eastAsia" w:ascii="宋体" w:hAnsi="宋体" w:eastAsia="宋体" w:cs="宋体"/>
              <w:color w:val="auto"/>
              <w:szCs w:val="21"/>
              <w:highlight w:val="none"/>
              <w:lang w:eastAsia="zh-CN"/>
            </w:rPr>
            <w:t>Testing Location and Quantity</w:t>
          </w:r>
          <w:r>
            <w:rPr>
              <w:color w:val="auto"/>
              <w:highlight w:val="none"/>
            </w:rPr>
            <w:tab/>
          </w:r>
          <w:r>
            <w:rPr>
              <w:color w:val="auto"/>
              <w:highlight w:val="none"/>
            </w:rPr>
            <w:fldChar w:fldCharType="begin"/>
          </w:r>
          <w:r>
            <w:rPr>
              <w:color w:val="auto"/>
              <w:highlight w:val="none"/>
            </w:rPr>
            <w:instrText xml:space="preserve"> PAGEREF _Toc15043 \h </w:instrText>
          </w:r>
          <w:r>
            <w:rPr>
              <w:color w:val="auto"/>
              <w:highlight w:val="none"/>
            </w:rPr>
            <w:fldChar w:fldCharType="separate"/>
          </w:r>
          <w:r>
            <w:rPr>
              <w:color w:val="auto"/>
              <w:highlight w:val="none"/>
            </w:rPr>
            <w:t>16</w:t>
          </w:r>
          <w:r>
            <w:rPr>
              <w:color w:val="auto"/>
              <w:highlight w:val="none"/>
            </w:rPr>
            <w:fldChar w:fldCharType="end"/>
          </w:r>
          <w:r>
            <w:rPr>
              <w:bCs/>
              <w:color w:val="auto"/>
              <w:szCs w:val="21"/>
              <w:highlight w:val="none"/>
              <w:lang w:val="zh-CN"/>
            </w:rPr>
            <w:fldChar w:fldCharType="end"/>
          </w:r>
        </w:p>
        <w:p>
          <w:pPr>
            <w:pStyle w:val="9"/>
            <w:keepNext w:val="0"/>
            <w:keepLines w:val="0"/>
            <w:pageBreakBefore w:val="0"/>
            <w:widowControl w:val="0"/>
            <w:tabs>
              <w:tab w:val="right" w:leader="dot" w:pos="9377"/>
            </w:tabs>
            <w:kinsoku/>
            <w:wordWrap/>
            <w:overflowPunct/>
            <w:topLinePunct w:val="0"/>
            <w:autoSpaceDE/>
            <w:autoSpaceDN/>
            <w:bidi w:val="0"/>
            <w:adjustRightInd/>
            <w:snapToGrid/>
            <w:spacing w:line="312" w:lineRule="auto"/>
            <w:textAlignment w:val="auto"/>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_Toc30704 </w:instrText>
          </w:r>
          <w:r>
            <w:rPr>
              <w:bCs/>
              <w:color w:val="auto"/>
              <w:szCs w:val="21"/>
              <w:highlight w:val="none"/>
              <w:lang w:val="zh-CN"/>
            </w:rPr>
            <w:fldChar w:fldCharType="separate"/>
          </w:r>
          <w:r>
            <w:rPr>
              <w:rFonts w:ascii="宋体" w:hAnsi="宋体" w:eastAsia="宋体" w:cs="宋体"/>
              <w:color w:val="auto"/>
              <w:szCs w:val="21"/>
              <w:highlight w:val="none"/>
            </w:rPr>
            <w:t>9.</w:t>
          </w:r>
          <w:r>
            <w:rPr>
              <w:rFonts w:hint="eastAsia" w:ascii="宋体" w:hAnsi="宋体" w:eastAsia="宋体" w:cs="宋体"/>
              <w:color w:val="auto"/>
              <w:szCs w:val="21"/>
              <w:highlight w:val="none"/>
              <w:lang w:val="en-US" w:eastAsia="zh-CN"/>
            </w:rPr>
            <w:t>3  Testing Method</w:t>
          </w:r>
          <w:r>
            <w:rPr>
              <w:color w:val="auto"/>
              <w:highlight w:val="none"/>
            </w:rPr>
            <w:tab/>
          </w:r>
          <w:r>
            <w:rPr>
              <w:color w:val="auto"/>
              <w:highlight w:val="none"/>
            </w:rPr>
            <w:fldChar w:fldCharType="begin"/>
          </w:r>
          <w:r>
            <w:rPr>
              <w:color w:val="auto"/>
              <w:highlight w:val="none"/>
            </w:rPr>
            <w:instrText xml:space="preserve"> PAGEREF _Toc30704 \h </w:instrText>
          </w:r>
          <w:r>
            <w:rPr>
              <w:color w:val="auto"/>
              <w:highlight w:val="none"/>
            </w:rPr>
            <w:fldChar w:fldCharType="separate"/>
          </w:r>
          <w:r>
            <w:rPr>
              <w:color w:val="auto"/>
              <w:highlight w:val="none"/>
            </w:rPr>
            <w:t>16</w:t>
          </w:r>
          <w:r>
            <w:rPr>
              <w:color w:val="auto"/>
              <w:highlight w:val="none"/>
            </w:rPr>
            <w:fldChar w:fldCharType="end"/>
          </w:r>
          <w:r>
            <w:rPr>
              <w:bCs/>
              <w:color w:val="auto"/>
              <w:szCs w:val="21"/>
              <w:highlight w:val="none"/>
              <w:lang w:val="zh-CN"/>
            </w:rPr>
            <w:fldChar w:fldCharType="end"/>
          </w:r>
        </w:p>
        <w:p>
          <w:pPr>
            <w:pStyle w:val="9"/>
            <w:keepNext w:val="0"/>
            <w:keepLines w:val="0"/>
            <w:pageBreakBefore w:val="0"/>
            <w:widowControl w:val="0"/>
            <w:tabs>
              <w:tab w:val="right" w:leader="dot" w:pos="9377"/>
            </w:tabs>
            <w:kinsoku/>
            <w:wordWrap/>
            <w:overflowPunct/>
            <w:topLinePunct w:val="0"/>
            <w:autoSpaceDE/>
            <w:autoSpaceDN/>
            <w:bidi w:val="0"/>
            <w:adjustRightInd/>
            <w:snapToGrid/>
            <w:spacing w:line="312" w:lineRule="auto"/>
            <w:textAlignment w:val="auto"/>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_Toc21789 </w:instrText>
          </w:r>
          <w:r>
            <w:rPr>
              <w:bCs/>
              <w:color w:val="auto"/>
              <w:szCs w:val="21"/>
              <w:highlight w:val="none"/>
              <w:lang w:val="zh-CN"/>
            </w:rPr>
            <w:fldChar w:fldCharType="separate"/>
          </w:r>
          <w:r>
            <w:rPr>
              <w:rFonts w:ascii="宋体" w:hAnsi="宋体" w:eastAsia="宋体" w:cs="宋体"/>
              <w:color w:val="auto"/>
              <w:szCs w:val="21"/>
              <w:highlight w:val="none"/>
            </w:rPr>
            <w:t>9.</w:t>
          </w:r>
          <w:r>
            <w:rPr>
              <w:rFonts w:hint="eastAsia" w:ascii="宋体" w:hAnsi="宋体" w:eastAsia="宋体" w:cs="宋体"/>
              <w:color w:val="auto"/>
              <w:szCs w:val="21"/>
              <w:highlight w:val="none"/>
              <w:lang w:val="en-US" w:eastAsia="zh-CN"/>
            </w:rPr>
            <w:t>4  Evaluation of Test Results</w:t>
          </w:r>
          <w:r>
            <w:rPr>
              <w:color w:val="auto"/>
              <w:highlight w:val="none"/>
            </w:rPr>
            <w:tab/>
          </w:r>
          <w:r>
            <w:rPr>
              <w:color w:val="auto"/>
              <w:highlight w:val="none"/>
            </w:rPr>
            <w:fldChar w:fldCharType="begin"/>
          </w:r>
          <w:r>
            <w:rPr>
              <w:color w:val="auto"/>
              <w:highlight w:val="none"/>
            </w:rPr>
            <w:instrText xml:space="preserve"> PAGEREF _Toc21789 \h </w:instrText>
          </w:r>
          <w:r>
            <w:rPr>
              <w:color w:val="auto"/>
              <w:highlight w:val="none"/>
            </w:rPr>
            <w:fldChar w:fldCharType="separate"/>
          </w:r>
          <w:r>
            <w:rPr>
              <w:color w:val="auto"/>
              <w:highlight w:val="none"/>
            </w:rPr>
            <w:t>17</w:t>
          </w:r>
          <w:r>
            <w:rPr>
              <w:color w:val="auto"/>
              <w:highlight w:val="none"/>
            </w:rPr>
            <w:fldChar w:fldCharType="end"/>
          </w:r>
          <w:r>
            <w:rPr>
              <w:bCs/>
              <w:color w:val="auto"/>
              <w:szCs w:val="21"/>
              <w:highlight w:val="none"/>
              <w:lang w:val="zh-CN"/>
            </w:rPr>
            <w:fldChar w:fldCharType="end"/>
          </w:r>
        </w:p>
        <w:p>
          <w:pPr>
            <w:pStyle w:val="8"/>
            <w:keepNext w:val="0"/>
            <w:keepLines w:val="0"/>
            <w:pageBreakBefore w:val="0"/>
            <w:widowControl w:val="0"/>
            <w:tabs>
              <w:tab w:val="right" w:leader="dot" w:pos="9377"/>
            </w:tabs>
            <w:kinsoku/>
            <w:wordWrap/>
            <w:overflowPunct/>
            <w:topLinePunct w:val="0"/>
            <w:autoSpaceDE/>
            <w:autoSpaceDN/>
            <w:bidi w:val="0"/>
            <w:adjustRightInd/>
            <w:snapToGrid/>
            <w:spacing w:line="312" w:lineRule="auto"/>
            <w:textAlignment w:val="auto"/>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_Toc20332 </w:instrText>
          </w:r>
          <w:r>
            <w:rPr>
              <w:bCs/>
              <w:color w:val="auto"/>
              <w:szCs w:val="21"/>
              <w:highlight w:val="none"/>
              <w:lang w:val="zh-CN"/>
            </w:rPr>
            <w:fldChar w:fldCharType="separate"/>
          </w:r>
          <w:r>
            <w:rPr>
              <w:rFonts w:hint="eastAsia" w:eastAsia="宋体" w:cs="Times New Roman"/>
              <w:bCs/>
              <w:color w:val="auto"/>
              <w:szCs w:val="44"/>
              <w:highlight w:val="none"/>
            </w:rPr>
            <w:t>10</w:t>
          </w:r>
          <w:r>
            <w:rPr>
              <w:rFonts w:hint="eastAsia" w:eastAsia="宋体" w:cs="Times New Roman"/>
              <w:bCs/>
              <w:color w:val="auto"/>
              <w:szCs w:val="44"/>
              <w:highlight w:val="none"/>
              <w:lang w:val="en-US" w:eastAsia="zh-CN"/>
            </w:rPr>
            <w:t xml:space="preserve">   </w:t>
          </w:r>
          <w:r>
            <w:rPr>
              <w:rFonts w:hint="eastAsia" w:eastAsia="宋体" w:cs="Times New Roman"/>
              <w:bCs/>
              <w:color w:val="auto"/>
              <w:szCs w:val="44"/>
              <w:highlight w:val="none"/>
              <w:lang w:eastAsia="zh-CN"/>
            </w:rPr>
            <w:t xml:space="preserve">Testing of Wiring </w:t>
          </w:r>
          <w:r>
            <w:rPr>
              <w:rFonts w:hint="eastAsia" w:eastAsia="宋体" w:cs="Times New Roman"/>
              <w:bCs/>
              <w:color w:val="auto"/>
              <w:szCs w:val="44"/>
              <w:highlight w:val="none"/>
              <w:lang w:val="en-US" w:eastAsia="zh-CN"/>
            </w:rPr>
            <w:t>C</w:t>
          </w:r>
          <w:r>
            <w:rPr>
              <w:rFonts w:hint="eastAsia" w:eastAsia="宋体" w:cs="Times New Roman"/>
              <w:bCs/>
              <w:color w:val="auto"/>
              <w:szCs w:val="44"/>
              <w:highlight w:val="none"/>
              <w:lang w:eastAsia="zh-CN"/>
            </w:rPr>
            <w:t>orrectness</w:t>
          </w:r>
          <w:r>
            <w:rPr>
              <w:color w:val="auto"/>
              <w:highlight w:val="none"/>
            </w:rPr>
            <w:tab/>
          </w:r>
          <w:r>
            <w:rPr>
              <w:color w:val="auto"/>
              <w:highlight w:val="none"/>
            </w:rPr>
            <w:fldChar w:fldCharType="begin"/>
          </w:r>
          <w:r>
            <w:rPr>
              <w:color w:val="auto"/>
              <w:highlight w:val="none"/>
            </w:rPr>
            <w:instrText xml:space="preserve"> PAGEREF _Toc20332 \h </w:instrText>
          </w:r>
          <w:r>
            <w:rPr>
              <w:color w:val="auto"/>
              <w:highlight w:val="none"/>
            </w:rPr>
            <w:fldChar w:fldCharType="separate"/>
          </w:r>
          <w:r>
            <w:rPr>
              <w:color w:val="auto"/>
              <w:highlight w:val="none"/>
            </w:rPr>
            <w:t>18</w:t>
          </w:r>
          <w:r>
            <w:rPr>
              <w:color w:val="auto"/>
              <w:highlight w:val="none"/>
            </w:rPr>
            <w:fldChar w:fldCharType="end"/>
          </w:r>
          <w:r>
            <w:rPr>
              <w:bCs/>
              <w:color w:val="auto"/>
              <w:szCs w:val="21"/>
              <w:highlight w:val="none"/>
              <w:lang w:val="zh-CN"/>
            </w:rPr>
            <w:fldChar w:fldCharType="end"/>
          </w:r>
        </w:p>
        <w:p>
          <w:pPr>
            <w:pStyle w:val="9"/>
            <w:keepNext w:val="0"/>
            <w:keepLines w:val="0"/>
            <w:pageBreakBefore w:val="0"/>
            <w:widowControl w:val="0"/>
            <w:tabs>
              <w:tab w:val="right" w:leader="dot" w:pos="9377"/>
            </w:tabs>
            <w:kinsoku/>
            <w:wordWrap/>
            <w:overflowPunct/>
            <w:topLinePunct w:val="0"/>
            <w:autoSpaceDE/>
            <w:autoSpaceDN/>
            <w:bidi w:val="0"/>
            <w:adjustRightInd/>
            <w:snapToGrid/>
            <w:spacing w:line="312" w:lineRule="auto"/>
            <w:textAlignment w:val="auto"/>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_Toc31532 </w:instrText>
          </w:r>
          <w:r>
            <w:rPr>
              <w:bCs/>
              <w:color w:val="auto"/>
              <w:szCs w:val="21"/>
              <w:highlight w:val="none"/>
              <w:lang w:val="zh-CN"/>
            </w:rPr>
            <w:fldChar w:fldCharType="separate"/>
          </w:r>
          <w:r>
            <w:rPr>
              <w:rFonts w:hint="eastAsia" w:ascii="宋体" w:hAnsi="宋体" w:eastAsia="宋体" w:cs="宋体"/>
              <w:color w:val="auto"/>
              <w:szCs w:val="21"/>
              <w:highlight w:val="none"/>
              <w:lang w:val="en-US" w:eastAsia="zh-CN"/>
            </w:rPr>
            <w:t>10.1  General Requirements</w:t>
          </w:r>
          <w:r>
            <w:rPr>
              <w:color w:val="auto"/>
              <w:highlight w:val="none"/>
            </w:rPr>
            <w:tab/>
          </w:r>
          <w:r>
            <w:rPr>
              <w:color w:val="auto"/>
              <w:highlight w:val="none"/>
            </w:rPr>
            <w:fldChar w:fldCharType="begin"/>
          </w:r>
          <w:r>
            <w:rPr>
              <w:color w:val="auto"/>
              <w:highlight w:val="none"/>
            </w:rPr>
            <w:instrText xml:space="preserve"> PAGEREF _Toc31532 \h </w:instrText>
          </w:r>
          <w:r>
            <w:rPr>
              <w:color w:val="auto"/>
              <w:highlight w:val="none"/>
            </w:rPr>
            <w:fldChar w:fldCharType="separate"/>
          </w:r>
          <w:r>
            <w:rPr>
              <w:color w:val="auto"/>
              <w:highlight w:val="none"/>
            </w:rPr>
            <w:t>18</w:t>
          </w:r>
          <w:r>
            <w:rPr>
              <w:color w:val="auto"/>
              <w:highlight w:val="none"/>
            </w:rPr>
            <w:fldChar w:fldCharType="end"/>
          </w:r>
          <w:r>
            <w:rPr>
              <w:bCs/>
              <w:color w:val="auto"/>
              <w:szCs w:val="21"/>
              <w:highlight w:val="none"/>
              <w:lang w:val="zh-CN"/>
            </w:rPr>
            <w:fldChar w:fldCharType="end"/>
          </w:r>
        </w:p>
        <w:p>
          <w:pPr>
            <w:pStyle w:val="9"/>
            <w:keepNext w:val="0"/>
            <w:keepLines w:val="0"/>
            <w:pageBreakBefore w:val="0"/>
            <w:widowControl w:val="0"/>
            <w:tabs>
              <w:tab w:val="right" w:leader="dot" w:pos="9377"/>
            </w:tabs>
            <w:kinsoku/>
            <w:wordWrap/>
            <w:overflowPunct/>
            <w:topLinePunct w:val="0"/>
            <w:autoSpaceDE/>
            <w:autoSpaceDN/>
            <w:bidi w:val="0"/>
            <w:adjustRightInd/>
            <w:snapToGrid/>
            <w:spacing w:line="312" w:lineRule="auto"/>
            <w:textAlignment w:val="auto"/>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_Toc30550 </w:instrText>
          </w:r>
          <w:r>
            <w:rPr>
              <w:bCs/>
              <w:color w:val="auto"/>
              <w:szCs w:val="21"/>
              <w:highlight w:val="none"/>
              <w:lang w:val="zh-CN"/>
            </w:rPr>
            <w:fldChar w:fldCharType="separate"/>
          </w: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val="en-US" w:eastAsia="zh-CN"/>
            </w:rPr>
            <w:t xml:space="preserve">2  </w:t>
          </w:r>
          <w:r>
            <w:rPr>
              <w:rFonts w:hint="eastAsia" w:ascii="宋体" w:hAnsi="宋体" w:eastAsia="宋体" w:cs="宋体"/>
              <w:color w:val="auto"/>
              <w:szCs w:val="21"/>
              <w:highlight w:val="none"/>
              <w:lang w:eastAsia="zh-CN"/>
            </w:rPr>
            <w:t>Testing Location and Quantity</w:t>
          </w:r>
          <w:r>
            <w:rPr>
              <w:color w:val="auto"/>
              <w:highlight w:val="none"/>
            </w:rPr>
            <w:tab/>
          </w:r>
          <w:r>
            <w:rPr>
              <w:color w:val="auto"/>
              <w:highlight w:val="none"/>
            </w:rPr>
            <w:fldChar w:fldCharType="begin"/>
          </w:r>
          <w:r>
            <w:rPr>
              <w:color w:val="auto"/>
              <w:highlight w:val="none"/>
            </w:rPr>
            <w:instrText xml:space="preserve"> PAGEREF _Toc30550 \h </w:instrText>
          </w:r>
          <w:r>
            <w:rPr>
              <w:color w:val="auto"/>
              <w:highlight w:val="none"/>
            </w:rPr>
            <w:fldChar w:fldCharType="separate"/>
          </w:r>
          <w:r>
            <w:rPr>
              <w:color w:val="auto"/>
              <w:highlight w:val="none"/>
            </w:rPr>
            <w:t>18</w:t>
          </w:r>
          <w:r>
            <w:rPr>
              <w:color w:val="auto"/>
              <w:highlight w:val="none"/>
            </w:rPr>
            <w:fldChar w:fldCharType="end"/>
          </w:r>
          <w:r>
            <w:rPr>
              <w:bCs/>
              <w:color w:val="auto"/>
              <w:szCs w:val="21"/>
              <w:highlight w:val="none"/>
              <w:lang w:val="zh-CN"/>
            </w:rPr>
            <w:fldChar w:fldCharType="end"/>
          </w:r>
        </w:p>
        <w:p>
          <w:pPr>
            <w:pStyle w:val="9"/>
            <w:keepNext w:val="0"/>
            <w:keepLines w:val="0"/>
            <w:pageBreakBefore w:val="0"/>
            <w:widowControl w:val="0"/>
            <w:tabs>
              <w:tab w:val="right" w:leader="dot" w:pos="9377"/>
            </w:tabs>
            <w:kinsoku/>
            <w:wordWrap/>
            <w:overflowPunct/>
            <w:topLinePunct w:val="0"/>
            <w:autoSpaceDE/>
            <w:autoSpaceDN/>
            <w:bidi w:val="0"/>
            <w:adjustRightInd/>
            <w:snapToGrid/>
            <w:spacing w:line="312" w:lineRule="auto"/>
            <w:textAlignment w:val="auto"/>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_Toc22093 </w:instrText>
          </w:r>
          <w:r>
            <w:rPr>
              <w:bCs/>
              <w:color w:val="auto"/>
              <w:szCs w:val="21"/>
              <w:highlight w:val="none"/>
              <w:lang w:val="zh-CN"/>
            </w:rPr>
            <w:fldChar w:fldCharType="separate"/>
          </w: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val="en-US" w:eastAsia="zh-CN"/>
            </w:rPr>
            <w:t xml:space="preserve">3  </w:t>
          </w:r>
          <w:r>
            <w:rPr>
              <w:rFonts w:hint="eastAsia" w:ascii="宋体" w:hAnsi="宋体" w:eastAsia="宋体" w:cs="宋体"/>
              <w:color w:val="auto"/>
              <w:szCs w:val="21"/>
              <w:highlight w:val="none"/>
              <w:lang w:eastAsia="zh-CN"/>
            </w:rPr>
            <w:t>Testing Method</w:t>
          </w:r>
          <w:r>
            <w:rPr>
              <w:color w:val="auto"/>
              <w:highlight w:val="none"/>
            </w:rPr>
            <w:tab/>
          </w:r>
          <w:r>
            <w:rPr>
              <w:color w:val="auto"/>
              <w:highlight w:val="none"/>
            </w:rPr>
            <w:fldChar w:fldCharType="begin"/>
          </w:r>
          <w:r>
            <w:rPr>
              <w:color w:val="auto"/>
              <w:highlight w:val="none"/>
            </w:rPr>
            <w:instrText xml:space="preserve"> PAGEREF _Toc22093 \h </w:instrText>
          </w:r>
          <w:r>
            <w:rPr>
              <w:color w:val="auto"/>
              <w:highlight w:val="none"/>
            </w:rPr>
            <w:fldChar w:fldCharType="separate"/>
          </w:r>
          <w:r>
            <w:rPr>
              <w:color w:val="auto"/>
              <w:highlight w:val="none"/>
            </w:rPr>
            <w:t>18</w:t>
          </w:r>
          <w:r>
            <w:rPr>
              <w:color w:val="auto"/>
              <w:highlight w:val="none"/>
            </w:rPr>
            <w:fldChar w:fldCharType="end"/>
          </w:r>
          <w:r>
            <w:rPr>
              <w:bCs/>
              <w:color w:val="auto"/>
              <w:szCs w:val="21"/>
              <w:highlight w:val="none"/>
              <w:lang w:val="zh-CN"/>
            </w:rPr>
            <w:fldChar w:fldCharType="end"/>
          </w:r>
        </w:p>
        <w:p>
          <w:pPr>
            <w:pStyle w:val="9"/>
            <w:keepNext w:val="0"/>
            <w:keepLines w:val="0"/>
            <w:pageBreakBefore w:val="0"/>
            <w:widowControl w:val="0"/>
            <w:tabs>
              <w:tab w:val="right" w:leader="dot" w:pos="9377"/>
            </w:tabs>
            <w:kinsoku/>
            <w:wordWrap/>
            <w:overflowPunct/>
            <w:topLinePunct w:val="0"/>
            <w:autoSpaceDE/>
            <w:autoSpaceDN/>
            <w:bidi w:val="0"/>
            <w:adjustRightInd/>
            <w:snapToGrid/>
            <w:spacing w:line="312" w:lineRule="auto"/>
            <w:textAlignment w:val="auto"/>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_Toc2548 </w:instrText>
          </w:r>
          <w:r>
            <w:rPr>
              <w:bCs/>
              <w:color w:val="auto"/>
              <w:szCs w:val="21"/>
              <w:highlight w:val="none"/>
              <w:lang w:val="zh-CN"/>
            </w:rPr>
            <w:fldChar w:fldCharType="separate"/>
          </w: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val="en-US" w:eastAsia="zh-CN"/>
            </w:rPr>
            <w:t>4  Evaluation of Test Results</w:t>
          </w:r>
          <w:r>
            <w:rPr>
              <w:color w:val="auto"/>
              <w:highlight w:val="none"/>
            </w:rPr>
            <w:tab/>
          </w:r>
          <w:r>
            <w:rPr>
              <w:color w:val="auto"/>
              <w:highlight w:val="none"/>
            </w:rPr>
            <w:fldChar w:fldCharType="begin"/>
          </w:r>
          <w:r>
            <w:rPr>
              <w:color w:val="auto"/>
              <w:highlight w:val="none"/>
            </w:rPr>
            <w:instrText xml:space="preserve"> PAGEREF _Toc2548 \h </w:instrText>
          </w:r>
          <w:r>
            <w:rPr>
              <w:color w:val="auto"/>
              <w:highlight w:val="none"/>
            </w:rPr>
            <w:fldChar w:fldCharType="separate"/>
          </w:r>
          <w:r>
            <w:rPr>
              <w:color w:val="auto"/>
              <w:highlight w:val="none"/>
            </w:rPr>
            <w:t>19</w:t>
          </w:r>
          <w:r>
            <w:rPr>
              <w:color w:val="auto"/>
              <w:highlight w:val="none"/>
            </w:rPr>
            <w:fldChar w:fldCharType="end"/>
          </w:r>
          <w:r>
            <w:rPr>
              <w:bCs/>
              <w:color w:val="auto"/>
              <w:szCs w:val="21"/>
              <w:highlight w:val="none"/>
              <w:lang w:val="zh-CN"/>
            </w:rPr>
            <w:fldChar w:fldCharType="end"/>
          </w:r>
        </w:p>
        <w:p>
          <w:pPr>
            <w:pStyle w:val="8"/>
            <w:keepNext w:val="0"/>
            <w:keepLines w:val="0"/>
            <w:pageBreakBefore w:val="0"/>
            <w:widowControl w:val="0"/>
            <w:tabs>
              <w:tab w:val="right" w:leader="dot" w:pos="9377"/>
            </w:tabs>
            <w:kinsoku/>
            <w:wordWrap/>
            <w:overflowPunct/>
            <w:topLinePunct w:val="0"/>
            <w:autoSpaceDE/>
            <w:autoSpaceDN/>
            <w:bidi w:val="0"/>
            <w:adjustRightInd/>
            <w:snapToGrid/>
            <w:spacing w:line="312" w:lineRule="auto"/>
            <w:textAlignment w:val="auto"/>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_Toc23686 </w:instrText>
          </w:r>
          <w:r>
            <w:rPr>
              <w:bCs/>
              <w:color w:val="auto"/>
              <w:szCs w:val="21"/>
              <w:highlight w:val="none"/>
              <w:lang w:val="zh-CN"/>
            </w:rPr>
            <w:fldChar w:fldCharType="separate"/>
          </w:r>
          <w:r>
            <w:rPr>
              <w:rFonts w:hint="eastAsia" w:eastAsia="宋体" w:cs="Times New Roman"/>
              <w:bCs/>
              <w:color w:val="auto"/>
              <w:szCs w:val="44"/>
              <w:highlight w:val="none"/>
            </w:rPr>
            <w:t>11</w:t>
          </w:r>
          <w:r>
            <w:rPr>
              <w:rFonts w:hint="eastAsia" w:eastAsia="宋体" w:cs="Times New Roman"/>
              <w:bCs/>
              <w:color w:val="auto"/>
              <w:szCs w:val="44"/>
              <w:highlight w:val="none"/>
              <w:lang w:val="en-US" w:eastAsia="zh-CN"/>
            </w:rPr>
            <w:t xml:space="preserve"> </w:t>
          </w:r>
          <w:r>
            <w:rPr>
              <w:rFonts w:hint="eastAsia" w:eastAsia="宋体" w:cs="Times New Roman"/>
              <w:bCs/>
              <w:color w:val="auto"/>
              <w:szCs w:val="44"/>
              <w:highlight w:val="none"/>
            </w:rPr>
            <w:t xml:space="preserve"> </w:t>
          </w:r>
          <w:r>
            <w:rPr>
              <w:rFonts w:hint="eastAsia" w:eastAsia="宋体" w:cs="Times New Roman"/>
              <w:bCs/>
              <w:color w:val="auto"/>
              <w:szCs w:val="44"/>
              <w:highlight w:val="none"/>
              <w:lang w:val="en-US" w:eastAsia="zh-CN"/>
            </w:rPr>
            <w:t xml:space="preserve"> Testing of Tempriture</w:t>
          </w:r>
          <w:r>
            <w:rPr>
              <w:color w:val="auto"/>
              <w:highlight w:val="none"/>
            </w:rPr>
            <w:tab/>
          </w:r>
          <w:r>
            <w:rPr>
              <w:color w:val="auto"/>
              <w:highlight w:val="none"/>
            </w:rPr>
            <w:fldChar w:fldCharType="begin"/>
          </w:r>
          <w:r>
            <w:rPr>
              <w:color w:val="auto"/>
              <w:highlight w:val="none"/>
            </w:rPr>
            <w:instrText xml:space="preserve"> PAGEREF _Toc23686 \h </w:instrText>
          </w:r>
          <w:r>
            <w:rPr>
              <w:color w:val="auto"/>
              <w:highlight w:val="none"/>
            </w:rPr>
            <w:fldChar w:fldCharType="separate"/>
          </w:r>
          <w:r>
            <w:rPr>
              <w:color w:val="auto"/>
              <w:highlight w:val="none"/>
            </w:rPr>
            <w:t>20</w:t>
          </w:r>
          <w:r>
            <w:rPr>
              <w:color w:val="auto"/>
              <w:highlight w:val="none"/>
            </w:rPr>
            <w:fldChar w:fldCharType="end"/>
          </w:r>
          <w:r>
            <w:rPr>
              <w:bCs/>
              <w:color w:val="auto"/>
              <w:szCs w:val="21"/>
              <w:highlight w:val="none"/>
              <w:lang w:val="zh-CN"/>
            </w:rPr>
            <w:fldChar w:fldCharType="end"/>
          </w:r>
        </w:p>
        <w:p>
          <w:pPr>
            <w:pStyle w:val="9"/>
            <w:keepNext w:val="0"/>
            <w:keepLines w:val="0"/>
            <w:pageBreakBefore w:val="0"/>
            <w:widowControl w:val="0"/>
            <w:tabs>
              <w:tab w:val="right" w:leader="dot" w:pos="9377"/>
            </w:tabs>
            <w:kinsoku/>
            <w:wordWrap/>
            <w:overflowPunct/>
            <w:topLinePunct w:val="0"/>
            <w:autoSpaceDE/>
            <w:autoSpaceDN/>
            <w:bidi w:val="0"/>
            <w:adjustRightInd/>
            <w:snapToGrid/>
            <w:spacing w:line="312" w:lineRule="auto"/>
            <w:textAlignment w:val="auto"/>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_Toc16046 </w:instrText>
          </w:r>
          <w:r>
            <w:rPr>
              <w:bCs/>
              <w:color w:val="auto"/>
              <w:szCs w:val="21"/>
              <w:highlight w:val="none"/>
              <w:lang w:val="zh-CN"/>
            </w:rPr>
            <w:fldChar w:fldCharType="separate"/>
          </w:r>
          <w:r>
            <w:rPr>
              <w:rFonts w:hint="eastAsia" w:ascii="宋体" w:hAnsi="宋体" w:eastAsia="宋体" w:cs="宋体"/>
              <w:color w:val="auto"/>
              <w:szCs w:val="21"/>
              <w:highlight w:val="none"/>
            </w:rPr>
            <w:t xml:space="preserve">11.1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General Requirements</w:t>
          </w:r>
          <w:r>
            <w:rPr>
              <w:color w:val="auto"/>
              <w:highlight w:val="none"/>
            </w:rPr>
            <w:tab/>
          </w:r>
          <w:r>
            <w:rPr>
              <w:color w:val="auto"/>
              <w:highlight w:val="none"/>
            </w:rPr>
            <w:fldChar w:fldCharType="begin"/>
          </w:r>
          <w:r>
            <w:rPr>
              <w:color w:val="auto"/>
              <w:highlight w:val="none"/>
            </w:rPr>
            <w:instrText xml:space="preserve"> PAGEREF _Toc16046 \h </w:instrText>
          </w:r>
          <w:r>
            <w:rPr>
              <w:color w:val="auto"/>
              <w:highlight w:val="none"/>
            </w:rPr>
            <w:fldChar w:fldCharType="separate"/>
          </w:r>
          <w:r>
            <w:rPr>
              <w:color w:val="auto"/>
              <w:highlight w:val="none"/>
            </w:rPr>
            <w:t>20</w:t>
          </w:r>
          <w:r>
            <w:rPr>
              <w:color w:val="auto"/>
              <w:highlight w:val="none"/>
            </w:rPr>
            <w:fldChar w:fldCharType="end"/>
          </w:r>
          <w:r>
            <w:rPr>
              <w:bCs/>
              <w:color w:val="auto"/>
              <w:szCs w:val="21"/>
              <w:highlight w:val="none"/>
              <w:lang w:val="zh-CN"/>
            </w:rPr>
            <w:fldChar w:fldCharType="end"/>
          </w:r>
        </w:p>
        <w:p>
          <w:pPr>
            <w:pStyle w:val="9"/>
            <w:keepNext w:val="0"/>
            <w:keepLines w:val="0"/>
            <w:pageBreakBefore w:val="0"/>
            <w:widowControl w:val="0"/>
            <w:tabs>
              <w:tab w:val="right" w:leader="dot" w:pos="9377"/>
            </w:tabs>
            <w:kinsoku/>
            <w:wordWrap/>
            <w:overflowPunct/>
            <w:topLinePunct w:val="0"/>
            <w:autoSpaceDE/>
            <w:autoSpaceDN/>
            <w:bidi w:val="0"/>
            <w:adjustRightInd/>
            <w:snapToGrid/>
            <w:spacing w:line="312" w:lineRule="auto"/>
            <w:textAlignment w:val="auto"/>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_Toc25419 </w:instrText>
          </w:r>
          <w:r>
            <w:rPr>
              <w:bCs/>
              <w:color w:val="auto"/>
              <w:szCs w:val="21"/>
              <w:highlight w:val="none"/>
              <w:lang w:val="zh-CN"/>
            </w:rPr>
            <w:fldChar w:fldCharType="separate"/>
          </w:r>
          <w:r>
            <w:rPr>
              <w:rFonts w:hint="eastAsia" w:ascii="宋体" w:hAnsi="宋体" w:eastAsia="宋体" w:cs="宋体"/>
              <w:color w:val="auto"/>
              <w:szCs w:val="21"/>
              <w:highlight w:val="none"/>
            </w:rPr>
            <w:t xml:space="preserve">11.2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Testing Location and Quantity</w:t>
          </w:r>
          <w:r>
            <w:rPr>
              <w:color w:val="auto"/>
              <w:highlight w:val="none"/>
            </w:rPr>
            <w:tab/>
          </w:r>
          <w:r>
            <w:rPr>
              <w:color w:val="auto"/>
              <w:highlight w:val="none"/>
            </w:rPr>
            <w:fldChar w:fldCharType="begin"/>
          </w:r>
          <w:r>
            <w:rPr>
              <w:color w:val="auto"/>
              <w:highlight w:val="none"/>
            </w:rPr>
            <w:instrText xml:space="preserve"> PAGEREF _Toc25419 \h </w:instrText>
          </w:r>
          <w:r>
            <w:rPr>
              <w:color w:val="auto"/>
              <w:highlight w:val="none"/>
            </w:rPr>
            <w:fldChar w:fldCharType="separate"/>
          </w:r>
          <w:r>
            <w:rPr>
              <w:color w:val="auto"/>
              <w:highlight w:val="none"/>
            </w:rPr>
            <w:t>20</w:t>
          </w:r>
          <w:r>
            <w:rPr>
              <w:color w:val="auto"/>
              <w:highlight w:val="none"/>
            </w:rPr>
            <w:fldChar w:fldCharType="end"/>
          </w:r>
          <w:r>
            <w:rPr>
              <w:bCs/>
              <w:color w:val="auto"/>
              <w:szCs w:val="21"/>
              <w:highlight w:val="none"/>
              <w:lang w:val="zh-CN"/>
            </w:rPr>
            <w:fldChar w:fldCharType="end"/>
          </w:r>
        </w:p>
        <w:p>
          <w:pPr>
            <w:pStyle w:val="9"/>
            <w:keepNext w:val="0"/>
            <w:keepLines w:val="0"/>
            <w:pageBreakBefore w:val="0"/>
            <w:widowControl w:val="0"/>
            <w:tabs>
              <w:tab w:val="right" w:leader="dot" w:pos="9377"/>
            </w:tabs>
            <w:kinsoku/>
            <w:wordWrap/>
            <w:overflowPunct/>
            <w:topLinePunct w:val="0"/>
            <w:autoSpaceDE/>
            <w:autoSpaceDN/>
            <w:bidi w:val="0"/>
            <w:adjustRightInd/>
            <w:snapToGrid/>
            <w:spacing w:line="312" w:lineRule="auto"/>
            <w:textAlignment w:val="auto"/>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_Toc18982 </w:instrText>
          </w:r>
          <w:r>
            <w:rPr>
              <w:bCs/>
              <w:color w:val="auto"/>
              <w:szCs w:val="21"/>
              <w:highlight w:val="none"/>
              <w:lang w:val="zh-CN"/>
            </w:rPr>
            <w:fldChar w:fldCharType="separate"/>
          </w:r>
          <w:r>
            <w:rPr>
              <w:rFonts w:hint="eastAsia" w:ascii="宋体" w:hAnsi="宋体" w:eastAsia="宋体" w:cs="宋体"/>
              <w:color w:val="auto"/>
              <w:szCs w:val="21"/>
              <w:highlight w:val="none"/>
            </w:rPr>
            <w:t>11.3</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Testing Method</w:t>
          </w:r>
          <w:r>
            <w:rPr>
              <w:color w:val="auto"/>
              <w:highlight w:val="none"/>
            </w:rPr>
            <w:tab/>
          </w:r>
          <w:r>
            <w:rPr>
              <w:color w:val="auto"/>
              <w:highlight w:val="none"/>
            </w:rPr>
            <w:fldChar w:fldCharType="begin"/>
          </w:r>
          <w:r>
            <w:rPr>
              <w:color w:val="auto"/>
              <w:highlight w:val="none"/>
            </w:rPr>
            <w:instrText xml:space="preserve"> PAGEREF _Toc18982 \h </w:instrText>
          </w:r>
          <w:r>
            <w:rPr>
              <w:color w:val="auto"/>
              <w:highlight w:val="none"/>
            </w:rPr>
            <w:fldChar w:fldCharType="separate"/>
          </w:r>
          <w:r>
            <w:rPr>
              <w:color w:val="auto"/>
              <w:highlight w:val="none"/>
            </w:rPr>
            <w:t>20</w:t>
          </w:r>
          <w:r>
            <w:rPr>
              <w:color w:val="auto"/>
              <w:highlight w:val="none"/>
            </w:rPr>
            <w:fldChar w:fldCharType="end"/>
          </w:r>
          <w:r>
            <w:rPr>
              <w:bCs/>
              <w:color w:val="auto"/>
              <w:szCs w:val="21"/>
              <w:highlight w:val="none"/>
              <w:lang w:val="zh-CN"/>
            </w:rPr>
            <w:fldChar w:fldCharType="end"/>
          </w:r>
        </w:p>
        <w:p>
          <w:pPr>
            <w:pStyle w:val="9"/>
            <w:keepNext w:val="0"/>
            <w:keepLines w:val="0"/>
            <w:pageBreakBefore w:val="0"/>
            <w:widowControl w:val="0"/>
            <w:tabs>
              <w:tab w:val="right" w:leader="dot" w:pos="9377"/>
            </w:tabs>
            <w:kinsoku/>
            <w:wordWrap/>
            <w:overflowPunct/>
            <w:topLinePunct w:val="0"/>
            <w:autoSpaceDE/>
            <w:autoSpaceDN/>
            <w:bidi w:val="0"/>
            <w:adjustRightInd/>
            <w:snapToGrid/>
            <w:spacing w:line="312" w:lineRule="auto"/>
            <w:textAlignment w:val="auto"/>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_Toc13744 </w:instrText>
          </w:r>
          <w:r>
            <w:rPr>
              <w:bCs/>
              <w:color w:val="auto"/>
              <w:szCs w:val="21"/>
              <w:highlight w:val="none"/>
              <w:lang w:val="zh-CN"/>
            </w:rPr>
            <w:fldChar w:fldCharType="separate"/>
          </w:r>
          <w:r>
            <w:rPr>
              <w:rFonts w:hint="eastAsia" w:ascii="宋体" w:hAnsi="宋体" w:eastAsia="宋体" w:cs="宋体"/>
              <w:color w:val="auto"/>
              <w:szCs w:val="21"/>
              <w:highlight w:val="none"/>
            </w:rPr>
            <w:t xml:space="preserve">11.4 </w:t>
          </w:r>
          <w:r>
            <w:rPr>
              <w:rFonts w:hint="eastAsia" w:ascii="宋体" w:hAnsi="宋体" w:eastAsia="宋体" w:cs="宋体"/>
              <w:color w:val="auto"/>
              <w:szCs w:val="21"/>
              <w:highlight w:val="none"/>
              <w:lang w:val="en-US" w:eastAsia="zh-CN"/>
            </w:rPr>
            <w:t xml:space="preserve"> Evaluation of Test Results</w:t>
          </w:r>
          <w:r>
            <w:rPr>
              <w:color w:val="auto"/>
              <w:highlight w:val="none"/>
            </w:rPr>
            <w:tab/>
          </w:r>
          <w:r>
            <w:rPr>
              <w:color w:val="auto"/>
              <w:highlight w:val="none"/>
            </w:rPr>
            <w:fldChar w:fldCharType="begin"/>
          </w:r>
          <w:r>
            <w:rPr>
              <w:color w:val="auto"/>
              <w:highlight w:val="none"/>
            </w:rPr>
            <w:instrText xml:space="preserve"> PAGEREF _Toc13744 \h </w:instrText>
          </w:r>
          <w:r>
            <w:rPr>
              <w:color w:val="auto"/>
              <w:highlight w:val="none"/>
            </w:rPr>
            <w:fldChar w:fldCharType="separate"/>
          </w:r>
          <w:r>
            <w:rPr>
              <w:color w:val="auto"/>
              <w:highlight w:val="none"/>
            </w:rPr>
            <w:t>21</w:t>
          </w:r>
          <w:r>
            <w:rPr>
              <w:color w:val="auto"/>
              <w:highlight w:val="none"/>
            </w:rPr>
            <w:fldChar w:fldCharType="end"/>
          </w:r>
          <w:r>
            <w:rPr>
              <w:bCs/>
              <w:color w:val="auto"/>
              <w:szCs w:val="21"/>
              <w:highlight w:val="none"/>
              <w:lang w:val="zh-CN"/>
            </w:rPr>
            <w:fldChar w:fldCharType="end"/>
          </w:r>
        </w:p>
        <w:p>
          <w:pPr>
            <w:pStyle w:val="8"/>
            <w:keepNext w:val="0"/>
            <w:keepLines w:val="0"/>
            <w:pageBreakBefore w:val="0"/>
            <w:widowControl w:val="0"/>
            <w:tabs>
              <w:tab w:val="right" w:leader="dot" w:pos="9377"/>
            </w:tabs>
            <w:kinsoku/>
            <w:wordWrap/>
            <w:overflowPunct/>
            <w:topLinePunct w:val="0"/>
            <w:autoSpaceDE/>
            <w:autoSpaceDN/>
            <w:bidi w:val="0"/>
            <w:adjustRightInd/>
            <w:snapToGrid/>
            <w:spacing w:line="312" w:lineRule="auto"/>
            <w:textAlignment w:val="auto"/>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_Toc30769 </w:instrText>
          </w:r>
          <w:r>
            <w:rPr>
              <w:bCs/>
              <w:color w:val="auto"/>
              <w:szCs w:val="21"/>
              <w:highlight w:val="none"/>
              <w:lang w:val="zh-CN"/>
            </w:rPr>
            <w:fldChar w:fldCharType="separate"/>
          </w:r>
          <w:r>
            <w:rPr>
              <w:rFonts w:eastAsia="宋体" w:cs="Times New Roman"/>
              <w:bCs/>
              <w:color w:val="auto"/>
              <w:szCs w:val="44"/>
              <w:highlight w:val="none"/>
            </w:rPr>
            <w:t>1</w:t>
          </w:r>
          <w:r>
            <w:rPr>
              <w:rFonts w:hint="eastAsia" w:eastAsia="宋体" w:cs="Times New Roman"/>
              <w:bCs/>
              <w:color w:val="auto"/>
              <w:szCs w:val="44"/>
              <w:highlight w:val="none"/>
            </w:rPr>
            <w:t>2</w:t>
          </w:r>
          <w:r>
            <w:rPr>
              <w:rFonts w:eastAsia="宋体" w:cs="Times New Roman"/>
              <w:bCs/>
              <w:color w:val="auto"/>
              <w:szCs w:val="44"/>
              <w:highlight w:val="none"/>
            </w:rPr>
            <w:t xml:space="preserve"> </w:t>
          </w:r>
          <w:r>
            <w:rPr>
              <w:rFonts w:hint="eastAsia" w:eastAsia="宋体" w:cs="Times New Roman"/>
              <w:bCs/>
              <w:color w:val="auto"/>
              <w:szCs w:val="44"/>
              <w:highlight w:val="none"/>
              <w:lang w:val="en-US" w:eastAsia="zh-CN"/>
            </w:rPr>
            <w:t xml:space="preserve"> </w:t>
          </w:r>
          <w:r>
            <w:rPr>
              <w:rFonts w:hint="eastAsia" w:eastAsia="宋体" w:cs="Times New Roman"/>
              <w:bCs/>
              <w:color w:val="auto"/>
              <w:szCs w:val="44"/>
              <w:highlight w:val="none"/>
            </w:rPr>
            <w:t xml:space="preserve"> </w:t>
          </w:r>
          <w:r>
            <w:rPr>
              <w:rFonts w:hint="eastAsia" w:eastAsia="宋体" w:cs="Times New Roman"/>
              <w:bCs/>
              <w:color w:val="auto"/>
              <w:szCs w:val="44"/>
              <w:highlight w:val="none"/>
              <w:lang w:val="en-US" w:eastAsia="zh-CN"/>
            </w:rPr>
            <w:t>Testing of Illuminance and Lighting Power Density</w:t>
          </w:r>
          <w:r>
            <w:rPr>
              <w:color w:val="auto"/>
              <w:highlight w:val="none"/>
            </w:rPr>
            <w:tab/>
          </w:r>
          <w:r>
            <w:rPr>
              <w:color w:val="auto"/>
              <w:highlight w:val="none"/>
            </w:rPr>
            <w:fldChar w:fldCharType="begin"/>
          </w:r>
          <w:r>
            <w:rPr>
              <w:color w:val="auto"/>
              <w:highlight w:val="none"/>
            </w:rPr>
            <w:instrText xml:space="preserve"> PAGEREF _Toc30769 \h </w:instrText>
          </w:r>
          <w:r>
            <w:rPr>
              <w:color w:val="auto"/>
              <w:highlight w:val="none"/>
            </w:rPr>
            <w:fldChar w:fldCharType="separate"/>
          </w:r>
          <w:r>
            <w:rPr>
              <w:color w:val="auto"/>
              <w:highlight w:val="none"/>
            </w:rPr>
            <w:t>24</w:t>
          </w:r>
          <w:r>
            <w:rPr>
              <w:color w:val="auto"/>
              <w:highlight w:val="none"/>
            </w:rPr>
            <w:fldChar w:fldCharType="end"/>
          </w:r>
          <w:r>
            <w:rPr>
              <w:bCs/>
              <w:color w:val="auto"/>
              <w:szCs w:val="21"/>
              <w:highlight w:val="none"/>
              <w:lang w:val="zh-CN"/>
            </w:rPr>
            <w:fldChar w:fldCharType="end"/>
          </w:r>
        </w:p>
        <w:p>
          <w:pPr>
            <w:pStyle w:val="9"/>
            <w:keepNext w:val="0"/>
            <w:keepLines w:val="0"/>
            <w:pageBreakBefore w:val="0"/>
            <w:widowControl w:val="0"/>
            <w:tabs>
              <w:tab w:val="right" w:leader="dot" w:pos="9377"/>
            </w:tabs>
            <w:kinsoku/>
            <w:wordWrap/>
            <w:overflowPunct/>
            <w:topLinePunct w:val="0"/>
            <w:autoSpaceDE/>
            <w:autoSpaceDN/>
            <w:bidi w:val="0"/>
            <w:adjustRightInd/>
            <w:snapToGrid/>
            <w:spacing w:line="312" w:lineRule="auto"/>
            <w:textAlignment w:val="auto"/>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_Toc12543 </w:instrText>
          </w:r>
          <w:r>
            <w:rPr>
              <w:bCs/>
              <w:color w:val="auto"/>
              <w:szCs w:val="21"/>
              <w:highlight w:val="none"/>
              <w:lang w:val="zh-CN"/>
            </w:rPr>
            <w:fldChar w:fldCharType="separate"/>
          </w:r>
          <w:r>
            <w:rPr>
              <w:rFonts w:hint="eastAsia" w:ascii="宋体" w:hAnsi="宋体" w:eastAsia="宋体" w:cs="宋体"/>
              <w:color w:val="auto"/>
              <w:szCs w:val="21"/>
              <w:highlight w:val="none"/>
            </w:rPr>
            <w:t>12.</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General Requirements</w:t>
          </w:r>
          <w:r>
            <w:rPr>
              <w:color w:val="auto"/>
              <w:highlight w:val="none"/>
            </w:rPr>
            <w:tab/>
          </w:r>
          <w:r>
            <w:rPr>
              <w:color w:val="auto"/>
              <w:highlight w:val="none"/>
            </w:rPr>
            <w:fldChar w:fldCharType="begin"/>
          </w:r>
          <w:r>
            <w:rPr>
              <w:color w:val="auto"/>
              <w:highlight w:val="none"/>
            </w:rPr>
            <w:instrText xml:space="preserve"> PAGEREF _Toc12543 \h </w:instrText>
          </w:r>
          <w:r>
            <w:rPr>
              <w:color w:val="auto"/>
              <w:highlight w:val="none"/>
            </w:rPr>
            <w:fldChar w:fldCharType="separate"/>
          </w:r>
          <w:r>
            <w:rPr>
              <w:color w:val="auto"/>
              <w:highlight w:val="none"/>
            </w:rPr>
            <w:t>24</w:t>
          </w:r>
          <w:r>
            <w:rPr>
              <w:color w:val="auto"/>
              <w:highlight w:val="none"/>
            </w:rPr>
            <w:fldChar w:fldCharType="end"/>
          </w:r>
          <w:r>
            <w:rPr>
              <w:bCs/>
              <w:color w:val="auto"/>
              <w:szCs w:val="21"/>
              <w:highlight w:val="none"/>
              <w:lang w:val="zh-CN"/>
            </w:rPr>
            <w:fldChar w:fldCharType="end"/>
          </w:r>
        </w:p>
        <w:p>
          <w:pPr>
            <w:pStyle w:val="9"/>
            <w:keepNext w:val="0"/>
            <w:keepLines w:val="0"/>
            <w:pageBreakBefore w:val="0"/>
            <w:widowControl w:val="0"/>
            <w:tabs>
              <w:tab w:val="right" w:leader="dot" w:pos="9377"/>
            </w:tabs>
            <w:kinsoku/>
            <w:wordWrap/>
            <w:overflowPunct/>
            <w:topLinePunct w:val="0"/>
            <w:autoSpaceDE/>
            <w:autoSpaceDN/>
            <w:bidi w:val="0"/>
            <w:adjustRightInd/>
            <w:snapToGrid/>
            <w:spacing w:line="312" w:lineRule="auto"/>
            <w:textAlignment w:val="auto"/>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_Toc5782 </w:instrText>
          </w:r>
          <w:r>
            <w:rPr>
              <w:bCs/>
              <w:color w:val="auto"/>
              <w:szCs w:val="21"/>
              <w:highlight w:val="none"/>
              <w:lang w:val="zh-CN"/>
            </w:rPr>
            <w:fldChar w:fldCharType="separate"/>
          </w:r>
          <w:r>
            <w:rPr>
              <w:rFonts w:ascii="宋体" w:hAnsi="宋体" w:eastAsia="宋体" w:cs="宋体"/>
              <w:color w:val="auto"/>
              <w:szCs w:val="21"/>
              <w:highlight w:val="none"/>
            </w:rPr>
            <w:t>1</w:t>
          </w:r>
          <w:r>
            <w:rPr>
              <w:rFonts w:hint="eastAsia" w:ascii="宋体" w:hAnsi="宋体" w:eastAsia="宋体" w:cs="宋体"/>
              <w:color w:val="auto"/>
              <w:szCs w:val="21"/>
              <w:highlight w:val="none"/>
            </w:rPr>
            <w:t>2</w:t>
          </w:r>
          <w:r>
            <w:rPr>
              <w:rFonts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 xml:space="preserve">2  </w:t>
          </w:r>
          <w:r>
            <w:rPr>
              <w:rFonts w:hint="eastAsia" w:ascii="宋体" w:hAnsi="宋体" w:eastAsia="宋体" w:cs="宋体"/>
              <w:color w:val="auto"/>
              <w:szCs w:val="21"/>
              <w:highlight w:val="none"/>
              <w:lang w:eastAsia="zh-CN"/>
            </w:rPr>
            <w:t>Testing Location and Quantity</w:t>
          </w:r>
          <w:r>
            <w:rPr>
              <w:color w:val="auto"/>
              <w:highlight w:val="none"/>
            </w:rPr>
            <w:tab/>
          </w:r>
          <w:r>
            <w:rPr>
              <w:color w:val="auto"/>
              <w:highlight w:val="none"/>
            </w:rPr>
            <w:fldChar w:fldCharType="begin"/>
          </w:r>
          <w:r>
            <w:rPr>
              <w:color w:val="auto"/>
              <w:highlight w:val="none"/>
            </w:rPr>
            <w:instrText xml:space="preserve"> PAGEREF _Toc5782 \h </w:instrText>
          </w:r>
          <w:r>
            <w:rPr>
              <w:color w:val="auto"/>
              <w:highlight w:val="none"/>
            </w:rPr>
            <w:fldChar w:fldCharType="separate"/>
          </w:r>
          <w:r>
            <w:rPr>
              <w:color w:val="auto"/>
              <w:highlight w:val="none"/>
            </w:rPr>
            <w:t>24</w:t>
          </w:r>
          <w:r>
            <w:rPr>
              <w:color w:val="auto"/>
              <w:highlight w:val="none"/>
            </w:rPr>
            <w:fldChar w:fldCharType="end"/>
          </w:r>
          <w:r>
            <w:rPr>
              <w:bCs/>
              <w:color w:val="auto"/>
              <w:szCs w:val="21"/>
              <w:highlight w:val="none"/>
              <w:lang w:val="zh-CN"/>
            </w:rPr>
            <w:fldChar w:fldCharType="end"/>
          </w:r>
        </w:p>
        <w:p>
          <w:pPr>
            <w:pStyle w:val="9"/>
            <w:keepNext w:val="0"/>
            <w:keepLines w:val="0"/>
            <w:pageBreakBefore w:val="0"/>
            <w:widowControl w:val="0"/>
            <w:tabs>
              <w:tab w:val="right" w:leader="dot" w:pos="9377"/>
            </w:tabs>
            <w:kinsoku/>
            <w:wordWrap/>
            <w:overflowPunct/>
            <w:topLinePunct w:val="0"/>
            <w:autoSpaceDE/>
            <w:autoSpaceDN/>
            <w:bidi w:val="0"/>
            <w:adjustRightInd/>
            <w:snapToGrid/>
            <w:spacing w:line="312" w:lineRule="auto"/>
            <w:textAlignment w:val="auto"/>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_Toc17148 </w:instrText>
          </w:r>
          <w:r>
            <w:rPr>
              <w:bCs/>
              <w:color w:val="auto"/>
              <w:szCs w:val="21"/>
              <w:highlight w:val="none"/>
              <w:lang w:val="zh-CN"/>
            </w:rPr>
            <w:fldChar w:fldCharType="separate"/>
          </w:r>
          <w:r>
            <w:rPr>
              <w:rFonts w:hint="eastAsia" w:ascii="宋体" w:hAnsi="宋体" w:eastAsia="宋体" w:cs="宋体"/>
              <w:color w:val="auto"/>
              <w:szCs w:val="21"/>
              <w:highlight w:val="none"/>
            </w:rPr>
            <w:t>12.</w:t>
          </w:r>
          <w:r>
            <w:rPr>
              <w:rFonts w:hint="eastAsia" w:ascii="宋体" w:hAnsi="宋体" w:eastAsia="宋体" w:cs="宋体"/>
              <w:color w:val="auto"/>
              <w:szCs w:val="21"/>
              <w:highlight w:val="none"/>
              <w:lang w:val="en-US" w:eastAsia="zh-CN"/>
            </w:rPr>
            <w:t xml:space="preserve">3  </w:t>
          </w:r>
          <w:r>
            <w:rPr>
              <w:rFonts w:hint="eastAsia" w:ascii="宋体" w:hAnsi="宋体" w:eastAsia="宋体" w:cs="宋体"/>
              <w:color w:val="auto"/>
              <w:szCs w:val="21"/>
              <w:highlight w:val="none"/>
              <w:lang w:eastAsia="zh-CN"/>
            </w:rPr>
            <w:t>Testing Method</w:t>
          </w:r>
          <w:r>
            <w:rPr>
              <w:color w:val="auto"/>
              <w:highlight w:val="none"/>
            </w:rPr>
            <w:tab/>
          </w:r>
          <w:r>
            <w:rPr>
              <w:color w:val="auto"/>
              <w:highlight w:val="none"/>
            </w:rPr>
            <w:fldChar w:fldCharType="begin"/>
          </w:r>
          <w:r>
            <w:rPr>
              <w:color w:val="auto"/>
              <w:highlight w:val="none"/>
            </w:rPr>
            <w:instrText xml:space="preserve"> PAGEREF _Toc17148 \h </w:instrText>
          </w:r>
          <w:r>
            <w:rPr>
              <w:color w:val="auto"/>
              <w:highlight w:val="none"/>
            </w:rPr>
            <w:fldChar w:fldCharType="separate"/>
          </w:r>
          <w:r>
            <w:rPr>
              <w:color w:val="auto"/>
              <w:highlight w:val="none"/>
            </w:rPr>
            <w:t>25</w:t>
          </w:r>
          <w:r>
            <w:rPr>
              <w:color w:val="auto"/>
              <w:highlight w:val="none"/>
            </w:rPr>
            <w:fldChar w:fldCharType="end"/>
          </w:r>
          <w:r>
            <w:rPr>
              <w:bCs/>
              <w:color w:val="auto"/>
              <w:szCs w:val="21"/>
              <w:highlight w:val="none"/>
              <w:lang w:val="zh-CN"/>
            </w:rPr>
            <w:fldChar w:fldCharType="end"/>
          </w:r>
        </w:p>
        <w:p>
          <w:pPr>
            <w:pStyle w:val="9"/>
            <w:keepNext w:val="0"/>
            <w:keepLines w:val="0"/>
            <w:pageBreakBefore w:val="0"/>
            <w:widowControl w:val="0"/>
            <w:tabs>
              <w:tab w:val="right" w:leader="dot" w:pos="9377"/>
            </w:tabs>
            <w:kinsoku/>
            <w:wordWrap/>
            <w:overflowPunct/>
            <w:topLinePunct w:val="0"/>
            <w:autoSpaceDE/>
            <w:autoSpaceDN/>
            <w:bidi w:val="0"/>
            <w:adjustRightInd/>
            <w:snapToGrid/>
            <w:spacing w:line="312" w:lineRule="auto"/>
            <w:textAlignment w:val="auto"/>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_Toc16057 </w:instrText>
          </w:r>
          <w:r>
            <w:rPr>
              <w:bCs/>
              <w:color w:val="auto"/>
              <w:szCs w:val="21"/>
              <w:highlight w:val="none"/>
              <w:lang w:val="zh-CN"/>
            </w:rPr>
            <w:fldChar w:fldCharType="separate"/>
          </w:r>
          <w:r>
            <w:rPr>
              <w:rFonts w:hint="eastAsia" w:ascii="宋体" w:hAnsi="宋体" w:eastAsia="宋体" w:cs="宋体"/>
              <w:color w:val="auto"/>
              <w:szCs w:val="21"/>
              <w:highlight w:val="none"/>
            </w:rPr>
            <w:t>12.</w:t>
          </w:r>
          <w:r>
            <w:rPr>
              <w:rFonts w:hint="eastAsia" w:ascii="宋体" w:hAnsi="宋体" w:eastAsia="宋体" w:cs="宋体"/>
              <w:color w:val="auto"/>
              <w:szCs w:val="21"/>
              <w:highlight w:val="none"/>
              <w:lang w:val="en-US" w:eastAsia="zh-CN"/>
            </w:rPr>
            <w:t>4  Evaluation of Test Results</w:t>
          </w:r>
          <w:r>
            <w:rPr>
              <w:color w:val="auto"/>
              <w:highlight w:val="none"/>
            </w:rPr>
            <w:tab/>
          </w:r>
          <w:r>
            <w:rPr>
              <w:color w:val="auto"/>
              <w:highlight w:val="none"/>
            </w:rPr>
            <w:fldChar w:fldCharType="begin"/>
          </w:r>
          <w:r>
            <w:rPr>
              <w:color w:val="auto"/>
              <w:highlight w:val="none"/>
            </w:rPr>
            <w:instrText xml:space="preserve"> PAGEREF _Toc16057 \h </w:instrText>
          </w:r>
          <w:r>
            <w:rPr>
              <w:color w:val="auto"/>
              <w:highlight w:val="none"/>
            </w:rPr>
            <w:fldChar w:fldCharType="separate"/>
          </w:r>
          <w:r>
            <w:rPr>
              <w:color w:val="auto"/>
              <w:highlight w:val="none"/>
            </w:rPr>
            <w:t>31</w:t>
          </w:r>
          <w:r>
            <w:rPr>
              <w:color w:val="auto"/>
              <w:highlight w:val="none"/>
            </w:rPr>
            <w:fldChar w:fldCharType="end"/>
          </w:r>
          <w:r>
            <w:rPr>
              <w:bCs/>
              <w:color w:val="auto"/>
              <w:szCs w:val="21"/>
              <w:highlight w:val="none"/>
              <w:lang w:val="zh-CN"/>
            </w:rPr>
            <w:fldChar w:fldCharType="end"/>
          </w:r>
        </w:p>
        <w:p>
          <w:pPr>
            <w:pStyle w:val="8"/>
            <w:keepNext w:val="0"/>
            <w:keepLines w:val="0"/>
            <w:pageBreakBefore w:val="0"/>
            <w:widowControl w:val="0"/>
            <w:tabs>
              <w:tab w:val="right" w:leader="dot" w:pos="9377"/>
            </w:tabs>
            <w:kinsoku/>
            <w:wordWrap/>
            <w:overflowPunct/>
            <w:topLinePunct w:val="0"/>
            <w:autoSpaceDE/>
            <w:autoSpaceDN/>
            <w:bidi w:val="0"/>
            <w:adjustRightInd/>
            <w:snapToGrid/>
            <w:spacing w:line="312" w:lineRule="auto"/>
            <w:textAlignment w:val="auto"/>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_Toc16232 </w:instrText>
          </w:r>
          <w:r>
            <w:rPr>
              <w:bCs/>
              <w:color w:val="auto"/>
              <w:szCs w:val="21"/>
              <w:highlight w:val="none"/>
              <w:lang w:val="zh-CN"/>
            </w:rPr>
            <w:fldChar w:fldCharType="separate"/>
          </w:r>
          <w:r>
            <w:rPr>
              <w:rFonts w:hint="eastAsia" w:ascii="Times New Roman" w:hAnsi="Times New Roman" w:eastAsia="宋体" w:cs="Times New Roman"/>
              <w:bCs/>
              <w:color w:val="auto"/>
              <w:kern w:val="44"/>
              <w:szCs w:val="44"/>
              <w:highlight w:val="none"/>
              <w:lang w:val="en-US" w:eastAsia="zh-CN" w:bidi="ar-SA"/>
            </w:rPr>
            <w:t>13  Testing of Power Quality</w:t>
          </w:r>
          <w:r>
            <w:rPr>
              <w:color w:val="auto"/>
              <w:highlight w:val="none"/>
            </w:rPr>
            <w:tab/>
          </w:r>
          <w:r>
            <w:rPr>
              <w:color w:val="auto"/>
              <w:highlight w:val="none"/>
            </w:rPr>
            <w:fldChar w:fldCharType="begin"/>
          </w:r>
          <w:r>
            <w:rPr>
              <w:color w:val="auto"/>
              <w:highlight w:val="none"/>
            </w:rPr>
            <w:instrText xml:space="preserve"> PAGEREF _Toc16232 \h </w:instrText>
          </w:r>
          <w:r>
            <w:rPr>
              <w:color w:val="auto"/>
              <w:highlight w:val="none"/>
            </w:rPr>
            <w:fldChar w:fldCharType="separate"/>
          </w:r>
          <w:r>
            <w:rPr>
              <w:color w:val="auto"/>
              <w:highlight w:val="none"/>
            </w:rPr>
            <w:t>33</w:t>
          </w:r>
          <w:r>
            <w:rPr>
              <w:color w:val="auto"/>
              <w:highlight w:val="none"/>
            </w:rPr>
            <w:fldChar w:fldCharType="end"/>
          </w:r>
          <w:r>
            <w:rPr>
              <w:bCs/>
              <w:color w:val="auto"/>
              <w:szCs w:val="21"/>
              <w:highlight w:val="none"/>
              <w:lang w:val="zh-CN"/>
            </w:rPr>
            <w:fldChar w:fldCharType="end"/>
          </w:r>
        </w:p>
        <w:p>
          <w:pPr>
            <w:pStyle w:val="9"/>
            <w:keepNext w:val="0"/>
            <w:keepLines w:val="0"/>
            <w:pageBreakBefore w:val="0"/>
            <w:widowControl w:val="0"/>
            <w:tabs>
              <w:tab w:val="right" w:leader="dot" w:pos="9377"/>
            </w:tabs>
            <w:kinsoku/>
            <w:wordWrap/>
            <w:overflowPunct/>
            <w:topLinePunct w:val="0"/>
            <w:autoSpaceDE/>
            <w:autoSpaceDN/>
            <w:bidi w:val="0"/>
            <w:adjustRightInd/>
            <w:snapToGrid/>
            <w:spacing w:line="312" w:lineRule="auto"/>
            <w:textAlignment w:val="auto"/>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_Toc15767 </w:instrText>
          </w:r>
          <w:r>
            <w:rPr>
              <w:bCs/>
              <w:color w:val="auto"/>
              <w:szCs w:val="21"/>
              <w:highlight w:val="none"/>
              <w:lang w:val="zh-CN"/>
            </w:rPr>
            <w:fldChar w:fldCharType="separate"/>
          </w:r>
          <w:r>
            <w:rPr>
              <w:rFonts w:hint="eastAsia" w:ascii="宋体" w:hAnsi="宋体" w:eastAsia="宋体" w:cs="宋体"/>
              <w:color w:val="auto"/>
              <w:szCs w:val="21"/>
              <w:highlight w:val="none"/>
            </w:rPr>
            <w:t>13.</w:t>
          </w:r>
          <w:r>
            <w:rPr>
              <w:rFonts w:hint="eastAsia" w:ascii="宋体" w:hAnsi="宋体" w:eastAsia="宋体" w:cs="宋体"/>
              <w:color w:val="auto"/>
              <w:szCs w:val="21"/>
              <w:highlight w:val="none"/>
              <w:lang w:val="en-US" w:eastAsia="zh-CN"/>
            </w:rPr>
            <w:t xml:space="preserve">1  </w:t>
          </w:r>
          <w:r>
            <w:rPr>
              <w:rFonts w:hint="eastAsia" w:ascii="宋体" w:hAnsi="宋体" w:eastAsia="宋体" w:cs="宋体"/>
              <w:color w:val="auto"/>
              <w:szCs w:val="21"/>
              <w:highlight w:val="none"/>
              <w:lang w:eastAsia="zh-CN"/>
            </w:rPr>
            <w:t>General Requirements</w:t>
          </w:r>
          <w:r>
            <w:rPr>
              <w:color w:val="auto"/>
              <w:highlight w:val="none"/>
            </w:rPr>
            <w:tab/>
          </w:r>
          <w:r>
            <w:rPr>
              <w:color w:val="auto"/>
              <w:highlight w:val="none"/>
            </w:rPr>
            <w:fldChar w:fldCharType="begin"/>
          </w:r>
          <w:r>
            <w:rPr>
              <w:color w:val="auto"/>
              <w:highlight w:val="none"/>
            </w:rPr>
            <w:instrText xml:space="preserve"> PAGEREF _Toc15767 \h </w:instrText>
          </w:r>
          <w:r>
            <w:rPr>
              <w:color w:val="auto"/>
              <w:highlight w:val="none"/>
            </w:rPr>
            <w:fldChar w:fldCharType="separate"/>
          </w:r>
          <w:r>
            <w:rPr>
              <w:color w:val="auto"/>
              <w:highlight w:val="none"/>
            </w:rPr>
            <w:t>33</w:t>
          </w:r>
          <w:r>
            <w:rPr>
              <w:color w:val="auto"/>
              <w:highlight w:val="none"/>
            </w:rPr>
            <w:fldChar w:fldCharType="end"/>
          </w:r>
          <w:r>
            <w:rPr>
              <w:bCs/>
              <w:color w:val="auto"/>
              <w:szCs w:val="21"/>
              <w:highlight w:val="none"/>
              <w:lang w:val="zh-CN"/>
            </w:rPr>
            <w:fldChar w:fldCharType="end"/>
          </w:r>
        </w:p>
        <w:p>
          <w:pPr>
            <w:pStyle w:val="9"/>
            <w:keepNext w:val="0"/>
            <w:keepLines w:val="0"/>
            <w:pageBreakBefore w:val="0"/>
            <w:widowControl w:val="0"/>
            <w:tabs>
              <w:tab w:val="right" w:leader="dot" w:pos="9377"/>
            </w:tabs>
            <w:kinsoku/>
            <w:wordWrap/>
            <w:overflowPunct/>
            <w:topLinePunct w:val="0"/>
            <w:autoSpaceDE/>
            <w:autoSpaceDN/>
            <w:bidi w:val="0"/>
            <w:adjustRightInd/>
            <w:snapToGrid/>
            <w:spacing w:line="312" w:lineRule="auto"/>
            <w:textAlignment w:val="auto"/>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_Toc28291 </w:instrText>
          </w:r>
          <w:r>
            <w:rPr>
              <w:bCs/>
              <w:color w:val="auto"/>
              <w:szCs w:val="21"/>
              <w:highlight w:val="none"/>
              <w:lang w:val="zh-CN"/>
            </w:rPr>
            <w:fldChar w:fldCharType="separate"/>
          </w:r>
          <w:r>
            <w:rPr>
              <w:rFonts w:hint="eastAsia" w:ascii="宋体" w:hAnsi="宋体" w:eastAsia="宋体" w:cs="宋体"/>
              <w:color w:val="auto"/>
              <w:szCs w:val="21"/>
              <w:highlight w:val="none"/>
              <w:lang w:val="en-US" w:eastAsia="zh-CN"/>
            </w:rPr>
            <w:t>13.2  Testing Location and Quantity</w:t>
          </w:r>
          <w:r>
            <w:rPr>
              <w:color w:val="auto"/>
              <w:highlight w:val="none"/>
            </w:rPr>
            <w:tab/>
          </w:r>
          <w:r>
            <w:rPr>
              <w:color w:val="auto"/>
              <w:highlight w:val="none"/>
            </w:rPr>
            <w:fldChar w:fldCharType="begin"/>
          </w:r>
          <w:r>
            <w:rPr>
              <w:color w:val="auto"/>
              <w:highlight w:val="none"/>
            </w:rPr>
            <w:instrText xml:space="preserve"> PAGEREF _Toc28291 \h </w:instrText>
          </w:r>
          <w:r>
            <w:rPr>
              <w:color w:val="auto"/>
              <w:highlight w:val="none"/>
            </w:rPr>
            <w:fldChar w:fldCharType="separate"/>
          </w:r>
          <w:r>
            <w:rPr>
              <w:color w:val="auto"/>
              <w:highlight w:val="none"/>
            </w:rPr>
            <w:t>33</w:t>
          </w:r>
          <w:r>
            <w:rPr>
              <w:color w:val="auto"/>
              <w:highlight w:val="none"/>
            </w:rPr>
            <w:fldChar w:fldCharType="end"/>
          </w:r>
          <w:r>
            <w:rPr>
              <w:bCs/>
              <w:color w:val="auto"/>
              <w:szCs w:val="21"/>
              <w:highlight w:val="none"/>
              <w:lang w:val="zh-CN"/>
            </w:rPr>
            <w:fldChar w:fldCharType="end"/>
          </w:r>
        </w:p>
        <w:p>
          <w:pPr>
            <w:pStyle w:val="9"/>
            <w:keepNext w:val="0"/>
            <w:keepLines w:val="0"/>
            <w:pageBreakBefore w:val="0"/>
            <w:widowControl w:val="0"/>
            <w:tabs>
              <w:tab w:val="right" w:leader="dot" w:pos="9377"/>
            </w:tabs>
            <w:kinsoku/>
            <w:wordWrap/>
            <w:overflowPunct/>
            <w:topLinePunct w:val="0"/>
            <w:autoSpaceDE/>
            <w:autoSpaceDN/>
            <w:bidi w:val="0"/>
            <w:adjustRightInd/>
            <w:snapToGrid/>
            <w:spacing w:line="312" w:lineRule="auto"/>
            <w:textAlignment w:val="auto"/>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_Toc5320 </w:instrText>
          </w:r>
          <w:r>
            <w:rPr>
              <w:bCs/>
              <w:color w:val="auto"/>
              <w:szCs w:val="21"/>
              <w:highlight w:val="none"/>
              <w:lang w:val="zh-CN"/>
            </w:rPr>
            <w:fldChar w:fldCharType="separate"/>
          </w:r>
          <w:r>
            <w:rPr>
              <w:rFonts w:hint="eastAsia" w:ascii="宋体" w:hAnsi="宋体" w:eastAsia="宋体" w:cs="宋体"/>
              <w:color w:val="auto"/>
              <w:szCs w:val="21"/>
              <w:highlight w:val="none"/>
            </w:rPr>
            <w:t xml:space="preserve">13.3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Testing Method</w:t>
          </w:r>
          <w:r>
            <w:rPr>
              <w:color w:val="auto"/>
              <w:highlight w:val="none"/>
            </w:rPr>
            <w:tab/>
          </w:r>
          <w:r>
            <w:rPr>
              <w:color w:val="auto"/>
              <w:highlight w:val="none"/>
            </w:rPr>
            <w:fldChar w:fldCharType="begin"/>
          </w:r>
          <w:r>
            <w:rPr>
              <w:color w:val="auto"/>
              <w:highlight w:val="none"/>
            </w:rPr>
            <w:instrText xml:space="preserve"> PAGEREF _Toc5320 \h </w:instrText>
          </w:r>
          <w:r>
            <w:rPr>
              <w:color w:val="auto"/>
              <w:highlight w:val="none"/>
            </w:rPr>
            <w:fldChar w:fldCharType="separate"/>
          </w:r>
          <w:r>
            <w:rPr>
              <w:color w:val="auto"/>
              <w:highlight w:val="none"/>
            </w:rPr>
            <w:t>33</w:t>
          </w:r>
          <w:r>
            <w:rPr>
              <w:color w:val="auto"/>
              <w:highlight w:val="none"/>
            </w:rPr>
            <w:fldChar w:fldCharType="end"/>
          </w:r>
          <w:r>
            <w:rPr>
              <w:bCs/>
              <w:color w:val="auto"/>
              <w:szCs w:val="21"/>
              <w:highlight w:val="none"/>
              <w:lang w:val="zh-CN"/>
            </w:rPr>
            <w:fldChar w:fldCharType="end"/>
          </w:r>
        </w:p>
        <w:p>
          <w:pPr>
            <w:pStyle w:val="9"/>
            <w:keepNext w:val="0"/>
            <w:keepLines w:val="0"/>
            <w:pageBreakBefore w:val="0"/>
            <w:widowControl w:val="0"/>
            <w:tabs>
              <w:tab w:val="right" w:leader="dot" w:pos="9377"/>
            </w:tabs>
            <w:kinsoku/>
            <w:wordWrap/>
            <w:overflowPunct/>
            <w:topLinePunct w:val="0"/>
            <w:autoSpaceDE/>
            <w:autoSpaceDN/>
            <w:bidi w:val="0"/>
            <w:adjustRightInd/>
            <w:snapToGrid/>
            <w:spacing w:line="312" w:lineRule="auto"/>
            <w:textAlignment w:val="auto"/>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_Toc1169 </w:instrText>
          </w:r>
          <w:r>
            <w:rPr>
              <w:bCs/>
              <w:color w:val="auto"/>
              <w:szCs w:val="21"/>
              <w:highlight w:val="none"/>
              <w:lang w:val="zh-CN"/>
            </w:rPr>
            <w:fldChar w:fldCharType="separate"/>
          </w:r>
          <w:r>
            <w:rPr>
              <w:rFonts w:hint="eastAsia" w:ascii="宋体" w:hAnsi="宋体" w:eastAsia="宋体" w:cs="宋体"/>
              <w:color w:val="auto"/>
              <w:szCs w:val="21"/>
              <w:highlight w:val="none"/>
            </w:rPr>
            <w:t xml:space="preserve">13.4 </w:t>
          </w:r>
          <w:r>
            <w:rPr>
              <w:rFonts w:hint="eastAsia" w:ascii="宋体" w:hAnsi="宋体" w:eastAsia="宋体" w:cs="宋体"/>
              <w:color w:val="auto"/>
              <w:szCs w:val="21"/>
              <w:highlight w:val="none"/>
              <w:lang w:val="en-US" w:eastAsia="zh-CN"/>
            </w:rPr>
            <w:t xml:space="preserve"> Evaluation of Test Results</w:t>
          </w:r>
          <w:r>
            <w:rPr>
              <w:color w:val="auto"/>
              <w:highlight w:val="none"/>
            </w:rPr>
            <w:tab/>
          </w:r>
          <w:r>
            <w:rPr>
              <w:color w:val="auto"/>
              <w:highlight w:val="none"/>
            </w:rPr>
            <w:fldChar w:fldCharType="begin"/>
          </w:r>
          <w:r>
            <w:rPr>
              <w:color w:val="auto"/>
              <w:highlight w:val="none"/>
            </w:rPr>
            <w:instrText xml:space="preserve"> PAGEREF _Toc1169 \h </w:instrText>
          </w:r>
          <w:r>
            <w:rPr>
              <w:color w:val="auto"/>
              <w:highlight w:val="none"/>
            </w:rPr>
            <w:fldChar w:fldCharType="separate"/>
          </w:r>
          <w:r>
            <w:rPr>
              <w:color w:val="auto"/>
              <w:highlight w:val="none"/>
            </w:rPr>
            <w:t>34</w:t>
          </w:r>
          <w:r>
            <w:rPr>
              <w:color w:val="auto"/>
              <w:highlight w:val="none"/>
            </w:rPr>
            <w:fldChar w:fldCharType="end"/>
          </w:r>
          <w:r>
            <w:rPr>
              <w:bCs/>
              <w:color w:val="auto"/>
              <w:szCs w:val="21"/>
              <w:highlight w:val="none"/>
              <w:lang w:val="zh-CN"/>
            </w:rPr>
            <w:fldChar w:fldCharType="end"/>
          </w:r>
        </w:p>
        <w:p>
          <w:pPr>
            <w:pStyle w:val="8"/>
            <w:keepNext w:val="0"/>
            <w:keepLines w:val="0"/>
            <w:pageBreakBefore w:val="0"/>
            <w:widowControl w:val="0"/>
            <w:tabs>
              <w:tab w:val="right" w:leader="dot" w:pos="9377"/>
            </w:tabs>
            <w:kinsoku/>
            <w:wordWrap/>
            <w:overflowPunct/>
            <w:topLinePunct w:val="0"/>
            <w:autoSpaceDE/>
            <w:autoSpaceDN/>
            <w:bidi w:val="0"/>
            <w:adjustRightInd/>
            <w:snapToGrid/>
            <w:spacing w:line="312" w:lineRule="auto"/>
            <w:textAlignment w:val="auto"/>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_Toc9308 </w:instrText>
          </w:r>
          <w:r>
            <w:rPr>
              <w:bCs/>
              <w:color w:val="auto"/>
              <w:szCs w:val="21"/>
              <w:highlight w:val="none"/>
              <w:lang w:val="zh-CN"/>
            </w:rPr>
            <w:fldChar w:fldCharType="separate"/>
          </w:r>
          <w:r>
            <w:rPr>
              <w:rFonts w:hint="eastAsia" w:eastAsia="宋体" w:cs="Times New Roman"/>
              <w:bCs/>
              <w:color w:val="auto"/>
              <w:szCs w:val="44"/>
              <w:highlight w:val="none"/>
              <w:lang w:val="en-US" w:eastAsia="zh-CN"/>
            </w:rPr>
            <w:t>Appendix A  Reference Values for Emissivity of Commonly Used Materials</w:t>
          </w:r>
          <w:r>
            <w:rPr>
              <w:color w:val="auto"/>
              <w:highlight w:val="none"/>
            </w:rPr>
            <w:tab/>
          </w:r>
          <w:r>
            <w:rPr>
              <w:color w:val="auto"/>
              <w:highlight w:val="none"/>
            </w:rPr>
            <w:fldChar w:fldCharType="begin"/>
          </w:r>
          <w:r>
            <w:rPr>
              <w:color w:val="auto"/>
              <w:highlight w:val="none"/>
            </w:rPr>
            <w:instrText xml:space="preserve"> PAGEREF _Toc9308 \h </w:instrText>
          </w:r>
          <w:r>
            <w:rPr>
              <w:color w:val="auto"/>
              <w:highlight w:val="none"/>
            </w:rPr>
            <w:fldChar w:fldCharType="separate"/>
          </w:r>
          <w:r>
            <w:rPr>
              <w:color w:val="auto"/>
              <w:highlight w:val="none"/>
            </w:rPr>
            <w:t>36</w:t>
          </w:r>
          <w:r>
            <w:rPr>
              <w:color w:val="auto"/>
              <w:highlight w:val="none"/>
            </w:rPr>
            <w:fldChar w:fldCharType="end"/>
          </w:r>
          <w:r>
            <w:rPr>
              <w:bCs/>
              <w:color w:val="auto"/>
              <w:szCs w:val="21"/>
              <w:highlight w:val="none"/>
              <w:lang w:val="zh-CN"/>
            </w:rPr>
            <w:fldChar w:fldCharType="end"/>
          </w:r>
        </w:p>
        <w:p>
          <w:pPr>
            <w:pStyle w:val="8"/>
            <w:keepNext w:val="0"/>
            <w:keepLines w:val="0"/>
            <w:pageBreakBefore w:val="0"/>
            <w:widowControl w:val="0"/>
            <w:tabs>
              <w:tab w:val="right" w:leader="dot" w:pos="9377"/>
            </w:tabs>
            <w:kinsoku/>
            <w:wordWrap/>
            <w:overflowPunct/>
            <w:topLinePunct w:val="0"/>
            <w:autoSpaceDE/>
            <w:autoSpaceDN/>
            <w:bidi w:val="0"/>
            <w:adjustRightInd/>
            <w:snapToGrid/>
            <w:spacing w:line="312" w:lineRule="auto"/>
            <w:textAlignment w:val="auto"/>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_Toc29371 </w:instrText>
          </w:r>
          <w:r>
            <w:rPr>
              <w:bCs/>
              <w:color w:val="auto"/>
              <w:szCs w:val="21"/>
              <w:highlight w:val="none"/>
              <w:lang w:val="zh-CN"/>
            </w:rPr>
            <w:fldChar w:fldCharType="separate"/>
          </w:r>
          <w:r>
            <w:rPr>
              <w:rFonts w:hint="eastAsia" w:eastAsia="宋体" w:cs="Times New Roman"/>
              <w:bCs/>
              <w:color w:val="auto"/>
              <w:szCs w:val="44"/>
              <w:highlight w:val="none"/>
              <w:lang w:val="en-US" w:eastAsia="zh-CN"/>
            </w:rPr>
            <w:t>Appendix B  Building Lighting Illuminance Testing Point Layout</w:t>
          </w:r>
          <w:r>
            <w:rPr>
              <w:color w:val="auto"/>
              <w:highlight w:val="none"/>
            </w:rPr>
            <w:tab/>
          </w:r>
          <w:r>
            <w:rPr>
              <w:color w:val="auto"/>
              <w:highlight w:val="none"/>
            </w:rPr>
            <w:fldChar w:fldCharType="begin"/>
          </w:r>
          <w:r>
            <w:rPr>
              <w:color w:val="auto"/>
              <w:highlight w:val="none"/>
            </w:rPr>
            <w:instrText xml:space="preserve"> PAGEREF _Toc29371 \h </w:instrText>
          </w:r>
          <w:r>
            <w:rPr>
              <w:color w:val="auto"/>
              <w:highlight w:val="none"/>
            </w:rPr>
            <w:fldChar w:fldCharType="separate"/>
          </w:r>
          <w:r>
            <w:rPr>
              <w:color w:val="auto"/>
              <w:highlight w:val="none"/>
            </w:rPr>
            <w:t>37</w:t>
          </w:r>
          <w:r>
            <w:rPr>
              <w:color w:val="auto"/>
              <w:highlight w:val="none"/>
            </w:rPr>
            <w:fldChar w:fldCharType="end"/>
          </w:r>
          <w:r>
            <w:rPr>
              <w:bCs/>
              <w:color w:val="auto"/>
              <w:szCs w:val="21"/>
              <w:highlight w:val="none"/>
              <w:lang w:val="zh-CN"/>
            </w:rPr>
            <w:fldChar w:fldCharType="end"/>
          </w:r>
        </w:p>
        <w:p>
          <w:pPr>
            <w:pStyle w:val="8"/>
            <w:keepNext w:val="0"/>
            <w:keepLines w:val="0"/>
            <w:pageBreakBefore w:val="0"/>
            <w:widowControl w:val="0"/>
            <w:tabs>
              <w:tab w:val="right" w:leader="dot" w:pos="9377"/>
            </w:tabs>
            <w:kinsoku/>
            <w:wordWrap/>
            <w:overflowPunct/>
            <w:topLinePunct w:val="0"/>
            <w:autoSpaceDE/>
            <w:autoSpaceDN/>
            <w:bidi w:val="0"/>
            <w:adjustRightInd/>
            <w:snapToGrid/>
            <w:spacing w:line="312" w:lineRule="auto"/>
            <w:textAlignment w:val="auto"/>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_Toc19660 </w:instrText>
          </w:r>
          <w:r>
            <w:rPr>
              <w:bCs/>
              <w:color w:val="auto"/>
              <w:szCs w:val="21"/>
              <w:highlight w:val="none"/>
              <w:lang w:val="zh-CN"/>
            </w:rPr>
            <w:fldChar w:fldCharType="separate"/>
          </w:r>
          <w:r>
            <w:rPr>
              <w:rFonts w:hint="eastAsia" w:ascii="Times New Roman" w:hAnsi="Times New Roman" w:eastAsia="宋体" w:cs="Times New Roman"/>
              <w:bCs/>
              <w:color w:val="auto"/>
              <w:kern w:val="44"/>
              <w:szCs w:val="44"/>
              <w:highlight w:val="none"/>
              <w:lang w:val="en-US" w:eastAsia="zh-CN" w:bidi="ar-SA"/>
            </w:rPr>
            <w:t>Explanation of Wording in This Standard</w:t>
          </w:r>
          <w:r>
            <w:rPr>
              <w:color w:val="auto"/>
              <w:highlight w:val="none"/>
            </w:rPr>
            <w:tab/>
          </w:r>
          <w:r>
            <w:rPr>
              <w:color w:val="auto"/>
              <w:highlight w:val="none"/>
            </w:rPr>
            <w:fldChar w:fldCharType="begin"/>
          </w:r>
          <w:r>
            <w:rPr>
              <w:color w:val="auto"/>
              <w:highlight w:val="none"/>
            </w:rPr>
            <w:instrText xml:space="preserve"> PAGEREF _Toc19660 \h </w:instrText>
          </w:r>
          <w:r>
            <w:rPr>
              <w:color w:val="auto"/>
              <w:highlight w:val="none"/>
            </w:rPr>
            <w:fldChar w:fldCharType="separate"/>
          </w:r>
          <w:r>
            <w:rPr>
              <w:color w:val="auto"/>
              <w:highlight w:val="none"/>
            </w:rPr>
            <w:t>44</w:t>
          </w:r>
          <w:r>
            <w:rPr>
              <w:color w:val="auto"/>
              <w:highlight w:val="none"/>
            </w:rPr>
            <w:fldChar w:fldCharType="end"/>
          </w:r>
          <w:r>
            <w:rPr>
              <w:bCs/>
              <w:color w:val="auto"/>
              <w:szCs w:val="21"/>
              <w:highlight w:val="none"/>
              <w:lang w:val="zh-CN"/>
            </w:rPr>
            <w:fldChar w:fldCharType="end"/>
          </w:r>
        </w:p>
        <w:p>
          <w:pPr>
            <w:pStyle w:val="8"/>
            <w:keepNext w:val="0"/>
            <w:keepLines w:val="0"/>
            <w:pageBreakBefore w:val="0"/>
            <w:widowControl w:val="0"/>
            <w:tabs>
              <w:tab w:val="right" w:leader="dot" w:pos="9377"/>
            </w:tabs>
            <w:kinsoku/>
            <w:wordWrap/>
            <w:overflowPunct/>
            <w:topLinePunct w:val="0"/>
            <w:autoSpaceDE/>
            <w:autoSpaceDN/>
            <w:bidi w:val="0"/>
            <w:adjustRightInd/>
            <w:snapToGrid/>
            <w:spacing w:line="312" w:lineRule="auto"/>
            <w:textAlignment w:val="auto"/>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_Toc17344 </w:instrText>
          </w:r>
          <w:r>
            <w:rPr>
              <w:bCs/>
              <w:color w:val="auto"/>
              <w:szCs w:val="21"/>
              <w:highlight w:val="none"/>
              <w:lang w:val="zh-CN"/>
            </w:rPr>
            <w:fldChar w:fldCharType="separate"/>
          </w:r>
          <w:r>
            <w:rPr>
              <w:rFonts w:hint="eastAsia" w:ascii="Times New Roman" w:hAnsi="Times New Roman" w:eastAsia="宋体" w:cs="Times New Roman"/>
              <w:bCs/>
              <w:color w:val="auto"/>
              <w:kern w:val="44"/>
              <w:szCs w:val="44"/>
              <w:highlight w:val="none"/>
              <w:lang w:val="en-US" w:eastAsia="zh-CN" w:bidi="ar-SA"/>
            </w:rPr>
            <w:t>List of Quoted Standards</w:t>
          </w:r>
          <w:r>
            <w:rPr>
              <w:color w:val="auto"/>
              <w:highlight w:val="none"/>
            </w:rPr>
            <w:tab/>
          </w:r>
          <w:r>
            <w:rPr>
              <w:color w:val="auto"/>
              <w:highlight w:val="none"/>
            </w:rPr>
            <w:fldChar w:fldCharType="begin"/>
          </w:r>
          <w:r>
            <w:rPr>
              <w:color w:val="auto"/>
              <w:highlight w:val="none"/>
            </w:rPr>
            <w:instrText xml:space="preserve"> PAGEREF _Toc17344 \h </w:instrText>
          </w:r>
          <w:r>
            <w:rPr>
              <w:color w:val="auto"/>
              <w:highlight w:val="none"/>
            </w:rPr>
            <w:fldChar w:fldCharType="separate"/>
          </w:r>
          <w:r>
            <w:rPr>
              <w:color w:val="auto"/>
              <w:highlight w:val="none"/>
            </w:rPr>
            <w:t>45</w:t>
          </w:r>
          <w:r>
            <w:rPr>
              <w:color w:val="auto"/>
              <w:highlight w:val="none"/>
            </w:rPr>
            <w:fldChar w:fldCharType="end"/>
          </w:r>
          <w:r>
            <w:rPr>
              <w:bCs/>
              <w:color w:val="auto"/>
              <w:szCs w:val="21"/>
              <w:highlight w:val="none"/>
              <w:lang w:val="zh-CN"/>
            </w:rPr>
            <w:fldChar w:fldCharType="end"/>
          </w:r>
        </w:p>
        <w:p>
          <w:pPr>
            <w:pStyle w:val="8"/>
            <w:keepNext w:val="0"/>
            <w:keepLines w:val="0"/>
            <w:pageBreakBefore w:val="0"/>
            <w:widowControl w:val="0"/>
            <w:tabs>
              <w:tab w:val="right" w:leader="dot" w:pos="9377"/>
            </w:tabs>
            <w:kinsoku/>
            <w:wordWrap/>
            <w:overflowPunct/>
            <w:topLinePunct w:val="0"/>
            <w:autoSpaceDE/>
            <w:autoSpaceDN/>
            <w:bidi w:val="0"/>
            <w:adjustRightInd/>
            <w:snapToGrid/>
            <w:spacing w:line="312" w:lineRule="auto"/>
            <w:textAlignment w:val="auto"/>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_Toc4445 </w:instrText>
          </w:r>
          <w:r>
            <w:rPr>
              <w:bCs/>
              <w:color w:val="auto"/>
              <w:szCs w:val="21"/>
              <w:highlight w:val="none"/>
              <w:lang w:val="zh-CN"/>
            </w:rPr>
            <w:fldChar w:fldCharType="separate"/>
          </w:r>
          <w:r>
            <w:rPr>
              <w:rFonts w:hint="eastAsia"/>
              <w:color w:val="auto"/>
              <w:szCs w:val="32"/>
              <w:highlight w:val="none"/>
            </w:rPr>
            <w:t>Addition: Explanation of Provisions</w:t>
          </w:r>
          <w:r>
            <w:rPr>
              <w:color w:val="auto"/>
              <w:highlight w:val="none"/>
            </w:rPr>
            <w:tab/>
          </w:r>
          <w:r>
            <w:rPr>
              <w:color w:val="auto"/>
              <w:highlight w:val="none"/>
            </w:rPr>
            <w:fldChar w:fldCharType="begin"/>
          </w:r>
          <w:r>
            <w:rPr>
              <w:color w:val="auto"/>
              <w:highlight w:val="none"/>
            </w:rPr>
            <w:instrText xml:space="preserve"> PAGEREF _Toc4445 \h </w:instrText>
          </w:r>
          <w:r>
            <w:rPr>
              <w:color w:val="auto"/>
              <w:highlight w:val="none"/>
            </w:rPr>
            <w:fldChar w:fldCharType="separate"/>
          </w:r>
          <w:r>
            <w:rPr>
              <w:color w:val="auto"/>
              <w:highlight w:val="none"/>
            </w:rPr>
            <w:t>46</w:t>
          </w:r>
          <w:r>
            <w:rPr>
              <w:color w:val="auto"/>
              <w:highlight w:val="none"/>
            </w:rPr>
            <w:fldChar w:fldCharType="end"/>
          </w:r>
          <w:r>
            <w:rPr>
              <w:bCs/>
              <w:color w:val="auto"/>
              <w:szCs w:val="21"/>
              <w:highlight w:val="none"/>
              <w:lang w:val="zh-CN"/>
            </w:rPr>
            <w:fldChar w:fldCharType="end"/>
          </w:r>
        </w:p>
        <w:p>
          <w:pPr>
            <w:pStyle w:val="8"/>
            <w:keepNext w:val="0"/>
            <w:keepLines w:val="0"/>
            <w:pageBreakBefore w:val="0"/>
            <w:widowControl w:val="0"/>
            <w:tabs>
              <w:tab w:val="right" w:leader="dot" w:pos="9377"/>
            </w:tabs>
            <w:kinsoku/>
            <w:wordWrap/>
            <w:overflowPunct/>
            <w:topLinePunct w:val="0"/>
            <w:autoSpaceDE/>
            <w:autoSpaceDN/>
            <w:bidi w:val="0"/>
            <w:adjustRightInd/>
            <w:snapToGrid/>
            <w:spacing w:line="360" w:lineRule="exact"/>
            <w:textAlignment w:val="auto"/>
            <w:rPr>
              <w:color w:val="auto"/>
              <w:sz w:val="21"/>
              <w:szCs w:val="21"/>
              <w:highlight w:val="none"/>
            </w:rPr>
          </w:pPr>
          <w:r>
            <w:rPr>
              <w:bCs/>
              <w:color w:val="auto"/>
              <w:sz w:val="21"/>
              <w:szCs w:val="21"/>
              <w:highlight w:val="none"/>
              <w:lang w:val="zh-CN"/>
            </w:rPr>
            <w:fldChar w:fldCharType="end"/>
          </w:r>
        </w:p>
      </w:sdtContent>
    </w:sdt>
    <w:p>
      <w:pPr>
        <w:pStyle w:val="2"/>
        <w:jc w:val="center"/>
        <w:rPr>
          <w:rFonts w:hint="eastAsia" w:ascii="宋体" w:hAnsi="宋体" w:eastAsia="宋体" w:cs="宋体"/>
          <w:color w:val="auto"/>
          <w:sz w:val="21"/>
          <w:szCs w:val="21"/>
          <w:highlight w:val="none"/>
        </w:rPr>
        <w:sectPr>
          <w:footerReference r:id="rId4" w:type="default"/>
          <w:pgSz w:w="11906" w:h="16838"/>
          <w:pgMar w:top="1440" w:right="1236" w:bottom="1440" w:left="1293" w:header="851" w:footer="992" w:gutter="0"/>
          <w:cols w:space="425" w:num="1"/>
          <w:docGrid w:type="lines" w:linePitch="312" w:charSpace="0"/>
        </w:sectPr>
      </w:pPr>
    </w:p>
    <w:p>
      <w:pPr>
        <w:pStyle w:val="37"/>
        <w:spacing w:line="276" w:lineRule="auto"/>
        <w:rPr>
          <w:rFonts w:eastAsia="宋体" w:cs="Times New Roman"/>
          <w:bCs/>
          <w:color w:val="auto"/>
          <w:szCs w:val="44"/>
          <w:highlight w:val="none"/>
        </w:rPr>
      </w:pPr>
      <w:bookmarkStart w:id="30" w:name="_Toc14090"/>
      <w:bookmarkStart w:id="31" w:name="_Toc8676"/>
      <w:bookmarkStart w:id="32" w:name="_Toc30410"/>
      <w:bookmarkStart w:id="33" w:name="_Toc20230"/>
      <w:r>
        <w:rPr>
          <w:rFonts w:hint="eastAsia" w:eastAsia="宋体" w:cs="Times New Roman"/>
          <w:bCs/>
          <w:color w:val="auto"/>
          <w:szCs w:val="44"/>
          <w:highlight w:val="none"/>
        </w:rPr>
        <w:t>1</w:t>
      </w:r>
      <w:r>
        <w:rPr>
          <w:rFonts w:eastAsia="宋体" w:cs="Times New Roman"/>
          <w:bCs/>
          <w:color w:val="auto"/>
          <w:szCs w:val="44"/>
          <w:highlight w:val="none"/>
        </w:rPr>
        <w:t xml:space="preserve"> </w:t>
      </w:r>
      <w:r>
        <w:rPr>
          <w:rFonts w:hint="eastAsia" w:eastAsia="宋体" w:cs="Times New Roman"/>
          <w:bCs/>
          <w:color w:val="auto"/>
          <w:szCs w:val="44"/>
          <w:highlight w:val="none"/>
          <w:lang w:val="en-US" w:eastAsia="zh-CN"/>
        </w:rPr>
        <w:t xml:space="preserve">  </w:t>
      </w:r>
      <w:r>
        <w:rPr>
          <w:rFonts w:hint="eastAsia" w:eastAsia="宋体" w:cs="Times New Roman"/>
          <w:bCs/>
          <w:color w:val="auto"/>
          <w:szCs w:val="44"/>
          <w:highlight w:val="none"/>
        </w:rPr>
        <w:t>总</w:t>
      </w:r>
      <w:r>
        <w:rPr>
          <w:rFonts w:hint="eastAsia" w:eastAsia="宋体" w:cs="Times New Roman"/>
          <w:bCs/>
          <w:color w:val="auto"/>
          <w:szCs w:val="44"/>
          <w:highlight w:val="none"/>
          <w:lang w:val="en-US" w:eastAsia="zh-CN"/>
        </w:rPr>
        <w:t xml:space="preserve">        </w:t>
      </w:r>
      <w:r>
        <w:rPr>
          <w:rFonts w:hint="eastAsia" w:eastAsia="宋体" w:cs="Times New Roman"/>
          <w:bCs/>
          <w:color w:val="auto"/>
          <w:szCs w:val="44"/>
          <w:highlight w:val="none"/>
        </w:rPr>
        <w:t>则</w:t>
      </w:r>
      <w:bookmarkEnd w:id="29"/>
      <w:bookmarkEnd w:id="30"/>
      <w:bookmarkEnd w:id="31"/>
      <w:bookmarkEnd w:id="32"/>
      <w:bookmarkEnd w:id="33"/>
    </w:p>
    <w:p>
      <w:pPr>
        <w:rPr>
          <w:rFonts w:hint="eastAsia" w:ascii="Times New Roman" w:hAnsi="Times New Roman" w:eastAsia="宋体" w:cs="Times New Roman"/>
          <w:color w:val="auto"/>
          <w:kern w:val="0"/>
          <w:sz w:val="21"/>
          <w:szCs w:val="21"/>
          <w:highlight w:val="none"/>
          <w:lang w:val="en-US" w:eastAsia="zh-CN" w:bidi="ar-SA"/>
        </w:rPr>
      </w:pPr>
      <w:r>
        <w:rPr>
          <w:rFonts w:hint="eastAsia" w:ascii="宋体" w:hAnsi="宋体" w:eastAsia="宋体" w:cs="宋体"/>
          <w:b/>
          <w:bCs/>
          <w:color w:val="auto"/>
          <w:sz w:val="21"/>
          <w:szCs w:val="21"/>
          <w:highlight w:val="none"/>
        </w:rPr>
        <w:t>1</w:t>
      </w:r>
      <w:r>
        <w:rPr>
          <w:rFonts w:ascii="宋体" w:hAnsi="宋体" w:eastAsia="宋体" w:cs="宋体"/>
          <w:b/>
          <w:bCs/>
          <w:color w:val="auto"/>
          <w:sz w:val="21"/>
          <w:szCs w:val="21"/>
          <w:highlight w:val="none"/>
        </w:rPr>
        <w:t>.0.1</w:t>
      </w:r>
      <w:r>
        <w:rPr>
          <w:rFonts w:hint="eastAsia" w:ascii="宋体" w:hAnsi="宋体" w:eastAsia="宋体" w:cs="宋体"/>
          <w:b/>
          <w:bCs/>
          <w:color w:val="auto"/>
          <w:sz w:val="21"/>
          <w:szCs w:val="21"/>
          <w:highlight w:val="none"/>
          <w:lang w:val="en-US" w:eastAsia="zh-CN"/>
        </w:rPr>
        <w:t xml:space="preserve">  </w:t>
      </w:r>
      <w:r>
        <w:rPr>
          <w:rFonts w:hint="eastAsia" w:ascii="Times New Roman" w:hAnsi="Times New Roman" w:eastAsia="宋体" w:cs="Times New Roman"/>
          <w:color w:val="auto"/>
          <w:kern w:val="0"/>
          <w:sz w:val="21"/>
          <w:szCs w:val="21"/>
          <w:highlight w:val="none"/>
          <w:lang w:val="en-US" w:eastAsia="zh-CN" w:bidi="ar-SA"/>
        </w:rPr>
        <w:t>为了保证建筑电气工程质量，规范建筑电气工程现场检测方法，制定本标准。</w:t>
      </w:r>
    </w:p>
    <w:p>
      <w:pP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1.0.2</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color w:val="auto"/>
          <w:sz w:val="21"/>
          <w:szCs w:val="21"/>
          <w:highlight w:val="none"/>
        </w:rPr>
        <w:t>本标准适用于电压等级为 1000V 及以下的下列类别建筑电气工程的现场检测，其它非建筑电气工程也可参考应用本标准。</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1.对新建建筑物中建筑电气工程现场施工、验收的质量检验和调试。</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2.对既有建筑扩建、改建、维修保养中建筑电气工程现场施工、验收的质量检验、调试。</w:t>
      </w:r>
    </w:p>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3.对已使用建筑电气系统质量评估时的电气工程质量检测。</w:t>
      </w:r>
    </w:p>
    <w:p>
      <w:pPr>
        <w:rPr>
          <w:rFonts w:hint="eastAsia" w:ascii="宋体" w:hAnsi="宋体" w:eastAsia="宋体" w:cs="宋体"/>
          <w:strike w:val="0"/>
          <w:color w:val="auto"/>
          <w:sz w:val="21"/>
          <w:szCs w:val="21"/>
          <w:highlight w:val="none"/>
          <w:lang w:val="en-US" w:eastAsia="zh-CN"/>
        </w:rPr>
      </w:pPr>
      <w:r>
        <w:rPr>
          <w:rFonts w:hint="eastAsia" w:ascii="宋体" w:hAnsi="宋体" w:eastAsia="宋体" w:cs="宋体"/>
          <w:b/>
          <w:bCs/>
          <w:color w:val="auto"/>
          <w:sz w:val="21"/>
          <w:szCs w:val="21"/>
          <w:highlight w:val="none"/>
        </w:rPr>
        <w:t>1.0.3</w:t>
      </w:r>
      <w:r>
        <w:rPr>
          <w:rFonts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strike w:val="0"/>
          <w:color w:val="auto"/>
          <w:sz w:val="21"/>
          <w:szCs w:val="21"/>
          <w:highlight w:val="none"/>
          <w:lang w:val="en-US" w:eastAsia="zh-CN"/>
        </w:rPr>
        <w:t>本标准所列检测方法可供第三方工程检测机构、施工企业、维保单位等单位使用。</w:t>
      </w:r>
    </w:p>
    <w:p>
      <w:pPr>
        <w:rPr>
          <w:color w:val="auto"/>
          <w:sz w:val="21"/>
          <w:szCs w:val="21"/>
          <w:highlight w:val="none"/>
        </w:rPr>
      </w:pPr>
      <w:r>
        <w:rPr>
          <w:rFonts w:hint="eastAsia" w:ascii="宋体" w:hAnsi="宋体" w:eastAsia="宋体" w:cs="宋体"/>
          <w:b/>
          <w:bCs/>
          <w:color w:val="auto"/>
          <w:sz w:val="21"/>
          <w:szCs w:val="21"/>
          <w:highlight w:val="none"/>
        </w:rPr>
        <w:t>1.0.</w:t>
      </w:r>
      <w:r>
        <w:rPr>
          <w:rFonts w:hint="eastAsia" w:ascii="宋体" w:hAnsi="宋体" w:eastAsia="宋体" w:cs="宋体"/>
          <w:b/>
          <w:bCs/>
          <w:color w:val="auto"/>
          <w:sz w:val="21"/>
          <w:szCs w:val="21"/>
          <w:highlight w:val="none"/>
          <w:lang w:val="en-US" w:eastAsia="zh-CN"/>
        </w:rPr>
        <w:t>4</w:t>
      </w:r>
      <w:r>
        <w:rPr>
          <w:rFonts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建筑电气工程的现场检测除应符合</w:t>
      </w:r>
      <w:r>
        <w:rPr>
          <w:rFonts w:hint="eastAsia" w:ascii="宋体" w:hAnsi="宋体" w:eastAsia="宋体" w:cs="宋体"/>
          <w:color w:val="auto"/>
          <w:sz w:val="21"/>
          <w:szCs w:val="21"/>
          <w:highlight w:val="none"/>
          <w:lang w:eastAsia="zh-CN"/>
        </w:rPr>
        <w:t>本标准</w:t>
      </w:r>
      <w:r>
        <w:rPr>
          <w:rFonts w:hint="eastAsia" w:ascii="宋体" w:hAnsi="宋体" w:eastAsia="宋体" w:cs="宋体"/>
          <w:color w:val="auto"/>
          <w:sz w:val="21"/>
          <w:szCs w:val="21"/>
          <w:highlight w:val="none"/>
        </w:rPr>
        <w:t>以外，尚应符合国家、行业现行有关标准的规定。</w:t>
      </w:r>
      <w:r>
        <w:rPr>
          <w:color w:val="auto"/>
          <w:sz w:val="21"/>
          <w:szCs w:val="21"/>
          <w:highlight w:val="none"/>
        </w:rPr>
        <w:br w:type="page"/>
      </w:r>
    </w:p>
    <w:p>
      <w:pPr>
        <w:pStyle w:val="37"/>
        <w:spacing w:line="276" w:lineRule="auto"/>
        <w:rPr>
          <w:rFonts w:eastAsia="宋体" w:cs="Times New Roman"/>
          <w:bCs/>
          <w:color w:val="auto"/>
          <w:szCs w:val="44"/>
          <w:highlight w:val="none"/>
        </w:rPr>
      </w:pPr>
      <w:bookmarkStart w:id="34" w:name="_Toc18769"/>
      <w:bookmarkStart w:id="35" w:name="_Toc7398"/>
      <w:bookmarkStart w:id="36" w:name="_Toc10141"/>
      <w:bookmarkStart w:id="37" w:name="_Toc31724"/>
      <w:bookmarkStart w:id="38" w:name="_Toc16706"/>
      <w:r>
        <w:rPr>
          <w:rFonts w:hint="eastAsia" w:eastAsia="宋体" w:cs="Times New Roman"/>
          <w:bCs/>
          <w:color w:val="auto"/>
          <w:szCs w:val="44"/>
          <w:highlight w:val="none"/>
        </w:rPr>
        <w:t>2</w:t>
      </w:r>
      <w:r>
        <w:rPr>
          <w:rFonts w:hint="eastAsia" w:eastAsia="宋体" w:cs="Times New Roman"/>
          <w:bCs/>
          <w:color w:val="auto"/>
          <w:szCs w:val="44"/>
          <w:highlight w:val="none"/>
          <w:lang w:val="en-US" w:eastAsia="zh-CN"/>
        </w:rPr>
        <w:t xml:space="preserve">   </w:t>
      </w:r>
      <w:r>
        <w:rPr>
          <w:rFonts w:hint="eastAsia" w:eastAsia="宋体" w:cs="Times New Roman"/>
          <w:bCs/>
          <w:color w:val="auto"/>
          <w:szCs w:val="44"/>
          <w:highlight w:val="none"/>
        </w:rPr>
        <w:t>术</w:t>
      </w:r>
      <w:r>
        <w:rPr>
          <w:rFonts w:hint="eastAsia" w:eastAsia="宋体" w:cs="Times New Roman"/>
          <w:bCs/>
          <w:color w:val="auto"/>
          <w:szCs w:val="44"/>
          <w:highlight w:val="none"/>
          <w:lang w:val="en-US" w:eastAsia="zh-CN"/>
        </w:rPr>
        <w:t xml:space="preserve">        </w:t>
      </w:r>
      <w:r>
        <w:rPr>
          <w:rFonts w:hint="eastAsia" w:eastAsia="宋体" w:cs="Times New Roman"/>
          <w:bCs/>
          <w:color w:val="auto"/>
          <w:szCs w:val="44"/>
          <w:highlight w:val="none"/>
        </w:rPr>
        <w:t>语</w:t>
      </w:r>
      <w:bookmarkEnd w:id="34"/>
      <w:bookmarkEnd w:id="35"/>
      <w:bookmarkEnd w:id="36"/>
      <w:bookmarkEnd w:id="37"/>
      <w:bookmarkEnd w:id="38"/>
    </w:p>
    <w:p>
      <w:pPr>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1</w:t>
      </w:r>
      <w:r>
        <w:rPr>
          <w:rFonts w:hint="eastAsia" w:ascii="宋体" w:hAnsi="宋体" w:eastAsia="宋体" w:cs="宋体"/>
          <w:color w:val="auto"/>
          <w:sz w:val="21"/>
          <w:szCs w:val="21"/>
          <w:highlight w:val="none"/>
          <w:lang w:val="en-US" w:eastAsia="zh-CN"/>
        </w:rPr>
        <w:t xml:space="preserve">  建筑电气工程现场检测 in-site testing of building electrical engineering</w:t>
      </w:r>
    </w:p>
    <w:p>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在建筑物已安装的电气系统中对相关装置实施的检查、测试和检验。</w:t>
      </w:r>
    </w:p>
    <w:p>
      <w:pPr>
        <w:rPr>
          <w:rFonts w:hint="default" w:ascii="宋体" w:hAnsi="宋体" w:eastAsia="宋体" w:cs="宋体"/>
          <w:i w:val="0"/>
          <w:i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2.0.2</w:t>
      </w:r>
      <w:r>
        <w:rPr>
          <w:rFonts w:hint="eastAsia" w:ascii="宋体" w:hAnsi="宋体" w:eastAsia="宋体" w:cs="宋体"/>
          <w:strike w:val="0"/>
          <w:dstrike w:val="0"/>
          <w:color w:val="auto"/>
          <w:sz w:val="21"/>
          <w:szCs w:val="21"/>
          <w:highlight w:val="none"/>
          <w:lang w:val="en-US" w:eastAsia="zh-CN"/>
        </w:rPr>
        <w:t xml:space="preserve">  </w:t>
      </w:r>
      <w:r>
        <w:rPr>
          <w:rFonts w:hint="eastAsia" w:ascii="宋体" w:hAnsi="宋体" w:eastAsia="宋体" w:cs="宋体"/>
          <w:i w:val="0"/>
          <w:iCs w:val="0"/>
          <w:color w:val="auto"/>
          <w:sz w:val="21"/>
          <w:szCs w:val="21"/>
          <w:highlight w:val="none"/>
          <w:lang w:val="en-US" w:eastAsia="zh-CN"/>
        </w:rPr>
        <w:t>冲击接地电阻 impulse earthing resistance</w:t>
      </w:r>
    </w:p>
    <w:p>
      <w:pPr>
        <w:ind w:firstLine="420" w:firstLineChars="200"/>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根据通过接地极流入地中冲击电流求得的接地电阻（接地极上对地电压的峰值与电流的峰值之比）</w:t>
      </w:r>
    </w:p>
    <w:p>
      <w:pPr>
        <w:rPr>
          <w:rFonts w:hint="default" w:ascii="宋体" w:hAnsi="宋体" w:eastAsia="宋体" w:cs="宋体"/>
          <w:i w:val="0"/>
          <w:i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2.0.3  </w:t>
      </w:r>
      <w:r>
        <w:rPr>
          <w:rFonts w:hint="eastAsia" w:ascii="宋体" w:hAnsi="宋体" w:eastAsia="宋体" w:cs="宋体"/>
          <w:i w:val="0"/>
          <w:iCs w:val="0"/>
          <w:color w:val="auto"/>
          <w:sz w:val="21"/>
          <w:szCs w:val="21"/>
          <w:highlight w:val="none"/>
          <w:lang w:val="en-US" w:eastAsia="zh-CN"/>
        </w:rPr>
        <w:t>工频接地电阻 power frequency ground resistance</w:t>
      </w:r>
    </w:p>
    <w:p>
      <w:pPr>
        <w:ind w:firstLine="420" w:firstLineChars="200"/>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工频电流流过接地装置时，接地体与远方大地之间的电阻。其数值等于接地装置相对远方大地的电压与通过接地体流入地中电流的比值。</w:t>
      </w:r>
    </w:p>
    <w:p>
      <w:pPr>
        <w:rPr>
          <w:rFonts w:hint="default" w:ascii="宋体" w:hAnsi="宋体" w:eastAsia="宋体" w:cs="宋体"/>
          <w:color w:val="auto"/>
          <w:sz w:val="21"/>
          <w:szCs w:val="21"/>
          <w:highlight w:val="none"/>
          <w:lang w:val="en-US"/>
        </w:rPr>
      </w:pPr>
      <w:r>
        <w:rPr>
          <w:rFonts w:hint="eastAsia" w:ascii="宋体" w:hAnsi="宋体" w:eastAsia="宋体" w:cs="宋体"/>
          <w:b/>
          <w:bCs/>
          <w:color w:val="auto"/>
          <w:sz w:val="21"/>
          <w:szCs w:val="21"/>
          <w:highlight w:val="none"/>
          <w:lang w:val="en-US" w:eastAsia="zh-CN"/>
        </w:rPr>
        <w:t xml:space="preserve">2.0.4  </w:t>
      </w:r>
      <w:r>
        <w:rPr>
          <w:rFonts w:hint="eastAsia" w:ascii="宋体" w:hAnsi="宋体" w:eastAsia="宋体" w:cs="宋体"/>
          <w:color w:val="auto"/>
          <w:sz w:val="21"/>
          <w:szCs w:val="21"/>
          <w:highlight w:val="none"/>
          <w:lang w:val="en-US" w:eastAsia="zh-CN"/>
        </w:rPr>
        <w:t>过渡电阻 transition resistance</w:t>
      </w:r>
    </w:p>
    <w:p>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等电位连接</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两导体之间的直流电阻。</w:t>
      </w:r>
    </w:p>
    <w:p>
      <w:pPr>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2.0.5</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绝缘电阻</w:t>
      </w:r>
      <w:r>
        <w:rPr>
          <w:rFonts w:hint="eastAsia" w:ascii="宋体" w:hAnsi="宋体" w:eastAsia="宋体" w:cs="宋体"/>
          <w:color w:val="auto"/>
          <w:sz w:val="21"/>
          <w:szCs w:val="21"/>
          <w:highlight w:val="none"/>
          <w:lang w:val="en-US" w:eastAsia="zh-CN"/>
        </w:rPr>
        <w:t xml:space="preserve"> insulation resistance</w:t>
      </w:r>
    </w:p>
    <w:p>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在绝缘结构的两个电极之间施加的直流电压值与流经该对电极的泄漏电流值之比。</w:t>
      </w:r>
    </w:p>
    <w:p>
      <w:pPr>
        <w:ind w:firstLine="0" w:firstLineChars="0"/>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2.0.6</w:t>
      </w:r>
      <w:r>
        <w:rPr>
          <w:rFonts w:hint="eastAsia" w:ascii="宋体" w:hAnsi="宋体" w:eastAsia="宋体" w:cs="宋体"/>
          <w:color w:val="auto"/>
          <w:sz w:val="21"/>
          <w:szCs w:val="21"/>
          <w:highlight w:val="none"/>
          <w:lang w:val="en-US" w:eastAsia="zh-CN"/>
        </w:rPr>
        <w:t xml:space="preserve">  接地故障 earth fault</w:t>
      </w:r>
    </w:p>
    <w:p>
      <w:pPr>
        <w:ind w:firstLine="420" w:firstLineChars="0"/>
        <w:rPr>
          <w:color w:val="auto"/>
          <w:sz w:val="21"/>
          <w:szCs w:val="21"/>
          <w:highlight w:val="none"/>
        </w:rPr>
      </w:pPr>
      <w:r>
        <w:rPr>
          <w:rFonts w:hint="eastAsia" w:ascii="宋体" w:hAnsi="宋体" w:eastAsia="宋体" w:cs="宋体"/>
          <w:color w:val="auto"/>
          <w:sz w:val="21"/>
          <w:szCs w:val="21"/>
          <w:highlight w:val="none"/>
          <w:lang w:val="en-US" w:eastAsia="zh-CN"/>
        </w:rPr>
        <w:t>带电导体与大地之间意外出现导电通路。</w:t>
      </w:r>
      <w:r>
        <w:rPr>
          <w:color w:val="auto"/>
          <w:sz w:val="21"/>
          <w:szCs w:val="21"/>
          <w:highlight w:val="none"/>
        </w:rPr>
        <w:br w:type="page"/>
      </w:r>
    </w:p>
    <w:p>
      <w:pPr>
        <w:pStyle w:val="37"/>
        <w:spacing w:line="276" w:lineRule="auto"/>
        <w:rPr>
          <w:rFonts w:eastAsia="宋体" w:cs="Times New Roman"/>
          <w:bCs/>
          <w:color w:val="auto"/>
          <w:szCs w:val="44"/>
          <w:highlight w:val="none"/>
        </w:rPr>
      </w:pPr>
      <w:bookmarkStart w:id="39" w:name="_Toc23120"/>
      <w:bookmarkStart w:id="40" w:name="_Toc12925"/>
      <w:r>
        <w:rPr>
          <w:rFonts w:hint="eastAsia" w:eastAsia="宋体" w:cs="Times New Roman"/>
          <w:bCs/>
          <w:color w:val="auto"/>
          <w:szCs w:val="44"/>
          <w:highlight w:val="none"/>
          <w:lang w:val="en-US" w:eastAsia="zh-CN"/>
        </w:rPr>
        <w:t xml:space="preserve"> </w:t>
      </w:r>
      <w:bookmarkStart w:id="41" w:name="_Toc27256"/>
      <w:bookmarkStart w:id="42" w:name="_Toc12662"/>
      <w:bookmarkStart w:id="43" w:name="_Toc18381"/>
      <w:r>
        <w:rPr>
          <w:rFonts w:eastAsia="宋体" w:cs="Times New Roman"/>
          <w:bCs/>
          <w:color w:val="auto"/>
          <w:szCs w:val="44"/>
          <w:highlight w:val="none"/>
        </w:rPr>
        <w:t xml:space="preserve">3 </w:t>
      </w:r>
      <w:r>
        <w:rPr>
          <w:rFonts w:hint="eastAsia" w:eastAsia="宋体" w:cs="Times New Roman"/>
          <w:bCs/>
          <w:color w:val="auto"/>
          <w:szCs w:val="44"/>
          <w:highlight w:val="none"/>
          <w:lang w:val="en-US" w:eastAsia="zh-CN"/>
        </w:rPr>
        <w:t xml:space="preserve">  </w:t>
      </w:r>
      <w:r>
        <w:rPr>
          <w:rFonts w:hint="eastAsia" w:eastAsia="宋体" w:cs="Times New Roman"/>
          <w:bCs/>
          <w:color w:val="auto"/>
          <w:szCs w:val="44"/>
          <w:highlight w:val="none"/>
        </w:rPr>
        <w:t>基本规定</w:t>
      </w:r>
      <w:bookmarkEnd w:id="39"/>
      <w:bookmarkEnd w:id="40"/>
      <w:bookmarkEnd w:id="41"/>
      <w:bookmarkEnd w:id="42"/>
      <w:bookmarkEnd w:id="43"/>
    </w:p>
    <w:p>
      <w:pP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3.</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建筑电气工程现场检测所用</w:t>
      </w:r>
      <w:r>
        <w:rPr>
          <w:rFonts w:hint="eastAsia" w:ascii="宋体" w:hAnsi="宋体" w:eastAsia="宋体" w:cs="宋体"/>
          <w:color w:val="auto"/>
          <w:sz w:val="21"/>
          <w:szCs w:val="21"/>
          <w:highlight w:val="none"/>
          <w:lang w:eastAsia="zh-CN"/>
        </w:rPr>
        <w:t>检测仪器</w:t>
      </w:r>
      <w:r>
        <w:rPr>
          <w:rFonts w:hint="eastAsia" w:ascii="宋体" w:hAnsi="宋体" w:eastAsia="宋体" w:cs="宋体"/>
          <w:color w:val="auto"/>
          <w:sz w:val="21"/>
          <w:szCs w:val="21"/>
          <w:highlight w:val="none"/>
        </w:rPr>
        <w:t>应检定或校准</w:t>
      </w:r>
      <w:r>
        <w:rPr>
          <w:rFonts w:hint="eastAsia" w:ascii="宋体" w:hAnsi="宋体" w:eastAsia="宋体" w:cs="宋体"/>
          <w:color w:val="auto"/>
          <w:sz w:val="21"/>
          <w:szCs w:val="21"/>
          <w:highlight w:val="none"/>
          <w:lang w:val="en-US" w:eastAsia="zh-CN"/>
        </w:rPr>
        <w:t>有效、运行正常，</w:t>
      </w:r>
      <w:r>
        <w:rPr>
          <w:rFonts w:hint="eastAsia" w:ascii="宋体" w:hAnsi="宋体" w:eastAsia="宋体" w:cs="宋体"/>
          <w:color w:val="auto"/>
          <w:sz w:val="21"/>
          <w:szCs w:val="21"/>
          <w:highlight w:val="none"/>
        </w:rPr>
        <w:t>符合本</w:t>
      </w:r>
      <w:r>
        <w:rPr>
          <w:rFonts w:hint="eastAsia" w:ascii="宋体" w:hAnsi="宋体" w:eastAsia="宋体" w:cs="宋体"/>
          <w:color w:val="auto"/>
          <w:sz w:val="21"/>
          <w:szCs w:val="21"/>
          <w:highlight w:val="none"/>
          <w:lang w:val="en-US" w:eastAsia="zh-CN"/>
        </w:rPr>
        <w:t>标准</w:t>
      </w:r>
      <w:r>
        <w:rPr>
          <w:rFonts w:hint="eastAsia" w:ascii="宋体" w:hAnsi="宋体" w:eastAsia="宋体" w:cs="宋体"/>
          <w:color w:val="auto"/>
          <w:sz w:val="21"/>
          <w:szCs w:val="21"/>
          <w:highlight w:val="none"/>
        </w:rPr>
        <w:t>要求。</w:t>
      </w:r>
    </w:p>
    <w:p>
      <w:pP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3.</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2</w:t>
      </w:r>
      <w:r>
        <w:rPr>
          <w:rFonts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建筑电气工程现场检测人员应经培训和能力确认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确保人员具备开展检测的技术能力和安全防护能力</w:t>
      </w:r>
      <w:r>
        <w:rPr>
          <w:rFonts w:hint="eastAsia" w:ascii="宋体" w:hAnsi="宋体" w:eastAsia="宋体" w:cs="宋体"/>
          <w:color w:val="auto"/>
          <w:sz w:val="21"/>
          <w:szCs w:val="21"/>
          <w:highlight w:val="none"/>
        </w:rPr>
        <w:t>。</w:t>
      </w:r>
    </w:p>
    <w:p>
      <w:pP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3.</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3</w:t>
      </w:r>
      <w:r>
        <w:rPr>
          <w:rFonts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strike w:val="0"/>
          <w:dstrike w:val="0"/>
          <w:color w:val="auto"/>
          <w:sz w:val="21"/>
          <w:szCs w:val="21"/>
          <w:highlight w:val="none"/>
          <w:lang w:val="en-US" w:eastAsia="zh-CN"/>
        </w:rPr>
        <w:t>现场环境条件应能保证正常检测。</w:t>
      </w:r>
    </w:p>
    <w:p>
      <w:pPr>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3.</w:t>
      </w:r>
      <w:r>
        <w:rPr>
          <w:rFonts w:hint="eastAsia" w:ascii="宋体" w:hAnsi="宋体" w:eastAsia="宋体" w:cs="宋体"/>
          <w:b/>
          <w:bCs/>
          <w:color w:val="auto"/>
          <w:sz w:val="21"/>
          <w:szCs w:val="21"/>
          <w:highlight w:val="none"/>
          <w:lang w:val="en-US" w:eastAsia="zh-CN"/>
        </w:rPr>
        <w:t>0.4</w:t>
      </w:r>
      <w:r>
        <w:rPr>
          <w:rFonts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建筑电气工程现场检测时，</w:t>
      </w:r>
      <w:r>
        <w:rPr>
          <w:rFonts w:hint="eastAsia" w:ascii="宋体" w:hAnsi="宋体" w:eastAsia="宋体" w:cs="宋体"/>
          <w:color w:val="auto"/>
          <w:sz w:val="21"/>
          <w:szCs w:val="21"/>
          <w:highlight w:val="none"/>
        </w:rPr>
        <w:t>应有</w:t>
      </w:r>
      <w:r>
        <w:rPr>
          <w:rFonts w:hint="eastAsia" w:ascii="宋体" w:hAnsi="宋体" w:eastAsia="宋体" w:cs="宋体"/>
          <w:color w:val="auto"/>
          <w:sz w:val="21"/>
          <w:szCs w:val="21"/>
          <w:highlight w:val="none"/>
          <w:lang w:val="en-US" w:eastAsia="zh-CN"/>
        </w:rPr>
        <w:t>熟悉受检建筑电气系统的</w:t>
      </w:r>
      <w:r>
        <w:rPr>
          <w:rFonts w:hint="eastAsia" w:ascii="宋体" w:hAnsi="宋体" w:eastAsia="宋体" w:cs="宋体"/>
          <w:color w:val="auto"/>
          <w:sz w:val="21"/>
          <w:szCs w:val="21"/>
          <w:highlight w:val="none"/>
        </w:rPr>
        <w:t>电气管理人员在场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应至少</w:t>
      </w:r>
      <w:r>
        <w:rPr>
          <w:rFonts w:hint="eastAsia" w:ascii="宋体" w:hAnsi="宋体" w:eastAsia="宋体" w:cs="宋体"/>
          <w:color w:val="auto"/>
          <w:sz w:val="21"/>
          <w:szCs w:val="21"/>
          <w:highlight w:val="none"/>
          <w:lang w:val="en-US" w:eastAsia="zh-CN"/>
        </w:rPr>
        <w:t>由</w:t>
      </w:r>
      <w:r>
        <w:rPr>
          <w:rFonts w:hint="eastAsia" w:ascii="宋体" w:hAnsi="宋体" w:eastAsia="宋体" w:cs="宋体"/>
          <w:color w:val="auto"/>
          <w:sz w:val="21"/>
          <w:szCs w:val="21"/>
          <w:highlight w:val="none"/>
        </w:rPr>
        <w:t>两</w:t>
      </w:r>
      <w:r>
        <w:rPr>
          <w:rFonts w:hint="eastAsia" w:ascii="宋体" w:hAnsi="宋体" w:eastAsia="宋体" w:cs="宋体"/>
          <w:color w:val="auto"/>
          <w:sz w:val="21"/>
          <w:szCs w:val="21"/>
          <w:highlight w:val="none"/>
          <w:lang w:val="en-US" w:eastAsia="zh-CN"/>
        </w:rPr>
        <w:t>个检测人员</w:t>
      </w:r>
      <w:r>
        <w:rPr>
          <w:rFonts w:hint="eastAsia" w:ascii="宋体" w:hAnsi="宋体" w:eastAsia="宋体" w:cs="宋体"/>
          <w:color w:val="auto"/>
          <w:sz w:val="21"/>
          <w:szCs w:val="21"/>
          <w:highlight w:val="none"/>
        </w:rPr>
        <w:t>同时在场</w:t>
      </w:r>
      <w:r>
        <w:rPr>
          <w:rFonts w:hint="eastAsia" w:ascii="宋体" w:hAnsi="宋体" w:eastAsia="宋体" w:cs="宋体"/>
          <w:color w:val="auto"/>
          <w:sz w:val="21"/>
          <w:szCs w:val="21"/>
          <w:highlight w:val="none"/>
          <w:lang w:val="en-US" w:eastAsia="zh-CN"/>
        </w:rPr>
        <w:t>工作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检测过程中必须遵守相关安全管理规定。</w:t>
      </w:r>
    </w:p>
    <w:p>
      <w:pPr>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3.0.5</w:t>
      </w:r>
      <w:r>
        <w:rPr>
          <w:rFonts w:hint="eastAsia" w:ascii="宋体" w:hAnsi="宋体" w:eastAsia="宋体" w:cs="宋体"/>
          <w:color w:val="auto"/>
          <w:sz w:val="21"/>
          <w:szCs w:val="21"/>
          <w:highlight w:val="none"/>
          <w:lang w:val="en-US" w:eastAsia="zh-CN"/>
        </w:rPr>
        <w:t xml:space="preserve">  改建和已使用的建筑电气工程质量现场检测，可参照本标准执行并根据实际情况实施，检测数量可参考表3.0.5确定，检测部位、检测时间应征得使用单位同意。</w:t>
      </w:r>
    </w:p>
    <w:p>
      <w:pPr>
        <w:pStyle w:val="38"/>
        <w:rPr>
          <w:rFonts w:hint="default" w:cs="Times New Roman"/>
          <w:color w:val="auto"/>
          <w:highlight w:val="none"/>
          <w:lang w:val="en-US" w:eastAsia="zh-CN"/>
        </w:rPr>
      </w:pPr>
      <w:r>
        <w:rPr>
          <w:rFonts w:hint="eastAsia" w:cs="Times New Roman"/>
          <w:color w:val="auto"/>
          <w:highlight w:val="none"/>
          <w:lang w:val="en-US" w:eastAsia="zh-CN"/>
        </w:rPr>
        <w:t xml:space="preserve">表3.0.5 </w:t>
      </w:r>
      <w:r>
        <w:rPr>
          <w:rFonts w:hint="eastAsia" w:ascii="Times New Roman" w:hAnsi="Times New Roman" w:eastAsia="黑体" w:cs="Times New Roman"/>
          <w:color w:val="auto"/>
          <w:sz w:val="18"/>
          <w:szCs w:val="22"/>
          <w:highlight w:val="none"/>
          <w:lang w:val="en-US" w:eastAsia="zh-CN"/>
        </w:rPr>
        <w:t>改建和已使用的</w:t>
      </w:r>
      <w:r>
        <w:rPr>
          <w:rFonts w:hint="eastAsia" w:cs="Times New Roman"/>
          <w:color w:val="auto"/>
          <w:highlight w:val="none"/>
          <w:lang w:val="en-US" w:eastAsia="zh-CN"/>
        </w:rPr>
        <w:t>建筑电气工程质量检测最小抽样数量</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0"/>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0" w:type="dxa"/>
            <w:vAlign w:val="center"/>
          </w:tcPr>
          <w:p>
            <w:pPr>
              <w:jc w:val="center"/>
              <w:rPr>
                <w:rFonts w:hint="default"/>
                <w:color w:val="auto"/>
                <w:sz w:val="18"/>
                <w:szCs w:val="18"/>
                <w:highlight w:val="none"/>
                <w:vertAlign w:val="baseline"/>
                <w:lang w:val="en-US" w:eastAsia="zh-CN"/>
              </w:rPr>
            </w:pPr>
            <w:r>
              <w:rPr>
                <w:rFonts w:hint="eastAsia"/>
                <w:color w:val="auto"/>
                <w:sz w:val="18"/>
                <w:szCs w:val="18"/>
                <w:highlight w:val="none"/>
                <w:vertAlign w:val="baseline"/>
                <w:lang w:val="en-US" w:eastAsia="zh-CN"/>
              </w:rPr>
              <w:t>检验批的容量</w:t>
            </w:r>
          </w:p>
        </w:tc>
        <w:tc>
          <w:tcPr>
            <w:tcW w:w="2130" w:type="dxa"/>
            <w:vAlign w:val="center"/>
          </w:tcPr>
          <w:p>
            <w:pPr>
              <w:jc w:val="center"/>
              <w:rPr>
                <w:rFonts w:hint="default"/>
                <w:color w:val="auto"/>
                <w:sz w:val="18"/>
                <w:szCs w:val="18"/>
                <w:highlight w:val="none"/>
                <w:vertAlign w:val="baseline"/>
                <w:lang w:val="en-US" w:eastAsia="zh-CN"/>
              </w:rPr>
            </w:pPr>
            <w:r>
              <w:rPr>
                <w:rFonts w:hint="eastAsia"/>
                <w:color w:val="auto"/>
                <w:sz w:val="18"/>
                <w:szCs w:val="18"/>
                <w:highlight w:val="none"/>
                <w:vertAlign w:val="baseline"/>
                <w:lang w:val="en-US" w:eastAsia="zh-CN"/>
              </w:rPr>
              <w:t>最小</w:t>
            </w:r>
            <w:r>
              <w:rPr>
                <w:rFonts w:hint="eastAsia"/>
                <w:color w:val="auto"/>
                <w:sz w:val="18"/>
                <w:szCs w:val="18"/>
                <w:highlight w:val="none"/>
                <w:lang w:val="en-US" w:eastAsia="zh-CN"/>
              </w:rPr>
              <w:t>抽样</w:t>
            </w:r>
            <w:r>
              <w:rPr>
                <w:rFonts w:hint="eastAsia"/>
                <w:color w:val="auto"/>
                <w:sz w:val="18"/>
                <w:szCs w:val="18"/>
                <w:highlight w:val="none"/>
                <w:vertAlign w:val="baseline"/>
                <w:lang w:val="en-US" w:eastAsia="zh-CN"/>
              </w:rPr>
              <w:t>数量</w:t>
            </w:r>
          </w:p>
        </w:tc>
        <w:tc>
          <w:tcPr>
            <w:tcW w:w="2130" w:type="dxa"/>
            <w:vAlign w:val="center"/>
          </w:tcPr>
          <w:p>
            <w:pPr>
              <w:jc w:val="center"/>
              <w:rPr>
                <w:rFonts w:hint="default"/>
                <w:color w:val="auto"/>
                <w:sz w:val="18"/>
                <w:szCs w:val="18"/>
                <w:highlight w:val="none"/>
                <w:vertAlign w:val="baseline"/>
                <w:lang w:val="en-US" w:eastAsia="zh-CN"/>
              </w:rPr>
            </w:pPr>
            <w:r>
              <w:rPr>
                <w:rFonts w:hint="eastAsia"/>
                <w:color w:val="auto"/>
                <w:sz w:val="18"/>
                <w:szCs w:val="18"/>
                <w:highlight w:val="none"/>
                <w:vertAlign w:val="baseline"/>
                <w:lang w:val="en-US" w:eastAsia="zh-CN"/>
              </w:rPr>
              <w:t>检验批的容量</w:t>
            </w:r>
          </w:p>
        </w:tc>
        <w:tc>
          <w:tcPr>
            <w:tcW w:w="2132" w:type="dxa"/>
            <w:vAlign w:val="center"/>
          </w:tcPr>
          <w:p>
            <w:pPr>
              <w:jc w:val="center"/>
              <w:rPr>
                <w:rFonts w:hint="default"/>
                <w:color w:val="auto"/>
                <w:sz w:val="18"/>
                <w:szCs w:val="18"/>
                <w:highlight w:val="none"/>
                <w:vertAlign w:val="baseline"/>
                <w:lang w:val="en-US" w:eastAsia="zh-CN"/>
              </w:rPr>
            </w:pPr>
            <w:r>
              <w:rPr>
                <w:rFonts w:hint="eastAsia"/>
                <w:color w:val="auto"/>
                <w:sz w:val="18"/>
                <w:szCs w:val="18"/>
                <w:highlight w:val="none"/>
                <w:vertAlign w:val="baseline"/>
                <w:lang w:val="en-US" w:eastAsia="zh-CN"/>
              </w:rPr>
              <w:t>最小</w:t>
            </w:r>
            <w:r>
              <w:rPr>
                <w:rFonts w:hint="eastAsia"/>
                <w:color w:val="auto"/>
                <w:sz w:val="18"/>
                <w:szCs w:val="18"/>
                <w:highlight w:val="none"/>
                <w:lang w:val="en-US" w:eastAsia="zh-CN"/>
              </w:rPr>
              <w:t>抽样</w:t>
            </w:r>
            <w:r>
              <w:rPr>
                <w:rFonts w:hint="eastAsia"/>
                <w:color w:val="auto"/>
                <w:sz w:val="18"/>
                <w:szCs w:val="18"/>
                <w:highlight w:val="none"/>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0" w:type="dxa"/>
            <w:vAlign w:val="center"/>
          </w:tcPr>
          <w:p>
            <w:pPr>
              <w:jc w:val="center"/>
              <w:rPr>
                <w:rFonts w:hint="default"/>
                <w:color w:val="auto"/>
                <w:sz w:val="18"/>
                <w:szCs w:val="18"/>
                <w:highlight w:val="none"/>
                <w:vertAlign w:val="baseline"/>
                <w:lang w:val="en-US" w:eastAsia="zh-CN"/>
              </w:rPr>
            </w:pPr>
            <w:r>
              <w:rPr>
                <w:rFonts w:hint="eastAsia"/>
                <w:color w:val="auto"/>
                <w:sz w:val="18"/>
                <w:szCs w:val="18"/>
                <w:highlight w:val="none"/>
                <w:vertAlign w:val="baseline"/>
                <w:lang w:val="en-US" w:eastAsia="zh-CN"/>
              </w:rPr>
              <w:t>2</w:t>
            </w:r>
            <w:r>
              <w:rPr>
                <w:rFonts w:hint="eastAsia" w:ascii="宋体" w:hAnsi="宋体" w:eastAsia="宋体" w:cs="宋体"/>
                <w:color w:val="auto"/>
                <w:sz w:val="18"/>
                <w:szCs w:val="18"/>
                <w:highlight w:val="none"/>
                <w:vertAlign w:val="baseline"/>
                <w:lang w:val="en-US" w:eastAsia="zh-CN"/>
              </w:rPr>
              <w:t>～</w:t>
            </w:r>
            <w:r>
              <w:rPr>
                <w:rFonts w:hint="eastAsia"/>
                <w:color w:val="auto"/>
                <w:sz w:val="18"/>
                <w:szCs w:val="18"/>
                <w:highlight w:val="none"/>
                <w:vertAlign w:val="baseline"/>
                <w:lang w:val="en-US" w:eastAsia="zh-CN"/>
              </w:rPr>
              <w:t>15</w:t>
            </w:r>
          </w:p>
        </w:tc>
        <w:tc>
          <w:tcPr>
            <w:tcW w:w="2130" w:type="dxa"/>
            <w:vAlign w:val="center"/>
          </w:tcPr>
          <w:p>
            <w:pPr>
              <w:jc w:val="center"/>
              <w:rPr>
                <w:rFonts w:hint="default"/>
                <w:color w:val="auto"/>
                <w:sz w:val="18"/>
                <w:szCs w:val="18"/>
                <w:highlight w:val="none"/>
                <w:vertAlign w:val="baseline"/>
                <w:lang w:val="en-US" w:eastAsia="zh-CN"/>
              </w:rPr>
            </w:pPr>
            <w:r>
              <w:rPr>
                <w:rFonts w:hint="eastAsia"/>
                <w:color w:val="auto"/>
                <w:sz w:val="18"/>
                <w:szCs w:val="18"/>
                <w:highlight w:val="none"/>
                <w:vertAlign w:val="baseline"/>
                <w:lang w:val="en-US" w:eastAsia="zh-CN"/>
              </w:rPr>
              <w:t>2</w:t>
            </w:r>
          </w:p>
        </w:tc>
        <w:tc>
          <w:tcPr>
            <w:tcW w:w="2130" w:type="dxa"/>
            <w:shd w:val="clear" w:color="auto" w:fill="auto"/>
            <w:vAlign w:val="center"/>
          </w:tcPr>
          <w:p>
            <w:pPr>
              <w:jc w:val="center"/>
              <w:rPr>
                <w:rFonts w:hint="default" w:asciiTheme="minorHAnsi" w:hAnsiTheme="minorHAnsi" w:eastAsiaTheme="minorEastAsia" w:cstheme="minorBidi"/>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151～280</w:t>
            </w:r>
          </w:p>
        </w:tc>
        <w:tc>
          <w:tcPr>
            <w:tcW w:w="2132" w:type="dxa"/>
            <w:shd w:val="clear" w:color="auto" w:fill="auto"/>
            <w:vAlign w:val="center"/>
          </w:tcPr>
          <w:p>
            <w:pPr>
              <w:jc w:val="center"/>
              <w:rPr>
                <w:rFonts w:hint="default" w:asciiTheme="minorHAnsi" w:hAnsiTheme="minorHAnsi" w:eastAsiaTheme="minorEastAsia" w:cstheme="minorBidi"/>
                <w:color w:val="auto"/>
                <w:kern w:val="2"/>
                <w:sz w:val="18"/>
                <w:szCs w:val="18"/>
                <w:highlight w:val="none"/>
                <w:vertAlign w:val="baseline"/>
                <w:lang w:val="en-US" w:eastAsia="zh-CN" w:bidi="ar-SA"/>
              </w:rPr>
            </w:pPr>
            <w:r>
              <w:rPr>
                <w:rFonts w:hint="eastAsia"/>
                <w:color w:val="auto"/>
                <w:sz w:val="18"/>
                <w:szCs w:val="18"/>
                <w:highlight w:val="none"/>
                <w:vertAlign w:val="baseline"/>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0" w:type="dxa"/>
            <w:shd w:val="clear" w:color="auto" w:fill="auto"/>
            <w:vAlign w:val="center"/>
          </w:tcPr>
          <w:p>
            <w:pPr>
              <w:jc w:val="center"/>
              <w:rPr>
                <w:rFonts w:hint="default" w:asciiTheme="minorHAnsi" w:hAnsiTheme="minorHAnsi" w:eastAsiaTheme="minorEastAsia" w:cstheme="minorBidi"/>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16～25</w:t>
            </w:r>
          </w:p>
        </w:tc>
        <w:tc>
          <w:tcPr>
            <w:tcW w:w="2130" w:type="dxa"/>
            <w:shd w:val="clear" w:color="auto" w:fill="auto"/>
            <w:vAlign w:val="center"/>
          </w:tcPr>
          <w:p>
            <w:pPr>
              <w:jc w:val="center"/>
              <w:rPr>
                <w:rFonts w:hint="default" w:asciiTheme="minorHAnsi" w:hAnsiTheme="minorHAnsi" w:eastAsiaTheme="minorEastAsia" w:cstheme="minorBidi"/>
                <w:color w:val="auto"/>
                <w:kern w:val="2"/>
                <w:sz w:val="18"/>
                <w:szCs w:val="18"/>
                <w:highlight w:val="none"/>
                <w:vertAlign w:val="baseline"/>
                <w:lang w:val="en-US" w:eastAsia="zh-CN" w:bidi="ar-SA"/>
              </w:rPr>
            </w:pPr>
            <w:r>
              <w:rPr>
                <w:rFonts w:hint="eastAsia"/>
                <w:color w:val="auto"/>
                <w:sz w:val="18"/>
                <w:szCs w:val="18"/>
                <w:highlight w:val="none"/>
                <w:vertAlign w:val="baseline"/>
                <w:lang w:val="en-US" w:eastAsia="zh-CN"/>
              </w:rPr>
              <w:t>3</w:t>
            </w:r>
          </w:p>
        </w:tc>
        <w:tc>
          <w:tcPr>
            <w:tcW w:w="2130" w:type="dxa"/>
            <w:shd w:val="clear" w:color="auto" w:fill="auto"/>
            <w:vAlign w:val="center"/>
          </w:tcPr>
          <w:p>
            <w:pPr>
              <w:jc w:val="center"/>
              <w:rPr>
                <w:rFonts w:hint="default" w:asciiTheme="minorHAnsi" w:hAnsiTheme="minorHAnsi" w:eastAsiaTheme="minorEastAsia" w:cstheme="minorBidi"/>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281～500</w:t>
            </w:r>
          </w:p>
        </w:tc>
        <w:tc>
          <w:tcPr>
            <w:tcW w:w="2132" w:type="dxa"/>
            <w:shd w:val="clear" w:color="auto" w:fill="auto"/>
            <w:vAlign w:val="center"/>
          </w:tcPr>
          <w:p>
            <w:pPr>
              <w:jc w:val="center"/>
              <w:rPr>
                <w:rFonts w:hint="default" w:asciiTheme="minorHAnsi" w:hAnsiTheme="minorHAnsi" w:eastAsiaTheme="minorEastAsia" w:cstheme="minorBidi"/>
                <w:color w:val="auto"/>
                <w:kern w:val="2"/>
                <w:sz w:val="18"/>
                <w:szCs w:val="18"/>
                <w:highlight w:val="none"/>
                <w:vertAlign w:val="baseline"/>
                <w:lang w:val="en-US" w:eastAsia="zh-CN" w:bidi="ar-SA"/>
              </w:rPr>
            </w:pPr>
            <w:r>
              <w:rPr>
                <w:rFonts w:hint="eastAsia"/>
                <w:color w:val="auto"/>
                <w:sz w:val="18"/>
                <w:szCs w:val="18"/>
                <w:highlight w:val="none"/>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0" w:type="dxa"/>
            <w:shd w:val="clear" w:color="auto" w:fill="auto"/>
            <w:vAlign w:val="center"/>
          </w:tcPr>
          <w:p>
            <w:pPr>
              <w:jc w:val="center"/>
              <w:rPr>
                <w:rFonts w:hint="default" w:asciiTheme="minorHAnsi" w:hAnsiTheme="minorHAnsi" w:eastAsiaTheme="minorEastAsia" w:cstheme="minorBidi"/>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26～50</w:t>
            </w:r>
          </w:p>
        </w:tc>
        <w:tc>
          <w:tcPr>
            <w:tcW w:w="2130" w:type="dxa"/>
            <w:shd w:val="clear" w:color="auto" w:fill="auto"/>
            <w:vAlign w:val="center"/>
          </w:tcPr>
          <w:p>
            <w:pPr>
              <w:jc w:val="center"/>
              <w:rPr>
                <w:rFonts w:hint="default" w:asciiTheme="minorHAnsi" w:hAnsiTheme="minorHAnsi" w:eastAsiaTheme="minorEastAsia" w:cstheme="minorBidi"/>
                <w:color w:val="auto"/>
                <w:kern w:val="2"/>
                <w:sz w:val="18"/>
                <w:szCs w:val="18"/>
                <w:highlight w:val="none"/>
                <w:vertAlign w:val="baseline"/>
                <w:lang w:val="en-US" w:eastAsia="zh-CN" w:bidi="ar-SA"/>
              </w:rPr>
            </w:pPr>
            <w:r>
              <w:rPr>
                <w:rFonts w:hint="eastAsia"/>
                <w:color w:val="auto"/>
                <w:sz w:val="18"/>
                <w:szCs w:val="18"/>
                <w:highlight w:val="none"/>
                <w:vertAlign w:val="baseline"/>
                <w:lang w:val="en-US" w:eastAsia="zh-CN"/>
              </w:rPr>
              <w:t>5</w:t>
            </w:r>
          </w:p>
        </w:tc>
        <w:tc>
          <w:tcPr>
            <w:tcW w:w="2130" w:type="dxa"/>
            <w:shd w:val="clear" w:color="auto" w:fill="auto"/>
            <w:vAlign w:val="center"/>
          </w:tcPr>
          <w:p>
            <w:pPr>
              <w:jc w:val="center"/>
              <w:rPr>
                <w:rFonts w:hint="default" w:asciiTheme="minorHAnsi" w:hAnsiTheme="minorHAnsi" w:eastAsiaTheme="minorEastAsia" w:cstheme="minorBidi"/>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501～1200</w:t>
            </w:r>
          </w:p>
        </w:tc>
        <w:tc>
          <w:tcPr>
            <w:tcW w:w="2132" w:type="dxa"/>
            <w:shd w:val="clear" w:color="auto" w:fill="auto"/>
            <w:vAlign w:val="center"/>
          </w:tcPr>
          <w:p>
            <w:pPr>
              <w:jc w:val="center"/>
              <w:rPr>
                <w:rFonts w:hint="default" w:asciiTheme="minorHAnsi" w:hAnsiTheme="minorHAnsi" w:eastAsiaTheme="minorEastAsia" w:cstheme="minorBidi"/>
                <w:color w:val="auto"/>
                <w:kern w:val="2"/>
                <w:sz w:val="18"/>
                <w:szCs w:val="18"/>
                <w:highlight w:val="none"/>
                <w:vertAlign w:val="baseline"/>
                <w:lang w:val="en-US" w:eastAsia="zh-CN" w:bidi="ar-SA"/>
              </w:rPr>
            </w:pPr>
            <w:r>
              <w:rPr>
                <w:rFonts w:hint="eastAsia"/>
                <w:color w:val="auto"/>
                <w:sz w:val="18"/>
                <w:szCs w:val="18"/>
                <w:highlight w:val="none"/>
                <w:vertAlign w:val="baseline"/>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0" w:type="dxa"/>
            <w:shd w:val="clear" w:color="auto" w:fill="auto"/>
            <w:vAlign w:val="center"/>
          </w:tcPr>
          <w:p>
            <w:pPr>
              <w:jc w:val="center"/>
              <w:rPr>
                <w:rFonts w:hint="default" w:asciiTheme="minorHAnsi" w:hAnsiTheme="minorHAnsi" w:eastAsiaTheme="minorEastAsia" w:cstheme="minorBidi"/>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51～90</w:t>
            </w:r>
          </w:p>
        </w:tc>
        <w:tc>
          <w:tcPr>
            <w:tcW w:w="2130" w:type="dxa"/>
            <w:shd w:val="clear" w:color="auto" w:fill="auto"/>
            <w:vAlign w:val="center"/>
          </w:tcPr>
          <w:p>
            <w:pPr>
              <w:jc w:val="center"/>
              <w:rPr>
                <w:rFonts w:hint="default" w:asciiTheme="minorHAnsi" w:hAnsiTheme="minorHAnsi" w:eastAsiaTheme="minorEastAsia" w:cstheme="minorBidi"/>
                <w:color w:val="auto"/>
                <w:kern w:val="2"/>
                <w:sz w:val="18"/>
                <w:szCs w:val="18"/>
                <w:highlight w:val="none"/>
                <w:vertAlign w:val="baseline"/>
                <w:lang w:val="en-US" w:eastAsia="zh-CN" w:bidi="ar-SA"/>
              </w:rPr>
            </w:pPr>
            <w:r>
              <w:rPr>
                <w:rFonts w:hint="eastAsia"/>
                <w:color w:val="auto"/>
                <w:sz w:val="18"/>
                <w:szCs w:val="18"/>
                <w:highlight w:val="none"/>
                <w:vertAlign w:val="baseline"/>
                <w:lang w:val="en-US" w:eastAsia="zh-CN"/>
              </w:rPr>
              <w:t>6</w:t>
            </w:r>
          </w:p>
        </w:tc>
        <w:tc>
          <w:tcPr>
            <w:tcW w:w="2130" w:type="dxa"/>
            <w:shd w:val="clear" w:color="auto" w:fill="auto"/>
            <w:vAlign w:val="center"/>
          </w:tcPr>
          <w:p>
            <w:pPr>
              <w:jc w:val="center"/>
              <w:rPr>
                <w:rFonts w:hint="default" w:asciiTheme="minorHAnsi" w:hAnsiTheme="minorHAnsi" w:eastAsiaTheme="minorEastAsia" w:cstheme="minorBidi"/>
                <w:color w:val="auto"/>
                <w:kern w:val="2"/>
                <w:sz w:val="18"/>
                <w:szCs w:val="18"/>
                <w:highlight w:val="none"/>
                <w:vertAlign w:val="baseline"/>
                <w:lang w:val="en-US" w:eastAsia="zh-CN" w:bidi="ar-SA"/>
              </w:rPr>
            </w:pPr>
            <w:r>
              <w:rPr>
                <w:rFonts w:hint="eastAsia" w:cstheme="minorBidi"/>
                <w:color w:val="auto"/>
                <w:kern w:val="2"/>
                <w:sz w:val="18"/>
                <w:szCs w:val="18"/>
                <w:highlight w:val="none"/>
                <w:vertAlign w:val="baseline"/>
                <w:lang w:val="en-US" w:eastAsia="zh-CN" w:bidi="ar-SA"/>
              </w:rPr>
              <w:t>1201</w:t>
            </w:r>
            <w:r>
              <w:rPr>
                <w:rFonts w:hint="eastAsia" w:ascii="宋体" w:hAnsi="宋体" w:eastAsia="宋体" w:cs="宋体"/>
                <w:color w:val="auto"/>
                <w:sz w:val="18"/>
                <w:szCs w:val="18"/>
                <w:highlight w:val="none"/>
                <w:vertAlign w:val="baseline"/>
                <w:lang w:val="en-US" w:eastAsia="zh-CN"/>
              </w:rPr>
              <w:t>～3200</w:t>
            </w:r>
          </w:p>
        </w:tc>
        <w:tc>
          <w:tcPr>
            <w:tcW w:w="2132" w:type="dxa"/>
            <w:vAlign w:val="center"/>
          </w:tcPr>
          <w:p>
            <w:pPr>
              <w:jc w:val="center"/>
              <w:rPr>
                <w:rFonts w:hint="default"/>
                <w:color w:val="auto"/>
                <w:sz w:val="18"/>
                <w:szCs w:val="18"/>
                <w:highlight w:val="none"/>
                <w:vertAlign w:val="baseline"/>
                <w:lang w:val="en-US" w:eastAsia="zh-CN"/>
              </w:rPr>
            </w:pPr>
            <w:r>
              <w:rPr>
                <w:rFonts w:hint="eastAsia"/>
                <w:color w:val="auto"/>
                <w:sz w:val="18"/>
                <w:szCs w:val="18"/>
                <w:highlight w:val="none"/>
                <w:vertAlign w:val="baseli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0" w:type="dxa"/>
            <w:vAlign w:val="center"/>
          </w:tcPr>
          <w:p>
            <w:pPr>
              <w:jc w:val="center"/>
              <w:rPr>
                <w:rFonts w:hint="default"/>
                <w:color w:val="auto"/>
                <w:sz w:val="18"/>
                <w:szCs w:val="18"/>
                <w:highlight w:val="none"/>
                <w:vertAlign w:val="baseline"/>
                <w:lang w:val="en-US" w:eastAsia="zh-CN"/>
              </w:rPr>
            </w:pPr>
            <w:r>
              <w:rPr>
                <w:rFonts w:hint="eastAsia"/>
                <w:color w:val="auto"/>
                <w:sz w:val="18"/>
                <w:szCs w:val="18"/>
                <w:highlight w:val="none"/>
                <w:vertAlign w:val="baseline"/>
                <w:lang w:val="en-US" w:eastAsia="zh-CN"/>
              </w:rPr>
              <w:t>91</w:t>
            </w:r>
            <w:r>
              <w:rPr>
                <w:rFonts w:hint="eastAsia" w:ascii="宋体" w:hAnsi="宋体" w:eastAsia="宋体" w:cs="宋体"/>
                <w:color w:val="auto"/>
                <w:sz w:val="18"/>
                <w:szCs w:val="18"/>
                <w:highlight w:val="none"/>
                <w:vertAlign w:val="baseline"/>
                <w:lang w:val="en-US" w:eastAsia="zh-CN"/>
              </w:rPr>
              <w:t>～</w:t>
            </w:r>
            <w:r>
              <w:rPr>
                <w:rFonts w:hint="eastAsia"/>
                <w:color w:val="auto"/>
                <w:sz w:val="18"/>
                <w:szCs w:val="18"/>
                <w:highlight w:val="none"/>
                <w:vertAlign w:val="baseline"/>
                <w:lang w:val="en-US" w:eastAsia="zh-CN"/>
              </w:rPr>
              <w:t>150</w:t>
            </w:r>
          </w:p>
        </w:tc>
        <w:tc>
          <w:tcPr>
            <w:tcW w:w="2130" w:type="dxa"/>
            <w:vAlign w:val="center"/>
          </w:tcPr>
          <w:p>
            <w:pPr>
              <w:jc w:val="center"/>
              <w:rPr>
                <w:rFonts w:hint="default"/>
                <w:color w:val="auto"/>
                <w:sz w:val="18"/>
                <w:szCs w:val="18"/>
                <w:highlight w:val="none"/>
                <w:vertAlign w:val="baseline"/>
                <w:lang w:val="en-US" w:eastAsia="zh-CN"/>
              </w:rPr>
            </w:pPr>
            <w:r>
              <w:rPr>
                <w:rFonts w:hint="eastAsia"/>
                <w:color w:val="auto"/>
                <w:sz w:val="18"/>
                <w:szCs w:val="18"/>
                <w:highlight w:val="none"/>
                <w:vertAlign w:val="baseline"/>
                <w:lang w:val="en-US" w:eastAsia="zh-CN"/>
              </w:rPr>
              <w:t>8</w:t>
            </w:r>
          </w:p>
        </w:tc>
        <w:tc>
          <w:tcPr>
            <w:tcW w:w="2130" w:type="dxa"/>
            <w:shd w:val="clear" w:color="auto" w:fill="auto"/>
            <w:vAlign w:val="center"/>
          </w:tcPr>
          <w:p>
            <w:pPr>
              <w:jc w:val="center"/>
              <w:rPr>
                <w:rFonts w:hint="default" w:asciiTheme="minorHAnsi" w:hAnsiTheme="minorHAnsi" w:eastAsiaTheme="minorEastAsia" w:cstheme="minorBidi"/>
                <w:color w:val="auto"/>
                <w:kern w:val="2"/>
                <w:sz w:val="18"/>
                <w:szCs w:val="18"/>
                <w:highlight w:val="none"/>
                <w:vertAlign w:val="baseline"/>
                <w:lang w:val="en-US" w:eastAsia="zh-CN" w:bidi="ar-SA"/>
              </w:rPr>
            </w:pPr>
            <w:r>
              <w:rPr>
                <w:rFonts w:hint="eastAsia" w:cstheme="minorBidi"/>
                <w:color w:val="auto"/>
                <w:kern w:val="2"/>
                <w:sz w:val="18"/>
                <w:szCs w:val="18"/>
                <w:highlight w:val="none"/>
                <w:vertAlign w:val="baseline"/>
                <w:lang w:val="en-US" w:eastAsia="zh-CN" w:bidi="ar-SA"/>
              </w:rPr>
              <w:t>3201</w:t>
            </w:r>
            <w:r>
              <w:rPr>
                <w:rFonts w:hint="eastAsia" w:ascii="宋体" w:hAnsi="宋体" w:eastAsia="宋体" w:cs="宋体"/>
                <w:color w:val="auto"/>
                <w:sz w:val="18"/>
                <w:szCs w:val="18"/>
                <w:highlight w:val="none"/>
                <w:vertAlign w:val="baseline"/>
                <w:lang w:val="en-US" w:eastAsia="zh-CN"/>
              </w:rPr>
              <w:t>～10000</w:t>
            </w:r>
          </w:p>
        </w:tc>
        <w:tc>
          <w:tcPr>
            <w:tcW w:w="2132" w:type="dxa"/>
            <w:vAlign w:val="center"/>
          </w:tcPr>
          <w:p>
            <w:pPr>
              <w:jc w:val="center"/>
              <w:rPr>
                <w:rFonts w:hint="default"/>
                <w:color w:val="auto"/>
                <w:sz w:val="18"/>
                <w:szCs w:val="18"/>
                <w:highlight w:val="none"/>
                <w:vertAlign w:val="baseline"/>
                <w:lang w:val="en-US" w:eastAsia="zh-CN"/>
              </w:rPr>
            </w:pPr>
            <w:r>
              <w:rPr>
                <w:rFonts w:hint="eastAsia"/>
                <w:color w:val="auto"/>
                <w:sz w:val="18"/>
                <w:szCs w:val="18"/>
                <w:highlight w:val="none"/>
                <w:vertAlign w:val="baseline"/>
                <w:lang w:val="en-US" w:eastAsia="zh-CN"/>
              </w:rPr>
              <w:t>80</w:t>
            </w:r>
          </w:p>
        </w:tc>
      </w:tr>
    </w:tbl>
    <w:p>
      <w:pPr>
        <w:rPr>
          <w:rFonts w:hint="eastAsia" w:ascii="宋体" w:hAnsi="宋体" w:eastAsia="宋体" w:cs="宋体"/>
          <w:color w:val="auto"/>
          <w:sz w:val="21"/>
          <w:szCs w:val="21"/>
          <w:highlight w:val="none"/>
          <w:lang w:val="en-US" w:eastAsia="zh-CN"/>
        </w:rPr>
      </w:pPr>
    </w:p>
    <w:p>
      <w:pP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3.0.6  </w:t>
      </w:r>
      <w:r>
        <w:rPr>
          <w:rFonts w:hint="eastAsia" w:ascii="宋体" w:hAnsi="宋体" w:eastAsia="宋体" w:cs="宋体"/>
          <w:color w:val="auto"/>
          <w:sz w:val="21"/>
          <w:szCs w:val="21"/>
          <w:highlight w:val="none"/>
          <w:lang w:val="en-US" w:eastAsia="zh-CN"/>
        </w:rPr>
        <w:t>本标准后续章节所列检测数量为新建、扩建建筑电气工程施工质量验收应达到的最低检测数量。</w:t>
      </w:r>
    </w:p>
    <w:p>
      <w:pPr>
        <w:rPr>
          <w:b/>
          <w:bCs/>
          <w:color w:val="auto"/>
          <w:sz w:val="21"/>
          <w:szCs w:val="21"/>
          <w:highlight w:val="none"/>
        </w:rPr>
      </w:pPr>
      <w:r>
        <w:rPr>
          <w:rFonts w:hint="eastAsia" w:ascii="宋体" w:hAnsi="宋体" w:eastAsia="宋体" w:cs="宋体"/>
          <w:b/>
          <w:bCs/>
          <w:color w:val="auto"/>
          <w:sz w:val="21"/>
          <w:szCs w:val="21"/>
          <w:highlight w:val="none"/>
          <w:lang w:val="en-US" w:eastAsia="zh-CN"/>
        </w:rPr>
        <w:t>3.0.7</w:t>
      </w:r>
      <w:r>
        <w:rPr>
          <w:rFonts w:hint="eastAsia" w:ascii="宋体" w:hAnsi="宋体" w:eastAsia="宋体" w:cs="宋体"/>
          <w:color w:val="auto"/>
          <w:sz w:val="21"/>
          <w:szCs w:val="21"/>
          <w:highlight w:val="none"/>
          <w:lang w:val="en-US" w:eastAsia="zh-CN"/>
        </w:rPr>
        <w:t xml:space="preserve">  检测前应制定检测方案。检测方案、记录和报告应明确检测内容、检测数量、检测部位和检测方法等。</w:t>
      </w:r>
      <w:r>
        <w:rPr>
          <w:b/>
          <w:bCs/>
          <w:color w:val="auto"/>
          <w:sz w:val="21"/>
          <w:szCs w:val="21"/>
          <w:highlight w:val="none"/>
        </w:rPr>
        <w:br w:type="page"/>
      </w:r>
    </w:p>
    <w:p>
      <w:pPr>
        <w:pStyle w:val="37"/>
        <w:spacing w:line="276" w:lineRule="auto"/>
        <w:rPr>
          <w:rFonts w:hint="default" w:eastAsia="宋体" w:cs="Times New Roman"/>
          <w:bCs/>
          <w:color w:val="auto"/>
          <w:szCs w:val="44"/>
          <w:highlight w:val="none"/>
          <w:lang w:val="en-US" w:eastAsia="zh-CN"/>
        </w:rPr>
      </w:pPr>
      <w:bookmarkStart w:id="44" w:name="_Toc20866"/>
      <w:bookmarkStart w:id="45" w:name="_Toc26110"/>
      <w:bookmarkStart w:id="46" w:name="_Toc2089"/>
      <w:bookmarkStart w:id="47" w:name="_Toc20514"/>
      <w:bookmarkStart w:id="48" w:name="_Toc4143"/>
      <w:bookmarkStart w:id="49" w:name="_Toc15436"/>
      <w:r>
        <w:rPr>
          <w:rFonts w:hint="eastAsia" w:eastAsia="宋体" w:cs="Times New Roman"/>
          <w:bCs/>
          <w:color w:val="auto"/>
          <w:szCs w:val="44"/>
          <w:highlight w:val="none"/>
          <w:lang w:val="en-US" w:eastAsia="zh-CN"/>
        </w:rPr>
        <w:t>4</w:t>
      </w:r>
      <w:r>
        <w:rPr>
          <w:rFonts w:hint="default" w:eastAsia="宋体" w:cs="Times New Roman"/>
          <w:bCs/>
          <w:color w:val="auto"/>
          <w:szCs w:val="44"/>
          <w:highlight w:val="none"/>
          <w:lang w:val="en-US"/>
        </w:rPr>
        <w:t xml:space="preserve"> </w:t>
      </w:r>
      <w:r>
        <w:rPr>
          <w:rFonts w:hint="eastAsia" w:eastAsia="宋体" w:cs="Times New Roman"/>
          <w:bCs/>
          <w:color w:val="auto"/>
          <w:szCs w:val="44"/>
          <w:highlight w:val="none"/>
          <w:lang w:val="en-US" w:eastAsia="zh-CN"/>
        </w:rPr>
        <w:t xml:space="preserve">  接地电阻检测</w:t>
      </w:r>
      <w:bookmarkEnd w:id="44"/>
      <w:bookmarkEnd w:id="45"/>
      <w:bookmarkEnd w:id="46"/>
      <w:bookmarkEnd w:id="47"/>
      <w:bookmarkEnd w:id="48"/>
    </w:p>
    <w:p>
      <w:pPr>
        <w:pStyle w:val="3"/>
        <w:jc w:val="center"/>
        <w:rPr>
          <w:rFonts w:hint="default" w:ascii="宋体" w:hAnsi="宋体" w:eastAsia="宋体" w:cs="宋体"/>
          <w:color w:val="auto"/>
          <w:sz w:val="21"/>
          <w:szCs w:val="21"/>
          <w:highlight w:val="none"/>
          <w:lang w:val="en-US" w:eastAsia="zh-CN"/>
        </w:rPr>
      </w:pPr>
      <w:bookmarkStart w:id="50" w:name="_Toc27690"/>
      <w:bookmarkStart w:id="51" w:name="_Toc20551"/>
      <w:bookmarkStart w:id="52" w:name="_Toc27481"/>
      <w:bookmarkStart w:id="53" w:name="_Toc14997"/>
      <w:bookmarkStart w:id="54" w:name="_Toc13732"/>
      <w:r>
        <w:rPr>
          <w:rFonts w:hint="eastAsia" w:ascii="宋体" w:hAnsi="宋体" w:eastAsia="宋体" w:cs="宋体"/>
          <w:color w:val="auto"/>
          <w:sz w:val="21"/>
          <w:szCs w:val="21"/>
          <w:highlight w:val="none"/>
          <w:lang w:val="en-US" w:eastAsia="zh-CN"/>
        </w:rPr>
        <w:t>4</w:t>
      </w:r>
      <w:r>
        <w:rPr>
          <w:rFonts w:hint="default" w:ascii="宋体" w:hAnsi="宋体" w:eastAsia="宋体" w:cs="宋体"/>
          <w:color w:val="auto"/>
          <w:sz w:val="21"/>
          <w:szCs w:val="21"/>
          <w:highlight w:val="none"/>
          <w:lang w:val="en-US" w:eastAsia="zh-CN"/>
        </w:rPr>
        <w:t xml:space="preserve">.1 </w:t>
      </w:r>
      <w:r>
        <w:rPr>
          <w:rFonts w:hint="eastAsia" w:ascii="宋体" w:hAnsi="宋体" w:eastAsia="宋体" w:cs="宋体"/>
          <w:color w:val="auto"/>
          <w:sz w:val="21"/>
          <w:szCs w:val="21"/>
          <w:highlight w:val="none"/>
          <w:lang w:val="en-US" w:eastAsia="zh-CN"/>
        </w:rPr>
        <w:t xml:space="preserve"> 一般规定</w:t>
      </w:r>
      <w:bookmarkEnd w:id="50"/>
      <w:bookmarkEnd w:id="51"/>
      <w:bookmarkEnd w:id="52"/>
      <w:bookmarkEnd w:id="53"/>
      <w:bookmarkEnd w:id="54"/>
    </w:p>
    <w:p>
      <w:pP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4.1.1  </w:t>
      </w:r>
      <w:r>
        <w:rPr>
          <w:rFonts w:hint="default" w:ascii="宋体" w:hAnsi="宋体" w:eastAsia="宋体" w:cs="宋体"/>
          <w:color w:val="auto"/>
          <w:sz w:val="21"/>
          <w:szCs w:val="21"/>
          <w:highlight w:val="none"/>
          <w:lang w:val="en-US" w:eastAsia="zh-CN"/>
        </w:rPr>
        <w:t>首次检测时，在测试接地电阻值符合设计要求的情况下，</w:t>
      </w:r>
      <w:r>
        <w:rPr>
          <w:rFonts w:hint="eastAsia" w:ascii="宋体" w:hAnsi="宋体" w:eastAsia="宋体" w:cs="宋体"/>
          <w:color w:val="auto"/>
          <w:sz w:val="21"/>
          <w:szCs w:val="21"/>
          <w:highlight w:val="none"/>
          <w:lang w:val="en-US" w:eastAsia="zh-CN"/>
        </w:rPr>
        <w:t>宜记录下列信息：</w:t>
      </w:r>
    </w:p>
    <w:p>
      <w:pPr>
        <w:ind w:firstLine="422"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 xml:space="preserve">  </w:t>
      </w:r>
      <w:r>
        <w:rPr>
          <w:rFonts w:hint="default" w:ascii="宋体" w:hAnsi="宋体" w:eastAsia="宋体" w:cs="宋体"/>
          <w:color w:val="auto"/>
          <w:sz w:val="21"/>
          <w:szCs w:val="21"/>
          <w:highlight w:val="none"/>
          <w:lang w:val="en-US" w:eastAsia="zh-CN"/>
        </w:rPr>
        <w:t>接地装置的形式</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包围的面积</w:t>
      </w:r>
      <w:r>
        <w:rPr>
          <w:rFonts w:hint="eastAsia" w:ascii="宋体" w:hAnsi="宋体" w:eastAsia="宋体" w:cs="宋体"/>
          <w:color w:val="auto"/>
          <w:sz w:val="21"/>
          <w:szCs w:val="21"/>
          <w:highlight w:val="none"/>
          <w:lang w:val="en-US" w:eastAsia="zh-CN"/>
        </w:rPr>
        <w:t>；</w:t>
      </w:r>
    </w:p>
    <w:p>
      <w:pPr>
        <w:ind w:firstLine="422"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 xml:space="preserve">  </w:t>
      </w:r>
      <w:r>
        <w:rPr>
          <w:rFonts w:hint="default" w:ascii="宋体" w:hAnsi="宋体" w:eastAsia="宋体" w:cs="宋体"/>
          <w:color w:val="auto"/>
          <w:sz w:val="21"/>
          <w:szCs w:val="21"/>
          <w:highlight w:val="none"/>
          <w:lang w:val="en-US" w:eastAsia="zh-CN"/>
        </w:rPr>
        <w:t>接地体金属表面积、材料、规格、焊接、埋设深度、位置等。</w:t>
      </w:r>
    </w:p>
    <w:p>
      <w:pP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4.1.2  </w:t>
      </w:r>
      <w:r>
        <w:rPr>
          <w:rFonts w:hint="eastAsia" w:ascii="宋体" w:hAnsi="宋体" w:eastAsia="宋体" w:cs="宋体"/>
          <w:color w:val="auto"/>
          <w:sz w:val="21"/>
          <w:szCs w:val="21"/>
          <w:highlight w:val="none"/>
          <w:lang w:val="en-US" w:eastAsia="zh-CN"/>
        </w:rPr>
        <w:t>测试时，各极的测试线不可缠绕成卷。</w:t>
      </w:r>
    </w:p>
    <w:p>
      <w:pPr>
        <w:rPr>
          <w:rFonts w:hint="default" w:ascii="宋体" w:hAnsi="宋体" w:eastAsia="宋体" w:cs="宋体"/>
          <w:strike w:val="0"/>
          <w:dstrike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4.1.3  </w:t>
      </w:r>
      <w:r>
        <w:rPr>
          <w:rFonts w:hint="eastAsia" w:ascii="宋体" w:hAnsi="宋体" w:eastAsia="宋体" w:cs="宋体"/>
          <w:strike w:val="0"/>
          <w:dstrike w:val="0"/>
          <w:color w:val="auto"/>
          <w:sz w:val="21"/>
          <w:szCs w:val="21"/>
          <w:highlight w:val="none"/>
          <w:lang w:val="en-US" w:eastAsia="zh-CN"/>
        </w:rPr>
        <w:t>应在非雨天和土壤未冻结时检测土壤电阻率和接地电阻值。</w:t>
      </w:r>
    </w:p>
    <w:bookmarkEnd w:id="49"/>
    <w:p>
      <w:pPr>
        <w:pStyle w:val="3"/>
        <w:jc w:val="center"/>
        <w:rPr>
          <w:rFonts w:hint="eastAsia" w:ascii="宋体" w:hAnsi="宋体" w:eastAsia="宋体" w:cs="宋体"/>
          <w:color w:val="auto"/>
          <w:sz w:val="21"/>
          <w:szCs w:val="21"/>
          <w:highlight w:val="none"/>
          <w:lang w:val="en-US" w:eastAsia="zh-CN"/>
        </w:rPr>
      </w:pPr>
      <w:bookmarkStart w:id="55" w:name="_Toc26339"/>
      <w:bookmarkStart w:id="56" w:name="_Toc17440"/>
      <w:bookmarkStart w:id="57" w:name="_Toc27573"/>
      <w:bookmarkStart w:id="58" w:name="_Toc7525"/>
      <w:bookmarkStart w:id="59" w:name="_Toc15567"/>
      <w:bookmarkStart w:id="60" w:name="_Toc31933"/>
      <w:r>
        <w:rPr>
          <w:rFonts w:hint="eastAsia" w:ascii="宋体" w:hAnsi="宋体" w:eastAsia="宋体" w:cs="宋体"/>
          <w:color w:val="auto"/>
          <w:sz w:val="21"/>
          <w:szCs w:val="21"/>
          <w:highlight w:val="none"/>
          <w:lang w:val="en-US" w:eastAsia="zh-CN"/>
        </w:rPr>
        <w:t>4</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2</w:t>
      </w:r>
      <w:r>
        <w:rPr>
          <w:rFonts w:hint="default"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检测部位和检测数量</w:t>
      </w:r>
      <w:bookmarkEnd w:id="55"/>
      <w:bookmarkEnd w:id="56"/>
      <w:bookmarkEnd w:id="57"/>
      <w:bookmarkEnd w:id="58"/>
      <w:bookmarkEnd w:id="59"/>
      <w:bookmarkEnd w:id="60"/>
    </w:p>
    <w:p>
      <w:pP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4.2.1  </w:t>
      </w:r>
      <w:r>
        <w:rPr>
          <w:rFonts w:hint="eastAsia" w:ascii="宋体" w:hAnsi="宋体" w:eastAsia="宋体" w:cs="宋体"/>
          <w:color w:val="auto"/>
          <w:sz w:val="21"/>
          <w:szCs w:val="21"/>
          <w:highlight w:val="none"/>
          <w:lang w:val="en-US" w:eastAsia="zh-CN"/>
        </w:rPr>
        <w:t>接地电阻检测部位应包括防雷接地装置和其他对接地电阻值有要求的部位。</w:t>
      </w:r>
    </w:p>
    <w:p>
      <w:pPr>
        <w:rPr>
          <w:rFonts w:hint="default"/>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4.2.2  </w:t>
      </w:r>
      <w:r>
        <w:rPr>
          <w:rFonts w:hint="eastAsia" w:ascii="宋体" w:hAnsi="宋体" w:eastAsia="宋体" w:cs="宋体"/>
          <w:color w:val="auto"/>
          <w:sz w:val="21"/>
          <w:szCs w:val="21"/>
          <w:highlight w:val="none"/>
          <w:lang w:val="en-US" w:eastAsia="zh-CN"/>
        </w:rPr>
        <w:t>接地装置和其他对接地电阻有要求的部位应全数检测接地电阻。</w:t>
      </w:r>
    </w:p>
    <w:p>
      <w:pPr>
        <w:pStyle w:val="3"/>
        <w:jc w:val="center"/>
        <w:rPr>
          <w:rFonts w:hint="eastAsia" w:ascii="宋体" w:hAnsi="宋体" w:eastAsia="宋体" w:cs="宋体"/>
          <w:color w:val="auto"/>
          <w:sz w:val="21"/>
          <w:szCs w:val="21"/>
          <w:highlight w:val="none"/>
          <w:lang w:val="en-US" w:eastAsia="zh-CN"/>
        </w:rPr>
      </w:pPr>
      <w:bookmarkStart w:id="61" w:name="_Toc22143"/>
      <w:bookmarkStart w:id="62" w:name="_Toc26563"/>
      <w:bookmarkStart w:id="63" w:name="_Toc28482"/>
      <w:bookmarkStart w:id="64" w:name="_Toc13354"/>
      <w:bookmarkStart w:id="65" w:name="_Toc1114"/>
      <w:bookmarkStart w:id="66" w:name="_Toc16480"/>
      <w:r>
        <w:rPr>
          <w:rFonts w:hint="eastAsia" w:ascii="宋体" w:hAnsi="宋体" w:eastAsia="宋体" w:cs="宋体"/>
          <w:color w:val="auto"/>
          <w:sz w:val="21"/>
          <w:szCs w:val="21"/>
          <w:highlight w:val="none"/>
          <w:lang w:val="en-US" w:eastAsia="zh-CN"/>
        </w:rPr>
        <w:t>4.3  检测方法</w:t>
      </w:r>
      <w:bookmarkEnd w:id="61"/>
      <w:bookmarkEnd w:id="62"/>
      <w:bookmarkEnd w:id="63"/>
      <w:bookmarkEnd w:id="64"/>
      <w:bookmarkEnd w:id="65"/>
      <w:bookmarkEnd w:id="66"/>
    </w:p>
    <w:p>
      <w:pP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4.3.1</w:t>
      </w:r>
      <w:r>
        <w:rPr>
          <w:rFonts w:hint="eastAsia" w:ascii="宋体" w:hAnsi="宋体" w:eastAsia="宋体" w:cs="宋体"/>
          <w:color w:val="auto"/>
          <w:sz w:val="21"/>
          <w:szCs w:val="21"/>
          <w:highlight w:val="none"/>
          <w:lang w:val="en-US" w:eastAsia="zh-CN"/>
        </w:rPr>
        <w:t xml:space="preserve">  三极法检测接地电阻的测试设备应符合下列规定：</w:t>
      </w:r>
    </w:p>
    <w:p>
      <w:pPr>
        <w:numPr>
          <w:ilvl w:val="0"/>
          <w:numId w:val="0"/>
        </w:numPr>
        <w:ind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 xml:space="preserve">  测试电流应大于等于20mA；</w:t>
      </w:r>
    </w:p>
    <w:p>
      <w:pPr>
        <w:numPr>
          <w:ilvl w:val="0"/>
          <w:numId w:val="0"/>
        </w:numPr>
        <w:ind w:firstLine="422"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 xml:space="preserve">  最大量程不应小于2000Ω；</w:t>
      </w:r>
    </w:p>
    <w:p>
      <w:pPr>
        <w:numPr>
          <w:ilvl w:val="0"/>
          <w:numId w:val="0"/>
        </w:numPr>
        <w:ind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 xml:space="preserve">  分辨力（d）应小于等于0.01Ω；</w:t>
      </w:r>
    </w:p>
    <w:p>
      <w:pPr>
        <w:numPr>
          <w:ilvl w:val="0"/>
          <w:numId w:val="0"/>
        </w:numPr>
        <w:ind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 xml:space="preserve">  最大允许误差±(5%rdg +2d)。</w:t>
      </w:r>
    </w:p>
    <w:p>
      <w:pPr>
        <w:ind w:firstLine="540" w:firstLineChars="3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18"/>
          <w:szCs w:val="18"/>
          <w:highlight w:val="none"/>
          <w:lang w:val="en-US" w:eastAsia="zh-CN"/>
        </w:rPr>
        <w:t>注：rdg指显示值</w:t>
      </w:r>
    </w:p>
    <w:p>
      <w:pPr>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4.3.2</w:t>
      </w:r>
      <w:r>
        <w:rPr>
          <w:rFonts w:hint="eastAsia" w:ascii="宋体" w:hAnsi="宋体" w:eastAsia="宋体" w:cs="宋体"/>
          <w:color w:val="auto"/>
          <w:sz w:val="21"/>
          <w:szCs w:val="21"/>
          <w:highlight w:val="none"/>
          <w:lang w:val="en-US" w:eastAsia="zh-CN"/>
        </w:rPr>
        <w:t xml:space="preserve">  三极法检测接地电阻应按下列步骤进行：</w:t>
      </w:r>
    </w:p>
    <w:p>
      <w:pPr>
        <w:ind w:firstLine="422"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 xml:space="preserve">  布设地极</w:t>
      </w:r>
    </w:p>
    <w:p>
      <w:pPr>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三极法接地电阻检测需布设3个地极，分别是电压极P、电流极C和接地极G。在地网以外垂直地网的地面布设两个地极。地极布设位置见图4.3.2，从建筑物往外依次是电压极P和电流极C，建筑物各极地装置是接地极G。</w:t>
      </w:r>
      <w:r>
        <w:rPr>
          <w:rFonts w:hint="eastAsia" w:ascii="宋体" w:hAnsi="宋体" w:eastAsia="宋体" w:cs="宋体"/>
          <w:color w:val="auto"/>
          <w:sz w:val="21"/>
          <w:szCs w:val="21"/>
          <w:highlight w:val="none"/>
        </w:rPr>
        <w:t>三极（G、P、C）应布置在一条直线上且垂直于地网。</w:t>
      </w:r>
      <w:r>
        <w:rPr>
          <w:rFonts w:hint="default" w:ascii="宋体" w:hAnsi="宋体" w:eastAsia="宋体" w:cs="宋体"/>
          <w:color w:val="auto"/>
          <w:sz w:val="21"/>
          <w:szCs w:val="21"/>
          <w:highlight w:val="none"/>
          <w:lang w:val="en-US" w:eastAsia="zh-CN"/>
        </w:rPr>
        <w:t>应避免平行布置。</w:t>
      </w:r>
    </w:p>
    <w:p>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测量用的电流极C和电压极P离被测接地装置G边缘的距离为d</w:t>
      </w:r>
      <w:r>
        <w:rPr>
          <w:rFonts w:hint="eastAsia" w:ascii="宋体" w:hAnsi="宋体" w:eastAsia="宋体" w:cs="宋体"/>
          <w:color w:val="auto"/>
          <w:sz w:val="21"/>
          <w:szCs w:val="21"/>
          <w:highlight w:val="none"/>
          <w:vertAlign w:val="subscript"/>
        </w:rPr>
        <w:t>GC</w:t>
      </w:r>
      <w:r>
        <w:rPr>
          <w:rFonts w:hint="eastAsia" w:ascii="宋体" w:hAnsi="宋体" w:eastAsia="宋体" w:cs="宋体"/>
          <w:color w:val="auto"/>
          <w:sz w:val="21"/>
          <w:szCs w:val="21"/>
          <w:highlight w:val="none"/>
        </w:rPr>
        <w:t>=（4～5）D和d</w:t>
      </w:r>
      <w:r>
        <w:rPr>
          <w:rFonts w:hint="eastAsia" w:ascii="宋体" w:hAnsi="宋体" w:eastAsia="宋体" w:cs="宋体"/>
          <w:color w:val="auto"/>
          <w:sz w:val="21"/>
          <w:szCs w:val="21"/>
          <w:highlight w:val="none"/>
          <w:vertAlign w:val="subscript"/>
        </w:rPr>
        <w:t>GP</w:t>
      </w:r>
      <w:r>
        <w:rPr>
          <w:rFonts w:hint="eastAsia" w:ascii="宋体" w:hAnsi="宋体" w:eastAsia="宋体" w:cs="宋体"/>
          <w:color w:val="auto"/>
          <w:sz w:val="21"/>
          <w:szCs w:val="21"/>
          <w:highlight w:val="none"/>
        </w:rPr>
        <w:t>=（0.5～0.6）d</w:t>
      </w:r>
      <w:r>
        <w:rPr>
          <w:rFonts w:hint="eastAsia" w:ascii="宋体" w:hAnsi="宋体" w:eastAsia="宋体" w:cs="宋体"/>
          <w:color w:val="auto"/>
          <w:sz w:val="21"/>
          <w:szCs w:val="21"/>
          <w:highlight w:val="none"/>
          <w:vertAlign w:val="subscript"/>
        </w:rPr>
        <w:t>GC</w:t>
      </w:r>
      <w:r>
        <w:rPr>
          <w:rFonts w:hint="eastAsia" w:ascii="宋体" w:hAnsi="宋体" w:eastAsia="宋体" w:cs="宋体"/>
          <w:color w:val="auto"/>
          <w:sz w:val="21"/>
          <w:szCs w:val="21"/>
          <w:highlight w:val="none"/>
        </w:rPr>
        <w:t>，D为被测接地装置的最大对角线长度，点P可认为是处在实际的零电位区内。</w:t>
      </w:r>
    </w:p>
    <w:p>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w:t>
      </w:r>
      <w:r>
        <w:rPr>
          <w:rFonts w:ascii="宋体" w:hAnsi="宋体" w:eastAsia="宋体" w:cs="宋体"/>
          <w:color w:val="auto"/>
          <w:sz w:val="21"/>
          <w:szCs w:val="21"/>
          <w:highlight w:val="none"/>
        </w:rPr>
        <w:t>d</w:t>
      </w:r>
      <w:r>
        <w:rPr>
          <w:rFonts w:hint="eastAsia" w:ascii="宋体" w:hAnsi="宋体" w:eastAsia="宋体" w:cs="宋体"/>
          <w:color w:val="auto"/>
          <w:sz w:val="21"/>
          <w:szCs w:val="21"/>
          <w:highlight w:val="none"/>
          <w:vertAlign w:val="subscript"/>
        </w:rPr>
        <w:t>GC</w:t>
      </w:r>
      <w:r>
        <w:rPr>
          <w:rFonts w:hint="eastAsia" w:ascii="宋体" w:hAnsi="宋体" w:eastAsia="宋体" w:cs="宋体"/>
          <w:color w:val="auto"/>
          <w:sz w:val="21"/>
          <w:szCs w:val="21"/>
          <w:highlight w:val="none"/>
        </w:rPr>
        <w:t>取（4～5）D值有困难，当接地装置周围的土壤电阻率较均匀时，</w:t>
      </w:r>
      <w:r>
        <w:rPr>
          <w:rFonts w:ascii="宋体" w:hAnsi="宋体" w:eastAsia="宋体" w:cs="宋体"/>
          <w:color w:val="auto"/>
          <w:sz w:val="21"/>
          <w:szCs w:val="21"/>
          <w:highlight w:val="none"/>
        </w:rPr>
        <w:t>d</w:t>
      </w:r>
      <w:r>
        <w:rPr>
          <w:rFonts w:hint="eastAsia" w:ascii="宋体" w:hAnsi="宋体" w:eastAsia="宋体" w:cs="宋体"/>
          <w:color w:val="auto"/>
          <w:sz w:val="21"/>
          <w:szCs w:val="21"/>
          <w:highlight w:val="none"/>
          <w:vertAlign w:val="subscript"/>
        </w:rPr>
        <w:t>GC</w:t>
      </w:r>
      <w:r>
        <w:rPr>
          <w:rFonts w:hint="eastAsia" w:ascii="宋体" w:hAnsi="宋体" w:eastAsia="宋体" w:cs="宋体"/>
          <w:color w:val="auto"/>
          <w:sz w:val="21"/>
          <w:szCs w:val="21"/>
          <w:highlight w:val="none"/>
        </w:rPr>
        <w:t>可取2D值，而</w:t>
      </w:r>
      <w:r>
        <w:rPr>
          <w:rFonts w:ascii="宋体" w:hAnsi="宋体" w:eastAsia="宋体" w:cs="宋体"/>
          <w:color w:val="auto"/>
          <w:sz w:val="21"/>
          <w:szCs w:val="21"/>
          <w:highlight w:val="none"/>
        </w:rPr>
        <w:t>d</w:t>
      </w:r>
      <w:r>
        <w:rPr>
          <w:rFonts w:hint="eastAsia" w:ascii="宋体" w:hAnsi="宋体" w:eastAsia="宋体" w:cs="宋体"/>
          <w:color w:val="auto"/>
          <w:sz w:val="21"/>
          <w:szCs w:val="21"/>
          <w:highlight w:val="none"/>
          <w:vertAlign w:val="subscript"/>
        </w:rPr>
        <w:t>GP</w:t>
      </w:r>
      <w:r>
        <w:rPr>
          <w:rFonts w:hint="eastAsia" w:ascii="宋体" w:hAnsi="宋体" w:eastAsia="宋体" w:cs="宋体"/>
          <w:color w:val="auto"/>
          <w:sz w:val="21"/>
          <w:szCs w:val="21"/>
          <w:highlight w:val="none"/>
        </w:rPr>
        <w:t>取D值；当接地装置周围的土壤电阻率不均匀时，</w:t>
      </w:r>
      <w:r>
        <w:rPr>
          <w:rFonts w:ascii="宋体" w:hAnsi="宋体" w:eastAsia="宋体" w:cs="宋体"/>
          <w:color w:val="auto"/>
          <w:sz w:val="21"/>
          <w:szCs w:val="21"/>
          <w:highlight w:val="none"/>
        </w:rPr>
        <w:t>d</w:t>
      </w:r>
      <w:r>
        <w:rPr>
          <w:rFonts w:hint="eastAsia" w:ascii="宋体" w:hAnsi="宋体" w:eastAsia="宋体" w:cs="宋体"/>
          <w:color w:val="auto"/>
          <w:sz w:val="21"/>
          <w:szCs w:val="21"/>
          <w:highlight w:val="none"/>
          <w:vertAlign w:val="subscript"/>
        </w:rPr>
        <w:t>GC</w:t>
      </w:r>
      <w:r>
        <w:rPr>
          <w:rFonts w:hint="eastAsia" w:ascii="宋体" w:hAnsi="宋体" w:eastAsia="宋体" w:cs="宋体"/>
          <w:color w:val="auto"/>
          <w:sz w:val="21"/>
          <w:szCs w:val="21"/>
          <w:highlight w:val="none"/>
        </w:rPr>
        <w:t>可取3D值。</w:t>
      </w:r>
    </w:p>
    <w:p>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当被测接地装置的面积较大而土壤电阻率不均匀时，为了得到较可信的测试结果，宜将电流极离被测接地装置的距离增大，同时电压极离被测接地装置的距离也相应地增大。</w:t>
      </w:r>
      <w:r>
        <w:rPr>
          <w:rFonts w:hint="eastAsia" w:ascii="宋体" w:hAnsi="宋体" w:eastAsia="宋体" w:cs="宋体"/>
          <w:color w:val="auto"/>
          <w:sz w:val="21"/>
          <w:szCs w:val="21"/>
          <w:highlight w:val="none"/>
          <w:lang w:val="en-US" w:eastAsia="zh-CN"/>
        </w:rPr>
        <w:t xml:space="preserve">     </w:t>
      </w:r>
    </w:p>
    <w:p>
      <w:pPr>
        <w:ind w:firstLine="56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2  </w:t>
      </w:r>
      <w:r>
        <w:rPr>
          <w:rFonts w:hint="eastAsia" w:ascii="宋体" w:hAnsi="宋体" w:eastAsia="宋体" w:cs="宋体"/>
          <w:color w:val="auto"/>
          <w:sz w:val="21"/>
          <w:szCs w:val="21"/>
          <w:highlight w:val="none"/>
          <w:lang w:val="en-US" w:eastAsia="zh-CN"/>
        </w:rPr>
        <w:t>连接三极与接地电阻测试仪。</w:t>
      </w:r>
    </w:p>
    <w:p>
      <w:pPr>
        <w:ind w:firstLine="56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被测防雷装置表面有防腐漆等绝缘保护层时，应清除连接处的保护层。</w:t>
      </w:r>
    </w:p>
    <w:p>
      <w:pPr>
        <w:ind w:firstLine="560"/>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G极连接线长度宜小于5m。当需要加长时，应将实测接地电阻值减去加长线</w:t>
      </w:r>
      <w:r>
        <w:rPr>
          <w:rFonts w:hint="eastAsia" w:ascii="宋体" w:hAnsi="宋体" w:eastAsia="宋体" w:cs="宋体"/>
          <w:color w:val="auto"/>
          <w:sz w:val="21"/>
          <w:szCs w:val="21"/>
          <w:highlight w:val="none"/>
          <w:lang w:val="en-US" w:eastAsia="zh-CN"/>
        </w:rPr>
        <w:t>的电</w:t>
      </w:r>
      <w:r>
        <w:rPr>
          <w:rFonts w:hint="default" w:ascii="宋体" w:hAnsi="宋体" w:eastAsia="宋体" w:cs="宋体"/>
          <w:color w:val="auto"/>
          <w:sz w:val="21"/>
          <w:szCs w:val="21"/>
          <w:highlight w:val="none"/>
          <w:lang w:val="en-US" w:eastAsia="zh-CN"/>
        </w:rPr>
        <w:t>阻值后填入表格。也可采用四</w:t>
      </w:r>
      <w:r>
        <w:rPr>
          <w:rFonts w:hint="eastAsia" w:ascii="宋体" w:hAnsi="宋体" w:eastAsia="宋体" w:cs="宋体"/>
          <w:color w:val="auto"/>
          <w:sz w:val="21"/>
          <w:szCs w:val="21"/>
          <w:highlight w:val="none"/>
          <w:lang w:val="en-US" w:eastAsia="zh-CN"/>
        </w:rPr>
        <w:t>线</w:t>
      </w:r>
      <w:r>
        <w:rPr>
          <w:rFonts w:hint="default" w:ascii="宋体" w:hAnsi="宋体" w:eastAsia="宋体" w:cs="宋体"/>
          <w:color w:val="auto"/>
          <w:sz w:val="21"/>
          <w:szCs w:val="21"/>
          <w:highlight w:val="none"/>
          <w:lang w:val="en-US" w:eastAsia="zh-CN"/>
        </w:rPr>
        <w:t>接地电阻测试仪进行检测。加长线线阻</w:t>
      </w:r>
      <w:r>
        <w:rPr>
          <w:rFonts w:hint="eastAsia" w:ascii="宋体" w:hAnsi="宋体" w:eastAsia="宋体" w:cs="宋体"/>
          <w:color w:val="auto"/>
          <w:sz w:val="21"/>
          <w:szCs w:val="21"/>
          <w:highlight w:val="none"/>
          <w:lang w:val="en-US" w:eastAsia="zh-CN"/>
        </w:rPr>
        <w:t>可</w:t>
      </w:r>
      <w:r>
        <w:rPr>
          <w:rFonts w:hint="default" w:ascii="宋体" w:hAnsi="宋体" w:eastAsia="宋体" w:cs="宋体"/>
          <w:color w:val="auto"/>
          <w:sz w:val="21"/>
          <w:szCs w:val="21"/>
          <w:highlight w:val="none"/>
          <w:lang w:val="en-US" w:eastAsia="zh-CN"/>
        </w:rPr>
        <w:t>用接地电表二极法测量。</w:t>
      </w:r>
    </w:p>
    <w:p>
      <w:pPr>
        <w:ind w:firstLine="56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3  </w:t>
      </w:r>
      <w:r>
        <w:rPr>
          <w:rFonts w:hint="eastAsia" w:ascii="宋体" w:hAnsi="宋体" w:eastAsia="宋体" w:cs="宋体"/>
          <w:color w:val="auto"/>
          <w:sz w:val="21"/>
          <w:szCs w:val="21"/>
          <w:highlight w:val="none"/>
          <w:lang w:val="en-US" w:eastAsia="zh-CN"/>
        </w:rPr>
        <w:t>寻找零电位点。</w:t>
      </w:r>
    </w:p>
    <w:p>
      <w:pPr>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将</w:t>
      </w:r>
      <w:r>
        <w:rPr>
          <w:rFonts w:hint="eastAsia" w:ascii="宋体" w:hAnsi="宋体" w:eastAsia="宋体" w:cs="宋体"/>
          <w:color w:val="auto"/>
          <w:sz w:val="21"/>
          <w:szCs w:val="21"/>
          <w:highlight w:val="none"/>
        </w:rPr>
        <w:t>电压极沿测量用电流极与被测接地装置之间连接线方向移动三次，每次移动的距离约为d</w:t>
      </w:r>
      <w:r>
        <w:rPr>
          <w:rFonts w:hint="eastAsia" w:ascii="宋体" w:hAnsi="宋体" w:eastAsia="宋体" w:cs="宋体"/>
          <w:color w:val="auto"/>
          <w:sz w:val="21"/>
          <w:szCs w:val="21"/>
          <w:highlight w:val="none"/>
          <w:vertAlign w:val="subscript"/>
        </w:rPr>
        <w:t>GC</w:t>
      </w:r>
      <w:r>
        <w:rPr>
          <w:rFonts w:hint="eastAsia" w:ascii="宋体" w:hAnsi="宋体" w:eastAsia="宋体" w:cs="宋体"/>
          <w:color w:val="auto"/>
          <w:sz w:val="21"/>
          <w:szCs w:val="21"/>
          <w:highlight w:val="none"/>
        </w:rPr>
        <w:t>的5%，测量电压极P与接地装置G之间的电压。如果电压表的三次指示值之间的相对误差不超过5%，则可把中间位置作为测量用电压极的位置。</w:t>
      </w:r>
    </w:p>
    <w:p>
      <w:pPr>
        <w:ind w:firstLine="56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4  </w:t>
      </w:r>
      <w:r>
        <w:rPr>
          <w:rFonts w:hint="eastAsia" w:ascii="宋体" w:hAnsi="宋体" w:eastAsia="宋体" w:cs="宋体"/>
          <w:color w:val="auto"/>
          <w:sz w:val="21"/>
          <w:szCs w:val="21"/>
          <w:highlight w:val="none"/>
          <w:lang w:val="en-US" w:eastAsia="zh-CN"/>
        </w:rPr>
        <w:t>测试接地电阻值，记录测试部位和电阻值。</w:t>
      </w:r>
    </w:p>
    <w:p>
      <w:pPr>
        <w:ind w:firstLine="56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将地极接线依次连接各接地装置，测试接地电阻值。</w:t>
      </w:r>
    </w:p>
    <w:p>
      <w:pPr>
        <w:ind w:firstLine="56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5  </w:t>
      </w:r>
      <w:r>
        <w:rPr>
          <w:rFonts w:hint="eastAsia" w:ascii="宋体" w:hAnsi="宋体" w:eastAsia="宋体" w:cs="宋体"/>
          <w:color w:val="auto"/>
          <w:sz w:val="21"/>
          <w:szCs w:val="21"/>
          <w:highlight w:val="none"/>
          <w:lang w:val="en-US" w:eastAsia="zh-CN"/>
        </w:rPr>
        <w:t>出现异常大值，应排除接触不良导致的结果偏大。</w:t>
      </w:r>
    </w:p>
    <w:p>
      <w:pPr>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drawing>
          <wp:inline distT="0" distB="0" distL="114300" distR="114300">
            <wp:extent cx="5276850" cy="1592580"/>
            <wp:effectExtent l="0" t="0" r="6350" b="7620"/>
            <wp:docPr id="4" name="图片 4" descr="1741658608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41658608615"/>
                    <pic:cNvPicPr>
                      <a:picLocks noChangeAspect="1"/>
                    </pic:cNvPicPr>
                  </pic:nvPicPr>
                  <pic:blipFill>
                    <a:blip r:embed="rId8"/>
                    <a:stretch>
                      <a:fillRect/>
                    </a:stretch>
                  </pic:blipFill>
                  <pic:spPr>
                    <a:xfrm>
                      <a:off x="0" y="0"/>
                      <a:ext cx="5276850" cy="1592580"/>
                    </a:xfrm>
                    <a:prstGeom prst="rect">
                      <a:avLst/>
                    </a:prstGeom>
                  </pic:spPr>
                </pic:pic>
              </a:graphicData>
            </a:graphic>
          </wp:inline>
        </w:drawing>
      </w:r>
    </w:p>
    <w:p>
      <w:pPr>
        <w:ind w:firstLine="560"/>
        <w:rPr>
          <w:rFonts w:hint="eastAsia" w:ascii="宋体" w:hAnsi="宋体" w:eastAsia="宋体" w:cs="宋体"/>
          <w:color w:val="auto"/>
          <w:sz w:val="21"/>
          <w:szCs w:val="21"/>
          <w:highlight w:val="none"/>
          <w:lang w:val="en-US" w:eastAsia="zh-CN"/>
        </w:rPr>
      </w:pPr>
    </w:p>
    <w:p>
      <w:pPr>
        <w:ind w:firstLine="56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图</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3.2</w:t>
      </w:r>
      <w:r>
        <w:rPr>
          <w:rFonts w:hint="eastAsia" w:ascii="宋体" w:hAnsi="宋体" w:eastAsia="宋体" w:cs="宋体"/>
          <w:color w:val="auto"/>
          <w:sz w:val="21"/>
          <w:szCs w:val="21"/>
          <w:highlight w:val="none"/>
        </w:rPr>
        <w:t xml:space="preserve"> 三极法的接线原理图</w:t>
      </w:r>
    </w:p>
    <w:p>
      <w:pPr>
        <w:ind w:left="0" w:leftChars="0" w:firstLine="168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G—被测接地装置；P—测量用的电压极；C—测量用的电流极；</w:t>
      </w:r>
    </w:p>
    <w:p>
      <w:pPr>
        <w:ind w:left="0" w:leftChars="0" w:firstLine="168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E—测量用的工频电流；A—交流电流表；V—交流电压表；</w:t>
      </w:r>
    </w:p>
    <w:p>
      <w:pPr>
        <w:ind w:left="0" w:leftChars="0" w:firstLine="168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D—被测接地装置的最大对角线长度</w:t>
      </w:r>
    </w:p>
    <w:p>
      <w:pPr>
        <w:pStyle w:val="22"/>
        <w:ind w:firstLine="420"/>
        <w:jc w:val="center"/>
        <w:rPr>
          <w:rFonts w:hint="eastAsia" w:ascii="宋体" w:hAnsi="宋体" w:eastAsia="宋体" w:cs="宋体"/>
          <w:color w:val="auto"/>
          <w:sz w:val="21"/>
          <w:szCs w:val="21"/>
          <w:highlight w:val="none"/>
        </w:rPr>
      </w:pPr>
    </w:p>
    <w:p>
      <w:pPr>
        <w:ind w:firstLine="0" w:firstLineChars="0"/>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4.3.3  </w:t>
      </w:r>
      <w:r>
        <w:rPr>
          <w:rFonts w:hint="eastAsia" w:ascii="宋体" w:hAnsi="宋体" w:eastAsia="宋体" w:cs="宋体"/>
          <w:color w:val="auto"/>
          <w:sz w:val="21"/>
          <w:szCs w:val="21"/>
          <w:highlight w:val="none"/>
        </w:rPr>
        <w:t>测量大型接地</w:t>
      </w:r>
      <w:r>
        <w:rPr>
          <w:rFonts w:hint="eastAsia" w:ascii="宋体" w:hAnsi="宋体" w:eastAsia="宋体" w:cs="宋体"/>
          <w:color w:val="auto"/>
          <w:sz w:val="21"/>
          <w:szCs w:val="21"/>
          <w:highlight w:val="none"/>
          <w:lang w:val="en-US" w:eastAsia="zh-CN"/>
        </w:rPr>
        <w:t>装置的接地电阻</w:t>
      </w:r>
      <w:r>
        <w:rPr>
          <w:rFonts w:hint="eastAsia" w:ascii="宋体" w:hAnsi="宋体" w:eastAsia="宋体" w:cs="宋体"/>
          <w:color w:val="auto"/>
          <w:sz w:val="21"/>
          <w:szCs w:val="21"/>
          <w:highlight w:val="none"/>
        </w:rPr>
        <w:t>时，应选用大电流接地电阻测试仪。</w:t>
      </w:r>
    </w:p>
    <w:p>
      <w:pPr>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4.3.4  </w:t>
      </w:r>
      <w:r>
        <w:rPr>
          <w:rFonts w:hint="default" w:ascii="宋体" w:hAnsi="宋体" w:eastAsia="宋体" w:cs="宋体"/>
          <w:color w:val="auto"/>
          <w:sz w:val="21"/>
          <w:szCs w:val="21"/>
          <w:highlight w:val="none"/>
          <w:lang w:val="en-US" w:eastAsia="zh-CN"/>
        </w:rPr>
        <w:t>当引下线暗敷且未设断接卡而与接地装置直接连接时，可在引下线与接地装置不断开的情况下对防雷装置电气通路和工频接地电阻值进行检测。其检测方法是：当被测建筑物是用多根暗敷引下线接至接地装置时，应选取每根暗敷引下线为测试点测量接地电阻值，每一检测点作为待测接地极G＇，由G＇将连接导线引至接地电阻仪，然后按仪器说明书的使用方法测试。</w:t>
      </w:r>
    </w:p>
    <w:p>
      <w:pPr>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4.3.5  </w:t>
      </w:r>
      <w:r>
        <w:rPr>
          <w:rFonts w:hint="default" w:ascii="宋体" w:hAnsi="宋体" w:eastAsia="宋体" w:cs="宋体"/>
          <w:color w:val="auto"/>
          <w:sz w:val="21"/>
          <w:szCs w:val="21"/>
          <w:highlight w:val="none"/>
          <w:lang w:val="en-US" w:eastAsia="zh-CN"/>
        </w:rPr>
        <w:t>在测量过程中由于杂散电流、工频漏流、高频干扰等因素，使接地电阻表出现读数不稳定时，可将G极连线改成屏蔽线（屏蔽层下端应单独接地）</w:t>
      </w:r>
      <w:r>
        <w:rPr>
          <w:rFonts w:hint="eastAsia" w:ascii="宋体" w:hAnsi="宋体" w:eastAsia="宋体" w:cs="宋体"/>
          <w:color w:val="auto"/>
          <w:sz w:val="21"/>
          <w:szCs w:val="21"/>
          <w:highlight w:val="none"/>
          <w:lang w:val="en-US" w:eastAsia="zh-CN"/>
        </w:rPr>
        <w:t>或</w:t>
      </w:r>
      <w:r>
        <w:rPr>
          <w:rFonts w:hint="default" w:ascii="宋体" w:hAnsi="宋体" w:eastAsia="宋体" w:cs="宋体"/>
          <w:color w:val="auto"/>
          <w:sz w:val="21"/>
          <w:szCs w:val="21"/>
          <w:highlight w:val="none"/>
          <w:lang w:val="en-US" w:eastAsia="zh-CN"/>
        </w:rPr>
        <w:t>选用能够改变测试频率、采用具有选频放大器或窄带滤波器的接地电阻表检测，以提高其抗干扰的能力。</w:t>
      </w:r>
    </w:p>
    <w:p>
      <w:pPr>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4.3.6  </w:t>
      </w:r>
      <w:r>
        <w:rPr>
          <w:rFonts w:hint="default" w:ascii="宋体" w:hAnsi="宋体" w:eastAsia="宋体" w:cs="宋体"/>
          <w:color w:val="auto"/>
          <w:sz w:val="21"/>
          <w:szCs w:val="21"/>
          <w:highlight w:val="none"/>
          <w:lang w:val="en-US" w:eastAsia="zh-CN"/>
        </w:rPr>
        <w:t>当地网带电影响检测时，应查明地网带电原因，在</w:t>
      </w:r>
      <w:r>
        <w:rPr>
          <w:rFonts w:hint="eastAsia" w:ascii="宋体" w:hAnsi="宋体" w:eastAsia="宋体" w:cs="宋体"/>
          <w:color w:val="auto"/>
          <w:sz w:val="21"/>
          <w:szCs w:val="21"/>
          <w:highlight w:val="none"/>
          <w:lang w:val="en-US" w:eastAsia="zh-CN"/>
        </w:rPr>
        <w:t>排除</w:t>
      </w:r>
      <w:r>
        <w:rPr>
          <w:rFonts w:hint="default" w:ascii="宋体" w:hAnsi="宋体" w:eastAsia="宋体" w:cs="宋体"/>
          <w:color w:val="auto"/>
          <w:sz w:val="21"/>
          <w:szCs w:val="21"/>
          <w:highlight w:val="none"/>
          <w:lang w:val="en-US" w:eastAsia="zh-CN"/>
        </w:rPr>
        <w:t>带电问题之后</w:t>
      </w:r>
      <w:r>
        <w:rPr>
          <w:rFonts w:hint="eastAsia" w:ascii="宋体" w:hAnsi="宋体" w:eastAsia="宋体" w:cs="宋体"/>
          <w:color w:val="auto"/>
          <w:sz w:val="21"/>
          <w:szCs w:val="21"/>
          <w:highlight w:val="none"/>
          <w:lang w:val="en-US" w:eastAsia="zh-CN"/>
        </w:rPr>
        <w:t>再进行</w:t>
      </w:r>
      <w:r>
        <w:rPr>
          <w:rFonts w:hint="default" w:ascii="宋体" w:hAnsi="宋体" w:eastAsia="宋体" w:cs="宋体"/>
          <w:color w:val="auto"/>
          <w:sz w:val="21"/>
          <w:szCs w:val="21"/>
          <w:highlight w:val="none"/>
          <w:lang w:val="en-US" w:eastAsia="zh-CN"/>
        </w:rPr>
        <w:t>测量</w:t>
      </w:r>
      <w:r>
        <w:rPr>
          <w:rFonts w:hint="eastAsia" w:ascii="宋体" w:hAnsi="宋体" w:eastAsia="宋体" w:cs="宋体"/>
          <w:color w:val="auto"/>
          <w:sz w:val="21"/>
          <w:szCs w:val="21"/>
          <w:highlight w:val="none"/>
          <w:lang w:val="en-US" w:eastAsia="zh-CN"/>
        </w:rPr>
        <w:t>或</w:t>
      </w:r>
      <w:r>
        <w:rPr>
          <w:rFonts w:hint="default" w:ascii="宋体" w:hAnsi="宋体" w:eastAsia="宋体" w:cs="宋体"/>
          <w:color w:val="auto"/>
          <w:sz w:val="21"/>
          <w:szCs w:val="21"/>
          <w:highlight w:val="none"/>
          <w:lang w:val="en-US" w:eastAsia="zh-CN"/>
        </w:rPr>
        <w:t>改变检测位置进行测量。</w:t>
      </w:r>
    </w:p>
    <w:p>
      <w:pPr>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4.3.7  </w:t>
      </w:r>
      <w:r>
        <w:rPr>
          <w:rFonts w:hint="eastAsia" w:ascii="宋体" w:hAnsi="宋体" w:eastAsia="宋体" w:cs="宋体"/>
          <w:b w:val="0"/>
          <w:bCs w:val="0"/>
          <w:color w:val="auto"/>
          <w:sz w:val="21"/>
          <w:szCs w:val="21"/>
          <w:highlight w:val="none"/>
          <w:lang w:val="en-US" w:eastAsia="zh-CN"/>
        </w:rPr>
        <w:t>应排除影响</w:t>
      </w:r>
      <w:r>
        <w:rPr>
          <w:rFonts w:hint="default" w:ascii="宋体" w:hAnsi="宋体" w:eastAsia="宋体" w:cs="宋体"/>
          <w:color w:val="auto"/>
          <w:sz w:val="21"/>
          <w:szCs w:val="21"/>
          <w:highlight w:val="none"/>
          <w:lang w:val="en-US" w:eastAsia="zh-CN"/>
        </w:rPr>
        <w:t>接地电阻测量</w:t>
      </w:r>
      <w:r>
        <w:rPr>
          <w:rFonts w:hint="eastAsia" w:ascii="宋体" w:hAnsi="宋体" w:eastAsia="宋体" w:cs="宋体"/>
          <w:color w:val="auto"/>
          <w:sz w:val="21"/>
          <w:szCs w:val="21"/>
          <w:highlight w:val="none"/>
          <w:lang w:val="en-US" w:eastAsia="zh-CN"/>
        </w:rPr>
        <w:t>结果准确度</w:t>
      </w:r>
      <w:r>
        <w:rPr>
          <w:rFonts w:hint="default"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因素，</w:t>
      </w:r>
      <w:r>
        <w:rPr>
          <w:rFonts w:hint="eastAsia" w:ascii="宋体" w:hAnsi="宋体" w:eastAsia="宋体" w:cs="宋体"/>
          <w:strike w:val="0"/>
          <w:color w:val="auto"/>
          <w:sz w:val="21"/>
          <w:szCs w:val="21"/>
          <w:highlight w:val="none"/>
          <w:lang w:val="en-US" w:eastAsia="zh-CN"/>
        </w:rPr>
        <w:t>包括但不限于下列方面</w:t>
      </w:r>
      <w:r>
        <w:rPr>
          <w:rFonts w:hint="default" w:ascii="宋体" w:hAnsi="宋体" w:eastAsia="宋体" w:cs="宋体"/>
          <w:color w:val="auto"/>
          <w:sz w:val="21"/>
          <w:szCs w:val="21"/>
          <w:highlight w:val="none"/>
          <w:lang w:val="en-US" w:eastAsia="zh-CN"/>
        </w:rPr>
        <w:t>：</w:t>
      </w:r>
    </w:p>
    <w:p>
      <w:pPr>
        <w:ind w:firstLine="422"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 xml:space="preserve">  布设地极时应避开</w:t>
      </w:r>
      <w:r>
        <w:rPr>
          <w:rFonts w:hint="default" w:ascii="宋体" w:hAnsi="宋体" w:eastAsia="宋体" w:cs="宋体"/>
          <w:color w:val="auto"/>
          <w:sz w:val="21"/>
          <w:szCs w:val="21"/>
          <w:highlight w:val="none"/>
          <w:lang w:val="en-US" w:eastAsia="zh-CN"/>
        </w:rPr>
        <w:t>架空</w:t>
      </w:r>
      <w:r>
        <w:rPr>
          <w:rFonts w:hint="eastAsia" w:ascii="宋体" w:hAnsi="宋体" w:eastAsia="宋体" w:cs="宋体"/>
          <w:color w:val="auto"/>
          <w:sz w:val="21"/>
          <w:szCs w:val="21"/>
          <w:highlight w:val="none"/>
          <w:lang w:val="en-US" w:eastAsia="zh-CN"/>
        </w:rPr>
        <w:t>电</w:t>
      </w:r>
      <w:r>
        <w:rPr>
          <w:rFonts w:hint="default" w:ascii="宋体" w:hAnsi="宋体" w:eastAsia="宋体" w:cs="宋体"/>
          <w:color w:val="auto"/>
          <w:sz w:val="21"/>
          <w:szCs w:val="21"/>
          <w:highlight w:val="none"/>
          <w:lang w:val="en-US" w:eastAsia="zh-CN"/>
        </w:rPr>
        <w:t>线、地下水管</w:t>
      </w:r>
      <w:r>
        <w:rPr>
          <w:rFonts w:hint="eastAsia" w:ascii="宋体" w:hAnsi="宋体" w:eastAsia="宋体" w:cs="宋体"/>
          <w:color w:val="auto"/>
          <w:sz w:val="21"/>
          <w:szCs w:val="21"/>
          <w:highlight w:val="none"/>
          <w:lang w:val="en-US" w:eastAsia="zh-CN"/>
        </w:rPr>
        <w:t>和</w:t>
      </w:r>
      <w:r>
        <w:rPr>
          <w:rFonts w:hint="default" w:ascii="宋体" w:hAnsi="宋体" w:eastAsia="宋体" w:cs="宋体"/>
          <w:color w:val="auto"/>
          <w:sz w:val="21"/>
          <w:szCs w:val="21"/>
          <w:highlight w:val="none"/>
          <w:lang w:val="en-US" w:eastAsia="zh-CN"/>
        </w:rPr>
        <w:t>电缆</w:t>
      </w:r>
      <w:r>
        <w:rPr>
          <w:rFonts w:hint="eastAsia" w:ascii="宋体" w:hAnsi="宋体" w:eastAsia="宋体" w:cs="宋体"/>
          <w:color w:val="auto"/>
          <w:sz w:val="21"/>
          <w:szCs w:val="21"/>
          <w:highlight w:val="none"/>
          <w:lang w:val="en-US" w:eastAsia="zh-CN"/>
        </w:rPr>
        <w:t>，检测前掌握土壤结构。当土壤结构不均匀时，应</w:t>
      </w:r>
      <w:r>
        <w:rPr>
          <w:rFonts w:hint="default" w:ascii="宋体" w:hAnsi="宋体" w:eastAsia="宋体" w:cs="宋体"/>
          <w:color w:val="auto"/>
          <w:sz w:val="21"/>
          <w:szCs w:val="21"/>
          <w:highlight w:val="none"/>
          <w:lang w:val="en-US" w:eastAsia="zh-CN"/>
        </w:rPr>
        <w:t>取不同的点进行测试，取平均值</w:t>
      </w:r>
      <w:r>
        <w:rPr>
          <w:rFonts w:hint="eastAsia" w:ascii="宋体" w:hAnsi="宋体" w:eastAsia="宋体" w:cs="宋体"/>
          <w:color w:val="auto"/>
          <w:sz w:val="21"/>
          <w:szCs w:val="21"/>
          <w:highlight w:val="none"/>
          <w:lang w:val="en-US" w:eastAsia="zh-CN"/>
        </w:rPr>
        <w:t>，以减小</w:t>
      </w:r>
      <w:r>
        <w:rPr>
          <w:rFonts w:hint="default" w:ascii="宋体" w:hAnsi="宋体" w:eastAsia="宋体" w:cs="宋体"/>
          <w:color w:val="auto"/>
          <w:sz w:val="21"/>
          <w:szCs w:val="21"/>
          <w:highlight w:val="none"/>
          <w:lang w:val="en-US" w:eastAsia="zh-CN"/>
        </w:rPr>
        <w:t>地网周围土壤构成</w:t>
      </w:r>
      <w:r>
        <w:rPr>
          <w:rFonts w:hint="eastAsia" w:ascii="宋体" w:hAnsi="宋体" w:eastAsia="宋体" w:cs="宋体"/>
          <w:color w:val="auto"/>
          <w:sz w:val="21"/>
          <w:szCs w:val="21"/>
          <w:highlight w:val="none"/>
          <w:lang w:val="en-US" w:eastAsia="zh-CN"/>
        </w:rPr>
        <w:t>、密实度</w:t>
      </w:r>
      <w:r>
        <w:rPr>
          <w:rFonts w:hint="default" w:ascii="宋体" w:hAnsi="宋体" w:eastAsia="宋体" w:cs="宋体"/>
          <w:color w:val="auto"/>
          <w:sz w:val="21"/>
          <w:szCs w:val="21"/>
          <w:highlight w:val="none"/>
          <w:lang w:val="en-US" w:eastAsia="zh-CN"/>
        </w:rPr>
        <w:t>，干湿程度</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地表面杂散电流</w:t>
      </w:r>
      <w:r>
        <w:rPr>
          <w:rFonts w:hint="eastAsia" w:ascii="宋体" w:hAnsi="宋体" w:eastAsia="宋体" w:cs="宋体"/>
          <w:color w:val="auto"/>
          <w:sz w:val="21"/>
          <w:szCs w:val="21"/>
          <w:highlight w:val="none"/>
          <w:lang w:val="en-US" w:eastAsia="zh-CN"/>
        </w:rPr>
        <w:t>对检测结果的影响；</w:t>
      </w:r>
    </w:p>
    <w:p>
      <w:pPr>
        <w:ind w:firstLine="422"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 xml:space="preserve">  应</w:t>
      </w:r>
      <w:r>
        <w:rPr>
          <w:rFonts w:hint="default" w:ascii="宋体" w:hAnsi="宋体" w:eastAsia="宋体" w:cs="宋体"/>
          <w:color w:val="auto"/>
          <w:sz w:val="21"/>
          <w:szCs w:val="21"/>
          <w:highlight w:val="none"/>
          <w:lang w:val="en-US" w:eastAsia="zh-CN"/>
        </w:rPr>
        <w:t>找准测试方向</w:t>
      </w:r>
      <w:r>
        <w:rPr>
          <w:rFonts w:hint="eastAsia" w:ascii="宋体" w:hAnsi="宋体" w:eastAsia="宋体" w:cs="宋体"/>
          <w:color w:val="auto"/>
          <w:sz w:val="21"/>
          <w:szCs w:val="21"/>
          <w:highlight w:val="none"/>
          <w:lang w:val="en-US" w:eastAsia="zh-CN"/>
        </w:rPr>
        <w:t>，按要求设置电压极和电流极与接地极的</w:t>
      </w:r>
      <w:r>
        <w:rPr>
          <w:rFonts w:hint="default" w:ascii="宋体" w:hAnsi="宋体" w:eastAsia="宋体" w:cs="宋体"/>
          <w:color w:val="auto"/>
          <w:sz w:val="21"/>
          <w:szCs w:val="21"/>
          <w:highlight w:val="none"/>
          <w:lang w:val="en-US" w:eastAsia="zh-CN"/>
        </w:rPr>
        <w:t>距离</w:t>
      </w:r>
      <w:r>
        <w:rPr>
          <w:rFonts w:hint="eastAsia" w:ascii="宋体" w:hAnsi="宋体" w:eastAsia="宋体" w:cs="宋体"/>
          <w:color w:val="auto"/>
          <w:sz w:val="21"/>
          <w:szCs w:val="21"/>
          <w:highlight w:val="none"/>
          <w:lang w:val="en-US" w:eastAsia="zh-CN"/>
        </w:rPr>
        <w:t>，防止因</w:t>
      </w:r>
      <w:r>
        <w:rPr>
          <w:rFonts w:hint="default" w:ascii="宋体" w:hAnsi="宋体" w:eastAsia="宋体" w:cs="宋体"/>
          <w:color w:val="auto"/>
          <w:sz w:val="21"/>
          <w:szCs w:val="21"/>
          <w:highlight w:val="none"/>
          <w:lang w:val="en-US" w:eastAsia="zh-CN"/>
        </w:rPr>
        <w:t>测试线方向不对，</w:t>
      </w:r>
      <w:r>
        <w:rPr>
          <w:rFonts w:hint="eastAsia" w:ascii="宋体" w:hAnsi="宋体" w:eastAsia="宋体" w:cs="宋体"/>
          <w:color w:val="auto"/>
          <w:sz w:val="21"/>
          <w:szCs w:val="21"/>
          <w:highlight w:val="none"/>
          <w:lang w:val="en-US" w:eastAsia="zh-CN"/>
        </w:rPr>
        <w:t>距离</w:t>
      </w:r>
      <w:r>
        <w:rPr>
          <w:rFonts w:hint="default" w:ascii="宋体" w:hAnsi="宋体" w:eastAsia="宋体" w:cs="宋体"/>
          <w:color w:val="auto"/>
          <w:sz w:val="21"/>
          <w:szCs w:val="21"/>
          <w:highlight w:val="none"/>
          <w:lang w:val="en-US" w:eastAsia="zh-CN"/>
        </w:rPr>
        <w:t>不够长</w:t>
      </w:r>
      <w:r>
        <w:rPr>
          <w:rFonts w:hint="eastAsia" w:ascii="宋体" w:hAnsi="宋体" w:eastAsia="宋体" w:cs="宋体"/>
          <w:color w:val="auto"/>
          <w:sz w:val="21"/>
          <w:szCs w:val="21"/>
          <w:highlight w:val="none"/>
          <w:lang w:val="en-US" w:eastAsia="zh-CN"/>
        </w:rPr>
        <w:t>而影响检测结果；</w:t>
      </w:r>
    </w:p>
    <w:p>
      <w:pPr>
        <w:ind w:firstLine="422"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3  </w:t>
      </w:r>
      <w:r>
        <w:rPr>
          <w:rFonts w:hint="eastAsia" w:ascii="宋体" w:hAnsi="宋体" w:eastAsia="宋体" w:cs="宋体"/>
          <w:b w:val="0"/>
          <w:bCs w:val="0"/>
          <w:color w:val="auto"/>
          <w:sz w:val="21"/>
          <w:szCs w:val="21"/>
          <w:highlight w:val="none"/>
          <w:lang w:val="en-US" w:eastAsia="zh-CN"/>
        </w:rPr>
        <w:t>当</w:t>
      </w:r>
      <w:r>
        <w:rPr>
          <w:rFonts w:hint="default" w:ascii="宋体" w:hAnsi="宋体" w:eastAsia="宋体" w:cs="宋体"/>
          <w:color w:val="auto"/>
          <w:sz w:val="21"/>
          <w:szCs w:val="21"/>
          <w:highlight w:val="none"/>
          <w:lang w:val="en-US" w:eastAsia="zh-CN"/>
        </w:rPr>
        <w:t>辅助接地极电阻过大</w:t>
      </w:r>
      <w:r>
        <w:rPr>
          <w:rFonts w:hint="eastAsia" w:ascii="宋体" w:hAnsi="宋体" w:eastAsia="宋体" w:cs="宋体"/>
          <w:color w:val="auto"/>
          <w:sz w:val="21"/>
          <w:szCs w:val="21"/>
          <w:highlight w:val="none"/>
          <w:lang w:val="en-US" w:eastAsia="zh-CN"/>
        </w:rPr>
        <w:t>时，可</w:t>
      </w:r>
      <w:r>
        <w:rPr>
          <w:rFonts w:hint="default" w:ascii="宋体" w:hAnsi="宋体" w:eastAsia="宋体" w:cs="宋体"/>
          <w:color w:val="auto"/>
          <w:sz w:val="21"/>
          <w:szCs w:val="21"/>
          <w:highlight w:val="none"/>
          <w:lang w:val="en-US" w:eastAsia="zh-CN"/>
        </w:rPr>
        <w:t>地</w:t>
      </w:r>
      <w:r>
        <w:rPr>
          <w:rFonts w:hint="eastAsia" w:ascii="宋体" w:hAnsi="宋体" w:eastAsia="宋体" w:cs="宋体"/>
          <w:color w:val="auto"/>
          <w:sz w:val="21"/>
          <w:szCs w:val="21"/>
          <w:highlight w:val="none"/>
          <w:lang w:val="en-US" w:eastAsia="zh-CN"/>
        </w:rPr>
        <w:t>极</w:t>
      </w:r>
      <w:r>
        <w:rPr>
          <w:rFonts w:hint="default" w:ascii="宋体" w:hAnsi="宋体" w:eastAsia="宋体" w:cs="宋体"/>
          <w:color w:val="auto"/>
          <w:sz w:val="21"/>
          <w:szCs w:val="21"/>
          <w:highlight w:val="none"/>
          <w:lang w:val="en-US" w:eastAsia="zh-CN"/>
        </w:rPr>
        <w:t>处泼水或使用降阻剂降低电流极的接触电阻</w:t>
      </w:r>
      <w:r>
        <w:rPr>
          <w:rFonts w:hint="eastAsia" w:ascii="宋体" w:hAnsi="宋体" w:eastAsia="宋体" w:cs="宋体"/>
          <w:color w:val="auto"/>
          <w:sz w:val="21"/>
          <w:szCs w:val="21"/>
          <w:highlight w:val="none"/>
          <w:lang w:val="en-US" w:eastAsia="zh-CN"/>
        </w:rPr>
        <w:t>；</w:t>
      </w:r>
    </w:p>
    <w:p>
      <w:pPr>
        <w:ind w:firstLine="422"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4  </w:t>
      </w:r>
      <w:r>
        <w:rPr>
          <w:rFonts w:hint="default" w:ascii="宋体" w:hAnsi="宋体" w:eastAsia="宋体" w:cs="宋体"/>
          <w:color w:val="auto"/>
          <w:sz w:val="21"/>
          <w:szCs w:val="21"/>
          <w:highlight w:val="none"/>
          <w:lang w:val="en-US" w:eastAsia="zh-CN"/>
        </w:rPr>
        <w:t>测试夹与电极间</w:t>
      </w:r>
      <w:r>
        <w:rPr>
          <w:rFonts w:hint="eastAsia" w:ascii="宋体" w:hAnsi="宋体" w:eastAsia="宋体" w:cs="宋体"/>
          <w:b w:val="0"/>
          <w:bCs w:val="0"/>
          <w:color w:val="auto"/>
          <w:sz w:val="21"/>
          <w:szCs w:val="21"/>
          <w:highlight w:val="none"/>
          <w:lang w:val="en-US" w:eastAsia="zh-CN"/>
        </w:rPr>
        <w:t>应</w:t>
      </w:r>
      <w:r>
        <w:rPr>
          <w:rFonts w:hint="default" w:ascii="宋体" w:hAnsi="宋体" w:eastAsia="宋体" w:cs="宋体"/>
          <w:color w:val="auto"/>
          <w:sz w:val="21"/>
          <w:szCs w:val="21"/>
          <w:highlight w:val="none"/>
          <w:lang w:val="en-US" w:eastAsia="zh-CN"/>
        </w:rPr>
        <w:t>接触</w:t>
      </w:r>
      <w:r>
        <w:rPr>
          <w:rFonts w:hint="eastAsia" w:ascii="宋体" w:hAnsi="宋体" w:eastAsia="宋体" w:cs="宋体"/>
          <w:color w:val="auto"/>
          <w:sz w:val="21"/>
          <w:szCs w:val="21"/>
          <w:highlight w:val="none"/>
          <w:lang w:val="en-US" w:eastAsia="zh-CN"/>
        </w:rPr>
        <w:t>良好，防止接触</w:t>
      </w:r>
      <w:r>
        <w:rPr>
          <w:rFonts w:hint="default" w:ascii="宋体" w:hAnsi="宋体" w:eastAsia="宋体" w:cs="宋体"/>
          <w:color w:val="auto"/>
          <w:sz w:val="21"/>
          <w:szCs w:val="21"/>
          <w:highlight w:val="none"/>
          <w:lang w:val="en-US" w:eastAsia="zh-CN"/>
        </w:rPr>
        <w:t>电阻过大</w:t>
      </w:r>
      <w:r>
        <w:rPr>
          <w:rFonts w:hint="eastAsia" w:ascii="宋体" w:hAnsi="宋体" w:eastAsia="宋体" w:cs="宋体"/>
          <w:color w:val="auto"/>
          <w:sz w:val="21"/>
          <w:szCs w:val="21"/>
          <w:highlight w:val="none"/>
          <w:lang w:val="en-US" w:eastAsia="zh-CN"/>
        </w:rPr>
        <w:t>；</w:t>
      </w:r>
    </w:p>
    <w:p>
      <w:pPr>
        <w:ind w:firstLine="422"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 xml:space="preserve">  当现场</w:t>
      </w:r>
      <w:r>
        <w:rPr>
          <w:rFonts w:hint="default" w:ascii="宋体" w:hAnsi="宋体" w:eastAsia="宋体" w:cs="宋体"/>
          <w:color w:val="auto"/>
          <w:sz w:val="21"/>
          <w:szCs w:val="21"/>
          <w:highlight w:val="none"/>
          <w:lang w:val="en-US" w:eastAsia="zh-CN"/>
        </w:rPr>
        <w:t>干扰影响</w:t>
      </w:r>
      <w:r>
        <w:rPr>
          <w:rFonts w:hint="eastAsia" w:ascii="宋体" w:hAnsi="宋体" w:eastAsia="宋体" w:cs="宋体"/>
          <w:color w:val="auto"/>
          <w:sz w:val="21"/>
          <w:szCs w:val="21"/>
          <w:highlight w:val="none"/>
          <w:lang w:val="en-US" w:eastAsia="zh-CN"/>
        </w:rPr>
        <w:t>检测结果时，应</w:t>
      </w:r>
      <w:r>
        <w:rPr>
          <w:rFonts w:hint="default" w:ascii="宋体" w:hAnsi="宋体" w:eastAsia="宋体" w:cs="宋体"/>
          <w:color w:val="auto"/>
          <w:sz w:val="21"/>
          <w:szCs w:val="21"/>
          <w:highlight w:val="none"/>
          <w:lang w:val="en-US" w:eastAsia="zh-CN"/>
        </w:rPr>
        <w:t>调整放线，尽量避开干扰大的方向</w:t>
      </w:r>
      <w:r>
        <w:rPr>
          <w:rFonts w:hint="eastAsia" w:ascii="宋体" w:hAnsi="宋体" w:eastAsia="宋体" w:cs="宋体"/>
          <w:color w:val="auto"/>
          <w:sz w:val="21"/>
          <w:szCs w:val="21"/>
          <w:highlight w:val="none"/>
          <w:lang w:val="en-US" w:eastAsia="zh-CN"/>
        </w:rPr>
        <w:t>；</w:t>
      </w:r>
    </w:p>
    <w:p>
      <w:pPr>
        <w:ind w:firstLine="422"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 xml:space="preserve">  </w:t>
      </w:r>
      <w:r>
        <w:rPr>
          <w:rFonts w:hint="default" w:ascii="宋体" w:hAnsi="宋体" w:eastAsia="宋体" w:cs="宋体"/>
          <w:color w:val="auto"/>
          <w:sz w:val="21"/>
          <w:szCs w:val="21"/>
          <w:highlight w:val="none"/>
          <w:lang w:val="en-US" w:eastAsia="zh-CN"/>
        </w:rPr>
        <w:t>若背靠高山，面对河流，应沿土壤分界面方向上测量</w:t>
      </w:r>
      <w:r>
        <w:rPr>
          <w:rFonts w:hint="eastAsia" w:ascii="宋体" w:hAnsi="宋体" w:eastAsia="宋体" w:cs="宋体"/>
          <w:color w:val="auto"/>
          <w:sz w:val="21"/>
          <w:szCs w:val="21"/>
          <w:highlight w:val="none"/>
          <w:lang w:val="en-US" w:eastAsia="zh-CN"/>
        </w:rPr>
        <w:t>；</w:t>
      </w:r>
    </w:p>
    <w:p>
      <w:pPr>
        <w:ind w:firstLine="422"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 xml:space="preserve">  不可在雨后立即测量。</w:t>
      </w:r>
    </w:p>
    <w:p>
      <w:pPr>
        <w:pStyle w:val="3"/>
        <w:jc w:val="center"/>
        <w:rPr>
          <w:rFonts w:hint="default" w:ascii="宋体" w:hAnsi="宋体" w:eastAsia="宋体" w:cs="宋体"/>
          <w:b/>
          <w:bCs/>
          <w:color w:val="auto"/>
          <w:sz w:val="21"/>
          <w:szCs w:val="21"/>
          <w:highlight w:val="none"/>
          <w:lang w:val="en-US" w:eastAsia="zh-CN"/>
        </w:rPr>
      </w:pPr>
      <w:bookmarkStart w:id="67" w:name="_Toc12338"/>
      <w:bookmarkStart w:id="68" w:name="_Toc13248"/>
      <w:bookmarkStart w:id="69" w:name="_Toc24793"/>
      <w:bookmarkStart w:id="70" w:name="_Toc23481"/>
      <w:bookmarkStart w:id="71" w:name="_Toc9364"/>
      <w:bookmarkStart w:id="72" w:name="_Toc4626"/>
      <w:r>
        <w:rPr>
          <w:rFonts w:hint="eastAsia" w:ascii="宋体" w:hAnsi="宋体" w:eastAsia="宋体" w:cs="宋体"/>
          <w:color w:val="auto"/>
          <w:sz w:val="21"/>
          <w:szCs w:val="21"/>
          <w:highlight w:val="none"/>
          <w:lang w:val="en-US" w:eastAsia="zh-CN"/>
        </w:rPr>
        <w:t>4.4  检测结果</w:t>
      </w:r>
      <w:bookmarkEnd w:id="67"/>
      <w:bookmarkEnd w:id="68"/>
      <w:r>
        <w:rPr>
          <w:rFonts w:hint="eastAsia" w:ascii="宋体" w:hAnsi="宋体" w:eastAsia="宋体" w:cs="宋体"/>
          <w:color w:val="auto"/>
          <w:sz w:val="21"/>
          <w:szCs w:val="21"/>
          <w:highlight w:val="none"/>
          <w:lang w:val="en-US" w:eastAsia="zh-CN"/>
        </w:rPr>
        <w:t>的评价</w:t>
      </w:r>
      <w:bookmarkEnd w:id="69"/>
      <w:bookmarkEnd w:id="70"/>
      <w:bookmarkEnd w:id="71"/>
      <w:bookmarkEnd w:id="72"/>
    </w:p>
    <w:p>
      <w:pP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 xml:space="preserve">4.4.1  </w:t>
      </w:r>
      <w:r>
        <w:rPr>
          <w:rFonts w:hint="eastAsia" w:ascii="宋体" w:hAnsi="宋体" w:eastAsia="宋体" w:cs="宋体"/>
          <w:color w:val="auto"/>
          <w:sz w:val="21"/>
          <w:szCs w:val="21"/>
          <w:highlight w:val="none"/>
          <w:lang w:val="en-US" w:eastAsia="zh-CN"/>
        </w:rPr>
        <w:t>接地电阻测试仪测量得到工频接地电阻。</w:t>
      </w:r>
    </w:p>
    <w:p>
      <w:pPr>
        <w:ind w:left="280" w:hanging="211" w:hangingChars="1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 xml:space="preserve">4.4.2  </w:t>
      </w:r>
      <w:r>
        <w:rPr>
          <w:rFonts w:hint="eastAsia" w:ascii="宋体" w:hAnsi="宋体" w:eastAsia="宋体" w:cs="宋体"/>
          <w:color w:val="auto"/>
          <w:sz w:val="21"/>
          <w:szCs w:val="21"/>
          <w:highlight w:val="none"/>
        </w:rPr>
        <w:t>接地装置冲击接地电阻应按</w:t>
      </w:r>
      <w:r>
        <w:rPr>
          <w:rFonts w:hint="eastAsia" w:ascii="宋体" w:hAnsi="宋体" w:eastAsia="宋体" w:cs="宋体"/>
          <w:color w:val="auto"/>
          <w:sz w:val="21"/>
          <w:szCs w:val="21"/>
          <w:highlight w:val="none"/>
          <w:lang w:val="en-US" w:eastAsia="zh-CN"/>
        </w:rPr>
        <w:t>下式计算</w:t>
      </w:r>
      <w:r>
        <w:rPr>
          <w:rFonts w:hint="eastAsia" w:ascii="宋体" w:hAnsi="宋体" w:eastAsia="宋体" w:cs="宋体"/>
          <w:color w:val="auto"/>
          <w:sz w:val="21"/>
          <w:szCs w:val="21"/>
          <w:highlight w:val="none"/>
        </w:rPr>
        <w:t>：</w:t>
      </w:r>
    </w:p>
    <w:p>
      <w:pPr>
        <w:jc w:val="righ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m:oMath>
        <m:sSub>
          <m:sSubPr>
            <m:ctrlPr>
              <w:rPr>
                <w:rFonts w:ascii="Cambria Math" w:hAnsi="Cambria Math" w:eastAsia="宋体" w:cs="宋体"/>
                <w:color w:val="auto"/>
                <w:sz w:val="21"/>
                <w:szCs w:val="21"/>
                <w:highlight w:val="none"/>
              </w:rPr>
            </m:ctrlPr>
          </m:sSubPr>
          <m:e>
            <m:r>
              <m:rPr>
                <m:sty m:val="p"/>
              </m:rPr>
              <w:rPr>
                <w:rFonts w:ascii="Cambria Math" w:hAnsi="Cambria Math" w:eastAsia="宋体" w:cs="宋体"/>
                <w:color w:val="auto"/>
                <w:sz w:val="21"/>
                <w:szCs w:val="21"/>
                <w:highlight w:val="none"/>
              </w:rPr>
              <m:t>R</m:t>
            </m:r>
            <m:ctrlPr>
              <w:rPr>
                <w:rFonts w:ascii="Cambria Math" w:hAnsi="Cambria Math" w:eastAsia="宋体" w:cs="宋体"/>
                <w:color w:val="auto"/>
                <w:sz w:val="21"/>
                <w:szCs w:val="21"/>
                <w:highlight w:val="none"/>
              </w:rPr>
            </m:ctrlPr>
          </m:e>
          <m:sub>
            <m:r>
              <m:rPr>
                <m:sty m:val="p"/>
              </m:rPr>
              <w:rPr>
                <w:rFonts w:ascii="Cambria Math" w:hAnsi="Cambria Math" w:eastAsia="宋体" w:cs="宋体"/>
                <w:color w:val="auto"/>
                <w:sz w:val="21"/>
                <w:szCs w:val="21"/>
                <w:highlight w:val="none"/>
              </w:rPr>
              <m:t>~</m:t>
            </m:r>
            <m:ctrlPr>
              <w:rPr>
                <w:rFonts w:ascii="Cambria Math" w:hAnsi="Cambria Math" w:eastAsia="宋体" w:cs="宋体"/>
                <w:color w:val="auto"/>
                <w:sz w:val="21"/>
                <w:szCs w:val="21"/>
                <w:highlight w:val="none"/>
              </w:rPr>
            </m:ctrlPr>
          </m:sub>
        </m:sSub>
        <m:r>
          <m:rPr>
            <m:sty m:val="p"/>
          </m:rPr>
          <w:rPr>
            <w:rFonts w:ascii="Cambria Math" w:hAnsi="Cambria Math" w:eastAsia="宋体" w:cs="宋体"/>
            <w:color w:val="auto"/>
            <w:sz w:val="21"/>
            <w:szCs w:val="21"/>
            <w:highlight w:val="none"/>
          </w:rPr>
          <m:t>=A</m:t>
        </m:r>
        <m:sSub>
          <m:sSubPr>
            <m:ctrlPr>
              <w:rPr>
                <w:rFonts w:ascii="Cambria Math" w:hAnsi="Cambria Math" w:eastAsia="宋体" w:cs="宋体"/>
                <w:color w:val="auto"/>
                <w:sz w:val="21"/>
                <w:szCs w:val="21"/>
                <w:highlight w:val="none"/>
              </w:rPr>
            </m:ctrlPr>
          </m:sSubPr>
          <m:e>
            <m:r>
              <m:rPr>
                <m:sty m:val="p"/>
              </m:rPr>
              <w:rPr>
                <w:rFonts w:ascii="Cambria Math" w:hAnsi="Cambria Math" w:eastAsia="宋体" w:cs="宋体"/>
                <w:color w:val="auto"/>
                <w:sz w:val="21"/>
                <w:szCs w:val="21"/>
                <w:highlight w:val="none"/>
              </w:rPr>
              <m:t>R</m:t>
            </m:r>
            <m:ctrlPr>
              <w:rPr>
                <w:rFonts w:ascii="Cambria Math" w:hAnsi="Cambria Math" w:eastAsia="宋体" w:cs="宋体"/>
                <w:color w:val="auto"/>
                <w:sz w:val="21"/>
                <w:szCs w:val="21"/>
                <w:highlight w:val="none"/>
              </w:rPr>
            </m:ctrlPr>
          </m:e>
          <m:sub>
            <m:r>
              <m:rPr>
                <m:sty m:val="p"/>
              </m:rPr>
              <w:rPr>
                <w:rFonts w:ascii="Cambria Math" w:hAnsi="Cambria Math" w:eastAsia="宋体" w:cs="宋体"/>
                <w:color w:val="auto"/>
                <w:sz w:val="21"/>
                <w:szCs w:val="21"/>
                <w:highlight w:val="none"/>
              </w:rPr>
              <m:t>i</m:t>
            </m:r>
            <m:ctrlPr>
              <w:rPr>
                <w:rFonts w:ascii="Cambria Math" w:hAnsi="Cambria Math" w:eastAsia="宋体" w:cs="宋体"/>
                <w:color w:val="auto"/>
                <w:sz w:val="21"/>
                <w:szCs w:val="21"/>
                <w:highlight w:val="none"/>
              </w:rPr>
            </m:ctrlPr>
          </m:sub>
        </m:sSub>
      </m:oMath>
      <w:r>
        <w:rPr>
          <w:rFonts w:hint="eastAsia" w:hAnsi="Cambria Math" w:eastAsia="宋体" w:cs="宋体"/>
          <w:i w:val="0"/>
          <w:color w:val="auto"/>
          <w:sz w:val="21"/>
          <w:szCs w:val="21"/>
          <w:highlight w:val="none"/>
          <w:lang w:val="en-US" w:eastAsia="zh-CN"/>
        </w:rPr>
        <w:t xml:space="preserve">                                                             （4.4.2-1）</w:t>
      </w:r>
    </w:p>
    <w:p>
      <w:pPr>
        <w:ind w:left="1260" w:leftChars="0" w:hanging="1260" w:hangingChars="6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式中：</w:t>
      </w:r>
      <m:oMath>
        <m:sSub>
          <m:sSubPr>
            <m:ctrlPr>
              <w:rPr>
                <w:rFonts w:ascii="Cambria Math" w:hAnsi="Cambria Math" w:eastAsia="宋体" w:cs="宋体"/>
                <w:color w:val="auto"/>
                <w:sz w:val="21"/>
                <w:szCs w:val="21"/>
                <w:highlight w:val="none"/>
              </w:rPr>
            </m:ctrlPr>
          </m:sSubPr>
          <m:e>
            <m:r>
              <m:rPr>
                <m:sty m:val="p"/>
              </m:rPr>
              <w:rPr>
                <w:rFonts w:ascii="Cambria Math" w:hAnsi="Cambria Math" w:eastAsia="宋体" w:cs="宋体"/>
                <w:color w:val="auto"/>
                <w:sz w:val="21"/>
                <w:szCs w:val="21"/>
                <w:highlight w:val="none"/>
              </w:rPr>
              <m:t>R</m:t>
            </m:r>
            <m:ctrlPr>
              <w:rPr>
                <w:rFonts w:ascii="Cambria Math" w:hAnsi="Cambria Math" w:eastAsia="宋体" w:cs="宋体"/>
                <w:color w:val="auto"/>
                <w:sz w:val="21"/>
                <w:szCs w:val="21"/>
                <w:highlight w:val="none"/>
              </w:rPr>
            </m:ctrlPr>
          </m:e>
          <m:sub>
            <m:r>
              <m:rPr>
                <m:sty m:val="p"/>
              </m:rPr>
              <w:rPr>
                <w:rFonts w:ascii="Cambria Math" w:hAnsi="Cambria Math" w:eastAsia="宋体" w:cs="宋体"/>
                <w:color w:val="auto"/>
                <w:sz w:val="21"/>
                <w:szCs w:val="21"/>
                <w:highlight w:val="none"/>
              </w:rPr>
              <m:t>~</m:t>
            </m:r>
            <m:ctrlPr>
              <w:rPr>
                <w:rFonts w:ascii="Cambria Math" w:hAnsi="Cambria Math" w:eastAsia="宋体" w:cs="宋体"/>
                <w:color w:val="auto"/>
                <w:sz w:val="21"/>
                <w:szCs w:val="21"/>
                <w:highlight w:val="none"/>
              </w:rPr>
            </m:ctrlPr>
          </m:sub>
        </m:sSub>
      </m:oMath>
      <w:r>
        <w:rPr>
          <w:rFonts w:hint="eastAsia" w:ascii="宋体" w:hAnsi="宋体" w:eastAsia="宋体" w:cs="宋体"/>
          <w:color w:val="auto"/>
          <w:sz w:val="21"/>
          <w:szCs w:val="21"/>
          <w:highlight w:val="none"/>
        </w:rPr>
        <w:t>——接地装置各支线的长度取值小于或等于接地体的有效长度le或者有支线大于le而取其等于le时的工频接地电阻（Ω）；</w:t>
      </w:r>
    </w:p>
    <w:p>
      <w:pPr>
        <w:ind w:firstLine="630" w:firstLineChars="3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A——换算系数；</w:t>
      </w:r>
    </w:p>
    <w:p>
      <w:pPr>
        <w:ind w:firstLine="630" w:firstLineChars="300"/>
        <w:rPr>
          <w:rFonts w:hint="eastAsia" w:ascii="宋体" w:hAnsi="宋体" w:eastAsia="宋体" w:cs="宋体"/>
          <w:color w:val="auto"/>
          <w:sz w:val="21"/>
          <w:szCs w:val="21"/>
          <w:highlight w:val="none"/>
        </w:rPr>
      </w:pPr>
      <m:oMath>
        <m:sSub>
          <m:sSubPr>
            <m:ctrlPr>
              <w:rPr>
                <w:rFonts w:ascii="Cambria Math" w:hAnsi="Cambria Math" w:eastAsia="宋体" w:cs="宋体"/>
                <w:color w:val="auto"/>
                <w:sz w:val="21"/>
                <w:szCs w:val="21"/>
                <w:highlight w:val="none"/>
              </w:rPr>
            </m:ctrlPr>
          </m:sSubPr>
          <m:e>
            <m:r>
              <m:rPr>
                <m:sty m:val="p"/>
              </m:rPr>
              <w:rPr>
                <w:rFonts w:ascii="Cambria Math" w:hAnsi="Cambria Math" w:eastAsia="宋体" w:cs="宋体"/>
                <w:color w:val="auto"/>
                <w:sz w:val="21"/>
                <w:szCs w:val="21"/>
                <w:highlight w:val="none"/>
              </w:rPr>
              <m:t>R</m:t>
            </m:r>
            <m:ctrlPr>
              <w:rPr>
                <w:rFonts w:ascii="Cambria Math" w:hAnsi="Cambria Math" w:eastAsia="宋体" w:cs="宋体"/>
                <w:color w:val="auto"/>
                <w:sz w:val="21"/>
                <w:szCs w:val="21"/>
                <w:highlight w:val="none"/>
              </w:rPr>
            </m:ctrlPr>
          </m:e>
          <m:sub>
            <m:r>
              <m:rPr>
                <m:sty m:val="p"/>
              </m:rPr>
              <w:rPr>
                <w:rFonts w:ascii="Cambria Math" w:hAnsi="Cambria Math" w:eastAsia="宋体" w:cs="宋体"/>
                <w:color w:val="auto"/>
                <w:sz w:val="21"/>
                <w:szCs w:val="21"/>
                <w:highlight w:val="none"/>
              </w:rPr>
              <m:t>i</m:t>
            </m:r>
            <m:ctrlPr>
              <w:rPr>
                <w:rFonts w:ascii="Cambria Math" w:hAnsi="Cambria Math" w:eastAsia="宋体" w:cs="宋体"/>
                <w:color w:val="auto"/>
                <w:sz w:val="21"/>
                <w:szCs w:val="21"/>
                <w:highlight w:val="none"/>
              </w:rPr>
            </m:ctrlPr>
          </m:sub>
        </m:sSub>
      </m:oMath>
      <w:r>
        <w:rPr>
          <w:rFonts w:hint="eastAsia" w:ascii="宋体" w:hAnsi="宋体" w:eastAsia="宋体" w:cs="宋体"/>
          <w:color w:val="auto"/>
          <w:sz w:val="21"/>
          <w:szCs w:val="21"/>
          <w:highlight w:val="none"/>
        </w:rPr>
        <w:t>——接地装置冲击接地电阻（Ω）。</w:t>
      </w:r>
    </w:p>
    <w:p>
      <w:pPr>
        <w:pStyle w:val="22"/>
        <w:ind w:left="0" w:leftChars="0" w:firstLine="420" w:firstLineChars="20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当l＞le</w:t>
      </w:r>
      <w:r>
        <w:rPr>
          <w:rFonts w:hint="eastAsia" w:hAnsi="宋体" w:cs="宋体"/>
          <w:color w:val="auto"/>
          <w:kern w:val="2"/>
          <w:sz w:val="21"/>
          <w:szCs w:val="21"/>
          <w:highlight w:val="none"/>
          <w:lang w:val="en-US" w:eastAsia="zh-CN" w:bidi="ar-SA"/>
        </w:rPr>
        <w:t>或者</w:t>
      </w:r>
      <w:r>
        <w:rPr>
          <w:rFonts w:hint="eastAsia" w:ascii="宋体" w:hAnsi="宋体" w:eastAsia="宋体" w:cs="宋体"/>
          <w:color w:val="auto"/>
          <w:kern w:val="2"/>
          <w:sz w:val="21"/>
          <w:szCs w:val="21"/>
          <w:highlight w:val="none"/>
          <w:lang w:val="en-US" w:eastAsia="zh-CN" w:bidi="ar-SA"/>
        </w:rPr>
        <w:t>ρ</w:t>
      </w:r>
      <w:r>
        <w:rPr>
          <w:rFonts w:hint="eastAsia" w:hAnsi="宋体" w:cs="宋体"/>
          <w:color w:val="auto"/>
          <w:kern w:val="2"/>
          <w:sz w:val="21"/>
          <w:szCs w:val="21"/>
          <w:highlight w:val="none"/>
          <w:lang w:val="en-US" w:eastAsia="zh-CN" w:bidi="ar-SA"/>
        </w:rPr>
        <w:t>≤100（</w:t>
      </w:r>
      <w:r>
        <w:rPr>
          <w:rFonts w:hint="eastAsia" w:ascii="宋体" w:hAnsi="宋体" w:eastAsia="宋体" w:cs="宋体"/>
          <w:color w:val="auto"/>
          <w:sz w:val="21"/>
          <w:szCs w:val="21"/>
          <w:highlight w:val="none"/>
          <w:lang w:val="en-US" w:eastAsia="zh-CN"/>
        </w:rPr>
        <w:t>Ω</w:t>
      </w:r>
      <w:r>
        <w:rPr>
          <w:rFonts w:hint="eastAsia" w:ascii="宋体" w:hAnsi="宋体" w:eastAsia="宋体" w:cs="宋体"/>
          <w:color w:val="auto"/>
          <w:sz w:val="21"/>
          <w:szCs w:val="21"/>
          <w:highlight w:val="none"/>
        </w:rPr>
        <w:t>·m</w:t>
      </w:r>
      <w:r>
        <w:rPr>
          <w:rFonts w:hint="eastAsia" w:hAnsi="宋体" w:cs="宋体"/>
          <w:color w:val="auto"/>
          <w:sz w:val="21"/>
          <w:szCs w:val="21"/>
          <w:highlight w:val="none"/>
          <w:lang w:eastAsia="zh-CN"/>
        </w:rPr>
        <w:t>）</w:t>
      </w:r>
      <w:r>
        <w:rPr>
          <w:rFonts w:hint="eastAsia" w:ascii="宋体" w:hAnsi="宋体" w:eastAsia="宋体" w:cs="宋体"/>
          <w:color w:val="auto"/>
          <w:kern w:val="2"/>
          <w:sz w:val="21"/>
          <w:szCs w:val="21"/>
          <w:highlight w:val="none"/>
          <w:lang w:val="en-US" w:eastAsia="zh-CN" w:bidi="ar-SA"/>
        </w:rPr>
        <w:t>时，A=1</w:t>
      </w:r>
      <w:r>
        <w:rPr>
          <w:rFonts w:hint="eastAsia" w:hAnsi="宋体" w:cs="宋体"/>
          <w:color w:val="auto"/>
          <w:kern w:val="2"/>
          <w:sz w:val="21"/>
          <w:szCs w:val="21"/>
          <w:highlight w:val="none"/>
          <w:lang w:val="en-US" w:eastAsia="zh-CN" w:bidi="ar-SA"/>
        </w:rPr>
        <w:t>。</w:t>
      </w:r>
    </w:p>
    <w:p>
      <w:pPr>
        <w:pStyle w:val="22"/>
        <w:ind w:left="0" w:leftChars="0" w:firstLine="630" w:firstLineChars="300"/>
        <w:rPr>
          <w:rFonts w:hint="eastAsia"/>
          <w:color w:val="auto"/>
          <w:sz w:val="21"/>
          <w:szCs w:val="21"/>
          <w:highlight w:val="none"/>
          <w:lang w:val="en-US" w:eastAsia="zh-CN"/>
        </w:rPr>
      </w:pPr>
      <w:r>
        <w:rPr>
          <w:rFonts w:hint="eastAsia"/>
          <w:color w:val="auto"/>
          <w:sz w:val="21"/>
          <w:szCs w:val="21"/>
          <w:highlight w:val="none"/>
          <w:lang w:val="en-US" w:eastAsia="zh-CN"/>
        </w:rPr>
        <w:t>l——接地体最长支线的实际长度；</w:t>
      </w:r>
    </w:p>
    <w:p>
      <w:pPr>
        <w:pStyle w:val="22"/>
        <w:ind w:left="0" w:leftChars="0" w:firstLine="630" w:firstLineChars="300"/>
        <w:rPr>
          <w:rFonts w:hint="eastAsia" w:ascii="宋体" w:hAnsi="宋体" w:eastAsia="宋体" w:cs="宋体"/>
          <w:color w:val="auto"/>
          <w:sz w:val="21"/>
          <w:szCs w:val="21"/>
          <w:highlight w:val="none"/>
          <w:lang w:val="en-US" w:eastAsia="zh-CN"/>
        </w:rPr>
      </w:pPr>
      <w:r>
        <w:rPr>
          <w:rFonts w:hint="eastAsia"/>
          <w:color w:val="auto"/>
          <w:sz w:val="21"/>
          <w:szCs w:val="21"/>
          <w:highlight w:val="none"/>
          <w:lang w:val="en-US" w:eastAsia="zh-CN"/>
        </w:rPr>
        <w:t>le——接地体的有效长度；</w:t>
      </w:r>
      <w:r>
        <w:rPr>
          <w:rFonts w:hint="eastAsia" w:ascii="宋体" w:hAnsi="宋体" w:eastAsia="宋体" w:cs="宋体"/>
          <w:color w:val="auto"/>
          <w:sz w:val="21"/>
          <w:szCs w:val="21"/>
          <w:highlight w:val="none"/>
          <w:lang w:val="en-US" w:eastAsia="zh-CN"/>
        </w:rPr>
        <w:t>接地体有效长度应按</w:t>
      </w:r>
      <w:r>
        <w:rPr>
          <w:rFonts w:hint="eastAsia" w:hAnsi="宋体" w:cs="宋体"/>
          <w:color w:val="auto"/>
          <w:sz w:val="21"/>
          <w:szCs w:val="21"/>
          <w:highlight w:val="none"/>
          <w:lang w:val="en-US" w:eastAsia="zh-CN"/>
        </w:rPr>
        <w:t>下式计算</w:t>
      </w:r>
      <w:r>
        <w:rPr>
          <w:rFonts w:hint="eastAsia" w:ascii="宋体" w:hAnsi="宋体" w:eastAsia="宋体" w:cs="宋体"/>
          <w:color w:val="auto"/>
          <w:sz w:val="21"/>
          <w:szCs w:val="21"/>
          <w:highlight w:val="none"/>
          <w:lang w:val="en-US" w:eastAsia="zh-CN"/>
        </w:rPr>
        <w:t>：</w:t>
      </w:r>
    </w:p>
    <w:p>
      <w:pPr>
        <w:pStyle w:val="22"/>
        <w:ind w:left="0" w:leftChars="0" w:firstLine="630" w:firstLineChars="300"/>
        <w:jc w:val="right"/>
        <w:rPr>
          <w:rFonts w:hint="eastAsia"/>
          <w:color w:val="auto"/>
          <w:sz w:val="21"/>
          <w:szCs w:val="21"/>
          <w:highlight w:val="none"/>
          <w:lang w:val="en-US" w:eastAsia="zh-CN"/>
        </w:rPr>
      </w:pPr>
      <m:oMath>
        <m:sSub>
          <m:sSubPr>
            <m:ctrlPr>
              <w:rPr>
                <w:rFonts w:hint="default" w:ascii="Cambria Math" w:hAnsi="Cambria Math" w:cs="Times New Roman"/>
                <w:color w:val="auto"/>
                <w:kern w:val="0"/>
                <w:sz w:val="21"/>
                <w:szCs w:val="21"/>
                <w:highlight w:val="none"/>
                <w:lang w:val="en-US" w:eastAsia="zh-CN" w:bidi="ar-SA"/>
              </w:rPr>
            </m:ctrlPr>
          </m:sSubPr>
          <m:e>
            <m:r>
              <m:rPr>
                <m:sty m:val="p"/>
              </m:rPr>
              <w:rPr>
                <w:rFonts w:hint="default" w:ascii="Cambria Math" w:hAnsi="Cambria Math" w:cs="Times New Roman"/>
                <w:color w:val="auto"/>
                <w:kern w:val="0"/>
                <w:sz w:val="21"/>
                <w:szCs w:val="21"/>
                <w:highlight w:val="none"/>
                <w:lang w:val="en-US" w:eastAsia="zh-CN" w:bidi="ar-SA"/>
              </w:rPr>
              <m:t>l</m:t>
            </m:r>
            <m:ctrlPr>
              <w:rPr>
                <w:rFonts w:hint="default" w:ascii="Cambria Math" w:hAnsi="Cambria Math" w:cs="Times New Roman"/>
                <w:color w:val="auto"/>
                <w:kern w:val="0"/>
                <w:sz w:val="21"/>
                <w:szCs w:val="21"/>
                <w:highlight w:val="none"/>
                <w:lang w:val="en-US" w:eastAsia="zh-CN" w:bidi="ar-SA"/>
              </w:rPr>
            </m:ctrlPr>
          </m:e>
          <m:sub>
            <m:r>
              <m:rPr>
                <m:sty m:val="p"/>
              </m:rPr>
              <w:rPr>
                <w:rFonts w:hint="default" w:ascii="Cambria Math" w:hAnsi="Cambria Math" w:cs="Times New Roman"/>
                <w:color w:val="auto"/>
                <w:kern w:val="0"/>
                <w:sz w:val="21"/>
                <w:szCs w:val="21"/>
                <w:highlight w:val="none"/>
                <w:lang w:val="en-US" w:eastAsia="zh-CN" w:bidi="ar-SA"/>
              </w:rPr>
              <m:t>e</m:t>
            </m:r>
            <m:ctrlPr>
              <w:rPr>
                <w:rFonts w:hint="default" w:ascii="Cambria Math" w:hAnsi="Cambria Math" w:cs="Times New Roman"/>
                <w:color w:val="auto"/>
                <w:kern w:val="0"/>
                <w:sz w:val="21"/>
                <w:szCs w:val="21"/>
                <w:highlight w:val="none"/>
                <w:lang w:val="en-US" w:eastAsia="zh-CN" w:bidi="ar-SA"/>
              </w:rPr>
            </m:ctrlPr>
          </m:sub>
        </m:sSub>
        <m:r>
          <m:rPr>
            <m:sty m:val="p"/>
          </m:rPr>
          <w:rPr>
            <w:rFonts w:hint="default" w:ascii="Cambria Math" w:hAnsi="Cambria Math" w:cs="Times New Roman"/>
            <w:color w:val="auto"/>
            <w:kern w:val="0"/>
            <w:sz w:val="21"/>
            <w:szCs w:val="21"/>
            <w:highlight w:val="none"/>
            <w:lang w:val="en-US" w:eastAsia="zh-CN" w:bidi="ar-SA"/>
          </w:rPr>
          <m:t>=2</m:t>
        </m:r>
        <m:rad>
          <m:radPr>
            <m:degHide m:val="1"/>
            <m:ctrlPr>
              <w:rPr>
                <w:rFonts w:hint="default" w:ascii="Cambria Math" w:hAnsi="Cambria Math" w:cs="Times New Roman"/>
                <w:color w:val="auto"/>
                <w:kern w:val="0"/>
                <w:sz w:val="21"/>
                <w:szCs w:val="21"/>
                <w:highlight w:val="none"/>
                <w:lang w:val="en-US" w:eastAsia="zh-CN" w:bidi="ar-SA"/>
              </w:rPr>
            </m:ctrlPr>
          </m:radPr>
          <m:deg>
            <m:ctrlPr>
              <w:rPr>
                <w:rFonts w:hint="default" w:ascii="Cambria Math" w:hAnsi="Cambria Math" w:cs="Times New Roman"/>
                <w:color w:val="auto"/>
                <w:kern w:val="0"/>
                <w:sz w:val="21"/>
                <w:szCs w:val="21"/>
                <w:highlight w:val="none"/>
                <w:lang w:val="en-US" w:eastAsia="zh-CN" w:bidi="ar-SA"/>
              </w:rPr>
            </m:ctrlPr>
          </m:deg>
          <m:e>
            <m:r>
              <m:rPr>
                <m:sty m:val="p"/>
              </m:rPr>
              <w:rPr>
                <w:rFonts w:ascii="Cambria Math" w:hAnsi="Cambria Math" w:cs="Times New Roman"/>
                <w:color w:val="auto"/>
                <w:kern w:val="0"/>
                <w:sz w:val="21"/>
                <w:szCs w:val="21"/>
                <w:highlight w:val="none"/>
                <w:lang w:val="en-US" w:bidi="ar-SA"/>
              </w:rPr>
              <m:t>ρ</m:t>
            </m:r>
            <m:ctrlPr>
              <w:rPr>
                <w:rFonts w:hint="default" w:ascii="Cambria Math" w:hAnsi="Cambria Math" w:cs="Times New Roman"/>
                <w:color w:val="auto"/>
                <w:kern w:val="0"/>
                <w:sz w:val="21"/>
                <w:szCs w:val="21"/>
                <w:highlight w:val="none"/>
                <w:lang w:val="en-US" w:eastAsia="zh-CN" w:bidi="ar-SA"/>
              </w:rPr>
            </m:ctrlPr>
          </m:e>
        </m:rad>
      </m:oMath>
      <w:r>
        <w:rPr>
          <w:rFonts w:hint="eastAsia" w:hAnsi="Cambria Math" w:cs="Times New Roman"/>
          <w:i w:val="0"/>
          <w:color w:val="auto"/>
          <w:kern w:val="0"/>
          <w:sz w:val="21"/>
          <w:szCs w:val="21"/>
          <w:highlight w:val="none"/>
          <w:lang w:val="en-US" w:eastAsia="zh-CN" w:bidi="ar-SA"/>
        </w:rPr>
        <w:t xml:space="preserve">                                   (4.4.2-2)</w:t>
      </w:r>
    </w:p>
    <w:p>
      <w:pPr>
        <w:pStyle w:val="22"/>
        <w:ind w:left="0" w:leftChars="0" w:firstLine="630" w:firstLineChars="300"/>
        <w:rPr>
          <w:rFonts w:hint="eastAsia" w:eastAsia="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ρ</w:t>
      </w:r>
      <w:r>
        <w:rPr>
          <w:rFonts w:hint="eastAsia" w:hAnsi="宋体" w:cs="宋体"/>
          <w:color w:val="auto"/>
          <w:kern w:val="2"/>
          <w:sz w:val="21"/>
          <w:szCs w:val="21"/>
          <w:highlight w:val="none"/>
          <w:lang w:val="en-US" w:eastAsia="zh-CN" w:bidi="ar-SA"/>
        </w:rPr>
        <w:t>——敷设接地体处的土壤电阻率（</w:t>
      </w:r>
      <w:r>
        <w:rPr>
          <w:rFonts w:hint="eastAsia" w:ascii="宋体" w:hAnsi="宋体" w:eastAsia="宋体" w:cs="宋体"/>
          <w:color w:val="auto"/>
          <w:sz w:val="21"/>
          <w:szCs w:val="21"/>
          <w:highlight w:val="none"/>
          <w:lang w:val="en-US" w:eastAsia="zh-CN"/>
        </w:rPr>
        <w:t>Ω</w:t>
      </w:r>
      <w:r>
        <w:rPr>
          <w:rFonts w:hint="eastAsia" w:ascii="宋体" w:hAnsi="宋体" w:eastAsia="宋体" w:cs="宋体"/>
          <w:color w:val="auto"/>
          <w:sz w:val="21"/>
          <w:szCs w:val="21"/>
          <w:highlight w:val="none"/>
        </w:rPr>
        <w:t>·m</w:t>
      </w:r>
      <w:r>
        <w:rPr>
          <w:rFonts w:hint="eastAsia" w:hAnsi="宋体" w:cs="宋体"/>
          <w:color w:val="auto"/>
          <w:sz w:val="21"/>
          <w:szCs w:val="21"/>
          <w:highlight w:val="none"/>
          <w:lang w:eastAsia="zh-CN"/>
        </w:rPr>
        <w:t>）。</w:t>
      </w:r>
    </w:p>
    <w:p>
      <w:pPr>
        <w:pStyle w:val="22"/>
        <w:ind w:left="0" w:leftChars="0" w:firstLine="420" w:firstLineChars="200"/>
        <w:jc w:val="right"/>
        <w:rPr>
          <w:rFonts w:hint="default"/>
          <w:color w:val="auto"/>
          <w:sz w:val="21"/>
          <w:szCs w:val="21"/>
          <w:highlight w:val="none"/>
          <w:lang w:val="en-US" w:eastAsia="zh-CN"/>
        </w:rPr>
      </w:pPr>
    </w:p>
    <w:p>
      <w:pPr>
        <w:pStyle w:val="22"/>
        <w:ind w:left="0" w:leftChars="0" w:firstLine="420" w:firstLineChars="200"/>
        <w:rPr>
          <w:rFonts w:hint="eastAsia"/>
          <w:color w:val="auto"/>
          <w:sz w:val="21"/>
          <w:szCs w:val="21"/>
          <w:highlight w:val="none"/>
        </w:rPr>
      </w:pPr>
      <w:r>
        <w:rPr>
          <w:rFonts w:hint="eastAsia" w:ascii="宋体" w:hAnsi="宋体" w:eastAsia="宋体" w:cs="宋体"/>
          <w:color w:val="auto"/>
          <w:sz w:val="21"/>
          <w:szCs w:val="21"/>
          <w:highlight w:val="none"/>
          <w:lang w:val="en-US" w:eastAsia="zh-CN"/>
        </w:rPr>
        <w:t>其他情况下的</w:t>
      </w:r>
      <w:r>
        <w:rPr>
          <w:rFonts w:hint="eastAsia" w:hAnsi="宋体" w:cs="宋体"/>
          <w:color w:val="auto"/>
          <w:sz w:val="21"/>
          <w:szCs w:val="21"/>
          <w:highlight w:val="none"/>
          <w:lang w:val="en-US" w:eastAsia="zh-CN"/>
        </w:rPr>
        <w:t>换算系数A</w:t>
      </w:r>
      <w:r>
        <w:rPr>
          <w:rFonts w:hint="eastAsia" w:ascii="宋体" w:hAnsi="宋体" w:eastAsia="宋体" w:cs="宋体"/>
          <w:color w:val="auto"/>
          <w:sz w:val="21"/>
          <w:szCs w:val="21"/>
          <w:highlight w:val="none"/>
          <w:lang w:val="en-US" w:eastAsia="zh-CN"/>
        </w:rPr>
        <w:t>见《建筑物雷电防护装置检测技术规范》GB/T21431</w:t>
      </w:r>
      <w:r>
        <w:rPr>
          <w:rFonts w:hint="eastAsia" w:hAnsi="宋体" w:cs="宋体"/>
          <w:color w:val="auto"/>
          <w:sz w:val="21"/>
          <w:szCs w:val="21"/>
          <w:highlight w:val="none"/>
          <w:lang w:val="en-US" w:eastAsia="zh-CN"/>
        </w:rPr>
        <w:t>-2023附录G</w:t>
      </w:r>
      <w:r>
        <w:rPr>
          <w:rFonts w:hint="eastAsia" w:ascii="宋体" w:hAnsi="宋体" w:eastAsia="宋体" w:cs="宋体"/>
          <w:color w:val="auto"/>
          <w:sz w:val="21"/>
          <w:szCs w:val="21"/>
          <w:highlight w:val="none"/>
          <w:lang w:val="en-US" w:eastAsia="zh-CN"/>
        </w:rPr>
        <w:t>。</w:t>
      </w:r>
    </w:p>
    <w:p>
      <w:pP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4.4.3  </w:t>
      </w:r>
      <w:r>
        <w:rPr>
          <w:rFonts w:hint="eastAsia" w:ascii="宋体" w:hAnsi="宋体" w:eastAsia="宋体" w:cs="宋体"/>
          <w:color w:val="auto"/>
          <w:sz w:val="21"/>
          <w:szCs w:val="21"/>
          <w:highlight w:val="none"/>
          <w:lang w:val="en-US" w:eastAsia="zh-CN"/>
        </w:rPr>
        <w:t>接地装置的接地电阻值应符合《建筑物雷电防护装置检测技术规范》GB/T 21431-2023 中第5.5.3.10条和设计的要求。</w:t>
      </w:r>
    </w:p>
    <w:p>
      <w:pPr>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4.4.4  </w:t>
      </w:r>
      <w:r>
        <w:rPr>
          <w:rFonts w:hint="eastAsia" w:ascii="宋体" w:hAnsi="宋体" w:eastAsia="宋体" w:cs="宋体"/>
          <w:color w:val="auto"/>
          <w:sz w:val="21"/>
          <w:szCs w:val="21"/>
          <w:highlight w:val="none"/>
        </w:rPr>
        <w:t>防雷接地</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交流工作接地、直流工作接地、安全保护接地</w:t>
      </w:r>
      <w:r>
        <w:rPr>
          <w:rFonts w:hint="eastAsia" w:ascii="宋体" w:hAnsi="宋体" w:eastAsia="宋体" w:cs="宋体"/>
          <w:color w:val="auto"/>
          <w:sz w:val="21"/>
          <w:szCs w:val="21"/>
          <w:highlight w:val="none"/>
          <w:lang w:val="en-US" w:eastAsia="zh-CN"/>
        </w:rPr>
        <w:t>等</w:t>
      </w:r>
      <w:r>
        <w:rPr>
          <w:rFonts w:hint="eastAsia" w:ascii="宋体" w:hAnsi="宋体" w:eastAsia="宋体" w:cs="宋体"/>
          <w:color w:val="auto"/>
          <w:sz w:val="21"/>
          <w:szCs w:val="21"/>
          <w:highlight w:val="none"/>
        </w:rPr>
        <w:t>共用一组接地装置时，接地装置的接地电阻值</w:t>
      </w:r>
      <w:r>
        <w:rPr>
          <w:rFonts w:hint="eastAsia" w:ascii="宋体" w:hAnsi="宋体" w:eastAsia="宋体" w:cs="宋体"/>
          <w:color w:val="auto"/>
          <w:sz w:val="21"/>
          <w:szCs w:val="21"/>
          <w:highlight w:val="none"/>
          <w:lang w:val="en-US" w:eastAsia="zh-CN"/>
        </w:rPr>
        <w:t>应不大于</w:t>
      </w:r>
      <w:r>
        <w:rPr>
          <w:rFonts w:hint="eastAsia" w:ascii="宋体" w:hAnsi="宋体" w:eastAsia="宋体" w:cs="宋体"/>
          <w:color w:val="auto"/>
          <w:sz w:val="21"/>
          <w:szCs w:val="21"/>
          <w:highlight w:val="none"/>
        </w:rPr>
        <w:t>接入设备中要求的最小值。</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pStyle w:val="37"/>
        <w:spacing w:line="276" w:lineRule="auto"/>
        <w:rPr>
          <w:rFonts w:eastAsia="宋体" w:cs="Times New Roman"/>
          <w:bCs/>
          <w:color w:val="auto"/>
          <w:szCs w:val="44"/>
          <w:highlight w:val="none"/>
        </w:rPr>
      </w:pPr>
      <w:bookmarkStart w:id="73" w:name="_Toc17094"/>
      <w:bookmarkStart w:id="74" w:name="_Toc18490"/>
      <w:bookmarkStart w:id="75" w:name="_Toc6931"/>
      <w:bookmarkStart w:id="76" w:name="_Toc6880"/>
      <w:bookmarkStart w:id="77" w:name="_Toc27485"/>
      <w:bookmarkStart w:id="78" w:name="_Toc1807"/>
      <w:r>
        <w:rPr>
          <w:rFonts w:hint="eastAsia" w:eastAsia="宋体" w:cs="Times New Roman"/>
          <w:bCs/>
          <w:color w:val="auto"/>
          <w:szCs w:val="44"/>
          <w:highlight w:val="none"/>
        </w:rPr>
        <w:t>5</w:t>
      </w:r>
      <w:r>
        <w:rPr>
          <w:rFonts w:eastAsia="宋体" w:cs="Times New Roman"/>
          <w:bCs/>
          <w:color w:val="auto"/>
          <w:szCs w:val="44"/>
          <w:highlight w:val="none"/>
        </w:rPr>
        <w:t xml:space="preserve"> </w:t>
      </w:r>
      <w:r>
        <w:rPr>
          <w:rFonts w:hint="eastAsia" w:eastAsia="宋体" w:cs="Times New Roman"/>
          <w:bCs/>
          <w:color w:val="auto"/>
          <w:szCs w:val="44"/>
          <w:highlight w:val="none"/>
          <w:lang w:val="en-US" w:eastAsia="zh-CN"/>
        </w:rPr>
        <w:t xml:space="preserve"> </w:t>
      </w:r>
      <w:r>
        <w:rPr>
          <w:rFonts w:hint="eastAsia" w:eastAsia="宋体" w:cs="Times New Roman"/>
          <w:bCs/>
          <w:color w:val="auto"/>
          <w:szCs w:val="44"/>
          <w:highlight w:val="none"/>
        </w:rPr>
        <w:t xml:space="preserve"> 过渡电阻检测</w:t>
      </w:r>
      <w:bookmarkEnd w:id="73"/>
      <w:bookmarkEnd w:id="74"/>
      <w:bookmarkEnd w:id="75"/>
      <w:bookmarkEnd w:id="76"/>
      <w:bookmarkEnd w:id="77"/>
      <w:bookmarkEnd w:id="78"/>
    </w:p>
    <w:p>
      <w:pPr>
        <w:pStyle w:val="3"/>
        <w:jc w:val="center"/>
        <w:rPr>
          <w:rFonts w:hint="default" w:ascii="宋体" w:hAnsi="宋体" w:eastAsia="宋体" w:cs="宋体"/>
          <w:color w:val="auto"/>
          <w:sz w:val="21"/>
          <w:szCs w:val="21"/>
          <w:highlight w:val="none"/>
          <w:lang w:val="en-US" w:eastAsia="zh-CN"/>
        </w:rPr>
      </w:pPr>
      <w:bookmarkStart w:id="79" w:name="_Toc25021"/>
      <w:bookmarkStart w:id="80" w:name="_Toc32329"/>
      <w:bookmarkStart w:id="81" w:name="_Toc11221"/>
      <w:bookmarkStart w:id="82" w:name="_Toc13159"/>
      <w:bookmarkStart w:id="83" w:name="_Toc5387"/>
      <w:bookmarkStart w:id="84" w:name="_Toc29009"/>
      <w:r>
        <w:rPr>
          <w:rFonts w:hint="eastAsia" w:ascii="宋体" w:hAnsi="宋体" w:eastAsia="宋体" w:cs="宋体"/>
          <w:color w:val="auto"/>
          <w:sz w:val="21"/>
          <w:szCs w:val="21"/>
          <w:highlight w:val="none"/>
        </w:rPr>
        <w:t>5</w:t>
      </w:r>
      <w:r>
        <w:rPr>
          <w:rFonts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  </w:t>
      </w:r>
      <w:bookmarkEnd w:id="79"/>
      <w:r>
        <w:rPr>
          <w:rFonts w:hint="eastAsia" w:ascii="宋体" w:hAnsi="宋体" w:eastAsia="宋体" w:cs="宋体"/>
          <w:color w:val="auto"/>
          <w:sz w:val="21"/>
          <w:szCs w:val="21"/>
          <w:highlight w:val="none"/>
          <w:lang w:val="en-US" w:eastAsia="zh-CN"/>
        </w:rPr>
        <w:t>一般规定</w:t>
      </w:r>
      <w:bookmarkEnd w:id="80"/>
      <w:bookmarkEnd w:id="81"/>
      <w:bookmarkEnd w:id="82"/>
      <w:bookmarkEnd w:id="83"/>
      <w:bookmarkEnd w:id="84"/>
    </w:p>
    <w:p>
      <w:pP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5.1.1  </w:t>
      </w:r>
      <w:r>
        <w:rPr>
          <w:rFonts w:hint="eastAsia" w:ascii="宋体" w:hAnsi="宋体" w:eastAsia="宋体" w:cs="宋体"/>
          <w:color w:val="auto"/>
          <w:sz w:val="21"/>
          <w:szCs w:val="21"/>
          <w:highlight w:val="none"/>
          <w:lang w:val="en-US" w:eastAsia="zh-CN"/>
        </w:rPr>
        <w:t>过渡电阻检测宜选用具有四线法测试功能或可消除测试用接线直流电阻的检测仪器。若检测仪器无消除线阻功能时，测试结果应减去测试用接线的直流电阻。</w:t>
      </w:r>
    </w:p>
    <w:p>
      <w:pPr>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5.1.2  </w:t>
      </w:r>
      <w:r>
        <w:rPr>
          <w:rFonts w:hint="eastAsia" w:ascii="宋体" w:hAnsi="宋体" w:eastAsia="宋体" w:cs="宋体"/>
          <w:color w:val="auto"/>
          <w:sz w:val="21"/>
          <w:szCs w:val="21"/>
          <w:highlight w:val="none"/>
          <w:lang w:val="en-US" w:eastAsia="zh-CN"/>
        </w:rPr>
        <w:t>测量时应排除检测仪器与被测部位连接处接触不良的影响。</w:t>
      </w:r>
    </w:p>
    <w:p>
      <w:pPr>
        <w:pStyle w:val="3"/>
        <w:jc w:val="center"/>
        <w:rPr>
          <w:rFonts w:ascii="宋体" w:hAnsi="宋体" w:eastAsia="宋体" w:cs="宋体"/>
          <w:color w:val="auto"/>
          <w:sz w:val="21"/>
          <w:szCs w:val="21"/>
          <w:highlight w:val="none"/>
        </w:rPr>
      </w:pPr>
      <w:bookmarkStart w:id="85" w:name="_Toc8938"/>
      <w:bookmarkStart w:id="86" w:name="_Toc1017"/>
      <w:bookmarkStart w:id="87" w:name="_Toc2712"/>
      <w:bookmarkStart w:id="88" w:name="_Toc27539"/>
      <w:bookmarkStart w:id="89" w:name="_Toc2864"/>
      <w:r>
        <w:rPr>
          <w:rFonts w:hint="eastAsia" w:ascii="宋体" w:hAnsi="宋体" w:eastAsia="宋体" w:cs="宋体"/>
          <w:color w:val="auto"/>
          <w:sz w:val="21"/>
          <w:szCs w:val="21"/>
          <w:highlight w:val="none"/>
        </w:rPr>
        <w:t>5</w:t>
      </w:r>
      <w:r>
        <w:rPr>
          <w:rFonts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检测部位和检测数量</w:t>
      </w:r>
      <w:bookmarkEnd w:id="85"/>
      <w:bookmarkEnd w:id="86"/>
      <w:bookmarkEnd w:id="87"/>
      <w:bookmarkEnd w:id="88"/>
      <w:bookmarkEnd w:id="89"/>
    </w:p>
    <w:p>
      <w:pP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5.2.1  </w:t>
      </w:r>
      <w:r>
        <w:rPr>
          <w:rFonts w:hint="eastAsia" w:ascii="宋体" w:hAnsi="宋体" w:eastAsia="宋体" w:cs="宋体"/>
          <w:color w:val="auto"/>
          <w:sz w:val="21"/>
          <w:szCs w:val="21"/>
          <w:highlight w:val="none"/>
          <w:lang w:val="en-US" w:eastAsia="zh-CN"/>
        </w:rPr>
        <w:t>过渡电阻检测应包括但不限于下列部位：</w:t>
      </w:r>
    </w:p>
    <w:p>
      <w:pPr>
        <w:ind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 xml:space="preserve">  大尺寸金属物与接地装置的连接；</w:t>
      </w:r>
    </w:p>
    <w:p>
      <w:pPr>
        <w:ind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 xml:space="preserve">  外墙内、外竖直敷设的金属管道及金属物顶端和底端与防雷装置的连接；当建筑物高度大于100m时，在高度100m～250m区域内每间隔不超过50m与防雷装置连接一处；在高度250m以上区域每间隔不超过20m与防雷装置连接一处；</w:t>
      </w:r>
    </w:p>
    <w:p>
      <w:pPr>
        <w:ind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 xml:space="preserve">  建筑物金属体、金属装置、建筑物内系统、进出建筑物的金属管线在建筑物地下室或地面层处与防雷装置的等电位连接；</w:t>
      </w:r>
    </w:p>
    <w:p>
      <w:pPr>
        <w:ind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 xml:space="preserve">  进入建筑物的外来导电物在LPZ0</w:t>
      </w:r>
      <w:r>
        <w:rPr>
          <w:rFonts w:hint="eastAsia" w:ascii="宋体" w:hAnsi="宋体" w:eastAsia="宋体" w:cs="宋体"/>
          <w:color w:val="auto"/>
          <w:sz w:val="21"/>
          <w:szCs w:val="21"/>
          <w:highlight w:val="none"/>
          <w:vertAlign w:val="subscript"/>
          <w:lang w:val="en-US" w:eastAsia="zh-CN"/>
        </w:rPr>
        <w:t>A</w:t>
      </w:r>
      <w:r>
        <w:rPr>
          <w:rFonts w:hint="eastAsia" w:ascii="宋体" w:hAnsi="宋体" w:eastAsia="宋体" w:cs="宋体"/>
          <w:color w:val="auto"/>
          <w:sz w:val="21"/>
          <w:szCs w:val="21"/>
          <w:highlight w:val="none"/>
          <w:lang w:val="en-US" w:eastAsia="zh-CN"/>
        </w:rPr>
        <w:t>或LPZ0</w:t>
      </w:r>
      <w:r>
        <w:rPr>
          <w:rFonts w:hint="eastAsia" w:ascii="宋体" w:hAnsi="宋体" w:eastAsia="宋体" w:cs="宋体"/>
          <w:color w:val="auto"/>
          <w:sz w:val="21"/>
          <w:szCs w:val="21"/>
          <w:highlight w:val="none"/>
          <w:vertAlign w:val="subscript"/>
          <w:lang w:val="en-US" w:eastAsia="zh-CN"/>
        </w:rPr>
        <w:t>B</w:t>
      </w:r>
      <w:r>
        <w:rPr>
          <w:rFonts w:hint="eastAsia" w:ascii="宋体" w:hAnsi="宋体" w:eastAsia="宋体" w:cs="宋体"/>
          <w:color w:val="auto"/>
          <w:sz w:val="21"/>
          <w:szCs w:val="21"/>
          <w:highlight w:val="none"/>
          <w:lang w:val="en-US" w:eastAsia="zh-CN"/>
        </w:rPr>
        <w:t>与LPZ1区的界面处的等电位连接；</w:t>
      </w:r>
    </w:p>
    <w:p>
      <w:pPr>
        <w:ind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 xml:space="preserve">  穿过防雷区界面的所有导电物、电气和电子系统的线路在界面处的等电位连接；</w:t>
      </w:r>
    </w:p>
    <w:p>
      <w:pPr>
        <w:ind w:firstLine="422"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 xml:space="preserve">  所有电梯轨道、起重机、金属地板、金属门框架、设施管道、电缆桥架等大尺寸的内部导电物的等电位连接；</w:t>
      </w:r>
    </w:p>
    <w:p>
      <w:pPr>
        <w:ind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 xml:space="preserve">  电子系统的所有外露导电物与建筑物的等电位连接网络的功能性等电位连接，包括但不限于下列部位的等电位连接：</w:t>
      </w:r>
    </w:p>
    <w:p>
      <w:pPr>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——配电柜（盘）内部的PE排及外露金属导体；</w:t>
      </w:r>
    </w:p>
    <w:p>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——UPS及电池柜金属外壳；</w:t>
      </w:r>
    </w:p>
    <w:p>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——电子设备的金属外壳；</w:t>
      </w:r>
    </w:p>
    <w:p>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——设备机架、金属操作台；</w:t>
      </w:r>
    </w:p>
    <w:p>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——机房内消防设施、其他配套设施金属外壳；</w:t>
      </w:r>
    </w:p>
    <w:p>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——线缆的金属屏蔽层；</w:t>
      </w:r>
    </w:p>
    <w:p>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——光缆屏蔽层和金属加强筋；</w:t>
      </w:r>
    </w:p>
    <w:p>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——金属线槽；</w:t>
      </w:r>
    </w:p>
    <w:p>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——配线架；</w:t>
      </w:r>
    </w:p>
    <w:p>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——防静电地板支架；</w:t>
      </w:r>
    </w:p>
    <w:p>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——金属门、窗、隔断等。</w:t>
      </w:r>
    </w:p>
    <w:p>
      <w:pPr>
        <w:ind w:firstLine="422"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 xml:space="preserve">  其他等电位连接部位见《建筑物雷电防护装置检测技术规范》GB/T 21431-2023第5.5.5.1条。</w:t>
      </w:r>
    </w:p>
    <w:p>
      <w:pPr>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5.2.2  </w:t>
      </w:r>
      <w:r>
        <w:rPr>
          <w:rFonts w:hint="eastAsia" w:ascii="宋体" w:hAnsi="宋体" w:eastAsia="宋体" w:cs="宋体"/>
          <w:color w:val="auto"/>
          <w:sz w:val="21"/>
          <w:szCs w:val="21"/>
          <w:highlight w:val="none"/>
          <w:lang w:val="en-US" w:eastAsia="zh-CN"/>
        </w:rPr>
        <w:t>过渡电阻检测数量应符合下列规定：</w:t>
      </w:r>
    </w:p>
    <w:p>
      <w:pPr>
        <w:ind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 xml:space="preserve">  第一类防雷建筑物的等电位连接应全数检测；</w:t>
      </w:r>
    </w:p>
    <w:p>
      <w:pPr>
        <w:ind w:firstLine="422"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 xml:space="preserve">  符合</w:t>
      </w:r>
      <w:r>
        <w:rPr>
          <w:rFonts w:hint="eastAsia" w:ascii="Times New Roman" w:hAnsi="Times New Roman" w:eastAsia="宋体" w:cs="Times New Roman"/>
          <w:color w:val="auto"/>
          <w:sz w:val="21"/>
          <w:szCs w:val="21"/>
          <w:highlight w:val="none"/>
          <w:lang w:val="en-US" w:eastAsia="zh-CN" w:bidi="ar-SA"/>
        </w:rPr>
        <w:t>《建筑物防雷设计规范》</w:t>
      </w:r>
      <w:r>
        <w:rPr>
          <w:rFonts w:hint="eastAsia" w:ascii="宋体" w:hAnsi="宋体" w:eastAsia="宋体" w:cs="宋体"/>
          <w:color w:val="auto"/>
          <w:sz w:val="21"/>
          <w:szCs w:val="21"/>
          <w:highlight w:val="none"/>
          <w:lang w:val="en-US" w:eastAsia="zh-CN"/>
        </w:rPr>
        <w:t>GB50057-2010中3.0.3第5款～第8款规定的第二类防雷建筑物应全数检测；</w:t>
      </w:r>
    </w:p>
    <w:p>
      <w:pPr>
        <w:ind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 xml:space="preserve">  符合《建筑物雷电防护装置检测技术规范》GB/T21431-2023表8序号21规定的位置、电子系统的所有外露导电物与等电位连接网络的等电位连接应全数检测；</w:t>
      </w:r>
    </w:p>
    <w:p>
      <w:pPr>
        <w:ind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 xml:space="preserve">  其他建筑物的等电位连接过渡</w:t>
      </w:r>
      <w:bookmarkStart w:id="509" w:name="_GoBack"/>
      <w:bookmarkEnd w:id="509"/>
      <w:r>
        <w:rPr>
          <w:rFonts w:hint="eastAsia" w:ascii="宋体" w:hAnsi="宋体" w:eastAsia="宋体" w:cs="宋体"/>
          <w:color w:val="auto"/>
          <w:sz w:val="21"/>
          <w:szCs w:val="21"/>
          <w:highlight w:val="none"/>
          <w:lang w:val="en-US" w:eastAsia="zh-CN"/>
        </w:rPr>
        <w:t xml:space="preserve">电阻检测数量不应少于各类型位置总数的20%,且均不少于1 处。 </w:t>
      </w:r>
    </w:p>
    <w:p>
      <w:pPr>
        <w:pStyle w:val="3"/>
        <w:jc w:val="center"/>
        <w:rPr>
          <w:rFonts w:hint="eastAsia" w:ascii="宋体" w:hAnsi="宋体" w:eastAsia="宋体" w:cs="宋体"/>
          <w:color w:val="auto"/>
          <w:sz w:val="21"/>
          <w:szCs w:val="21"/>
          <w:highlight w:val="none"/>
          <w:lang w:val="en-US" w:eastAsia="zh-CN"/>
        </w:rPr>
      </w:pPr>
      <w:bookmarkStart w:id="90" w:name="_Toc44"/>
      <w:bookmarkStart w:id="91" w:name="_Toc13988"/>
      <w:bookmarkStart w:id="92" w:name="_Toc5582"/>
      <w:bookmarkStart w:id="93" w:name="_Toc1049"/>
      <w:bookmarkStart w:id="94" w:name="_Toc25530"/>
      <w:bookmarkStart w:id="95" w:name="_Toc12019"/>
      <w:r>
        <w:rPr>
          <w:rFonts w:hint="eastAsia" w:ascii="宋体" w:hAnsi="宋体" w:eastAsia="宋体" w:cs="宋体"/>
          <w:color w:val="auto"/>
          <w:sz w:val="21"/>
          <w:szCs w:val="21"/>
          <w:highlight w:val="none"/>
          <w:lang w:val="en-US" w:eastAsia="zh-CN"/>
        </w:rPr>
        <w:t>5.3  检测方法</w:t>
      </w:r>
      <w:bookmarkEnd w:id="90"/>
      <w:bookmarkEnd w:id="91"/>
      <w:bookmarkEnd w:id="92"/>
      <w:bookmarkEnd w:id="93"/>
      <w:bookmarkEnd w:id="94"/>
      <w:bookmarkEnd w:id="95"/>
    </w:p>
    <w:p>
      <w:pP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5.3.1</w:t>
      </w:r>
      <w:r>
        <w:rPr>
          <w:rFonts w:hint="eastAsia" w:ascii="宋体" w:hAnsi="宋体" w:eastAsia="宋体" w:cs="宋体"/>
          <w:color w:val="auto"/>
          <w:sz w:val="21"/>
          <w:szCs w:val="21"/>
          <w:highlight w:val="none"/>
          <w:lang w:val="en-US" w:eastAsia="zh-CN"/>
        </w:rPr>
        <w:t xml:space="preserve">  过渡电阻测试设备精度应符合下列规定：</w:t>
      </w:r>
    </w:p>
    <w:p>
      <w:pPr>
        <w:ind w:firstLine="422"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 xml:space="preserve">  空载电压4V～24V；</w:t>
      </w:r>
    </w:p>
    <w:p>
      <w:pPr>
        <w:ind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 xml:space="preserve">  测试电流大于等于0.2A；</w:t>
      </w:r>
    </w:p>
    <w:p>
      <w:pPr>
        <w:ind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 xml:space="preserve">  量程0Ω～100Ω；</w:t>
      </w:r>
    </w:p>
    <w:p>
      <w:pPr>
        <w:ind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 xml:space="preserve">  分辨力（d）小于等于0.001Ω；</w:t>
      </w:r>
    </w:p>
    <w:p>
      <w:pPr>
        <w:ind w:firstLine="422" w:firstLineChars="200"/>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精度±(2%rdg+2d)</w:t>
      </w:r>
      <w:r>
        <w:rPr>
          <w:rFonts w:hint="eastAsia" w:ascii="宋体" w:hAnsi="宋体" w:eastAsia="宋体" w:cs="宋体"/>
          <w:color w:val="auto"/>
          <w:sz w:val="21"/>
          <w:szCs w:val="21"/>
          <w:highlight w:val="none"/>
          <w:lang w:eastAsia="zh-CN"/>
        </w:rPr>
        <w:t>。</w:t>
      </w:r>
    </w:p>
    <w:p>
      <w:pPr>
        <w:ind w:firstLine="540" w:firstLineChars="30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注：rdg指显示值</w:t>
      </w:r>
    </w:p>
    <w:p>
      <w:pP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5.3.2  </w:t>
      </w:r>
      <w:r>
        <w:rPr>
          <w:rFonts w:hint="eastAsia" w:ascii="宋体" w:hAnsi="宋体" w:eastAsia="宋体" w:cs="宋体"/>
          <w:color w:val="auto"/>
          <w:sz w:val="21"/>
          <w:szCs w:val="21"/>
          <w:highlight w:val="none"/>
          <w:lang w:val="en-US" w:eastAsia="zh-CN"/>
        </w:rPr>
        <w:t>过渡电阻检测接线的方法宜符合《建筑物雷电防护装置检测技术规范》GB/T 21431-2023附录D的要求。</w:t>
      </w:r>
    </w:p>
    <w:p>
      <w:pP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5.3.3  </w:t>
      </w:r>
      <w:r>
        <w:rPr>
          <w:rFonts w:hint="eastAsia" w:ascii="宋体" w:hAnsi="宋体" w:eastAsia="宋体" w:cs="宋体"/>
          <w:color w:val="auto"/>
          <w:sz w:val="21"/>
          <w:szCs w:val="21"/>
          <w:highlight w:val="none"/>
          <w:lang w:val="en-US" w:eastAsia="zh-CN"/>
        </w:rPr>
        <w:t>使用二线法测试直流电阻的设备，每次测量前或更换测试线后应进行一次线阻校验。</w:t>
      </w:r>
    </w:p>
    <w:p>
      <w:pP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5.3.4  </w:t>
      </w:r>
      <w:r>
        <w:rPr>
          <w:rFonts w:hint="eastAsia" w:ascii="宋体" w:hAnsi="宋体" w:eastAsia="宋体" w:cs="宋体"/>
          <w:color w:val="auto"/>
          <w:sz w:val="21"/>
          <w:szCs w:val="21"/>
          <w:highlight w:val="none"/>
          <w:lang w:val="en-US" w:eastAsia="zh-CN"/>
        </w:rPr>
        <w:t>连续测量、更换数据线、仪表上检测数据出现异常重新启动测试设备时，应重新校验线阻以减小误差。</w:t>
      </w:r>
    </w:p>
    <w:p>
      <w:pPr>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5.3.5  </w:t>
      </w:r>
      <w:r>
        <w:rPr>
          <w:rFonts w:hint="eastAsia" w:ascii="宋体" w:hAnsi="宋体" w:eastAsia="宋体" w:cs="宋体"/>
          <w:color w:val="auto"/>
          <w:sz w:val="21"/>
          <w:szCs w:val="21"/>
          <w:highlight w:val="none"/>
          <w:lang w:val="en-US" w:eastAsia="zh-CN"/>
        </w:rPr>
        <w:t>当线阻校验和测量时仪表读数均为零时，设备可能存在电池容量不足、电压过低，须更换电池。更换电池后仍出现此异常，则是测试设备内部元件损坏。</w:t>
      </w:r>
    </w:p>
    <w:p>
      <w:pPr>
        <w:pStyle w:val="3"/>
        <w:jc w:val="center"/>
        <w:rPr>
          <w:rFonts w:hint="default" w:ascii="宋体" w:hAnsi="宋体" w:eastAsia="宋体" w:cs="宋体"/>
          <w:color w:val="auto"/>
          <w:sz w:val="21"/>
          <w:szCs w:val="21"/>
          <w:highlight w:val="none"/>
          <w:lang w:val="en-US" w:eastAsia="zh-CN"/>
        </w:rPr>
      </w:pPr>
      <w:bookmarkStart w:id="96" w:name="_Toc7678"/>
      <w:bookmarkStart w:id="97" w:name="_Toc27854"/>
      <w:bookmarkStart w:id="98" w:name="_Toc15182"/>
      <w:bookmarkStart w:id="99" w:name="_Toc2757"/>
      <w:bookmarkStart w:id="100" w:name="_Toc25250"/>
      <w:bookmarkStart w:id="101" w:name="_Toc19169"/>
      <w:r>
        <w:rPr>
          <w:rFonts w:hint="eastAsia" w:ascii="宋体" w:hAnsi="宋体" w:eastAsia="宋体" w:cs="宋体"/>
          <w:color w:val="auto"/>
          <w:sz w:val="21"/>
          <w:szCs w:val="21"/>
          <w:highlight w:val="none"/>
          <w:lang w:val="en-US" w:eastAsia="zh-CN"/>
        </w:rPr>
        <w:t>5.4  检测结果</w:t>
      </w:r>
      <w:bookmarkEnd w:id="96"/>
      <w:bookmarkEnd w:id="97"/>
      <w:r>
        <w:rPr>
          <w:rFonts w:hint="eastAsia" w:ascii="宋体" w:hAnsi="宋体" w:eastAsia="宋体" w:cs="宋体"/>
          <w:color w:val="auto"/>
          <w:sz w:val="21"/>
          <w:szCs w:val="21"/>
          <w:highlight w:val="none"/>
          <w:lang w:val="en-US" w:eastAsia="zh-CN"/>
        </w:rPr>
        <w:t>的评价</w:t>
      </w:r>
      <w:bookmarkEnd w:id="98"/>
      <w:bookmarkEnd w:id="99"/>
      <w:bookmarkEnd w:id="100"/>
      <w:bookmarkEnd w:id="101"/>
    </w:p>
    <w:p>
      <w:pP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5.4.1</w:t>
      </w:r>
      <w:r>
        <w:rPr>
          <w:rFonts w:hint="eastAsia" w:ascii="宋体" w:hAnsi="宋体" w:eastAsia="宋体" w:cs="宋体"/>
          <w:color w:val="auto"/>
          <w:sz w:val="21"/>
          <w:szCs w:val="21"/>
          <w:highlight w:val="none"/>
          <w:lang w:val="en-US" w:eastAsia="zh-CN"/>
        </w:rPr>
        <w:t xml:space="preserve">  长金属物的弯头、阀门、法兰盘等连接处的过度电阻值应小于等于0.03Ω。</w:t>
      </w:r>
    </w:p>
    <w:p>
      <w:pP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5.4.2</w:t>
      </w:r>
      <w:r>
        <w:rPr>
          <w:rFonts w:hint="eastAsia" w:ascii="宋体" w:hAnsi="宋体" w:eastAsia="宋体" w:cs="宋体"/>
          <w:color w:val="auto"/>
          <w:sz w:val="21"/>
          <w:szCs w:val="21"/>
          <w:highlight w:val="none"/>
          <w:lang w:val="en-US" w:eastAsia="zh-CN"/>
        </w:rPr>
        <w:t xml:space="preserve">  电气和电子系统线路连通的互相邻近的建筑物之间的接地装置宜互相连接，可通过接地线、PE线、屏蔽层、穿线钢管、电缆沟的钢筋或金属管道等连接，其过渡电阻值不应大于 1Ω。</w:t>
      </w:r>
    </w:p>
    <w:p>
      <w:pPr>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5.4.3</w:t>
      </w:r>
      <w:r>
        <w:rPr>
          <w:rFonts w:hint="eastAsia" w:ascii="宋体" w:hAnsi="宋体" w:eastAsia="宋体" w:cs="宋体"/>
          <w:color w:val="auto"/>
          <w:sz w:val="21"/>
          <w:szCs w:val="21"/>
          <w:highlight w:val="none"/>
          <w:lang w:val="en-US" w:eastAsia="zh-CN"/>
        </w:rPr>
        <w:t xml:space="preserve">  建筑物中其他等电位连接措施处，其间过渡电阻值不应大于0.2Ω。</w:t>
      </w:r>
      <w:r>
        <w:rPr>
          <w:rFonts w:ascii="宋体" w:hAnsi="宋体" w:eastAsia="宋体" w:cs="宋体"/>
          <w:color w:val="auto"/>
          <w:sz w:val="21"/>
          <w:szCs w:val="21"/>
          <w:highlight w:val="none"/>
        </w:rPr>
        <w:br w:type="page"/>
      </w:r>
    </w:p>
    <w:p>
      <w:pPr>
        <w:pStyle w:val="37"/>
        <w:spacing w:line="276" w:lineRule="auto"/>
        <w:rPr>
          <w:rFonts w:eastAsia="宋体" w:cs="Times New Roman"/>
          <w:bCs/>
          <w:color w:val="auto"/>
          <w:szCs w:val="44"/>
          <w:highlight w:val="none"/>
        </w:rPr>
      </w:pPr>
      <w:bookmarkStart w:id="102" w:name="_Toc30184"/>
      <w:bookmarkStart w:id="103" w:name="_Toc5433"/>
      <w:bookmarkStart w:id="104" w:name="_Toc25605"/>
      <w:bookmarkStart w:id="105" w:name="_Toc21694"/>
      <w:bookmarkStart w:id="106" w:name="_Toc20919"/>
      <w:r>
        <w:rPr>
          <w:rFonts w:eastAsia="宋体" w:cs="Times New Roman"/>
          <w:bCs/>
          <w:color w:val="auto"/>
          <w:szCs w:val="44"/>
          <w:highlight w:val="none"/>
        </w:rPr>
        <w:t>6</w:t>
      </w:r>
      <w:r>
        <w:rPr>
          <w:rFonts w:hint="eastAsia" w:eastAsia="宋体" w:cs="Times New Roman"/>
          <w:bCs/>
          <w:color w:val="auto"/>
          <w:szCs w:val="44"/>
          <w:highlight w:val="none"/>
          <w:lang w:val="en-US" w:eastAsia="zh-CN"/>
        </w:rPr>
        <w:t xml:space="preserve">   </w:t>
      </w:r>
      <w:r>
        <w:rPr>
          <w:rFonts w:hint="eastAsia" w:eastAsia="宋体" w:cs="Times New Roman"/>
          <w:bCs/>
          <w:color w:val="auto"/>
          <w:szCs w:val="44"/>
          <w:highlight w:val="none"/>
        </w:rPr>
        <w:t>绝缘电阻检测</w:t>
      </w:r>
      <w:bookmarkEnd w:id="102"/>
      <w:bookmarkEnd w:id="103"/>
      <w:bookmarkEnd w:id="104"/>
      <w:bookmarkEnd w:id="105"/>
      <w:bookmarkEnd w:id="106"/>
    </w:p>
    <w:p>
      <w:pPr>
        <w:pStyle w:val="3"/>
        <w:jc w:val="center"/>
        <w:rPr>
          <w:rFonts w:hint="default" w:ascii="宋体" w:hAnsi="宋体" w:eastAsia="宋体" w:cs="宋体"/>
          <w:color w:val="auto"/>
          <w:sz w:val="21"/>
          <w:szCs w:val="21"/>
          <w:highlight w:val="none"/>
          <w:lang w:val="en-US" w:eastAsia="zh-CN"/>
        </w:rPr>
      </w:pPr>
      <w:bookmarkStart w:id="107" w:name="_Toc7296"/>
      <w:bookmarkStart w:id="108" w:name="_Toc17102"/>
      <w:bookmarkStart w:id="109" w:name="_Toc5616"/>
      <w:bookmarkStart w:id="110" w:name="_Toc6503"/>
      <w:bookmarkStart w:id="111" w:name="_Toc31759"/>
      <w:r>
        <w:rPr>
          <w:rFonts w:ascii="宋体" w:hAnsi="宋体" w:eastAsia="宋体" w:cs="宋体"/>
          <w:color w:val="auto"/>
          <w:sz w:val="21"/>
          <w:szCs w:val="21"/>
          <w:highlight w:val="none"/>
        </w:rPr>
        <w:t>6.1</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一般规定</w:t>
      </w:r>
      <w:bookmarkEnd w:id="107"/>
      <w:bookmarkEnd w:id="108"/>
      <w:bookmarkEnd w:id="109"/>
      <w:bookmarkEnd w:id="110"/>
      <w:bookmarkEnd w:id="111"/>
    </w:p>
    <w:p>
      <w:pP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rPr>
        <w:t>6.1.1</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建筑电气工程绝缘电阻</w:t>
      </w:r>
      <w:r>
        <w:rPr>
          <w:rFonts w:hint="eastAsia" w:ascii="宋体" w:hAnsi="宋体" w:eastAsia="宋体" w:cs="宋体"/>
          <w:color w:val="auto"/>
          <w:sz w:val="21"/>
          <w:szCs w:val="21"/>
          <w:highlight w:val="none"/>
        </w:rPr>
        <w:t>检测前应检查绝缘电阻测试</w:t>
      </w:r>
      <w:r>
        <w:rPr>
          <w:rFonts w:hint="eastAsia" w:ascii="宋体" w:hAnsi="宋体" w:eastAsia="宋体" w:cs="宋体"/>
          <w:color w:val="auto"/>
          <w:sz w:val="21"/>
          <w:szCs w:val="21"/>
          <w:highlight w:val="none"/>
          <w:lang w:val="en-US" w:eastAsia="zh-CN"/>
        </w:rPr>
        <w:t>设备</w:t>
      </w:r>
      <w:r>
        <w:rPr>
          <w:rFonts w:hint="eastAsia" w:ascii="宋体" w:hAnsi="宋体" w:eastAsia="宋体" w:cs="宋体"/>
          <w:color w:val="auto"/>
          <w:sz w:val="21"/>
          <w:szCs w:val="21"/>
          <w:highlight w:val="none"/>
        </w:rPr>
        <w:t>是否正常</w:t>
      </w:r>
      <w:r>
        <w:rPr>
          <w:rFonts w:hint="eastAsia" w:ascii="宋体" w:hAnsi="宋体" w:eastAsia="宋体" w:cs="宋体"/>
          <w:color w:val="auto"/>
          <w:sz w:val="21"/>
          <w:szCs w:val="21"/>
          <w:highlight w:val="none"/>
          <w:lang w:eastAsia="zh-CN"/>
        </w:rPr>
        <w:t>。</w:t>
      </w:r>
    </w:p>
    <w:p>
      <w:pPr>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对绝缘电阻</w:t>
      </w:r>
      <w:r>
        <w:rPr>
          <w:rFonts w:hint="eastAsia" w:ascii="宋体" w:hAnsi="宋体" w:eastAsia="宋体" w:cs="宋体"/>
          <w:color w:val="auto"/>
          <w:sz w:val="21"/>
          <w:szCs w:val="21"/>
          <w:highlight w:val="none"/>
          <w:lang w:eastAsia="zh-CN"/>
        </w:rPr>
        <w:t>检测仪器</w:t>
      </w:r>
      <w:r>
        <w:rPr>
          <w:rFonts w:hint="eastAsia" w:ascii="宋体" w:hAnsi="宋体" w:eastAsia="宋体" w:cs="宋体"/>
          <w:color w:val="auto"/>
          <w:sz w:val="21"/>
          <w:szCs w:val="21"/>
          <w:highlight w:val="none"/>
        </w:rPr>
        <w:t>进行一次开路和短路试验。开路时，绝缘电阻</w:t>
      </w:r>
      <w:r>
        <w:rPr>
          <w:rFonts w:hint="eastAsia" w:ascii="宋体" w:hAnsi="宋体" w:eastAsia="宋体" w:cs="宋体"/>
          <w:color w:val="auto"/>
          <w:sz w:val="21"/>
          <w:szCs w:val="21"/>
          <w:highlight w:val="none"/>
          <w:lang w:eastAsia="zh-CN"/>
        </w:rPr>
        <w:t>检测仪器</w:t>
      </w:r>
      <w:r>
        <w:rPr>
          <w:rFonts w:hint="eastAsia" w:ascii="宋体" w:hAnsi="宋体" w:eastAsia="宋体" w:cs="宋体"/>
          <w:color w:val="auto"/>
          <w:sz w:val="21"/>
          <w:szCs w:val="21"/>
          <w:highlight w:val="none"/>
        </w:rPr>
        <w:t>读数应为“∞”，短路时，绝缘电阻</w:t>
      </w:r>
      <w:r>
        <w:rPr>
          <w:rFonts w:hint="eastAsia" w:ascii="宋体" w:hAnsi="宋体" w:eastAsia="宋体" w:cs="宋体"/>
          <w:color w:val="auto"/>
          <w:sz w:val="21"/>
          <w:szCs w:val="21"/>
          <w:highlight w:val="none"/>
          <w:lang w:eastAsia="zh-CN"/>
        </w:rPr>
        <w:t>检测仪器</w:t>
      </w:r>
      <w:r>
        <w:rPr>
          <w:rFonts w:hint="eastAsia" w:ascii="宋体" w:hAnsi="宋体" w:eastAsia="宋体" w:cs="宋体"/>
          <w:color w:val="auto"/>
          <w:sz w:val="21"/>
          <w:szCs w:val="21"/>
          <w:highlight w:val="none"/>
        </w:rPr>
        <w:t>读数应为“0”。</w:t>
      </w:r>
    </w:p>
    <w:p>
      <w:pP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6.</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color w:val="auto"/>
          <w:sz w:val="21"/>
          <w:szCs w:val="21"/>
          <w:highlight w:val="none"/>
        </w:rPr>
        <w:t>检测前后均应将被测对象充分放电。</w:t>
      </w:r>
    </w:p>
    <w:p>
      <w:pPr>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6.1.3</w:t>
      </w:r>
      <w:r>
        <w:rPr>
          <w:rFonts w:hint="eastAsia" w:ascii="宋体" w:hAnsi="宋体" w:eastAsia="宋体" w:cs="宋体"/>
          <w:color w:val="auto"/>
          <w:sz w:val="21"/>
          <w:szCs w:val="21"/>
          <w:highlight w:val="none"/>
          <w:lang w:val="en-US" w:eastAsia="zh-CN"/>
        </w:rPr>
        <w:t xml:space="preserve">  不宜在雷雨及潮湿天气进行测试。测试前，应了解并记录周围环境温度和湿度。</w:t>
      </w:r>
    </w:p>
    <w:p>
      <w:pP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6.</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 xml:space="preserve"> </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检测</w:t>
      </w:r>
      <w:r>
        <w:rPr>
          <w:rFonts w:hint="eastAsia" w:ascii="宋体" w:hAnsi="宋体" w:eastAsia="宋体" w:cs="宋体"/>
          <w:color w:val="auto"/>
          <w:sz w:val="21"/>
          <w:szCs w:val="21"/>
          <w:highlight w:val="none"/>
        </w:rPr>
        <w:t>对象</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rPr>
        <w:t>处于室温状态，表面无污垢、不潮湿。</w:t>
      </w:r>
    </w:p>
    <w:p>
      <w:pP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6.1.5  </w:t>
      </w:r>
      <w:r>
        <w:rPr>
          <w:rFonts w:hint="eastAsia" w:ascii="宋体" w:hAnsi="宋体" w:eastAsia="宋体" w:cs="宋体"/>
          <w:color w:val="auto"/>
          <w:sz w:val="21"/>
          <w:szCs w:val="21"/>
          <w:highlight w:val="none"/>
          <w:lang w:val="en-US" w:eastAsia="zh-CN"/>
        </w:rPr>
        <w:t>检测绝缘电阻前，应断开与被测部位连接的所有负载、控制回路、监测设备。</w:t>
      </w:r>
    </w:p>
    <w:p>
      <w:pP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6.1.6  </w:t>
      </w:r>
      <w:r>
        <w:rPr>
          <w:rFonts w:hint="eastAsia" w:ascii="宋体" w:hAnsi="宋体" w:eastAsia="宋体" w:cs="宋体"/>
          <w:color w:val="auto"/>
          <w:sz w:val="21"/>
          <w:szCs w:val="21"/>
          <w:highlight w:val="none"/>
          <w:lang w:val="en-US" w:eastAsia="zh-CN"/>
        </w:rPr>
        <w:t>检测零对地绝缘电阻前，零线经开关的，断开上级开关；零线不经开关的，断开零线与零线汇流排的连接。</w:t>
      </w:r>
    </w:p>
    <w:p>
      <w:pPr>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6.1.7</w:t>
      </w:r>
      <w:r>
        <w:rPr>
          <w:rFonts w:hint="eastAsia" w:ascii="宋体" w:hAnsi="宋体" w:eastAsia="宋体" w:cs="宋体"/>
          <w:color w:val="auto"/>
          <w:sz w:val="21"/>
          <w:szCs w:val="21"/>
          <w:highlight w:val="none"/>
          <w:lang w:val="en-US" w:eastAsia="zh-CN"/>
        </w:rPr>
        <w:t xml:space="preserve">  检测对地的绝缘电阻时，绝缘电阻检测仪器的地线端连接被测部位的地线。</w:t>
      </w:r>
    </w:p>
    <w:p>
      <w:pPr>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6.1.8  </w:t>
      </w:r>
      <w:r>
        <w:rPr>
          <w:rFonts w:hint="eastAsia" w:ascii="宋体" w:hAnsi="宋体" w:eastAsia="宋体" w:cs="宋体"/>
          <w:color w:val="auto"/>
          <w:sz w:val="21"/>
          <w:szCs w:val="21"/>
          <w:highlight w:val="none"/>
          <w:lang w:val="en-US" w:eastAsia="zh-CN"/>
        </w:rPr>
        <w:t>检测人员必须佩戴绝缘手套，穿绝缘鞋。一人检测，一人旁站。检测时，禁止无关人员接近检测对象;人员不得触及测量部位、接线端、测试线。</w:t>
      </w:r>
    </w:p>
    <w:p>
      <w:pPr>
        <w:pStyle w:val="3"/>
        <w:jc w:val="center"/>
        <w:rPr>
          <w:rFonts w:ascii="宋体" w:hAnsi="宋体" w:eastAsia="宋体" w:cs="宋体"/>
          <w:color w:val="auto"/>
          <w:sz w:val="21"/>
          <w:szCs w:val="21"/>
          <w:highlight w:val="none"/>
        </w:rPr>
      </w:pPr>
      <w:bookmarkStart w:id="112" w:name="_Toc17277"/>
      <w:bookmarkStart w:id="113" w:name="_Toc8631"/>
      <w:bookmarkStart w:id="114" w:name="_Toc6782"/>
      <w:bookmarkStart w:id="115" w:name="_Toc25580"/>
      <w:bookmarkStart w:id="116" w:name="_Toc2487"/>
      <w:r>
        <w:rPr>
          <w:rFonts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检测部位和检测数量</w:t>
      </w:r>
      <w:bookmarkEnd w:id="112"/>
      <w:bookmarkEnd w:id="113"/>
      <w:bookmarkEnd w:id="114"/>
      <w:bookmarkEnd w:id="115"/>
      <w:bookmarkEnd w:id="116"/>
    </w:p>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6.2.1  </w:t>
      </w:r>
      <w:r>
        <w:rPr>
          <w:rFonts w:hint="eastAsia" w:ascii="宋体" w:hAnsi="宋体" w:eastAsia="宋体" w:cs="宋体"/>
          <w:b w:val="0"/>
          <w:bCs w:val="0"/>
          <w:color w:val="auto"/>
          <w:sz w:val="21"/>
          <w:szCs w:val="21"/>
          <w:highlight w:val="none"/>
          <w:lang w:val="en-US" w:eastAsia="zh-CN"/>
        </w:rPr>
        <w:t>绝缘电阻检测应包括但不限于下列部位：</w:t>
      </w:r>
    </w:p>
    <w:p>
      <w:pPr>
        <w:ind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 xml:space="preserve">  箱式变电所的</w:t>
      </w:r>
      <w:r>
        <w:rPr>
          <w:rFonts w:hint="eastAsia" w:ascii="宋体" w:hAnsi="宋体" w:eastAsia="宋体" w:cs="宋体"/>
          <w:color w:val="auto"/>
          <w:sz w:val="21"/>
          <w:szCs w:val="21"/>
          <w:highlight w:val="none"/>
          <w:lang w:val="en-US" w:eastAsia="zh-CN"/>
        </w:rPr>
        <w:t>低压成套配电柜和馈电线路的每路配电开关及保护装置的相间和相对地间；</w:t>
      </w:r>
    </w:p>
    <w:p>
      <w:pPr>
        <w:ind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 xml:space="preserve">  低压成套配电柜、箱及控制柜（台、箱）间线路的线间和线对地间；</w:t>
      </w:r>
    </w:p>
    <w:p>
      <w:pPr>
        <w:ind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 xml:space="preserve">  发电机组至配电柜馈电线路的相间、相对地间；</w:t>
      </w:r>
    </w:p>
    <w:p>
      <w:pPr>
        <w:ind w:firstLine="422" w:firstLineChars="200"/>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 xml:space="preserve">4  </w:t>
      </w:r>
      <w:r>
        <w:rPr>
          <w:rFonts w:ascii="宋体" w:hAnsi="宋体" w:eastAsia="宋体" w:cs="宋体"/>
          <w:color w:val="auto"/>
          <w:sz w:val="21"/>
          <w:szCs w:val="21"/>
          <w:highlight w:val="none"/>
        </w:rPr>
        <w:t>UPS</w:t>
      </w:r>
      <w:r>
        <w:rPr>
          <w:rFonts w:hint="eastAsia" w:ascii="宋体" w:hAnsi="宋体" w:eastAsia="宋体" w:cs="宋体"/>
          <w:color w:val="auto"/>
          <w:sz w:val="21"/>
          <w:szCs w:val="21"/>
          <w:highlight w:val="none"/>
        </w:rPr>
        <w:t>的输入端、输出端对地间</w:t>
      </w:r>
      <w:r>
        <w:rPr>
          <w:rFonts w:hint="eastAsia" w:ascii="宋体" w:hAnsi="宋体" w:eastAsia="宋体" w:cs="宋体"/>
          <w:color w:val="auto"/>
          <w:sz w:val="21"/>
          <w:szCs w:val="21"/>
          <w:highlight w:val="none"/>
          <w:lang w:eastAsia="zh-CN"/>
        </w:rPr>
        <w:t>；</w:t>
      </w:r>
    </w:p>
    <w:p>
      <w:pPr>
        <w:ind w:firstLine="422" w:firstLineChars="200"/>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 xml:space="preserve">5  </w:t>
      </w:r>
      <w:r>
        <w:rPr>
          <w:rFonts w:hint="eastAsia" w:ascii="宋体" w:hAnsi="宋体" w:eastAsia="宋体" w:cs="宋体"/>
          <w:color w:val="auto"/>
          <w:sz w:val="21"/>
          <w:szCs w:val="21"/>
          <w:highlight w:val="none"/>
        </w:rPr>
        <w:t>U</w:t>
      </w:r>
      <w:r>
        <w:rPr>
          <w:rFonts w:ascii="宋体" w:hAnsi="宋体" w:eastAsia="宋体" w:cs="宋体"/>
          <w:color w:val="auto"/>
          <w:sz w:val="21"/>
          <w:szCs w:val="21"/>
          <w:highlight w:val="none"/>
        </w:rPr>
        <w:t>PS</w:t>
      </w:r>
      <w:r>
        <w:rPr>
          <w:rFonts w:hint="eastAsia" w:ascii="宋体" w:hAnsi="宋体" w:eastAsia="宋体" w:cs="宋体"/>
          <w:color w:val="auto"/>
          <w:sz w:val="21"/>
          <w:szCs w:val="21"/>
          <w:highlight w:val="none"/>
        </w:rPr>
        <w:t>及E</w:t>
      </w:r>
      <w:r>
        <w:rPr>
          <w:rFonts w:ascii="宋体" w:hAnsi="宋体" w:eastAsia="宋体" w:cs="宋体"/>
          <w:color w:val="auto"/>
          <w:sz w:val="21"/>
          <w:szCs w:val="21"/>
          <w:highlight w:val="none"/>
        </w:rPr>
        <w:t>PS</w:t>
      </w:r>
      <w:r>
        <w:rPr>
          <w:rFonts w:hint="eastAsia" w:ascii="宋体" w:hAnsi="宋体" w:eastAsia="宋体" w:cs="宋体"/>
          <w:color w:val="auto"/>
          <w:sz w:val="21"/>
          <w:szCs w:val="21"/>
          <w:highlight w:val="none"/>
        </w:rPr>
        <w:t>连线及出线的线间、线对地间</w:t>
      </w:r>
      <w:r>
        <w:rPr>
          <w:rFonts w:hint="eastAsia" w:ascii="宋体" w:hAnsi="宋体" w:eastAsia="宋体" w:cs="宋体"/>
          <w:color w:val="auto"/>
          <w:sz w:val="21"/>
          <w:szCs w:val="21"/>
          <w:highlight w:val="none"/>
          <w:lang w:eastAsia="zh-CN"/>
        </w:rPr>
        <w:t>；</w:t>
      </w:r>
    </w:p>
    <w:p>
      <w:pPr>
        <w:ind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6  </w:t>
      </w:r>
      <w:r>
        <w:rPr>
          <w:rFonts w:hint="eastAsia" w:ascii="宋体" w:hAnsi="宋体" w:eastAsia="宋体" w:cs="宋体"/>
          <w:color w:val="auto"/>
          <w:sz w:val="21"/>
          <w:szCs w:val="21"/>
          <w:highlight w:val="none"/>
          <w:lang w:val="en-US" w:eastAsia="zh-CN"/>
        </w:rPr>
        <w:t>低压</w:t>
      </w:r>
      <w:r>
        <w:rPr>
          <w:rFonts w:hint="eastAsia" w:ascii="宋体" w:hAnsi="宋体" w:eastAsia="宋体" w:cs="宋体"/>
          <w:color w:val="auto"/>
          <w:sz w:val="21"/>
          <w:szCs w:val="21"/>
          <w:highlight w:val="none"/>
        </w:rPr>
        <w:t>母线槽</w:t>
      </w:r>
      <w:r>
        <w:rPr>
          <w:rFonts w:hint="eastAsia" w:ascii="宋体" w:hAnsi="宋体" w:eastAsia="宋体" w:cs="宋体"/>
          <w:color w:val="auto"/>
          <w:sz w:val="21"/>
          <w:szCs w:val="21"/>
          <w:highlight w:val="none"/>
          <w:lang w:val="en-US" w:eastAsia="zh-CN"/>
        </w:rPr>
        <w:t>安装前应测试导体与外壳之间，安装后通电运行前应测试相间和相对地间；</w:t>
      </w:r>
    </w:p>
    <w:p>
      <w:pPr>
        <w:ind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7  </w:t>
      </w:r>
      <w:r>
        <w:rPr>
          <w:rFonts w:hint="eastAsia" w:ascii="宋体" w:hAnsi="宋体" w:eastAsia="宋体" w:cs="宋体"/>
          <w:color w:val="auto"/>
          <w:sz w:val="21"/>
          <w:szCs w:val="21"/>
          <w:highlight w:val="none"/>
          <w:lang w:val="en-US" w:eastAsia="zh-CN"/>
        </w:rPr>
        <w:t>低压或特低电压配电线路线间和线对地间；</w:t>
      </w:r>
    </w:p>
    <w:p>
      <w:pPr>
        <w:ind w:firstLine="422" w:firstLineChars="200"/>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 xml:space="preserve">8  </w:t>
      </w:r>
      <w:r>
        <w:rPr>
          <w:rFonts w:hint="eastAsia" w:ascii="宋体" w:hAnsi="宋体" w:eastAsia="宋体" w:cs="宋体"/>
          <w:color w:val="auto"/>
          <w:sz w:val="21"/>
          <w:szCs w:val="21"/>
          <w:highlight w:val="none"/>
        </w:rPr>
        <w:t>S</w:t>
      </w:r>
      <w:r>
        <w:rPr>
          <w:rFonts w:ascii="宋体" w:hAnsi="宋体" w:eastAsia="宋体" w:cs="宋体"/>
          <w:color w:val="auto"/>
          <w:sz w:val="21"/>
          <w:szCs w:val="21"/>
          <w:highlight w:val="none"/>
        </w:rPr>
        <w:t>PD</w:t>
      </w:r>
      <w:r>
        <w:rPr>
          <w:rFonts w:hint="eastAsia" w:ascii="宋体" w:hAnsi="宋体" w:eastAsia="宋体" w:cs="宋体"/>
          <w:color w:val="auto"/>
          <w:sz w:val="21"/>
          <w:szCs w:val="21"/>
          <w:highlight w:val="none"/>
        </w:rPr>
        <w:t>的所有接线端与壳体间</w:t>
      </w:r>
      <w:r>
        <w:rPr>
          <w:rFonts w:hint="eastAsia" w:ascii="宋体" w:hAnsi="宋体" w:eastAsia="宋体" w:cs="宋体"/>
          <w:color w:val="auto"/>
          <w:sz w:val="21"/>
          <w:szCs w:val="21"/>
          <w:highlight w:val="none"/>
          <w:lang w:eastAsia="zh-CN"/>
        </w:rPr>
        <w:t>；</w:t>
      </w:r>
    </w:p>
    <w:p>
      <w:pPr>
        <w:ind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充电桩非电气连接的各带电回路之间、各独立带电回路与地（金属外壳）之间</w:t>
      </w:r>
      <w:r>
        <w:rPr>
          <w:rFonts w:hint="eastAsia" w:ascii="宋体" w:hAnsi="宋体" w:eastAsia="宋体" w:cs="宋体"/>
          <w:color w:val="auto"/>
          <w:sz w:val="21"/>
          <w:szCs w:val="21"/>
          <w:highlight w:val="none"/>
          <w:lang w:eastAsia="zh-CN"/>
        </w:rPr>
        <w:t>。</w:t>
      </w:r>
    </w:p>
    <w:p>
      <w:pPr>
        <w:jc w:val="both"/>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6.2.2  </w:t>
      </w:r>
      <w:r>
        <w:rPr>
          <w:rFonts w:hint="eastAsia" w:ascii="宋体" w:hAnsi="宋体" w:eastAsia="宋体" w:cs="宋体"/>
          <w:b w:val="0"/>
          <w:bCs w:val="0"/>
          <w:color w:val="auto"/>
          <w:sz w:val="21"/>
          <w:szCs w:val="21"/>
          <w:highlight w:val="none"/>
          <w:lang w:val="en-US" w:eastAsia="zh-CN"/>
        </w:rPr>
        <w:t>箱式变电所的</w:t>
      </w:r>
      <w:r>
        <w:rPr>
          <w:rFonts w:hint="eastAsia" w:ascii="宋体" w:hAnsi="宋体" w:eastAsia="宋体" w:cs="宋体"/>
          <w:color w:val="auto"/>
          <w:sz w:val="21"/>
          <w:szCs w:val="21"/>
          <w:highlight w:val="none"/>
          <w:lang w:val="en-US" w:eastAsia="zh-CN"/>
        </w:rPr>
        <w:t>低压成套配电柜和馈电线路的每路配电开关及保护装置的相间和相对地间绝缘电阻检测应抽检</w:t>
      </w:r>
      <w:r>
        <w:rPr>
          <w:rFonts w:hint="eastAsia" w:ascii="宋体" w:hAnsi="宋体" w:eastAsia="宋体" w:cs="宋体"/>
          <w:color w:val="auto"/>
          <w:sz w:val="21"/>
          <w:szCs w:val="21"/>
          <w:highlight w:val="none"/>
        </w:rPr>
        <w:t>配线回路总数量的2</w:t>
      </w:r>
      <w:r>
        <w:rPr>
          <w:rFonts w:ascii="宋体" w:hAnsi="宋体" w:eastAsia="宋体" w:cs="宋体"/>
          <w:color w:val="auto"/>
          <w:sz w:val="21"/>
          <w:szCs w:val="21"/>
          <w:highlight w:val="none"/>
        </w:rPr>
        <w:t>0%</w:t>
      </w:r>
      <w:r>
        <w:rPr>
          <w:rFonts w:hint="eastAsia" w:ascii="宋体" w:hAnsi="宋体" w:eastAsia="宋体" w:cs="宋体"/>
          <w:color w:val="auto"/>
          <w:sz w:val="21"/>
          <w:szCs w:val="21"/>
          <w:highlight w:val="none"/>
        </w:rPr>
        <w:t>且不少于1个回路</w:t>
      </w:r>
      <w:r>
        <w:rPr>
          <w:rFonts w:hint="eastAsia" w:ascii="宋体" w:hAnsi="宋体" w:eastAsia="宋体" w:cs="宋体"/>
          <w:color w:val="auto"/>
          <w:sz w:val="21"/>
          <w:szCs w:val="21"/>
          <w:highlight w:val="none"/>
          <w:lang w:eastAsia="zh-CN"/>
        </w:rPr>
        <w:t>。</w:t>
      </w:r>
    </w:p>
    <w:p>
      <w:pPr>
        <w:jc w:val="both"/>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6.2.3  </w:t>
      </w:r>
      <w:r>
        <w:rPr>
          <w:rFonts w:hint="eastAsia" w:ascii="宋体" w:hAnsi="宋体" w:eastAsia="宋体" w:cs="宋体"/>
          <w:color w:val="auto"/>
          <w:sz w:val="21"/>
          <w:szCs w:val="21"/>
          <w:highlight w:val="none"/>
          <w:lang w:val="en-US" w:eastAsia="zh-CN"/>
        </w:rPr>
        <w:t>低压成套配电柜、箱及控制柜（台、箱）间线路的线间和线对地间绝缘电阻应全数检测。</w:t>
      </w:r>
    </w:p>
    <w:p>
      <w:pPr>
        <w:keepNext w:val="0"/>
        <w:keepLines w:val="0"/>
        <w:widowControl/>
        <w:suppressLineNumbers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6.2.4  </w:t>
      </w:r>
      <w:r>
        <w:rPr>
          <w:rFonts w:hint="eastAsia" w:ascii="宋体" w:hAnsi="宋体" w:eastAsia="宋体" w:cs="宋体"/>
          <w:color w:val="auto"/>
          <w:sz w:val="21"/>
          <w:szCs w:val="21"/>
          <w:highlight w:val="none"/>
          <w:lang w:val="en-US" w:eastAsia="zh-CN"/>
        </w:rPr>
        <w:t>发电机组至配电柜馈电线路的相间、相对地间绝缘</w:t>
      </w:r>
      <w:r>
        <w:rPr>
          <w:rFonts w:hint="default" w:ascii="宋体" w:hAnsi="宋体" w:eastAsia="宋体" w:cs="宋体"/>
          <w:color w:val="auto"/>
          <w:sz w:val="21"/>
          <w:szCs w:val="21"/>
          <w:highlight w:val="none"/>
          <w:lang w:val="en-US" w:eastAsia="zh-CN"/>
        </w:rPr>
        <w:t>电阻值</w:t>
      </w:r>
      <w:r>
        <w:rPr>
          <w:rFonts w:hint="eastAsia" w:ascii="宋体" w:hAnsi="宋体" w:eastAsia="宋体" w:cs="宋体"/>
          <w:color w:val="auto"/>
          <w:sz w:val="21"/>
          <w:szCs w:val="21"/>
          <w:highlight w:val="none"/>
          <w:lang w:val="en-US" w:eastAsia="zh-CN"/>
        </w:rPr>
        <w:t>应全数检测。</w:t>
      </w:r>
    </w:p>
    <w:p>
      <w:pPr>
        <w:keepNext w:val="0"/>
        <w:keepLines w:val="0"/>
        <w:widowControl/>
        <w:suppressLineNumbers w:val="0"/>
        <w:jc w:val="both"/>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 xml:space="preserve">6.2.5  </w:t>
      </w:r>
      <w:r>
        <w:rPr>
          <w:rFonts w:ascii="宋体" w:hAnsi="宋体" w:eastAsia="宋体" w:cs="宋体"/>
          <w:color w:val="auto"/>
          <w:sz w:val="21"/>
          <w:szCs w:val="21"/>
          <w:highlight w:val="none"/>
        </w:rPr>
        <w:t>UPS</w:t>
      </w:r>
      <w:r>
        <w:rPr>
          <w:rFonts w:hint="eastAsia" w:ascii="宋体" w:hAnsi="宋体" w:eastAsia="宋体" w:cs="宋体"/>
          <w:color w:val="auto"/>
          <w:sz w:val="21"/>
          <w:szCs w:val="21"/>
          <w:highlight w:val="none"/>
        </w:rPr>
        <w:t>的输入端、输出端对地间</w:t>
      </w:r>
      <w:r>
        <w:rPr>
          <w:rFonts w:hint="eastAsia" w:ascii="宋体" w:hAnsi="宋体" w:eastAsia="宋体" w:cs="宋体"/>
          <w:color w:val="auto"/>
          <w:sz w:val="21"/>
          <w:szCs w:val="21"/>
          <w:highlight w:val="none"/>
          <w:lang w:val="en-US" w:eastAsia="zh-CN"/>
        </w:rPr>
        <w:t>绝缘电阻应</w:t>
      </w:r>
      <w:r>
        <w:rPr>
          <w:rFonts w:hint="eastAsia" w:ascii="宋体" w:hAnsi="宋体" w:eastAsia="宋体" w:cs="宋体"/>
          <w:color w:val="auto"/>
          <w:sz w:val="21"/>
          <w:szCs w:val="21"/>
          <w:highlight w:val="none"/>
        </w:rPr>
        <w:t>全数检测</w:t>
      </w:r>
      <w:r>
        <w:rPr>
          <w:rFonts w:hint="eastAsia" w:ascii="宋体" w:hAnsi="宋体" w:eastAsia="宋体" w:cs="宋体"/>
          <w:color w:val="auto"/>
          <w:sz w:val="21"/>
          <w:szCs w:val="21"/>
          <w:highlight w:val="none"/>
          <w:lang w:eastAsia="zh-CN"/>
        </w:rPr>
        <w:t>。</w:t>
      </w:r>
    </w:p>
    <w:p>
      <w:pPr>
        <w:jc w:val="both"/>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 xml:space="preserve">6.2.6  </w:t>
      </w:r>
      <w:r>
        <w:rPr>
          <w:rFonts w:hint="eastAsia" w:ascii="宋体" w:hAnsi="宋体" w:eastAsia="宋体" w:cs="宋体"/>
          <w:color w:val="auto"/>
          <w:sz w:val="21"/>
          <w:szCs w:val="21"/>
          <w:highlight w:val="none"/>
        </w:rPr>
        <w:t>U</w:t>
      </w:r>
      <w:r>
        <w:rPr>
          <w:rFonts w:ascii="宋体" w:hAnsi="宋体" w:eastAsia="宋体" w:cs="宋体"/>
          <w:color w:val="auto"/>
          <w:sz w:val="21"/>
          <w:szCs w:val="21"/>
          <w:highlight w:val="none"/>
        </w:rPr>
        <w:t>PS</w:t>
      </w:r>
      <w:r>
        <w:rPr>
          <w:rFonts w:hint="eastAsia" w:ascii="宋体" w:hAnsi="宋体" w:eastAsia="宋体" w:cs="宋体"/>
          <w:color w:val="auto"/>
          <w:sz w:val="21"/>
          <w:szCs w:val="21"/>
          <w:highlight w:val="none"/>
        </w:rPr>
        <w:t>及E</w:t>
      </w:r>
      <w:r>
        <w:rPr>
          <w:rFonts w:ascii="宋体" w:hAnsi="宋体" w:eastAsia="宋体" w:cs="宋体"/>
          <w:color w:val="auto"/>
          <w:sz w:val="21"/>
          <w:szCs w:val="21"/>
          <w:highlight w:val="none"/>
        </w:rPr>
        <w:t>PS</w:t>
      </w:r>
      <w:r>
        <w:rPr>
          <w:rFonts w:hint="eastAsia" w:ascii="宋体" w:hAnsi="宋体" w:eastAsia="宋体" w:cs="宋体"/>
          <w:color w:val="auto"/>
          <w:sz w:val="21"/>
          <w:szCs w:val="21"/>
          <w:highlight w:val="none"/>
        </w:rPr>
        <w:t>连线及出线的线间、线对地间</w:t>
      </w:r>
      <w:r>
        <w:rPr>
          <w:rFonts w:hint="eastAsia" w:ascii="宋体" w:hAnsi="宋体" w:eastAsia="宋体" w:cs="宋体"/>
          <w:color w:val="auto"/>
          <w:sz w:val="21"/>
          <w:szCs w:val="21"/>
          <w:highlight w:val="none"/>
          <w:lang w:val="en-US" w:eastAsia="zh-CN"/>
        </w:rPr>
        <w:t>绝缘电阻应抽检</w:t>
      </w:r>
      <w:r>
        <w:rPr>
          <w:rFonts w:hint="eastAsia" w:ascii="宋体" w:hAnsi="宋体" w:eastAsia="宋体" w:cs="宋体"/>
          <w:color w:val="auto"/>
          <w:sz w:val="21"/>
          <w:szCs w:val="21"/>
          <w:highlight w:val="none"/>
        </w:rPr>
        <w:t>总回路数量的2</w:t>
      </w:r>
      <w:r>
        <w:rPr>
          <w:rFonts w:ascii="宋体" w:hAnsi="宋体" w:eastAsia="宋体" w:cs="宋体"/>
          <w:color w:val="auto"/>
          <w:sz w:val="21"/>
          <w:szCs w:val="21"/>
          <w:highlight w:val="none"/>
        </w:rPr>
        <w:t>0%</w:t>
      </w:r>
      <w:r>
        <w:rPr>
          <w:rFonts w:hint="eastAsia" w:ascii="宋体" w:hAnsi="宋体" w:eastAsia="宋体" w:cs="宋体"/>
          <w:color w:val="auto"/>
          <w:sz w:val="21"/>
          <w:szCs w:val="21"/>
          <w:highlight w:val="none"/>
        </w:rPr>
        <w:t>且不少于1个回路</w:t>
      </w:r>
      <w:r>
        <w:rPr>
          <w:rFonts w:hint="eastAsia" w:ascii="宋体" w:hAnsi="宋体" w:eastAsia="宋体" w:cs="宋体"/>
          <w:color w:val="auto"/>
          <w:sz w:val="21"/>
          <w:szCs w:val="21"/>
          <w:highlight w:val="none"/>
          <w:lang w:eastAsia="zh-CN"/>
        </w:rPr>
        <w:t>。</w:t>
      </w:r>
    </w:p>
    <w:p>
      <w:pPr>
        <w:keepNext w:val="0"/>
        <w:keepLines w:val="0"/>
        <w:widowControl/>
        <w:suppressLineNumbers w:val="0"/>
        <w:jc w:val="both"/>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 xml:space="preserve">6.2.7  </w:t>
      </w:r>
      <w:r>
        <w:rPr>
          <w:rFonts w:hint="eastAsia" w:ascii="宋体" w:hAnsi="宋体" w:eastAsia="宋体" w:cs="宋体"/>
          <w:color w:val="auto"/>
          <w:sz w:val="21"/>
          <w:szCs w:val="21"/>
          <w:highlight w:val="none"/>
          <w:lang w:val="en-US" w:eastAsia="zh-CN"/>
        </w:rPr>
        <w:t>低压</w:t>
      </w:r>
      <w:r>
        <w:rPr>
          <w:rFonts w:hint="eastAsia" w:ascii="宋体" w:hAnsi="宋体" w:eastAsia="宋体" w:cs="宋体"/>
          <w:color w:val="auto"/>
          <w:sz w:val="21"/>
          <w:szCs w:val="21"/>
          <w:highlight w:val="none"/>
        </w:rPr>
        <w:t>母线槽</w:t>
      </w:r>
      <w:r>
        <w:rPr>
          <w:rFonts w:hint="eastAsia" w:ascii="宋体" w:hAnsi="宋体" w:eastAsia="宋体" w:cs="宋体"/>
          <w:color w:val="auto"/>
          <w:sz w:val="21"/>
          <w:szCs w:val="21"/>
          <w:highlight w:val="none"/>
          <w:lang w:val="en-US" w:eastAsia="zh-CN"/>
        </w:rPr>
        <w:t>安装前应测试导体与外壳之间绝缘电阻、安装后通电运行前应测试相间和相对地间绝缘电阻应</w:t>
      </w:r>
      <w:r>
        <w:rPr>
          <w:rFonts w:hint="eastAsia" w:ascii="宋体" w:hAnsi="宋体" w:eastAsia="宋体" w:cs="宋体"/>
          <w:color w:val="auto"/>
          <w:sz w:val="21"/>
          <w:szCs w:val="21"/>
          <w:highlight w:val="none"/>
        </w:rPr>
        <w:t>全数检测</w:t>
      </w:r>
      <w:r>
        <w:rPr>
          <w:rFonts w:hint="eastAsia" w:ascii="宋体" w:hAnsi="宋体" w:eastAsia="宋体" w:cs="宋体"/>
          <w:color w:val="auto"/>
          <w:sz w:val="21"/>
          <w:szCs w:val="21"/>
          <w:highlight w:val="none"/>
          <w:lang w:eastAsia="zh-CN"/>
        </w:rPr>
        <w:t>。</w:t>
      </w:r>
    </w:p>
    <w:p>
      <w:pPr>
        <w:jc w:val="both"/>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6.2.8  </w:t>
      </w:r>
      <w:r>
        <w:rPr>
          <w:rFonts w:hint="eastAsia" w:ascii="宋体" w:hAnsi="宋体" w:eastAsia="宋体" w:cs="宋体"/>
          <w:color w:val="auto"/>
          <w:sz w:val="21"/>
          <w:szCs w:val="21"/>
          <w:highlight w:val="none"/>
          <w:lang w:val="en-US" w:eastAsia="zh-CN"/>
        </w:rPr>
        <w:t>低压或特低电压配电线路线间和线对地间绝缘电阻应</w:t>
      </w:r>
      <w:r>
        <w:rPr>
          <w:rFonts w:hint="eastAsia" w:ascii="宋体" w:hAnsi="宋体" w:eastAsia="宋体" w:cs="宋体"/>
          <w:color w:val="auto"/>
          <w:sz w:val="21"/>
          <w:szCs w:val="21"/>
          <w:highlight w:val="none"/>
        </w:rPr>
        <w:t>全数检测</w:t>
      </w:r>
      <w:r>
        <w:rPr>
          <w:rFonts w:hint="eastAsia" w:ascii="宋体" w:hAnsi="宋体" w:eastAsia="宋体" w:cs="宋体"/>
          <w:color w:val="auto"/>
          <w:sz w:val="21"/>
          <w:szCs w:val="21"/>
          <w:highlight w:val="none"/>
          <w:lang w:eastAsia="zh-CN"/>
        </w:rPr>
        <w:t>。</w:t>
      </w:r>
    </w:p>
    <w:p>
      <w:pPr>
        <w:jc w:val="both"/>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 xml:space="preserve">6.2.9  </w:t>
      </w:r>
      <w:r>
        <w:rPr>
          <w:rFonts w:hint="eastAsia" w:ascii="宋体" w:hAnsi="宋体" w:eastAsia="宋体" w:cs="宋体"/>
          <w:color w:val="auto"/>
          <w:sz w:val="21"/>
          <w:szCs w:val="21"/>
          <w:highlight w:val="none"/>
        </w:rPr>
        <w:t>S</w:t>
      </w:r>
      <w:r>
        <w:rPr>
          <w:rFonts w:ascii="宋体" w:hAnsi="宋体" w:eastAsia="宋体" w:cs="宋体"/>
          <w:color w:val="auto"/>
          <w:sz w:val="21"/>
          <w:szCs w:val="21"/>
          <w:highlight w:val="none"/>
        </w:rPr>
        <w:t>PD</w:t>
      </w:r>
      <w:r>
        <w:rPr>
          <w:rFonts w:hint="eastAsia" w:ascii="宋体" w:hAnsi="宋体" w:eastAsia="宋体" w:cs="宋体"/>
          <w:color w:val="auto"/>
          <w:sz w:val="21"/>
          <w:szCs w:val="21"/>
          <w:highlight w:val="none"/>
        </w:rPr>
        <w:t>的所有接线端与壳体间</w:t>
      </w:r>
      <w:r>
        <w:rPr>
          <w:rFonts w:hint="eastAsia" w:ascii="宋体" w:hAnsi="宋体" w:eastAsia="宋体" w:cs="宋体"/>
          <w:color w:val="auto"/>
          <w:sz w:val="21"/>
          <w:szCs w:val="21"/>
          <w:highlight w:val="none"/>
          <w:lang w:val="en-US" w:eastAsia="zh-CN"/>
        </w:rPr>
        <w:t>绝缘电阻应</w:t>
      </w:r>
      <w:r>
        <w:rPr>
          <w:rFonts w:hint="eastAsia" w:ascii="宋体" w:hAnsi="宋体" w:eastAsia="宋体" w:cs="宋体"/>
          <w:color w:val="auto"/>
          <w:sz w:val="21"/>
          <w:szCs w:val="21"/>
          <w:highlight w:val="none"/>
        </w:rPr>
        <w:t>全数检测</w:t>
      </w:r>
      <w:r>
        <w:rPr>
          <w:rFonts w:hint="eastAsia" w:ascii="宋体" w:hAnsi="宋体" w:eastAsia="宋体" w:cs="宋体"/>
          <w:color w:val="auto"/>
          <w:sz w:val="21"/>
          <w:szCs w:val="21"/>
          <w:highlight w:val="none"/>
          <w:lang w:eastAsia="zh-CN"/>
        </w:rPr>
        <w:t>。</w:t>
      </w:r>
    </w:p>
    <w:p>
      <w:pPr>
        <w:jc w:val="both"/>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6.2.10</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充电桩非电气连接的各带电回路之间、各独立带电回路与地（金属外壳）之间</w:t>
      </w:r>
      <w:r>
        <w:rPr>
          <w:rFonts w:hint="eastAsia" w:ascii="宋体" w:hAnsi="宋体" w:eastAsia="宋体" w:cs="宋体"/>
          <w:color w:val="auto"/>
          <w:sz w:val="21"/>
          <w:szCs w:val="21"/>
          <w:highlight w:val="none"/>
          <w:lang w:val="en-US" w:eastAsia="zh-CN"/>
        </w:rPr>
        <w:t>绝缘电阻应</w:t>
      </w:r>
      <w:r>
        <w:rPr>
          <w:rFonts w:hint="eastAsia" w:ascii="宋体" w:hAnsi="宋体" w:eastAsia="宋体" w:cs="宋体"/>
          <w:color w:val="auto"/>
          <w:sz w:val="21"/>
          <w:szCs w:val="21"/>
          <w:highlight w:val="none"/>
        </w:rPr>
        <w:t>全数检测</w:t>
      </w:r>
      <w:r>
        <w:rPr>
          <w:rFonts w:hint="eastAsia" w:ascii="宋体" w:hAnsi="宋体" w:eastAsia="宋体" w:cs="宋体"/>
          <w:color w:val="auto"/>
          <w:sz w:val="21"/>
          <w:szCs w:val="21"/>
          <w:highlight w:val="none"/>
          <w:lang w:eastAsia="zh-CN"/>
        </w:rPr>
        <w:t>。</w:t>
      </w:r>
    </w:p>
    <w:p>
      <w:pPr>
        <w:pStyle w:val="3"/>
        <w:jc w:val="center"/>
        <w:rPr>
          <w:rFonts w:ascii="宋体" w:hAnsi="宋体" w:eastAsia="宋体" w:cs="宋体"/>
          <w:color w:val="auto"/>
          <w:sz w:val="21"/>
          <w:szCs w:val="21"/>
          <w:highlight w:val="none"/>
        </w:rPr>
      </w:pPr>
      <w:bookmarkStart w:id="117" w:name="_Toc21946"/>
      <w:bookmarkStart w:id="118" w:name="_Toc26578"/>
      <w:bookmarkStart w:id="119" w:name="_Toc5902"/>
      <w:bookmarkStart w:id="120" w:name="_Toc20095"/>
      <w:bookmarkStart w:id="121" w:name="_Toc7180"/>
      <w:r>
        <w:rPr>
          <w:rFonts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 xml:space="preserve">3  </w:t>
      </w:r>
      <w:r>
        <w:rPr>
          <w:rFonts w:hint="eastAsia" w:ascii="宋体" w:hAnsi="宋体" w:eastAsia="宋体" w:cs="宋体"/>
          <w:color w:val="auto"/>
          <w:sz w:val="21"/>
          <w:szCs w:val="21"/>
          <w:highlight w:val="none"/>
        </w:rPr>
        <w:t>检测方法</w:t>
      </w:r>
      <w:bookmarkEnd w:id="117"/>
      <w:bookmarkEnd w:id="118"/>
      <w:bookmarkEnd w:id="119"/>
      <w:bookmarkEnd w:id="120"/>
      <w:bookmarkEnd w:id="121"/>
    </w:p>
    <w:p>
      <w:pP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6.3.1  </w:t>
      </w:r>
      <w:r>
        <w:rPr>
          <w:rFonts w:hint="eastAsia" w:ascii="宋体" w:hAnsi="宋体" w:eastAsia="宋体" w:cs="宋体"/>
          <w:color w:val="auto"/>
          <w:sz w:val="21"/>
          <w:szCs w:val="21"/>
          <w:highlight w:val="none"/>
          <w:lang w:eastAsia="zh-CN"/>
        </w:rPr>
        <w:t>绝缘电阻检测仪</w:t>
      </w:r>
      <w:r>
        <w:rPr>
          <w:rFonts w:hint="eastAsia" w:ascii="宋体" w:hAnsi="宋体" w:eastAsia="宋体" w:cs="宋体"/>
          <w:color w:val="auto"/>
          <w:sz w:val="21"/>
          <w:szCs w:val="21"/>
          <w:highlight w:val="none"/>
          <w:lang w:val="en-US" w:eastAsia="zh-CN"/>
        </w:rPr>
        <w:t>器</w:t>
      </w:r>
      <w:r>
        <w:rPr>
          <w:rFonts w:hint="eastAsia" w:ascii="宋体" w:hAnsi="宋体" w:eastAsia="宋体" w:cs="宋体"/>
          <w:color w:val="auto"/>
          <w:sz w:val="21"/>
          <w:szCs w:val="21"/>
          <w:highlight w:val="none"/>
        </w:rPr>
        <w:t>量程</w:t>
      </w:r>
      <w:r>
        <w:rPr>
          <w:rFonts w:hint="eastAsia" w:ascii="宋体" w:hAnsi="宋体" w:eastAsia="宋体" w:cs="宋体"/>
          <w:color w:val="auto"/>
          <w:sz w:val="21"/>
          <w:szCs w:val="21"/>
          <w:highlight w:val="none"/>
          <w:lang w:val="en-US" w:eastAsia="zh-CN"/>
        </w:rPr>
        <w:t>应不小于</w:t>
      </w:r>
      <w:r>
        <w:rPr>
          <w:rFonts w:hint="eastAsia" w:ascii="宋体" w:hAnsi="宋体" w:eastAsia="宋体" w:cs="宋体"/>
          <w:color w:val="auto"/>
          <w:sz w:val="21"/>
          <w:szCs w:val="21"/>
          <w:highlight w:val="none"/>
        </w:rPr>
        <w:t>1</w:t>
      </w:r>
      <w:r>
        <w:rPr>
          <w:rFonts w:ascii="宋体" w:hAnsi="宋体" w:eastAsia="宋体" w:cs="宋体"/>
          <w:color w:val="auto"/>
          <w:sz w:val="21"/>
          <w:szCs w:val="21"/>
          <w:highlight w:val="none"/>
        </w:rPr>
        <w:t>00MΩ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输出电压</w:t>
      </w:r>
      <w:r>
        <w:rPr>
          <w:rFonts w:hint="eastAsia" w:ascii="宋体" w:hAnsi="宋体" w:eastAsia="宋体" w:cs="宋体"/>
          <w:color w:val="auto"/>
          <w:sz w:val="21"/>
          <w:szCs w:val="21"/>
          <w:highlight w:val="none"/>
          <w:lang w:val="en-US" w:eastAsia="zh-CN"/>
        </w:rPr>
        <w:t>应按照表6.3.1选用。</w:t>
      </w:r>
    </w:p>
    <w:p>
      <w:pPr>
        <w:pStyle w:val="38"/>
        <w:rPr>
          <w:rFonts w:hint="eastAsia" w:cs="Times New Roman"/>
          <w:color w:val="auto"/>
          <w:highlight w:val="none"/>
          <w:lang w:val="en-US" w:eastAsia="zh-CN"/>
        </w:rPr>
      </w:pPr>
      <w:r>
        <w:rPr>
          <w:rFonts w:hint="eastAsia" w:cs="Times New Roman"/>
          <w:color w:val="auto"/>
          <w:highlight w:val="none"/>
          <w:lang w:val="en-US" w:eastAsia="zh-CN"/>
        </w:rPr>
        <w:t>表6.3.1 低压或特低压配电线路绝缘电阻测试电压及绝缘电阻最小值</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40" w:type="dxa"/>
            <w:vAlign w:val="center"/>
          </w:tcPr>
          <w:p>
            <w:pPr>
              <w:jc w:val="center"/>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标称回路电压（V）</w:t>
            </w:r>
          </w:p>
        </w:tc>
        <w:tc>
          <w:tcPr>
            <w:tcW w:w="2841" w:type="dxa"/>
            <w:vAlign w:val="center"/>
          </w:tcPr>
          <w:p>
            <w:pPr>
              <w:jc w:val="center"/>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直流测试电压（V）</w:t>
            </w:r>
          </w:p>
        </w:tc>
        <w:tc>
          <w:tcPr>
            <w:tcW w:w="2841" w:type="dxa"/>
            <w:vAlign w:val="center"/>
          </w:tcPr>
          <w:p>
            <w:pPr>
              <w:jc w:val="center"/>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绝缘电阻（MΩ）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40" w:type="dxa"/>
            <w:vAlign w:val="center"/>
          </w:tcPr>
          <w:p>
            <w:pPr>
              <w:jc w:val="center"/>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SELV和PELV</w:t>
            </w:r>
          </w:p>
        </w:tc>
        <w:tc>
          <w:tcPr>
            <w:tcW w:w="2841" w:type="dxa"/>
            <w:vAlign w:val="center"/>
          </w:tcPr>
          <w:p>
            <w:pPr>
              <w:jc w:val="center"/>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250</w:t>
            </w:r>
          </w:p>
        </w:tc>
        <w:tc>
          <w:tcPr>
            <w:tcW w:w="2841" w:type="dxa"/>
            <w:vAlign w:val="center"/>
          </w:tcPr>
          <w:p>
            <w:pPr>
              <w:jc w:val="center"/>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40" w:type="dxa"/>
            <w:vAlign w:val="center"/>
          </w:tcPr>
          <w:p>
            <w:pPr>
              <w:jc w:val="center"/>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500V及以下，包括FELV</w:t>
            </w:r>
          </w:p>
        </w:tc>
        <w:tc>
          <w:tcPr>
            <w:tcW w:w="2841" w:type="dxa"/>
            <w:vAlign w:val="center"/>
          </w:tcPr>
          <w:p>
            <w:pPr>
              <w:jc w:val="center"/>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500</w:t>
            </w:r>
          </w:p>
        </w:tc>
        <w:tc>
          <w:tcPr>
            <w:tcW w:w="2841" w:type="dxa"/>
            <w:vAlign w:val="center"/>
          </w:tcPr>
          <w:p>
            <w:pPr>
              <w:jc w:val="center"/>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40" w:type="dxa"/>
            <w:vAlign w:val="center"/>
          </w:tcPr>
          <w:p>
            <w:pPr>
              <w:jc w:val="center"/>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500V以上</w:t>
            </w:r>
          </w:p>
        </w:tc>
        <w:tc>
          <w:tcPr>
            <w:tcW w:w="2841" w:type="dxa"/>
            <w:vAlign w:val="center"/>
          </w:tcPr>
          <w:p>
            <w:pPr>
              <w:jc w:val="center"/>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1000</w:t>
            </w:r>
          </w:p>
        </w:tc>
        <w:tc>
          <w:tcPr>
            <w:tcW w:w="2841" w:type="dxa"/>
            <w:vAlign w:val="center"/>
          </w:tcPr>
          <w:p>
            <w:pPr>
              <w:jc w:val="center"/>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1.0</w:t>
            </w:r>
          </w:p>
        </w:tc>
      </w:tr>
    </w:tbl>
    <w:p>
      <w:pPr>
        <w:ind w:firstLine="360" w:firstLineChars="200"/>
        <w:rPr>
          <w:rFonts w:hint="eastAsia"/>
          <w:color w:val="auto"/>
          <w:sz w:val="18"/>
          <w:szCs w:val="18"/>
          <w:highlight w:val="none"/>
          <w:lang w:val="en-US" w:eastAsia="zh-CN"/>
        </w:rPr>
      </w:pPr>
      <w:r>
        <w:rPr>
          <w:rFonts w:hint="eastAsia"/>
          <w:color w:val="auto"/>
          <w:sz w:val="18"/>
          <w:szCs w:val="18"/>
          <w:highlight w:val="none"/>
          <w:lang w:val="en-US" w:eastAsia="zh-CN"/>
        </w:rPr>
        <w:t>注：1.特低电压：相间电压或相对地电压不超过交流方均根值50V的电压；</w:t>
      </w:r>
    </w:p>
    <w:p>
      <w:pPr>
        <w:ind w:firstLine="360" w:firstLineChars="200"/>
        <w:rPr>
          <w:rFonts w:hint="eastAsia"/>
          <w:color w:val="auto"/>
          <w:sz w:val="18"/>
          <w:szCs w:val="18"/>
          <w:highlight w:val="none"/>
          <w:lang w:val="en-US" w:eastAsia="zh-CN"/>
        </w:rPr>
      </w:pPr>
      <w:r>
        <w:rPr>
          <w:rFonts w:hint="eastAsia"/>
          <w:color w:val="auto"/>
          <w:sz w:val="18"/>
          <w:szCs w:val="18"/>
          <w:highlight w:val="none"/>
          <w:lang w:val="en-US" w:eastAsia="zh-CN"/>
        </w:rPr>
        <w:t xml:space="preserve">       2.SELV系统：在正常条件下不接地且电压不超过特低电压的电气系统；</w:t>
      </w:r>
    </w:p>
    <w:p>
      <w:pPr>
        <w:ind w:firstLine="360" w:firstLineChars="200"/>
        <w:rPr>
          <w:rFonts w:hint="eastAsia"/>
          <w:color w:val="auto"/>
          <w:sz w:val="18"/>
          <w:szCs w:val="18"/>
          <w:highlight w:val="none"/>
          <w:lang w:val="en-US" w:eastAsia="zh-CN"/>
        </w:rPr>
      </w:pPr>
      <w:r>
        <w:rPr>
          <w:rFonts w:hint="eastAsia"/>
          <w:color w:val="auto"/>
          <w:sz w:val="18"/>
          <w:szCs w:val="18"/>
          <w:highlight w:val="none"/>
          <w:lang w:val="en-US" w:eastAsia="zh-CN"/>
        </w:rPr>
        <w:t xml:space="preserve">       3.PELV系统：在正常条件下接地且电压不超过特低电压的电气系统；</w:t>
      </w:r>
    </w:p>
    <w:p>
      <w:pPr>
        <w:ind w:firstLine="360" w:firstLineChars="200"/>
        <w:rPr>
          <w:rFonts w:hint="default"/>
          <w:color w:val="auto"/>
          <w:sz w:val="18"/>
          <w:szCs w:val="18"/>
          <w:highlight w:val="none"/>
          <w:lang w:val="en-US" w:eastAsia="zh-CN"/>
        </w:rPr>
      </w:pPr>
      <w:r>
        <w:rPr>
          <w:rFonts w:hint="eastAsia"/>
          <w:color w:val="auto"/>
          <w:sz w:val="18"/>
          <w:szCs w:val="18"/>
          <w:highlight w:val="none"/>
          <w:lang w:val="en-US" w:eastAsia="zh-CN"/>
        </w:rPr>
        <w:t xml:space="preserve">       4.FELV系统：非安全目的而为运行需要的电压不超过特低电压的电气系统。</w:t>
      </w:r>
    </w:p>
    <w:p>
      <w:pPr>
        <w:ind w:firstLine="420" w:firstLineChars="200"/>
        <w:rPr>
          <w:rFonts w:hint="eastAsia" w:ascii="宋体" w:hAnsi="宋体" w:eastAsia="宋体" w:cs="宋体"/>
          <w:color w:val="auto"/>
          <w:sz w:val="21"/>
          <w:szCs w:val="21"/>
          <w:highlight w:val="none"/>
          <w:lang w:val="en-US" w:eastAsia="zh-CN"/>
        </w:rPr>
      </w:pPr>
    </w:p>
    <w:p>
      <w:pP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6.3.2  </w:t>
      </w:r>
      <w:r>
        <w:rPr>
          <w:rFonts w:hint="eastAsia" w:ascii="宋体" w:hAnsi="宋体" w:eastAsia="宋体" w:cs="宋体"/>
          <w:color w:val="auto"/>
          <w:sz w:val="21"/>
          <w:szCs w:val="21"/>
          <w:highlight w:val="none"/>
        </w:rPr>
        <w:t>绝缘电阻检测</w:t>
      </w:r>
      <w:r>
        <w:rPr>
          <w:rFonts w:hint="eastAsia" w:ascii="宋体" w:hAnsi="宋体" w:eastAsia="宋体" w:cs="宋体"/>
          <w:color w:val="auto"/>
          <w:sz w:val="21"/>
          <w:szCs w:val="21"/>
          <w:highlight w:val="none"/>
          <w:lang w:val="en-US" w:eastAsia="zh-CN"/>
        </w:rPr>
        <w:t>应按下列</w:t>
      </w:r>
      <w:r>
        <w:rPr>
          <w:rFonts w:hint="eastAsia" w:ascii="宋体" w:hAnsi="宋体" w:eastAsia="宋体" w:cs="宋体"/>
          <w:color w:val="auto"/>
          <w:sz w:val="21"/>
          <w:szCs w:val="21"/>
          <w:highlight w:val="none"/>
        </w:rPr>
        <w:t>步骤</w:t>
      </w:r>
      <w:r>
        <w:rPr>
          <w:rFonts w:hint="eastAsia" w:ascii="宋体" w:hAnsi="宋体" w:eastAsia="宋体" w:cs="宋体"/>
          <w:color w:val="auto"/>
          <w:sz w:val="21"/>
          <w:szCs w:val="21"/>
          <w:highlight w:val="none"/>
          <w:lang w:val="en-US" w:eastAsia="zh-CN"/>
        </w:rPr>
        <w:t>进行：</w:t>
      </w:r>
    </w:p>
    <w:p>
      <w:pPr>
        <w:ind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1</w:t>
      </w:r>
      <w:r>
        <w:rPr>
          <w:rFonts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t>断开</w:t>
      </w:r>
      <w:r>
        <w:rPr>
          <w:rFonts w:hint="eastAsia" w:ascii="宋体" w:hAnsi="宋体" w:eastAsia="宋体" w:cs="宋体"/>
          <w:color w:val="auto"/>
          <w:sz w:val="21"/>
          <w:szCs w:val="21"/>
          <w:highlight w:val="none"/>
          <w:lang w:val="en-US" w:eastAsia="zh-CN"/>
        </w:rPr>
        <w:t>检测对象的</w:t>
      </w:r>
      <w:r>
        <w:rPr>
          <w:rFonts w:hint="eastAsia" w:ascii="宋体" w:hAnsi="宋体" w:eastAsia="宋体" w:cs="宋体"/>
          <w:color w:val="auto"/>
          <w:sz w:val="21"/>
          <w:szCs w:val="21"/>
          <w:highlight w:val="none"/>
        </w:rPr>
        <w:t>电源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检测对象接地</w:t>
      </w:r>
      <w:r>
        <w:rPr>
          <w:rFonts w:hint="eastAsia" w:ascii="宋体" w:hAnsi="宋体" w:eastAsia="宋体" w:cs="宋体"/>
          <w:color w:val="auto"/>
          <w:sz w:val="21"/>
          <w:szCs w:val="21"/>
          <w:highlight w:val="none"/>
        </w:rPr>
        <w:t>放电</w:t>
      </w:r>
      <w:r>
        <w:rPr>
          <w:rFonts w:hint="eastAsia" w:ascii="宋体" w:hAnsi="宋体" w:eastAsia="宋体" w:cs="宋体"/>
          <w:color w:val="auto"/>
          <w:sz w:val="21"/>
          <w:szCs w:val="21"/>
          <w:highlight w:val="none"/>
          <w:lang w:val="en-US" w:eastAsia="zh-CN"/>
        </w:rPr>
        <w:t>，验证检测对象不带电；</w:t>
      </w:r>
    </w:p>
    <w:p>
      <w:pPr>
        <w:ind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 xml:space="preserve"> 断开检测对象连接的所有负载、控制回路和监测设备；</w:t>
      </w:r>
    </w:p>
    <w:p>
      <w:pPr>
        <w:numPr>
          <w:ilvl w:val="0"/>
          <w:numId w:val="0"/>
        </w:numPr>
        <w:ind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连接</w:t>
      </w:r>
      <w:r>
        <w:rPr>
          <w:rFonts w:hint="eastAsia" w:ascii="宋体" w:hAnsi="宋体" w:eastAsia="宋体" w:cs="宋体"/>
          <w:color w:val="auto"/>
          <w:sz w:val="21"/>
          <w:szCs w:val="21"/>
          <w:highlight w:val="none"/>
          <w:lang w:val="en-US" w:eastAsia="zh-CN"/>
        </w:rPr>
        <w:t>检测对象与绝缘电阻检测仪器。</w:t>
      </w:r>
    </w:p>
    <w:p>
      <w:pPr>
        <w:numPr>
          <w:ilvl w:val="0"/>
          <w:numId w:val="0"/>
        </w:num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按照绝缘电阻检测仪器的操作说明连接检测对象与绝缘电阻检测仪器。必要时，绝缘电阻检测仪器上的屏蔽接线端与检测对象保护屏蔽部分相接或其他不参与测量的部分相接，以消除表面泄漏电流引起的误差；</w:t>
      </w:r>
    </w:p>
    <w:p>
      <w:pPr>
        <w:ind w:firstLine="422" w:firstLineChars="200"/>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开启绝缘电阻</w:t>
      </w:r>
      <w:r>
        <w:rPr>
          <w:rFonts w:hint="eastAsia" w:ascii="宋体" w:hAnsi="宋体" w:eastAsia="宋体" w:cs="宋体"/>
          <w:color w:val="auto"/>
          <w:sz w:val="21"/>
          <w:szCs w:val="21"/>
          <w:highlight w:val="none"/>
          <w:lang w:eastAsia="zh-CN"/>
        </w:rPr>
        <w:t>检测仪器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检测仪器有多个输出电压时，按照表6.3.1选择合适的输出电压，施加电压进行测试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记录施加电压</w:t>
      </w:r>
      <w:r>
        <w:rPr>
          <w:rFonts w:hint="eastAsia" w:ascii="宋体" w:hAnsi="宋体" w:eastAsia="宋体" w:cs="宋体"/>
          <w:color w:val="auto"/>
          <w:sz w:val="21"/>
          <w:szCs w:val="21"/>
          <w:highlight w:val="none"/>
          <w:lang w:val="en-US" w:eastAsia="zh-CN"/>
        </w:rPr>
        <w:t>60s</w:t>
      </w:r>
      <w:r>
        <w:rPr>
          <w:rFonts w:hint="eastAsia" w:ascii="宋体" w:hAnsi="宋体" w:eastAsia="宋体" w:cs="宋体"/>
          <w:color w:val="auto"/>
          <w:sz w:val="21"/>
          <w:szCs w:val="21"/>
          <w:highlight w:val="none"/>
        </w:rPr>
        <w:t>后读数。每</w:t>
      </w:r>
      <w:r>
        <w:rPr>
          <w:rFonts w:hint="eastAsia" w:ascii="宋体" w:hAnsi="宋体" w:eastAsia="宋体" w:cs="宋体"/>
          <w:color w:val="auto"/>
          <w:sz w:val="21"/>
          <w:szCs w:val="21"/>
          <w:highlight w:val="none"/>
          <w:lang w:val="en-US" w:eastAsia="zh-CN"/>
        </w:rPr>
        <w:t>个部位</w:t>
      </w:r>
      <w:r>
        <w:rPr>
          <w:rFonts w:hint="eastAsia" w:ascii="宋体" w:hAnsi="宋体" w:eastAsia="宋体" w:cs="宋体"/>
          <w:color w:val="auto"/>
          <w:sz w:val="21"/>
          <w:szCs w:val="21"/>
          <w:highlight w:val="none"/>
        </w:rPr>
        <w:t>测试1次</w:t>
      </w:r>
      <w:r>
        <w:rPr>
          <w:rFonts w:hint="eastAsia" w:ascii="宋体" w:hAnsi="宋体" w:eastAsia="宋体" w:cs="宋体"/>
          <w:color w:val="auto"/>
          <w:sz w:val="21"/>
          <w:szCs w:val="21"/>
          <w:highlight w:val="none"/>
          <w:lang w:eastAsia="zh-CN"/>
        </w:rPr>
        <w:t>；</w:t>
      </w:r>
    </w:p>
    <w:p>
      <w:pPr>
        <w:numPr>
          <w:ilvl w:val="0"/>
          <w:numId w:val="0"/>
        </w:numPr>
        <w:ind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 xml:space="preserve"> 停止向检测对象施加电压，按照绝缘电阻检测仪器使用说明进行放电、拆除接线。</w:t>
      </w:r>
    </w:p>
    <w:p>
      <w:pPr>
        <w:rPr>
          <w:rFonts w:hint="eastAsia" w:ascii="宋体" w:hAnsi="宋体" w:eastAsia="宋体" w:cs="宋体"/>
          <w:strike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6.3.3  </w:t>
      </w:r>
      <w:r>
        <w:rPr>
          <w:rFonts w:hint="eastAsia" w:ascii="宋体" w:hAnsi="宋体" w:eastAsia="宋体" w:cs="宋体"/>
          <w:strike w:val="0"/>
          <w:color w:val="auto"/>
          <w:sz w:val="21"/>
          <w:szCs w:val="21"/>
          <w:highlight w:val="none"/>
        </w:rPr>
        <w:t>箱式变电所</w:t>
      </w:r>
      <w:r>
        <w:rPr>
          <w:rFonts w:hint="eastAsia" w:ascii="宋体" w:hAnsi="宋体" w:eastAsia="宋体" w:cs="宋体"/>
          <w:strike w:val="0"/>
          <w:color w:val="auto"/>
          <w:sz w:val="21"/>
          <w:szCs w:val="21"/>
          <w:highlight w:val="none"/>
          <w:lang w:val="en-US" w:eastAsia="zh-CN"/>
        </w:rPr>
        <w:t>的</w:t>
      </w:r>
      <w:r>
        <w:rPr>
          <w:rFonts w:hint="eastAsia" w:ascii="宋体" w:hAnsi="宋体" w:eastAsia="宋体" w:cs="宋体"/>
          <w:strike w:val="0"/>
          <w:color w:val="auto"/>
          <w:sz w:val="21"/>
          <w:szCs w:val="21"/>
          <w:highlight w:val="none"/>
        </w:rPr>
        <w:t>低压成套配电柜和馈电线路的每路配电开关及保护装置的相间和相对地间绝缘电阻检测</w:t>
      </w:r>
      <w:r>
        <w:rPr>
          <w:rFonts w:hint="eastAsia" w:ascii="宋体" w:hAnsi="宋体" w:eastAsia="宋体" w:cs="宋体"/>
          <w:strike w:val="0"/>
          <w:color w:val="auto"/>
          <w:sz w:val="21"/>
          <w:szCs w:val="21"/>
          <w:highlight w:val="none"/>
          <w:lang w:val="en-US" w:eastAsia="zh-CN"/>
        </w:rPr>
        <w:t>应符合下列规定：</w:t>
      </w:r>
    </w:p>
    <w:p>
      <w:pPr>
        <w:ind w:firstLine="422" w:firstLineChars="200"/>
        <w:rPr>
          <w:rFonts w:hint="eastAsia" w:ascii="宋体" w:hAnsi="宋体" w:eastAsia="宋体" w:cs="宋体"/>
          <w:strike w:val="0"/>
          <w:color w:val="auto"/>
          <w:sz w:val="21"/>
          <w:szCs w:val="21"/>
          <w:highlight w:val="none"/>
          <w:lang w:eastAsia="zh-CN"/>
        </w:rPr>
      </w:pPr>
      <w:r>
        <w:rPr>
          <w:rFonts w:hint="eastAsia" w:ascii="宋体" w:hAnsi="宋体" w:eastAsia="宋体" w:cs="宋体"/>
          <w:b/>
          <w:bCs/>
          <w:strike w:val="0"/>
          <w:color w:val="auto"/>
          <w:sz w:val="21"/>
          <w:szCs w:val="21"/>
          <w:highlight w:val="none"/>
          <w:lang w:val="en-US" w:eastAsia="zh-CN"/>
        </w:rPr>
        <w:t>1</w:t>
      </w:r>
      <w:r>
        <w:rPr>
          <w:rFonts w:hint="eastAsia" w:ascii="宋体" w:hAnsi="宋体" w:eastAsia="宋体" w:cs="宋体"/>
          <w:strike w:val="0"/>
          <w:color w:val="auto"/>
          <w:sz w:val="21"/>
          <w:szCs w:val="21"/>
          <w:highlight w:val="none"/>
          <w:lang w:val="en-US" w:eastAsia="zh-CN"/>
        </w:rPr>
        <w:t xml:space="preserve">  </w:t>
      </w:r>
      <w:r>
        <w:rPr>
          <w:rFonts w:hint="eastAsia" w:ascii="宋体" w:hAnsi="宋体" w:eastAsia="宋体" w:cs="宋体"/>
          <w:strike w:val="0"/>
          <w:color w:val="auto"/>
          <w:sz w:val="21"/>
          <w:szCs w:val="21"/>
          <w:highlight w:val="none"/>
        </w:rPr>
        <w:t>将绝缘电阻</w:t>
      </w:r>
      <w:r>
        <w:rPr>
          <w:rFonts w:hint="eastAsia" w:ascii="宋体" w:hAnsi="宋体" w:eastAsia="宋体" w:cs="宋体"/>
          <w:strike w:val="0"/>
          <w:color w:val="auto"/>
          <w:sz w:val="21"/>
          <w:szCs w:val="21"/>
          <w:highlight w:val="none"/>
          <w:lang w:val="en-US" w:eastAsia="zh-CN"/>
        </w:rPr>
        <w:t>设备</w:t>
      </w:r>
      <w:r>
        <w:rPr>
          <w:rFonts w:hint="eastAsia" w:ascii="宋体" w:hAnsi="宋体" w:eastAsia="宋体" w:cs="宋体"/>
          <w:strike w:val="0"/>
          <w:color w:val="auto"/>
          <w:sz w:val="21"/>
          <w:szCs w:val="21"/>
          <w:highlight w:val="none"/>
        </w:rPr>
        <w:t>的</w:t>
      </w:r>
      <w:r>
        <w:rPr>
          <w:rFonts w:hint="eastAsia" w:ascii="宋体" w:hAnsi="宋体" w:eastAsia="宋体" w:cs="宋体"/>
          <w:strike w:val="0"/>
          <w:color w:val="auto"/>
          <w:sz w:val="21"/>
          <w:szCs w:val="21"/>
          <w:highlight w:val="none"/>
          <w:lang w:val="en-US" w:eastAsia="zh-CN"/>
        </w:rPr>
        <w:t>两个接线端</w:t>
      </w:r>
      <w:r>
        <w:rPr>
          <w:rFonts w:hint="eastAsia" w:ascii="宋体" w:hAnsi="宋体" w:eastAsia="宋体" w:cs="宋体"/>
          <w:strike w:val="0"/>
          <w:color w:val="auto"/>
          <w:sz w:val="21"/>
          <w:szCs w:val="21"/>
          <w:highlight w:val="none"/>
        </w:rPr>
        <w:t>分别连接两相</w:t>
      </w:r>
      <w:r>
        <w:rPr>
          <w:rFonts w:hint="eastAsia" w:ascii="宋体" w:hAnsi="宋体" w:eastAsia="宋体" w:cs="宋体"/>
          <w:strike w:val="0"/>
          <w:color w:val="auto"/>
          <w:sz w:val="21"/>
          <w:szCs w:val="21"/>
          <w:highlight w:val="none"/>
          <w:lang w:eastAsia="zh-CN"/>
        </w:rPr>
        <w:t>；</w:t>
      </w:r>
    </w:p>
    <w:p>
      <w:pPr>
        <w:ind w:firstLine="422" w:firstLineChars="200"/>
        <w:rPr>
          <w:rFonts w:hint="default" w:ascii="宋体" w:hAnsi="宋体" w:cs="宋体" w:eastAsiaTheme="minorEastAsia"/>
          <w:color w:val="auto"/>
          <w:sz w:val="21"/>
          <w:szCs w:val="21"/>
          <w:highlight w:val="none"/>
          <w:lang w:val="en-US" w:eastAsia="zh-CN"/>
        </w:rPr>
      </w:pPr>
      <w:r>
        <w:rPr>
          <w:rFonts w:hint="eastAsia" w:ascii="宋体" w:hAnsi="宋体" w:eastAsia="宋体" w:cs="宋体"/>
          <w:b/>
          <w:bCs/>
          <w:strike w:val="0"/>
          <w:color w:val="auto"/>
          <w:sz w:val="21"/>
          <w:szCs w:val="21"/>
          <w:highlight w:val="none"/>
          <w:lang w:val="en-US" w:eastAsia="zh-CN"/>
        </w:rPr>
        <w:t>2</w:t>
      </w:r>
      <w:r>
        <w:rPr>
          <w:rFonts w:hint="eastAsia" w:ascii="宋体" w:hAnsi="宋体" w:eastAsia="宋体" w:cs="宋体"/>
          <w:strike w:val="0"/>
          <w:color w:val="auto"/>
          <w:sz w:val="21"/>
          <w:szCs w:val="21"/>
          <w:highlight w:val="none"/>
          <w:lang w:val="en-US" w:eastAsia="zh-CN"/>
        </w:rPr>
        <w:t xml:space="preserve">  可在配电柜的出线端检测，也可在下一级配电箱的电源进线端进行检测。</w:t>
      </w:r>
    </w:p>
    <w:p>
      <w:pP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6.3.4  </w:t>
      </w:r>
      <w:r>
        <w:rPr>
          <w:rFonts w:hint="eastAsia" w:ascii="宋体" w:hAnsi="宋体" w:eastAsia="宋体" w:cs="宋体"/>
          <w:color w:val="auto"/>
          <w:sz w:val="21"/>
          <w:szCs w:val="21"/>
          <w:highlight w:val="none"/>
          <w:lang w:val="en-US" w:eastAsia="zh-CN"/>
        </w:rPr>
        <w:t>低压成套配电柜、箱及控制柜（台、箱）间线路的线间和线对地间以及低压或特低电压配电线路线间和线对地间</w:t>
      </w:r>
      <w:r>
        <w:rPr>
          <w:rFonts w:hint="eastAsia" w:ascii="宋体" w:hAnsi="宋体" w:eastAsia="宋体" w:cs="宋体"/>
          <w:color w:val="auto"/>
          <w:sz w:val="21"/>
          <w:szCs w:val="21"/>
          <w:highlight w:val="none"/>
        </w:rPr>
        <w:t>绝缘电阻检测</w:t>
      </w:r>
      <w:r>
        <w:rPr>
          <w:rFonts w:hint="eastAsia" w:ascii="宋体" w:hAnsi="宋体" w:eastAsia="宋体" w:cs="宋体"/>
          <w:color w:val="auto"/>
          <w:sz w:val="21"/>
          <w:szCs w:val="21"/>
          <w:highlight w:val="none"/>
          <w:lang w:val="en-US" w:eastAsia="zh-CN"/>
        </w:rPr>
        <w:t>应符合下列规定：</w:t>
      </w:r>
    </w:p>
    <w:p>
      <w:pPr>
        <w:ind w:firstLine="422" w:firstLineChars="200"/>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将绝缘电阻</w:t>
      </w:r>
      <w:r>
        <w:rPr>
          <w:rFonts w:hint="eastAsia" w:ascii="宋体" w:hAnsi="宋体" w:eastAsia="宋体" w:cs="宋体"/>
          <w:color w:val="auto"/>
          <w:sz w:val="21"/>
          <w:szCs w:val="21"/>
          <w:highlight w:val="none"/>
          <w:lang w:val="en-US" w:eastAsia="zh-CN"/>
        </w:rPr>
        <w:t>设备</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两个接线端</w:t>
      </w:r>
      <w:r>
        <w:rPr>
          <w:rFonts w:hint="eastAsia" w:ascii="宋体" w:hAnsi="宋体" w:eastAsia="宋体" w:cs="宋体"/>
          <w:color w:val="auto"/>
          <w:sz w:val="21"/>
          <w:szCs w:val="21"/>
          <w:highlight w:val="none"/>
        </w:rPr>
        <w:t>分别连接两相</w:t>
      </w:r>
      <w:r>
        <w:rPr>
          <w:rFonts w:hint="eastAsia" w:ascii="宋体" w:hAnsi="宋体" w:eastAsia="宋体" w:cs="宋体"/>
          <w:color w:val="auto"/>
          <w:sz w:val="21"/>
          <w:szCs w:val="21"/>
          <w:highlight w:val="none"/>
          <w:lang w:eastAsia="zh-CN"/>
        </w:rPr>
        <w:t>；</w:t>
      </w:r>
    </w:p>
    <w:p>
      <w:pPr>
        <w:ind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 xml:space="preserve">  可在配电柜的出线端检测，也可在下一级配电箱的电源进线端进行检测；</w:t>
      </w:r>
    </w:p>
    <w:p>
      <w:pPr>
        <w:ind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 xml:space="preserve">  测试低压或特低电压配电线路线间和线对地间时，可在终端电箱出线端测，也可在插座端或者设备端检测。</w:t>
      </w:r>
    </w:p>
    <w:p>
      <w:pPr>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6.3.5  </w:t>
      </w:r>
      <w:r>
        <w:rPr>
          <w:rFonts w:hint="eastAsia" w:ascii="宋体" w:hAnsi="宋体" w:eastAsia="宋体" w:cs="宋体"/>
          <w:color w:val="auto"/>
          <w:sz w:val="21"/>
          <w:szCs w:val="21"/>
          <w:highlight w:val="none"/>
        </w:rPr>
        <w:t>发电机至配电柜馈电线路的相间、相对地间的绝缘电阻检测时，</w:t>
      </w:r>
      <w:r>
        <w:rPr>
          <w:rFonts w:hint="eastAsia" w:ascii="宋体" w:hAnsi="宋体" w:eastAsia="宋体" w:cs="宋体"/>
          <w:color w:val="auto"/>
          <w:sz w:val="21"/>
          <w:szCs w:val="21"/>
          <w:highlight w:val="none"/>
          <w:lang w:val="en-US" w:eastAsia="zh-CN"/>
        </w:rPr>
        <w:t>应符合下列规定：</w:t>
      </w:r>
    </w:p>
    <w:p>
      <w:pPr>
        <w:ind w:firstLine="422" w:firstLineChars="200"/>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rPr>
        <w:t>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检测时，发电机处于关机且室温状态</w:t>
      </w:r>
      <w:r>
        <w:rPr>
          <w:rFonts w:hint="eastAsia" w:ascii="宋体" w:hAnsi="宋体" w:eastAsia="宋体" w:cs="宋体"/>
          <w:color w:val="auto"/>
          <w:sz w:val="21"/>
          <w:szCs w:val="21"/>
          <w:highlight w:val="none"/>
          <w:lang w:eastAsia="zh-CN"/>
        </w:rPr>
        <w:t>；</w:t>
      </w:r>
    </w:p>
    <w:p>
      <w:pPr>
        <w:ind w:firstLine="422"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断开发电机输出端</w:t>
      </w:r>
      <w:r>
        <w:rPr>
          <w:rFonts w:hint="eastAsia" w:ascii="宋体" w:hAnsi="宋体" w:eastAsia="宋体" w:cs="宋体"/>
          <w:color w:val="auto"/>
          <w:sz w:val="21"/>
          <w:szCs w:val="21"/>
          <w:highlight w:val="none"/>
          <w:lang w:val="en-US" w:eastAsia="zh-CN"/>
        </w:rPr>
        <w:t>的进线</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断开连接柴油发电机组的配电柜的总开关；</w:t>
      </w:r>
    </w:p>
    <w:p>
      <w:pPr>
        <w:ind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strike w:val="0"/>
          <w:dstrike w:val="0"/>
          <w:color w:val="auto"/>
          <w:sz w:val="21"/>
          <w:szCs w:val="21"/>
          <w:highlight w:val="none"/>
          <w:lang w:val="en-US" w:eastAsia="zh-CN"/>
        </w:rPr>
        <w:t>将绝缘电阻检测仪器的两个接线端</w:t>
      </w:r>
      <w:r>
        <w:rPr>
          <w:rFonts w:hint="eastAsia" w:ascii="宋体" w:hAnsi="宋体" w:eastAsia="宋体" w:cs="宋体"/>
          <w:color w:val="auto"/>
          <w:sz w:val="21"/>
          <w:szCs w:val="21"/>
          <w:highlight w:val="none"/>
          <w:lang w:val="en-US" w:eastAsia="zh-CN"/>
        </w:rPr>
        <w:t>连接在发电机组输出端任意两相上进行绝缘电阻检测，三相轮流交换，空出的一相应安全接地；</w:t>
      </w:r>
    </w:p>
    <w:p>
      <w:pPr>
        <w:ind w:firstLine="422" w:firstLineChars="200"/>
        <w:rPr>
          <w:rFonts w:hint="default" w:ascii="宋体" w:hAnsi="宋体" w:eastAsia="宋体" w:cs="宋体"/>
          <w:color w:val="auto"/>
          <w:sz w:val="21"/>
          <w:szCs w:val="21"/>
          <w:highlight w:val="none"/>
          <w:lang w:val="en-US"/>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 xml:space="preserve">  测量发电机</w:t>
      </w:r>
      <w:r>
        <w:rPr>
          <w:rFonts w:hint="eastAsia" w:ascii="宋体" w:hAnsi="宋体" w:eastAsia="宋体" w:cs="宋体"/>
          <w:color w:val="auto"/>
          <w:sz w:val="21"/>
          <w:szCs w:val="21"/>
          <w:highlight w:val="none"/>
        </w:rPr>
        <w:t>至配电柜馈电线路</w:t>
      </w:r>
      <w:r>
        <w:rPr>
          <w:rFonts w:hint="eastAsia" w:ascii="宋体" w:hAnsi="宋体" w:eastAsia="宋体" w:cs="宋体"/>
          <w:color w:val="auto"/>
          <w:sz w:val="21"/>
          <w:szCs w:val="21"/>
          <w:highlight w:val="none"/>
          <w:lang w:val="en-US" w:eastAsia="zh-CN"/>
        </w:rPr>
        <w:t>相对地绝缘时，将绝缘电阻检测仪器的高压端连接在发电机组输出端任一线头，另一端连接机组外壳或接地排。</w:t>
      </w:r>
    </w:p>
    <w:p>
      <w:pPr>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6.3.6</w:t>
      </w:r>
      <w:r>
        <w:rPr>
          <w:rFonts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母线槽绝缘电阻检测时，</w:t>
      </w:r>
      <w:r>
        <w:rPr>
          <w:rFonts w:hint="eastAsia" w:ascii="宋体" w:hAnsi="宋体" w:eastAsia="宋体" w:cs="宋体"/>
          <w:color w:val="auto"/>
          <w:sz w:val="21"/>
          <w:szCs w:val="21"/>
          <w:highlight w:val="none"/>
          <w:lang w:val="en-US" w:eastAsia="zh-CN"/>
        </w:rPr>
        <w:t>应符合下列规定：</w:t>
      </w:r>
      <w:r>
        <w:rPr>
          <w:rFonts w:hint="eastAsia" w:ascii="宋体" w:hAnsi="宋体" w:eastAsia="宋体" w:cs="宋体"/>
          <w:color w:val="auto"/>
          <w:sz w:val="21"/>
          <w:szCs w:val="21"/>
          <w:highlight w:val="none"/>
        </w:rPr>
        <w:t xml:space="preserve"> </w:t>
      </w:r>
    </w:p>
    <w:p>
      <w:pPr>
        <w:ind w:firstLine="422" w:firstLineChars="20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母线槽的绝缘电阻</w:t>
      </w:r>
      <w:r>
        <w:rPr>
          <w:rFonts w:hint="eastAsia" w:ascii="宋体" w:hAnsi="宋体" w:eastAsia="宋体" w:cs="宋体"/>
          <w:color w:val="auto"/>
          <w:sz w:val="21"/>
          <w:szCs w:val="21"/>
          <w:highlight w:val="none"/>
          <w:lang w:val="en-US" w:eastAsia="zh-CN"/>
        </w:rPr>
        <w:t>检测在母线槽端部</w:t>
      </w:r>
      <w:r>
        <w:rPr>
          <w:rFonts w:hint="eastAsia" w:ascii="宋体" w:hAnsi="宋体" w:eastAsia="宋体" w:cs="宋体"/>
          <w:color w:val="auto"/>
          <w:sz w:val="21"/>
          <w:szCs w:val="21"/>
          <w:highlight w:val="none"/>
        </w:rPr>
        <w:t>进行；</w:t>
      </w:r>
    </w:p>
    <w:p>
      <w:pPr>
        <w:ind w:firstLine="422"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绝缘电阻检测仪器</w:t>
      </w:r>
      <w:r>
        <w:rPr>
          <w:rFonts w:hint="eastAsia" w:ascii="宋体" w:hAnsi="宋体" w:eastAsia="宋体" w:cs="宋体"/>
          <w:color w:val="auto"/>
          <w:sz w:val="21"/>
          <w:szCs w:val="21"/>
          <w:highlight w:val="none"/>
          <w:lang w:val="en-US" w:eastAsia="zh-CN"/>
        </w:rPr>
        <w:t>高压</w:t>
      </w:r>
      <w:r>
        <w:rPr>
          <w:rFonts w:hint="eastAsia" w:ascii="宋体" w:hAnsi="宋体" w:eastAsia="宋体" w:cs="宋体"/>
          <w:color w:val="auto"/>
          <w:sz w:val="21"/>
          <w:szCs w:val="21"/>
          <w:highlight w:val="none"/>
        </w:rPr>
        <w:t>端连接母线槽导电铜排；</w:t>
      </w:r>
      <w:r>
        <w:rPr>
          <w:rFonts w:hint="eastAsia" w:ascii="宋体" w:hAnsi="宋体" w:eastAsia="宋体" w:cs="宋体"/>
          <w:color w:val="auto"/>
          <w:sz w:val="21"/>
          <w:szCs w:val="21"/>
          <w:highlight w:val="none"/>
          <w:lang w:val="en-US" w:eastAsia="zh-CN"/>
        </w:rPr>
        <w:t>另一端</w:t>
      </w:r>
      <w:r>
        <w:rPr>
          <w:rFonts w:hint="eastAsia" w:ascii="宋体" w:hAnsi="宋体" w:eastAsia="宋体" w:cs="宋体"/>
          <w:color w:val="auto"/>
          <w:sz w:val="21"/>
          <w:szCs w:val="21"/>
          <w:highlight w:val="none"/>
        </w:rPr>
        <w:t>连接母线槽保护壳。</w:t>
      </w:r>
    </w:p>
    <w:p>
      <w:pP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6.3.7</w:t>
      </w:r>
      <w:r>
        <w:rPr>
          <w:rFonts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ascii="宋体" w:hAnsi="宋体" w:eastAsia="宋体" w:cs="宋体"/>
          <w:color w:val="auto"/>
          <w:sz w:val="21"/>
          <w:szCs w:val="21"/>
          <w:highlight w:val="none"/>
        </w:rPr>
        <w:t>UPS</w:t>
      </w:r>
      <w:r>
        <w:rPr>
          <w:rFonts w:hint="eastAsia" w:ascii="宋体" w:hAnsi="宋体" w:eastAsia="宋体" w:cs="宋体"/>
          <w:color w:val="auto"/>
          <w:sz w:val="21"/>
          <w:szCs w:val="21"/>
          <w:highlight w:val="none"/>
        </w:rPr>
        <w:t>的输入端、输出端对地间</w:t>
      </w:r>
      <w:r>
        <w:rPr>
          <w:rFonts w:hint="eastAsia" w:ascii="宋体" w:hAnsi="宋体" w:eastAsia="宋体" w:cs="宋体"/>
          <w:color w:val="auto"/>
          <w:sz w:val="21"/>
          <w:szCs w:val="21"/>
          <w:highlight w:val="none"/>
          <w:lang w:val="en-US" w:eastAsia="zh-CN"/>
        </w:rPr>
        <w:t>绝缘电阻检测时，应符合下列规定：</w:t>
      </w:r>
    </w:p>
    <w:p>
      <w:pPr>
        <w:ind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 xml:space="preserve"> 断开UPS的输入端和输出端所有连接；</w:t>
      </w:r>
    </w:p>
    <w:p>
      <w:pPr>
        <w:ind w:firstLine="422"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绝缘电阻检测仪器</w:t>
      </w:r>
      <w:r>
        <w:rPr>
          <w:rFonts w:hint="eastAsia" w:ascii="宋体" w:hAnsi="宋体" w:eastAsia="宋体" w:cs="宋体"/>
          <w:color w:val="auto"/>
          <w:sz w:val="21"/>
          <w:szCs w:val="21"/>
          <w:highlight w:val="none"/>
          <w:lang w:val="en-US" w:eastAsia="zh-CN"/>
        </w:rPr>
        <w:t>高压</w:t>
      </w:r>
      <w:r>
        <w:rPr>
          <w:rFonts w:hint="eastAsia" w:ascii="宋体" w:hAnsi="宋体" w:eastAsia="宋体" w:cs="宋体"/>
          <w:color w:val="auto"/>
          <w:sz w:val="21"/>
          <w:szCs w:val="21"/>
          <w:highlight w:val="none"/>
        </w:rPr>
        <w:t>端连接</w:t>
      </w:r>
      <w:r>
        <w:rPr>
          <w:rFonts w:hint="eastAsia" w:ascii="宋体" w:hAnsi="宋体" w:eastAsia="宋体" w:cs="宋体"/>
          <w:color w:val="auto"/>
          <w:sz w:val="21"/>
          <w:szCs w:val="21"/>
          <w:highlight w:val="none"/>
          <w:lang w:val="en-US" w:eastAsia="zh-CN"/>
        </w:rPr>
        <w:t>UPS的一个接线端子</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另一端</w:t>
      </w:r>
      <w:r>
        <w:rPr>
          <w:rFonts w:hint="eastAsia" w:ascii="宋体" w:hAnsi="宋体" w:eastAsia="宋体" w:cs="宋体"/>
          <w:color w:val="auto"/>
          <w:sz w:val="21"/>
          <w:szCs w:val="21"/>
          <w:highlight w:val="none"/>
        </w:rPr>
        <w:t>连接</w:t>
      </w:r>
      <w:r>
        <w:rPr>
          <w:rFonts w:hint="eastAsia" w:ascii="宋体" w:hAnsi="宋体" w:eastAsia="宋体" w:cs="宋体"/>
          <w:color w:val="auto"/>
          <w:sz w:val="21"/>
          <w:szCs w:val="21"/>
          <w:highlight w:val="none"/>
          <w:lang w:val="en-US" w:eastAsia="zh-CN"/>
        </w:rPr>
        <w:t>UPS外壳</w:t>
      </w:r>
      <w:r>
        <w:rPr>
          <w:rFonts w:hint="eastAsia" w:ascii="宋体" w:hAnsi="宋体" w:eastAsia="宋体" w:cs="宋体"/>
          <w:color w:val="auto"/>
          <w:sz w:val="21"/>
          <w:szCs w:val="21"/>
          <w:highlight w:val="none"/>
        </w:rPr>
        <w:t>。</w:t>
      </w:r>
    </w:p>
    <w:p>
      <w:pP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6.3.8 </w:t>
      </w:r>
      <w:r>
        <w:rPr>
          <w:rFonts w:hint="eastAsia" w:ascii="宋体" w:hAnsi="宋体" w:eastAsia="宋体" w:cs="宋体"/>
          <w:color w:val="auto"/>
          <w:sz w:val="21"/>
          <w:szCs w:val="21"/>
          <w:highlight w:val="none"/>
          <w:lang w:val="en-US" w:eastAsia="zh-CN"/>
        </w:rPr>
        <w:t xml:space="preserve"> </w:t>
      </w:r>
      <w:r>
        <w:rPr>
          <w:rFonts w:ascii="宋体" w:hAnsi="宋体" w:eastAsia="宋体" w:cs="宋体"/>
          <w:color w:val="auto"/>
          <w:sz w:val="21"/>
          <w:szCs w:val="21"/>
          <w:highlight w:val="none"/>
        </w:rPr>
        <w:t>UPS</w:t>
      </w:r>
      <w:r>
        <w:rPr>
          <w:rFonts w:hint="eastAsia" w:ascii="宋体" w:hAnsi="宋体" w:eastAsia="宋体" w:cs="宋体"/>
          <w:color w:val="auto"/>
          <w:sz w:val="21"/>
          <w:szCs w:val="21"/>
          <w:highlight w:val="none"/>
        </w:rPr>
        <w:t>、E</w:t>
      </w:r>
      <w:r>
        <w:rPr>
          <w:rFonts w:ascii="宋体" w:hAnsi="宋体" w:eastAsia="宋体" w:cs="宋体"/>
          <w:color w:val="auto"/>
          <w:sz w:val="21"/>
          <w:szCs w:val="21"/>
          <w:highlight w:val="none"/>
        </w:rPr>
        <w:t>PS</w:t>
      </w:r>
      <w:r>
        <w:rPr>
          <w:rFonts w:hint="eastAsia" w:ascii="宋体" w:hAnsi="宋体" w:eastAsia="宋体" w:cs="宋体"/>
          <w:color w:val="auto"/>
          <w:sz w:val="21"/>
          <w:szCs w:val="21"/>
          <w:highlight w:val="none"/>
          <w:lang w:val="en-US" w:eastAsia="zh-CN"/>
        </w:rPr>
        <w:t>连线和出线的线间、线对地间绝缘电阻</w:t>
      </w:r>
      <w:r>
        <w:rPr>
          <w:rFonts w:hint="eastAsia" w:ascii="宋体" w:hAnsi="宋体" w:eastAsia="宋体" w:cs="宋体"/>
          <w:color w:val="auto"/>
          <w:sz w:val="21"/>
          <w:szCs w:val="21"/>
          <w:highlight w:val="none"/>
        </w:rPr>
        <w:t>检测</w:t>
      </w:r>
      <w:r>
        <w:rPr>
          <w:rFonts w:hint="eastAsia" w:ascii="宋体" w:hAnsi="宋体" w:eastAsia="宋体" w:cs="宋体"/>
          <w:color w:val="auto"/>
          <w:sz w:val="21"/>
          <w:szCs w:val="21"/>
          <w:highlight w:val="none"/>
          <w:lang w:val="en-US" w:eastAsia="zh-CN"/>
        </w:rPr>
        <w:t>时，应符合下列规定：</w:t>
      </w:r>
    </w:p>
    <w:p>
      <w:pPr>
        <w:ind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 xml:space="preserve"> 在</w:t>
      </w:r>
      <w:r>
        <w:rPr>
          <w:rFonts w:ascii="宋体" w:hAnsi="宋体" w:eastAsia="宋体" w:cs="宋体"/>
          <w:color w:val="auto"/>
          <w:sz w:val="21"/>
          <w:szCs w:val="21"/>
          <w:highlight w:val="none"/>
        </w:rPr>
        <w:t>UPS</w:t>
      </w:r>
      <w:r>
        <w:rPr>
          <w:rFonts w:hint="eastAsia" w:ascii="宋体" w:hAnsi="宋体" w:eastAsia="宋体" w:cs="宋体"/>
          <w:color w:val="auto"/>
          <w:sz w:val="21"/>
          <w:szCs w:val="21"/>
          <w:highlight w:val="none"/>
        </w:rPr>
        <w:t>、E</w:t>
      </w:r>
      <w:r>
        <w:rPr>
          <w:rFonts w:ascii="宋体" w:hAnsi="宋体" w:eastAsia="宋体" w:cs="宋体"/>
          <w:color w:val="auto"/>
          <w:sz w:val="21"/>
          <w:szCs w:val="21"/>
          <w:highlight w:val="none"/>
        </w:rPr>
        <w:t>PS</w:t>
      </w:r>
      <w:r>
        <w:rPr>
          <w:rFonts w:hint="eastAsia" w:ascii="宋体" w:hAnsi="宋体" w:eastAsia="宋体" w:cs="宋体"/>
          <w:color w:val="auto"/>
          <w:sz w:val="21"/>
          <w:szCs w:val="21"/>
          <w:highlight w:val="none"/>
          <w:lang w:val="en-US" w:eastAsia="zh-CN"/>
        </w:rPr>
        <w:t>输入电源端及出线的负载端断开所有外部连接；</w:t>
      </w:r>
    </w:p>
    <w:p>
      <w:pPr>
        <w:ind w:firstLine="422"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绝缘电阻检测仪器</w:t>
      </w:r>
      <w:r>
        <w:rPr>
          <w:rFonts w:hint="eastAsia" w:ascii="宋体" w:hAnsi="宋体" w:eastAsia="宋体" w:cs="宋体"/>
          <w:color w:val="auto"/>
          <w:sz w:val="21"/>
          <w:szCs w:val="21"/>
          <w:highlight w:val="none"/>
          <w:lang w:val="en-US" w:eastAsia="zh-CN"/>
        </w:rPr>
        <w:t>高压</w:t>
      </w:r>
      <w:r>
        <w:rPr>
          <w:rFonts w:hint="eastAsia" w:ascii="宋体" w:hAnsi="宋体" w:eastAsia="宋体" w:cs="宋体"/>
          <w:color w:val="auto"/>
          <w:sz w:val="21"/>
          <w:szCs w:val="21"/>
          <w:highlight w:val="none"/>
        </w:rPr>
        <w:t>端连接</w:t>
      </w:r>
      <w:r>
        <w:rPr>
          <w:rFonts w:hint="eastAsia" w:ascii="宋体" w:hAnsi="宋体" w:eastAsia="宋体" w:cs="宋体"/>
          <w:color w:val="auto"/>
          <w:sz w:val="21"/>
          <w:szCs w:val="21"/>
          <w:highlight w:val="none"/>
          <w:lang w:val="en-US" w:eastAsia="zh-CN"/>
        </w:rPr>
        <w:t>UPS、EPS的一个接线端子</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另一端</w:t>
      </w:r>
      <w:r>
        <w:rPr>
          <w:rFonts w:hint="eastAsia" w:ascii="宋体" w:hAnsi="宋体" w:eastAsia="宋体" w:cs="宋体"/>
          <w:color w:val="auto"/>
          <w:sz w:val="21"/>
          <w:szCs w:val="21"/>
          <w:highlight w:val="none"/>
        </w:rPr>
        <w:t>连接</w:t>
      </w:r>
      <w:r>
        <w:rPr>
          <w:rFonts w:hint="eastAsia" w:ascii="宋体" w:hAnsi="宋体" w:eastAsia="宋体" w:cs="宋体"/>
          <w:color w:val="auto"/>
          <w:sz w:val="21"/>
          <w:szCs w:val="21"/>
          <w:highlight w:val="none"/>
          <w:lang w:val="en-US" w:eastAsia="zh-CN"/>
        </w:rPr>
        <w:t>UPS、EPS外壳</w:t>
      </w:r>
      <w:r>
        <w:rPr>
          <w:rFonts w:hint="eastAsia" w:ascii="宋体" w:hAnsi="宋体" w:eastAsia="宋体" w:cs="宋体"/>
          <w:color w:val="auto"/>
          <w:sz w:val="21"/>
          <w:szCs w:val="21"/>
          <w:highlight w:val="none"/>
        </w:rPr>
        <w:t>。</w:t>
      </w:r>
    </w:p>
    <w:p>
      <w:pP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6.3.9</w:t>
      </w:r>
      <w:r>
        <w:rPr>
          <w:rFonts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ascii="宋体" w:hAnsi="宋体" w:eastAsia="宋体" w:cs="宋体"/>
          <w:color w:val="auto"/>
          <w:sz w:val="21"/>
          <w:szCs w:val="21"/>
          <w:highlight w:val="none"/>
        </w:rPr>
        <w:t>SPD</w:t>
      </w:r>
      <w:r>
        <w:rPr>
          <w:rFonts w:hint="eastAsia" w:ascii="宋体" w:hAnsi="宋体" w:eastAsia="宋体" w:cs="宋体"/>
          <w:color w:val="auto"/>
          <w:sz w:val="21"/>
          <w:szCs w:val="21"/>
          <w:highlight w:val="none"/>
        </w:rPr>
        <w:t>绝缘电阻检测时，</w:t>
      </w:r>
      <w:r>
        <w:rPr>
          <w:rFonts w:hint="eastAsia" w:ascii="宋体" w:hAnsi="宋体" w:eastAsia="宋体" w:cs="宋体"/>
          <w:color w:val="auto"/>
          <w:sz w:val="21"/>
          <w:szCs w:val="21"/>
          <w:highlight w:val="none"/>
          <w:lang w:val="en-US" w:eastAsia="zh-CN"/>
        </w:rPr>
        <w:t>应符合下列规定：</w:t>
      </w:r>
    </w:p>
    <w:p>
      <w:pPr>
        <w:ind w:firstLine="422" w:firstLineChars="200"/>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将</w:t>
      </w:r>
      <w:r>
        <w:rPr>
          <w:rFonts w:hint="eastAsia" w:ascii="宋体" w:hAnsi="宋体" w:eastAsia="宋体" w:cs="宋体"/>
          <w:color w:val="auto"/>
          <w:sz w:val="21"/>
          <w:szCs w:val="21"/>
          <w:highlight w:val="none"/>
          <w:lang w:val="en-US" w:eastAsia="zh-CN"/>
        </w:rPr>
        <w:t>SPD的所有连接线路都断开；</w:t>
      </w:r>
    </w:p>
    <w:p>
      <w:pPr>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 xml:space="preserve"> 绝缘电阻检测仪器高压端连接SPD的接线端子，另一端连接电箱壳体或接地排。</w:t>
      </w:r>
      <w:r>
        <w:rPr>
          <w:rFonts w:hint="eastAsia" w:ascii="宋体" w:hAnsi="宋体" w:eastAsia="宋体" w:cs="宋体"/>
          <w:color w:val="auto"/>
          <w:sz w:val="21"/>
          <w:szCs w:val="21"/>
          <w:highlight w:val="none"/>
        </w:rPr>
        <w:t>正负极性各测试一次。</w:t>
      </w:r>
    </w:p>
    <w:p>
      <w:pPr>
        <w:pStyle w:val="3"/>
        <w:jc w:val="center"/>
        <w:rPr>
          <w:rFonts w:ascii="宋体" w:hAnsi="宋体" w:eastAsia="宋体" w:cs="宋体"/>
          <w:color w:val="auto"/>
          <w:sz w:val="21"/>
          <w:szCs w:val="21"/>
          <w:highlight w:val="none"/>
        </w:rPr>
      </w:pPr>
      <w:bookmarkStart w:id="122" w:name="_Toc27215"/>
      <w:bookmarkStart w:id="123" w:name="_Toc18184"/>
      <w:bookmarkStart w:id="124" w:name="_Toc16859"/>
      <w:bookmarkStart w:id="125" w:name="_Toc24022"/>
      <w:bookmarkStart w:id="126" w:name="_Toc3392"/>
      <w:r>
        <w:rPr>
          <w:rFonts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 xml:space="preserve">4  </w:t>
      </w:r>
      <w:r>
        <w:rPr>
          <w:rFonts w:hint="eastAsia" w:ascii="宋体" w:hAnsi="宋体" w:eastAsia="宋体" w:cs="宋体"/>
          <w:color w:val="auto"/>
          <w:sz w:val="21"/>
          <w:szCs w:val="21"/>
          <w:highlight w:val="none"/>
        </w:rPr>
        <w:t>检测结果</w:t>
      </w:r>
      <w:bookmarkEnd w:id="122"/>
      <w:r>
        <w:rPr>
          <w:rFonts w:hint="eastAsia" w:ascii="宋体" w:hAnsi="宋体" w:eastAsia="宋体" w:cs="宋体"/>
          <w:color w:val="auto"/>
          <w:sz w:val="21"/>
          <w:szCs w:val="21"/>
          <w:highlight w:val="none"/>
          <w:lang w:val="en-US" w:eastAsia="zh-CN"/>
        </w:rPr>
        <w:t>的评价</w:t>
      </w:r>
      <w:bookmarkEnd w:id="123"/>
      <w:bookmarkEnd w:id="124"/>
      <w:bookmarkEnd w:id="125"/>
      <w:bookmarkEnd w:id="126"/>
    </w:p>
    <w:p>
      <w:pP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 xml:space="preserve">6.4.1  </w:t>
      </w:r>
      <w:r>
        <w:rPr>
          <w:rFonts w:hint="eastAsia" w:ascii="宋体" w:hAnsi="宋体" w:eastAsia="宋体" w:cs="宋体"/>
          <w:color w:val="auto"/>
          <w:sz w:val="21"/>
          <w:szCs w:val="21"/>
          <w:highlight w:val="none"/>
          <w:lang w:val="en-US" w:eastAsia="zh-CN"/>
        </w:rPr>
        <w:t>绝缘电阻</w:t>
      </w:r>
      <w:r>
        <w:rPr>
          <w:rFonts w:hint="eastAsia" w:ascii="宋体" w:hAnsi="宋体" w:eastAsia="宋体" w:cs="宋体"/>
          <w:color w:val="auto"/>
          <w:sz w:val="21"/>
          <w:szCs w:val="21"/>
          <w:highlight w:val="none"/>
        </w:rPr>
        <w:t>检测结果</w:t>
      </w:r>
      <w:r>
        <w:rPr>
          <w:rFonts w:hint="eastAsia" w:ascii="宋体" w:hAnsi="宋体" w:eastAsia="宋体" w:cs="宋体"/>
          <w:color w:val="auto"/>
          <w:sz w:val="21"/>
          <w:szCs w:val="21"/>
          <w:highlight w:val="none"/>
          <w:lang w:val="en-US" w:eastAsia="zh-CN"/>
        </w:rPr>
        <w:t>应符合表6.4.1</w:t>
      </w:r>
      <w:r>
        <w:rPr>
          <w:rFonts w:hint="eastAsia" w:ascii="宋体" w:hAnsi="宋体" w:eastAsia="宋体" w:cs="宋体"/>
          <w:color w:val="auto"/>
          <w:sz w:val="21"/>
          <w:szCs w:val="21"/>
          <w:highlight w:val="none"/>
        </w:rPr>
        <w:t>或设计规定。</w:t>
      </w:r>
    </w:p>
    <w:p>
      <w:pPr>
        <w:pStyle w:val="38"/>
        <w:rPr>
          <w:rFonts w:hint="eastAsia" w:cs="Times New Roman"/>
          <w:color w:val="auto"/>
          <w:highlight w:val="none"/>
          <w:lang w:val="en-US" w:eastAsia="zh-CN"/>
        </w:rPr>
      </w:pPr>
      <w:r>
        <w:rPr>
          <w:rFonts w:hint="eastAsia" w:cs="Times New Roman"/>
          <w:color w:val="auto"/>
          <w:highlight w:val="none"/>
          <w:lang w:val="en-US" w:eastAsia="zh-CN"/>
        </w:rPr>
        <w:t>表6.4.1 绝缘电阻限制值</w:t>
      </w:r>
    </w:p>
    <w:tbl>
      <w:tblPr>
        <w:tblStyle w:val="12"/>
        <w:tblpPr w:leftFromText="180" w:rightFromText="180" w:vertAnchor="text" w:horzAnchor="page" w:tblpX="1892" w:tblpY="142"/>
        <w:tblOverlap w:val="never"/>
        <w:tblW w:w="7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4973"/>
        <w:gridCol w:w="2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blHeader/>
        </w:trPr>
        <w:tc>
          <w:tcPr>
            <w:tcW w:w="749"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序号</w:t>
            </w:r>
          </w:p>
        </w:tc>
        <w:tc>
          <w:tcPr>
            <w:tcW w:w="4973"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绝缘电阻检测部位</w:t>
            </w:r>
          </w:p>
        </w:tc>
        <w:tc>
          <w:tcPr>
            <w:tcW w:w="2273"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绝缘电阻最小值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9"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w:t>
            </w:r>
          </w:p>
        </w:tc>
        <w:tc>
          <w:tcPr>
            <w:tcW w:w="4973" w:type="dxa"/>
            <w:vAlign w:val="center"/>
          </w:tcPr>
          <w:p>
            <w:pPr>
              <w:jc w:val="center"/>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低压成套配电柜、箱及控制柜（台、箱）间线路的线间和线对地间；</w:t>
            </w:r>
          </w:p>
        </w:tc>
        <w:tc>
          <w:tcPr>
            <w:tcW w:w="2273" w:type="dxa"/>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0.5 MΩ</w:t>
            </w:r>
          </w:p>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（二次回路1MΩ）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9" w:type="dxa"/>
            <w:shd w:val="clear" w:color="auto" w:fill="auto"/>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2</w:t>
            </w:r>
          </w:p>
        </w:tc>
        <w:tc>
          <w:tcPr>
            <w:tcW w:w="4973" w:type="dxa"/>
            <w:shd w:val="clear" w:color="auto" w:fill="auto"/>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标称回路电压在500V及以下的低压或特低压配电线路的线间和线对地间</w:t>
            </w:r>
          </w:p>
        </w:tc>
        <w:tc>
          <w:tcPr>
            <w:tcW w:w="2273" w:type="dxa"/>
            <w:shd w:val="clear" w:color="auto" w:fill="auto"/>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0.5 MΩ</w:t>
            </w:r>
          </w:p>
          <w:p>
            <w:pPr>
              <w:jc w:val="center"/>
              <w:rPr>
                <w:rFonts w:hint="eastAsia" w:ascii="宋体" w:hAnsi="宋体" w:eastAsia="宋体" w:cs="宋体"/>
                <w:color w:val="auto"/>
                <w:sz w:val="18"/>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9" w:type="dxa"/>
            <w:shd w:val="clear" w:color="auto" w:fill="auto"/>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3</w:t>
            </w:r>
          </w:p>
        </w:tc>
        <w:tc>
          <w:tcPr>
            <w:tcW w:w="4973" w:type="dxa"/>
            <w:shd w:val="clear" w:color="auto" w:fill="auto"/>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标称回路电压在500V以上的低压配电线路的线间和线对地间</w:t>
            </w:r>
          </w:p>
        </w:tc>
        <w:tc>
          <w:tcPr>
            <w:tcW w:w="2273" w:type="dxa"/>
            <w:shd w:val="clear" w:color="auto" w:fill="auto"/>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1.0 MΩ</w:t>
            </w:r>
          </w:p>
          <w:p>
            <w:pPr>
              <w:jc w:val="center"/>
              <w:rPr>
                <w:rFonts w:hint="eastAsia" w:ascii="宋体" w:hAnsi="宋体" w:eastAsia="宋体" w:cs="宋体"/>
                <w:color w:val="auto"/>
                <w:kern w:val="2"/>
                <w:sz w:val="18"/>
                <w:szCs w:val="1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9" w:type="dxa"/>
            <w:shd w:val="clear" w:color="auto" w:fill="auto"/>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4</w:t>
            </w:r>
          </w:p>
        </w:tc>
        <w:tc>
          <w:tcPr>
            <w:tcW w:w="4973" w:type="dxa"/>
            <w:shd w:val="clear" w:color="auto" w:fill="auto"/>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发电机组至配电柜馈电线路的相间、相对地间的绝缘电阻（低压馈电线路）</w:t>
            </w:r>
          </w:p>
        </w:tc>
        <w:tc>
          <w:tcPr>
            <w:tcW w:w="2273" w:type="dxa"/>
            <w:shd w:val="clear" w:color="auto" w:fill="auto"/>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0.5 MΩ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9" w:type="dxa"/>
            <w:shd w:val="clear" w:color="auto" w:fill="auto"/>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5</w:t>
            </w:r>
          </w:p>
        </w:tc>
        <w:tc>
          <w:tcPr>
            <w:tcW w:w="4973" w:type="dxa"/>
            <w:shd w:val="clear" w:color="auto" w:fill="auto"/>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UPS的输入端、输出端对地间</w:t>
            </w:r>
          </w:p>
        </w:tc>
        <w:tc>
          <w:tcPr>
            <w:tcW w:w="2273" w:type="dxa"/>
            <w:shd w:val="clear" w:color="auto" w:fill="auto"/>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2 MΩ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9" w:type="dxa"/>
            <w:shd w:val="clear" w:color="auto" w:fill="auto"/>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6</w:t>
            </w:r>
          </w:p>
        </w:tc>
        <w:tc>
          <w:tcPr>
            <w:tcW w:w="4973" w:type="dxa"/>
            <w:shd w:val="clear" w:color="auto" w:fill="auto"/>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UPS及EPS连线及出线的线间、线对地间</w:t>
            </w:r>
          </w:p>
        </w:tc>
        <w:tc>
          <w:tcPr>
            <w:tcW w:w="2273" w:type="dxa"/>
            <w:shd w:val="clear" w:color="auto" w:fill="auto"/>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0.5 MΩ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9" w:type="dxa"/>
            <w:shd w:val="clear" w:color="auto" w:fill="auto"/>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7</w:t>
            </w:r>
          </w:p>
        </w:tc>
        <w:tc>
          <w:tcPr>
            <w:tcW w:w="4973" w:type="dxa"/>
            <w:shd w:val="clear" w:color="auto" w:fill="auto"/>
            <w:vAlign w:val="center"/>
          </w:tcPr>
          <w:p>
            <w:pPr>
              <w:jc w:val="center"/>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低压母线槽安装前的导体与外壳之间、安装后的相间和相对地间</w:t>
            </w:r>
          </w:p>
        </w:tc>
        <w:tc>
          <w:tcPr>
            <w:tcW w:w="2273" w:type="dxa"/>
            <w:shd w:val="clear" w:color="auto" w:fill="auto"/>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0.5 MΩ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9" w:type="dxa"/>
            <w:shd w:val="clear" w:color="auto" w:fill="auto"/>
            <w:vAlign w:val="center"/>
          </w:tcPr>
          <w:p>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8</w:t>
            </w:r>
          </w:p>
        </w:tc>
        <w:tc>
          <w:tcPr>
            <w:tcW w:w="4973" w:type="dxa"/>
            <w:shd w:val="clear" w:color="auto" w:fill="auto"/>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SPD的所有带电接线端与壳体间</w:t>
            </w:r>
          </w:p>
        </w:tc>
        <w:tc>
          <w:tcPr>
            <w:tcW w:w="2273" w:type="dxa"/>
            <w:shd w:val="clear" w:color="auto" w:fill="auto"/>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50 MΩ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9" w:type="dxa"/>
            <w:shd w:val="clear" w:color="auto" w:fill="auto"/>
            <w:vAlign w:val="center"/>
          </w:tcPr>
          <w:p>
            <w:pPr>
              <w:jc w:val="center"/>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9</w:t>
            </w:r>
          </w:p>
        </w:tc>
        <w:tc>
          <w:tcPr>
            <w:tcW w:w="4973" w:type="dxa"/>
            <w:shd w:val="clear" w:color="auto" w:fill="auto"/>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充电桩 非电气连接的各带电回路之间、各独立带电回路与地（金属外壳）之间</w:t>
            </w:r>
          </w:p>
        </w:tc>
        <w:tc>
          <w:tcPr>
            <w:tcW w:w="2273" w:type="dxa"/>
            <w:shd w:val="clear" w:color="auto" w:fill="auto"/>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10 MΩ</w:t>
            </w:r>
          </w:p>
        </w:tc>
      </w:tr>
    </w:tbl>
    <w:p>
      <w:pPr>
        <w:ind w:firstLine="420" w:firstLineChars="200"/>
        <w:jc w:val="left"/>
        <w:rPr>
          <w:color w:val="auto"/>
          <w:sz w:val="21"/>
          <w:szCs w:val="21"/>
          <w:highlight w:val="none"/>
        </w:rPr>
      </w:pPr>
    </w:p>
    <w:p>
      <w:pPr>
        <w:rPr>
          <w:rFonts w:hint="eastAsia" w:ascii="宋体" w:hAnsi="宋体" w:eastAsia="宋体" w:cs="宋体"/>
          <w:b/>
          <w:bCs/>
          <w:color w:val="auto"/>
          <w:sz w:val="21"/>
          <w:szCs w:val="21"/>
          <w:highlight w:val="none"/>
          <w:lang w:val="en-US" w:eastAsia="zh-CN"/>
        </w:rPr>
      </w:pPr>
    </w:p>
    <w:p>
      <w:pPr>
        <w:rPr>
          <w:rFonts w:hint="eastAsia" w:ascii="宋体" w:hAnsi="宋体" w:eastAsia="宋体" w:cs="宋体"/>
          <w:b/>
          <w:bCs/>
          <w:color w:val="auto"/>
          <w:sz w:val="21"/>
          <w:szCs w:val="21"/>
          <w:highlight w:val="none"/>
          <w:lang w:val="en-US" w:eastAsia="zh-CN"/>
        </w:rPr>
      </w:pPr>
    </w:p>
    <w:p>
      <w:pPr>
        <w:rPr>
          <w:rFonts w:hint="eastAsia" w:ascii="宋体" w:hAnsi="宋体" w:eastAsia="宋体" w:cs="宋体"/>
          <w:b/>
          <w:bCs/>
          <w:color w:val="auto"/>
          <w:sz w:val="21"/>
          <w:szCs w:val="21"/>
          <w:highlight w:val="none"/>
          <w:lang w:val="en-US" w:eastAsia="zh-CN"/>
        </w:rPr>
      </w:pPr>
    </w:p>
    <w:p>
      <w:pPr>
        <w:rPr>
          <w:rFonts w:hint="eastAsia" w:ascii="宋体" w:hAnsi="宋体" w:eastAsia="宋体" w:cs="宋体"/>
          <w:b/>
          <w:bCs/>
          <w:color w:val="auto"/>
          <w:sz w:val="21"/>
          <w:szCs w:val="21"/>
          <w:highlight w:val="none"/>
          <w:lang w:val="en-US" w:eastAsia="zh-CN"/>
        </w:rPr>
      </w:pPr>
    </w:p>
    <w:p>
      <w:pPr>
        <w:rPr>
          <w:rFonts w:hint="eastAsia" w:ascii="宋体" w:hAnsi="宋体" w:eastAsia="宋体" w:cs="宋体"/>
          <w:b/>
          <w:bCs/>
          <w:color w:val="auto"/>
          <w:sz w:val="21"/>
          <w:szCs w:val="21"/>
          <w:highlight w:val="none"/>
          <w:lang w:val="en-US" w:eastAsia="zh-CN"/>
        </w:rPr>
      </w:pPr>
    </w:p>
    <w:p>
      <w:pPr>
        <w:rPr>
          <w:rFonts w:hint="eastAsia" w:ascii="宋体" w:hAnsi="宋体" w:eastAsia="宋体" w:cs="宋体"/>
          <w:b/>
          <w:bCs/>
          <w:color w:val="auto"/>
          <w:sz w:val="21"/>
          <w:szCs w:val="21"/>
          <w:highlight w:val="none"/>
          <w:lang w:val="en-US" w:eastAsia="zh-CN"/>
        </w:rPr>
      </w:pPr>
    </w:p>
    <w:p>
      <w:pPr>
        <w:rPr>
          <w:rFonts w:hint="eastAsia" w:ascii="宋体" w:hAnsi="宋体" w:eastAsia="宋体" w:cs="宋体"/>
          <w:b/>
          <w:bCs/>
          <w:color w:val="auto"/>
          <w:sz w:val="21"/>
          <w:szCs w:val="21"/>
          <w:highlight w:val="none"/>
          <w:lang w:val="en-US" w:eastAsia="zh-CN"/>
        </w:rPr>
      </w:pPr>
    </w:p>
    <w:p>
      <w:pPr>
        <w:rPr>
          <w:rFonts w:hint="eastAsia" w:ascii="宋体" w:hAnsi="宋体" w:eastAsia="宋体" w:cs="宋体"/>
          <w:b/>
          <w:bCs/>
          <w:color w:val="auto"/>
          <w:sz w:val="21"/>
          <w:szCs w:val="21"/>
          <w:highlight w:val="none"/>
          <w:lang w:val="en-US" w:eastAsia="zh-CN"/>
        </w:rPr>
      </w:pPr>
    </w:p>
    <w:p>
      <w:pPr>
        <w:rPr>
          <w:rFonts w:hint="eastAsia" w:ascii="宋体" w:hAnsi="宋体" w:eastAsia="宋体" w:cs="宋体"/>
          <w:b/>
          <w:bCs/>
          <w:color w:val="auto"/>
          <w:sz w:val="21"/>
          <w:szCs w:val="21"/>
          <w:highlight w:val="none"/>
          <w:lang w:val="en-US" w:eastAsia="zh-CN"/>
        </w:rPr>
      </w:pPr>
    </w:p>
    <w:p>
      <w:pPr>
        <w:rPr>
          <w:rFonts w:hint="eastAsia" w:ascii="宋体" w:hAnsi="宋体" w:eastAsia="宋体" w:cs="宋体"/>
          <w:b/>
          <w:bCs/>
          <w:color w:val="auto"/>
          <w:sz w:val="21"/>
          <w:szCs w:val="21"/>
          <w:highlight w:val="none"/>
          <w:lang w:val="en-US" w:eastAsia="zh-CN"/>
        </w:rPr>
      </w:pPr>
    </w:p>
    <w:p>
      <w:pPr>
        <w:rPr>
          <w:rFonts w:hint="eastAsia" w:ascii="宋体" w:hAnsi="宋体" w:eastAsia="宋体" w:cs="宋体"/>
          <w:b/>
          <w:bCs/>
          <w:color w:val="auto"/>
          <w:sz w:val="21"/>
          <w:szCs w:val="21"/>
          <w:highlight w:val="none"/>
          <w:lang w:val="en-US" w:eastAsia="zh-CN"/>
        </w:rPr>
      </w:pPr>
    </w:p>
    <w:p>
      <w:pPr>
        <w:rPr>
          <w:rFonts w:hint="eastAsia" w:ascii="宋体" w:hAnsi="宋体" w:eastAsia="宋体" w:cs="宋体"/>
          <w:b/>
          <w:bCs/>
          <w:color w:val="auto"/>
          <w:sz w:val="21"/>
          <w:szCs w:val="21"/>
          <w:highlight w:val="none"/>
          <w:lang w:val="en-US" w:eastAsia="zh-CN"/>
        </w:rPr>
      </w:pPr>
    </w:p>
    <w:p>
      <w:pPr>
        <w:rPr>
          <w:rFonts w:hint="eastAsia" w:ascii="宋体" w:hAnsi="宋体" w:eastAsia="宋体" w:cs="宋体"/>
          <w:b/>
          <w:bCs/>
          <w:color w:val="auto"/>
          <w:sz w:val="21"/>
          <w:szCs w:val="21"/>
          <w:highlight w:val="none"/>
          <w:lang w:val="en-US" w:eastAsia="zh-CN"/>
        </w:rPr>
      </w:pPr>
    </w:p>
    <w:p>
      <w:pPr>
        <w:rPr>
          <w:rFonts w:hint="eastAsia" w:ascii="宋体" w:hAnsi="宋体" w:eastAsia="宋体" w:cs="宋体"/>
          <w:b/>
          <w:bCs/>
          <w:color w:val="auto"/>
          <w:sz w:val="21"/>
          <w:szCs w:val="21"/>
          <w:highlight w:val="none"/>
          <w:lang w:val="en-US" w:eastAsia="zh-CN"/>
        </w:rPr>
      </w:pPr>
    </w:p>
    <w:p>
      <w:pPr>
        <w:rPr>
          <w:rFonts w:hint="eastAsia" w:ascii="宋体" w:hAnsi="宋体" w:eastAsia="宋体" w:cs="宋体"/>
          <w:b/>
          <w:bCs/>
          <w:color w:val="auto"/>
          <w:sz w:val="21"/>
          <w:szCs w:val="21"/>
          <w:highlight w:val="none"/>
          <w:lang w:val="en-US" w:eastAsia="zh-CN"/>
        </w:rPr>
      </w:pPr>
    </w:p>
    <w:p>
      <w:pPr>
        <w:rPr>
          <w:rFonts w:hint="eastAsia" w:ascii="宋体" w:hAnsi="宋体" w:eastAsia="宋体" w:cs="宋体"/>
          <w:b/>
          <w:bCs/>
          <w:color w:val="auto"/>
          <w:sz w:val="21"/>
          <w:szCs w:val="21"/>
          <w:highlight w:val="none"/>
          <w:lang w:val="en-US" w:eastAsia="zh-CN"/>
        </w:rPr>
      </w:pPr>
    </w:p>
    <w:p>
      <w:pPr>
        <w:rPr>
          <w:rFonts w:hint="eastAsia" w:ascii="宋体" w:hAnsi="宋体" w:eastAsia="宋体" w:cs="宋体"/>
          <w:b/>
          <w:bCs/>
          <w:color w:val="auto"/>
          <w:sz w:val="21"/>
          <w:szCs w:val="21"/>
          <w:highlight w:val="none"/>
          <w:lang w:val="en-US" w:eastAsia="zh-CN"/>
        </w:rPr>
      </w:pPr>
    </w:p>
    <w:p>
      <w:pPr>
        <w:rPr>
          <w:rFonts w:hint="eastAsia" w:ascii="宋体" w:hAnsi="宋体" w:eastAsia="宋体" w:cs="宋体"/>
          <w:b/>
          <w:bCs/>
          <w:color w:val="auto"/>
          <w:sz w:val="21"/>
          <w:szCs w:val="21"/>
          <w:highlight w:val="none"/>
          <w:lang w:val="en-US" w:eastAsia="zh-CN"/>
        </w:rPr>
      </w:pPr>
    </w:p>
    <w:p>
      <w:pPr>
        <w:rPr>
          <w:color w:val="auto"/>
          <w:sz w:val="21"/>
          <w:szCs w:val="21"/>
          <w:highlight w:val="none"/>
        </w:rPr>
      </w:pPr>
      <w:r>
        <w:rPr>
          <w:rFonts w:hint="eastAsia" w:ascii="宋体" w:hAnsi="宋体" w:eastAsia="宋体" w:cs="宋体"/>
          <w:b/>
          <w:bCs/>
          <w:color w:val="auto"/>
          <w:sz w:val="21"/>
          <w:szCs w:val="21"/>
          <w:highlight w:val="none"/>
          <w:lang w:val="en-US" w:eastAsia="zh-CN"/>
        </w:rPr>
        <w:t xml:space="preserve">6.4.2  </w:t>
      </w:r>
      <w:r>
        <w:rPr>
          <w:rFonts w:hint="eastAsia" w:ascii="宋体" w:hAnsi="宋体" w:eastAsia="宋体" w:cs="宋体"/>
          <w:color w:val="auto"/>
          <w:sz w:val="21"/>
          <w:szCs w:val="21"/>
          <w:highlight w:val="none"/>
        </w:rPr>
        <w:t>当绝缘电阻不合格时，应查找原因，进行整改。</w:t>
      </w:r>
      <w:r>
        <w:rPr>
          <w:rFonts w:hint="eastAsia" w:ascii="宋体" w:hAnsi="宋体" w:eastAsia="宋体" w:cs="宋体"/>
          <w:color w:val="auto"/>
          <w:sz w:val="21"/>
          <w:szCs w:val="21"/>
          <w:highlight w:val="none"/>
          <w:lang w:val="en-US" w:eastAsia="zh-CN"/>
        </w:rPr>
        <w:t>若</w:t>
      </w:r>
      <w:r>
        <w:rPr>
          <w:rFonts w:hint="eastAsia" w:ascii="宋体" w:hAnsi="宋体" w:eastAsia="宋体" w:cs="宋体"/>
          <w:color w:val="auto"/>
          <w:sz w:val="21"/>
          <w:szCs w:val="21"/>
          <w:highlight w:val="none"/>
        </w:rPr>
        <w:t>首次检测为抽检且</w:t>
      </w:r>
      <w:r>
        <w:rPr>
          <w:rFonts w:hint="eastAsia" w:ascii="宋体" w:hAnsi="宋体" w:eastAsia="宋体" w:cs="宋体"/>
          <w:color w:val="auto"/>
          <w:sz w:val="21"/>
          <w:szCs w:val="21"/>
          <w:highlight w:val="none"/>
          <w:lang w:val="en-US" w:eastAsia="zh-CN"/>
        </w:rPr>
        <w:t>存在</w:t>
      </w:r>
      <w:r>
        <w:rPr>
          <w:rFonts w:hint="eastAsia" w:ascii="宋体" w:hAnsi="宋体" w:eastAsia="宋体" w:cs="宋体"/>
          <w:color w:val="auto"/>
          <w:sz w:val="21"/>
          <w:szCs w:val="21"/>
          <w:highlight w:val="none"/>
        </w:rPr>
        <w:t>绝缘电阻不合格</w:t>
      </w:r>
      <w:r>
        <w:rPr>
          <w:rFonts w:hint="eastAsia" w:ascii="宋体" w:hAnsi="宋体" w:eastAsia="宋体" w:cs="宋体"/>
          <w:color w:val="auto"/>
          <w:sz w:val="21"/>
          <w:szCs w:val="21"/>
          <w:highlight w:val="none"/>
          <w:lang w:val="en-US" w:eastAsia="zh-CN"/>
        </w:rPr>
        <w:t>的情况</w:t>
      </w:r>
      <w:r>
        <w:rPr>
          <w:rFonts w:hint="eastAsia" w:ascii="宋体" w:hAnsi="宋体" w:eastAsia="宋体" w:cs="宋体"/>
          <w:color w:val="auto"/>
          <w:sz w:val="21"/>
          <w:szCs w:val="21"/>
          <w:highlight w:val="none"/>
        </w:rPr>
        <w:t>时，应加倍复</w:t>
      </w:r>
      <w:r>
        <w:rPr>
          <w:rFonts w:hint="eastAsia" w:ascii="宋体" w:hAnsi="宋体" w:eastAsia="宋体" w:cs="宋体"/>
          <w:color w:val="auto"/>
          <w:sz w:val="21"/>
          <w:szCs w:val="21"/>
          <w:highlight w:val="none"/>
          <w:lang w:val="en-US" w:eastAsia="zh-CN"/>
        </w:rPr>
        <w:t>检</w:t>
      </w:r>
      <w:r>
        <w:rPr>
          <w:rFonts w:hint="eastAsia" w:ascii="宋体" w:hAnsi="宋体" w:eastAsia="宋体" w:cs="宋体"/>
          <w:color w:val="auto"/>
          <w:sz w:val="21"/>
          <w:szCs w:val="21"/>
          <w:highlight w:val="none"/>
        </w:rPr>
        <w:t>，复</w:t>
      </w:r>
      <w:r>
        <w:rPr>
          <w:rFonts w:hint="eastAsia" w:ascii="宋体" w:hAnsi="宋体" w:eastAsia="宋体" w:cs="宋体"/>
          <w:color w:val="auto"/>
          <w:sz w:val="21"/>
          <w:szCs w:val="21"/>
          <w:highlight w:val="none"/>
          <w:lang w:val="en-US" w:eastAsia="zh-CN"/>
        </w:rPr>
        <w:t>检</w:t>
      </w:r>
      <w:r>
        <w:rPr>
          <w:rFonts w:hint="eastAsia" w:ascii="宋体" w:hAnsi="宋体" w:eastAsia="宋体" w:cs="宋体"/>
          <w:color w:val="auto"/>
          <w:sz w:val="21"/>
          <w:szCs w:val="21"/>
          <w:highlight w:val="none"/>
        </w:rPr>
        <w:t>应包含原不合格部位及同类部位；</w:t>
      </w:r>
      <w:r>
        <w:rPr>
          <w:rFonts w:hint="eastAsia" w:ascii="宋体" w:hAnsi="宋体" w:eastAsia="宋体" w:cs="宋体"/>
          <w:color w:val="auto"/>
          <w:sz w:val="21"/>
          <w:szCs w:val="21"/>
          <w:highlight w:val="none"/>
          <w:lang w:val="en-US" w:eastAsia="zh-CN"/>
        </w:rPr>
        <w:t>若</w:t>
      </w:r>
      <w:r>
        <w:rPr>
          <w:rFonts w:hint="eastAsia" w:ascii="宋体" w:hAnsi="宋体" w:eastAsia="宋体" w:cs="宋体"/>
          <w:color w:val="auto"/>
          <w:sz w:val="21"/>
          <w:szCs w:val="21"/>
          <w:highlight w:val="none"/>
        </w:rPr>
        <w:t>首次检测为全</w:t>
      </w:r>
      <w:r>
        <w:rPr>
          <w:rFonts w:hint="eastAsia" w:ascii="宋体" w:hAnsi="宋体" w:eastAsia="宋体" w:cs="宋体"/>
          <w:color w:val="auto"/>
          <w:sz w:val="21"/>
          <w:szCs w:val="21"/>
          <w:highlight w:val="none"/>
          <w:lang w:val="en-US" w:eastAsia="zh-CN"/>
        </w:rPr>
        <w:t>数</w:t>
      </w:r>
      <w:r>
        <w:rPr>
          <w:rFonts w:hint="eastAsia" w:ascii="宋体" w:hAnsi="宋体" w:eastAsia="宋体" w:cs="宋体"/>
          <w:color w:val="auto"/>
          <w:sz w:val="21"/>
          <w:szCs w:val="21"/>
          <w:highlight w:val="none"/>
        </w:rPr>
        <w:t>检</w:t>
      </w:r>
      <w:r>
        <w:rPr>
          <w:rFonts w:hint="eastAsia" w:ascii="宋体" w:hAnsi="宋体" w:eastAsia="宋体" w:cs="宋体"/>
          <w:color w:val="auto"/>
          <w:sz w:val="21"/>
          <w:szCs w:val="21"/>
          <w:highlight w:val="none"/>
          <w:lang w:val="en-US" w:eastAsia="zh-CN"/>
        </w:rPr>
        <w:t>测</w:t>
      </w:r>
      <w:r>
        <w:rPr>
          <w:rFonts w:hint="eastAsia" w:ascii="宋体" w:hAnsi="宋体" w:eastAsia="宋体" w:cs="宋体"/>
          <w:color w:val="auto"/>
          <w:sz w:val="21"/>
          <w:szCs w:val="21"/>
          <w:highlight w:val="none"/>
        </w:rPr>
        <w:t>且绝缘电阻</w:t>
      </w:r>
      <w:r>
        <w:rPr>
          <w:rFonts w:hint="eastAsia" w:ascii="宋体" w:hAnsi="宋体" w:eastAsia="宋体" w:cs="宋体"/>
          <w:color w:val="auto"/>
          <w:sz w:val="21"/>
          <w:szCs w:val="21"/>
          <w:highlight w:val="none"/>
          <w:lang w:val="en-US" w:eastAsia="zh-CN"/>
        </w:rPr>
        <w:t>存在</w:t>
      </w:r>
      <w:r>
        <w:rPr>
          <w:rFonts w:hint="eastAsia" w:ascii="宋体" w:hAnsi="宋体" w:eastAsia="宋体" w:cs="宋体"/>
          <w:color w:val="auto"/>
          <w:sz w:val="21"/>
          <w:szCs w:val="21"/>
          <w:highlight w:val="none"/>
        </w:rPr>
        <w:t>不合格</w:t>
      </w:r>
      <w:r>
        <w:rPr>
          <w:rFonts w:hint="eastAsia" w:ascii="宋体" w:hAnsi="宋体" w:eastAsia="宋体" w:cs="宋体"/>
          <w:color w:val="auto"/>
          <w:sz w:val="21"/>
          <w:szCs w:val="21"/>
          <w:highlight w:val="none"/>
          <w:lang w:val="en-US" w:eastAsia="zh-CN"/>
        </w:rPr>
        <w:t>情况</w:t>
      </w:r>
      <w:r>
        <w:rPr>
          <w:rFonts w:hint="eastAsia" w:ascii="宋体" w:hAnsi="宋体" w:eastAsia="宋体" w:cs="宋体"/>
          <w:color w:val="auto"/>
          <w:sz w:val="21"/>
          <w:szCs w:val="21"/>
          <w:highlight w:val="none"/>
        </w:rPr>
        <w:t>时，复检时仅检测原不合格部位。</w:t>
      </w:r>
    </w:p>
    <w:p>
      <w:pPr>
        <w:widowControl/>
        <w:jc w:val="left"/>
        <w:rPr>
          <w:rFonts w:ascii="宋体" w:hAnsi="宋体" w:eastAsia="宋体" w:cs="宋体"/>
          <w:i/>
          <w:iCs/>
          <w:color w:val="auto"/>
          <w:sz w:val="21"/>
          <w:szCs w:val="21"/>
          <w:highlight w:val="none"/>
        </w:rPr>
      </w:pPr>
    </w:p>
    <w:p>
      <w:pPr>
        <w:widowControl/>
        <w:jc w:val="left"/>
        <w:rPr>
          <w:rFonts w:ascii="宋体" w:hAnsi="宋体" w:eastAsia="宋体" w:cs="宋体"/>
          <w:i/>
          <w:iCs/>
          <w:color w:val="auto"/>
          <w:sz w:val="21"/>
          <w:szCs w:val="21"/>
          <w:highlight w:val="none"/>
        </w:rPr>
      </w:pPr>
      <w:r>
        <w:rPr>
          <w:rFonts w:ascii="宋体" w:hAnsi="宋体" w:eastAsia="宋体" w:cs="宋体"/>
          <w:i/>
          <w:iCs/>
          <w:color w:val="auto"/>
          <w:sz w:val="21"/>
          <w:szCs w:val="21"/>
          <w:highlight w:val="none"/>
        </w:rPr>
        <w:br w:type="page"/>
      </w:r>
    </w:p>
    <w:p>
      <w:pPr>
        <w:pStyle w:val="37"/>
        <w:spacing w:line="276" w:lineRule="auto"/>
        <w:rPr>
          <w:rFonts w:eastAsia="宋体" w:cs="Times New Roman"/>
          <w:bCs/>
          <w:color w:val="auto"/>
          <w:szCs w:val="44"/>
          <w:highlight w:val="none"/>
        </w:rPr>
      </w:pPr>
      <w:bookmarkStart w:id="127" w:name="_Toc11388"/>
      <w:bookmarkStart w:id="128" w:name="_Toc27212"/>
      <w:bookmarkStart w:id="129" w:name="_Toc1606"/>
      <w:bookmarkStart w:id="130" w:name="_Toc8542"/>
      <w:bookmarkStart w:id="131" w:name="_Toc16301"/>
      <w:r>
        <w:rPr>
          <w:rFonts w:hint="eastAsia" w:eastAsia="宋体" w:cs="Times New Roman"/>
          <w:bCs/>
          <w:color w:val="auto"/>
          <w:szCs w:val="44"/>
          <w:highlight w:val="none"/>
        </w:rPr>
        <w:t xml:space="preserve">7 </w:t>
      </w:r>
      <w:r>
        <w:rPr>
          <w:rFonts w:hint="eastAsia" w:eastAsia="宋体" w:cs="Times New Roman"/>
          <w:bCs/>
          <w:color w:val="auto"/>
          <w:szCs w:val="44"/>
          <w:highlight w:val="none"/>
          <w:lang w:val="en-US" w:eastAsia="zh-CN"/>
        </w:rPr>
        <w:t xml:space="preserve">  </w:t>
      </w:r>
      <w:r>
        <w:rPr>
          <w:rFonts w:hint="eastAsia" w:eastAsia="宋体" w:cs="Times New Roman"/>
          <w:bCs/>
          <w:color w:val="auto"/>
          <w:szCs w:val="44"/>
          <w:highlight w:val="none"/>
        </w:rPr>
        <w:t>交流工频耐压试验</w:t>
      </w:r>
      <w:bookmarkEnd w:id="127"/>
      <w:bookmarkEnd w:id="128"/>
      <w:bookmarkEnd w:id="129"/>
      <w:bookmarkEnd w:id="130"/>
      <w:bookmarkEnd w:id="131"/>
    </w:p>
    <w:p>
      <w:pPr>
        <w:pStyle w:val="3"/>
        <w:jc w:val="center"/>
        <w:rPr>
          <w:rFonts w:hint="eastAsia" w:ascii="宋体" w:hAnsi="宋体" w:eastAsia="宋体" w:cs="宋体"/>
          <w:color w:val="auto"/>
          <w:sz w:val="21"/>
          <w:szCs w:val="21"/>
          <w:highlight w:val="none"/>
          <w:lang w:val="en-US" w:eastAsia="zh-CN"/>
        </w:rPr>
      </w:pPr>
      <w:bookmarkStart w:id="132" w:name="_Toc27782"/>
      <w:bookmarkStart w:id="133" w:name="_Toc32086"/>
      <w:bookmarkStart w:id="134" w:name="_Toc27775"/>
      <w:bookmarkStart w:id="135" w:name="_Toc19665"/>
      <w:bookmarkStart w:id="136" w:name="_Toc4861"/>
      <w:bookmarkStart w:id="137" w:name="_Toc13604"/>
      <w:r>
        <w:rPr>
          <w:rFonts w:hint="eastAsia" w:ascii="宋体" w:hAnsi="宋体" w:eastAsia="宋体" w:cs="宋体"/>
          <w:color w:val="auto"/>
          <w:sz w:val="21"/>
          <w:szCs w:val="21"/>
          <w:highlight w:val="none"/>
          <w:lang w:val="en-US" w:eastAsia="zh-CN"/>
        </w:rPr>
        <w:t>7.1  一般规定</w:t>
      </w:r>
      <w:bookmarkEnd w:id="132"/>
      <w:bookmarkEnd w:id="133"/>
      <w:bookmarkEnd w:id="134"/>
      <w:bookmarkEnd w:id="135"/>
      <w:bookmarkEnd w:id="136"/>
    </w:p>
    <w:p>
      <w:pP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7.1.1</w:t>
      </w:r>
      <w:r>
        <w:rPr>
          <w:rFonts w:hint="eastAsia" w:ascii="宋体" w:hAnsi="宋体" w:eastAsia="宋体" w:cs="宋体"/>
          <w:color w:val="auto"/>
          <w:sz w:val="21"/>
          <w:szCs w:val="21"/>
          <w:highlight w:val="none"/>
          <w:lang w:val="en-US" w:eastAsia="zh-CN"/>
        </w:rPr>
        <w:t xml:space="preserve">  交流工频耐压试验加压至试验电压的持续时间，一般应按相关技术文件的规定；若无规定，均取</w:t>
      </w:r>
      <w:r>
        <w:rPr>
          <w:rFonts w:hint="default" w:ascii="宋体" w:hAnsi="宋体" w:eastAsia="宋体" w:cs="宋体"/>
          <w:color w:val="auto"/>
          <w:sz w:val="21"/>
          <w:szCs w:val="21"/>
          <w:highlight w:val="none"/>
          <w:lang w:val="en-US" w:eastAsia="zh-CN"/>
        </w:rPr>
        <w:t>1min</w:t>
      </w:r>
      <w:r>
        <w:rPr>
          <w:rFonts w:hint="eastAsia" w:ascii="宋体" w:hAnsi="宋体" w:eastAsia="宋体" w:cs="宋体"/>
          <w:color w:val="auto"/>
          <w:sz w:val="21"/>
          <w:szCs w:val="21"/>
          <w:highlight w:val="none"/>
          <w:lang w:val="en-US" w:eastAsia="zh-CN"/>
        </w:rPr>
        <w:t>。</w:t>
      </w:r>
    </w:p>
    <w:p>
      <w:pPr>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7.1.2</w:t>
      </w:r>
      <w:r>
        <w:rPr>
          <w:rFonts w:hint="eastAsia" w:ascii="宋体" w:hAnsi="宋体" w:eastAsia="宋体" w:cs="宋体"/>
          <w:color w:val="auto"/>
          <w:sz w:val="21"/>
          <w:szCs w:val="21"/>
          <w:highlight w:val="none"/>
          <w:lang w:val="en-US" w:eastAsia="zh-CN"/>
        </w:rPr>
        <w:t xml:space="preserve"> 交流耐压试验前，应先断开被测部位电源，断开与被测部位相连的所有二次回路和负载，然后将设备进行放电。</w:t>
      </w:r>
    </w:p>
    <w:p>
      <w:pP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7.1.3  </w:t>
      </w:r>
      <w:r>
        <w:rPr>
          <w:rFonts w:hint="eastAsia" w:ascii="宋体" w:hAnsi="宋体" w:eastAsia="宋体" w:cs="宋体"/>
          <w:color w:val="auto"/>
          <w:sz w:val="21"/>
          <w:szCs w:val="21"/>
          <w:highlight w:val="none"/>
          <w:lang w:val="en-US" w:eastAsia="zh-CN"/>
        </w:rPr>
        <w:t>对已投入使用的电气线路、装置或设备，应根据现场情况制定相应的交流工频耐压试验方案。</w:t>
      </w:r>
    </w:p>
    <w:p>
      <w:pPr>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7.1.4</w:t>
      </w:r>
      <w:r>
        <w:rPr>
          <w:rFonts w:hint="eastAsia" w:ascii="宋体" w:hAnsi="宋体" w:eastAsia="宋体" w:cs="宋体"/>
          <w:color w:val="auto"/>
          <w:sz w:val="21"/>
          <w:szCs w:val="21"/>
          <w:highlight w:val="none"/>
          <w:lang w:val="en-US" w:eastAsia="zh-CN"/>
        </w:rPr>
        <w:t xml:space="preserve">  测试前，应将被测物清扫擦拭干净，尤其是被测物的测量连接处。被测物表面保持干燥。</w:t>
      </w:r>
    </w:p>
    <w:p>
      <w:pP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7.1.5  </w:t>
      </w:r>
      <w:r>
        <w:rPr>
          <w:rFonts w:hint="eastAsia" w:ascii="宋体" w:hAnsi="宋体" w:eastAsia="宋体" w:cs="宋体"/>
          <w:color w:val="auto"/>
          <w:sz w:val="21"/>
          <w:szCs w:val="21"/>
          <w:highlight w:val="none"/>
          <w:lang w:val="en-US" w:eastAsia="zh-CN"/>
        </w:rPr>
        <w:t>不宜在雷雨及潮湿天气进行测试。测试前，应了解并记录周围环境温度和湿度。</w:t>
      </w:r>
    </w:p>
    <w:p>
      <w:pP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7.1.6  </w:t>
      </w:r>
      <w:r>
        <w:rPr>
          <w:rFonts w:hint="eastAsia" w:ascii="宋体" w:hAnsi="宋体" w:eastAsia="宋体" w:cs="宋体"/>
          <w:color w:val="auto"/>
          <w:sz w:val="21"/>
          <w:szCs w:val="21"/>
          <w:highlight w:val="none"/>
          <w:lang w:val="en-US" w:eastAsia="zh-CN"/>
        </w:rPr>
        <w:t>在测试过程中，应禁止无关人员接近被测物，检测人员操作时应佩戴绝缘手套，穿绝缘鞋，不得触及被测部位、接线端、测试线，以防电击。</w:t>
      </w:r>
    </w:p>
    <w:p>
      <w:pPr>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7.1.7  </w:t>
      </w:r>
      <w:r>
        <w:rPr>
          <w:rFonts w:hint="eastAsia" w:ascii="宋体" w:hAnsi="宋体" w:eastAsia="宋体" w:cs="宋体"/>
          <w:color w:val="auto"/>
          <w:sz w:val="21"/>
          <w:szCs w:val="21"/>
          <w:highlight w:val="none"/>
          <w:lang w:val="en-US" w:eastAsia="zh-CN"/>
        </w:rPr>
        <w:t>48V及以下电压等级的配电装置可不做交流工频耐压试验。</w:t>
      </w:r>
    </w:p>
    <w:p>
      <w:pPr>
        <w:pStyle w:val="3"/>
        <w:jc w:val="center"/>
        <w:rPr>
          <w:rFonts w:hint="eastAsia" w:ascii="宋体" w:hAnsi="宋体" w:eastAsia="宋体" w:cs="宋体"/>
          <w:color w:val="auto"/>
          <w:sz w:val="21"/>
          <w:szCs w:val="21"/>
          <w:highlight w:val="none"/>
          <w:lang w:val="en-US" w:eastAsia="zh-CN"/>
        </w:rPr>
      </w:pPr>
      <w:bookmarkStart w:id="138" w:name="_Toc18501"/>
      <w:bookmarkStart w:id="139" w:name="_Toc27717"/>
      <w:bookmarkStart w:id="140" w:name="_Toc11375"/>
      <w:r>
        <w:rPr>
          <w:rFonts w:hint="eastAsia" w:ascii="宋体" w:hAnsi="宋体" w:eastAsia="宋体" w:cs="宋体"/>
          <w:color w:val="auto"/>
          <w:sz w:val="21"/>
          <w:szCs w:val="21"/>
          <w:highlight w:val="none"/>
          <w:lang w:val="en-US" w:eastAsia="zh-CN"/>
        </w:rPr>
        <w:t>7.2  检测部位和检测数量</w:t>
      </w:r>
      <w:bookmarkEnd w:id="138"/>
      <w:bookmarkEnd w:id="139"/>
      <w:bookmarkEnd w:id="140"/>
    </w:p>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7.2.1 </w:t>
      </w:r>
      <w:r>
        <w:rPr>
          <w:rFonts w:hint="eastAsia" w:ascii="宋体" w:hAnsi="宋体" w:eastAsia="宋体" w:cs="宋体"/>
          <w:b w:val="0"/>
          <w:bCs w:val="0"/>
          <w:color w:val="auto"/>
          <w:sz w:val="21"/>
          <w:szCs w:val="21"/>
          <w:highlight w:val="none"/>
          <w:lang w:val="en-US" w:eastAsia="zh-CN"/>
        </w:rPr>
        <w:t>交流工频耐压试验检测包括但不限于下列部位：</w:t>
      </w:r>
    </w:p>
    <w:p>
      <w:pPr>
        <w:ind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1 </w:t>
      </w:r>
      <w:r>
        <w:rPr>
          <w:rFonts w:hint="eastAsia" w:ascii="宋体" w:hAnsi="宋体" w:eastAsia="宋体" w:cs="宋体"/>
          <w:color w:val="auto"/>
          <w:sz w:val="21"/>
          <w:szCs w:val="21"/>
          <w:highlight w:val="none"/>
        </w:rPr>
        <w:t>低压成套配电柜</w:t>
      </w:r>
      <w:r>
        <w:rPr>
          <w:rFonts w:hint="eastAsia" w:ascii="宋体" w:hAnsi="宋体" w:eastAsia="宋体" w:cs="宋体"/>
          <w:color w:val="auto"/>
          <w:sz w:val="21"/>
          <w:szCs w:val="21"/>
          <w:highlight w:val="none"/>
          <w:lang w:val="en-US" w:eastAsia="zh-CN"/>
        </w:rPr>
        <w:t>和馈电线路的配电开关及保护装置；</w:t>
      </w:r>
    </w:p>
    <w:p>
      <w:pPr>
        <w:ind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2 </w:t>
      </w:r>
      <w:r>
        <w:rPr>
          <w:rFonts w:hint="eastAsia" w:ascii="宋体" w:hAnsi="宋体" w:eastAsia="宋体" w:cs="宋体"/>
          <w:color w:val="auto"/>
          <w:sz w:val="21"/>
          <w:szCs w:val="21"/>
          <w:highlight w:val="none"/>
          <w:lang w:val="en-US" w:eastAsia="zh-CN"/>
        </w:rPr>
        <w:t>低压成套配电柜、箱及控制柜（台、箱）二次回路的相间及相对地间；</w:t>
      </w:r>
    </w:p>
    <w:p>
      <w:pPr>
        <w:ind w:firstLine="422"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3 </w:t>
      </w:r>
      <w:r>
        <w:rPr>
          <w:rFonts w:hint="eastAsia" w:ascii="宋体" w:hAnsi="宋体" w:eastAsia="宋体" w:cs="宋体"/>
          <w:color w:val="auto"/>
          <w:sz w:val="21"/>
          <w:szCs w:val="21"/>
          <w:highlight w:val="none"/>
          <w:lang w:val="en-US" w:eastAsia="zh-CN"/>
        </w:rPr>
        <w:t>母线槽通电运行前的母线各相间及相对地间。</w:t>
      </w:r>
    </w:p>
    <w:p>
      <w:pPr>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7.2.2</w:t>
      </w:r>
      <w:r>
        <w:rPr>
          <w:rFonts w:hint="eastAsia" w:ascii="宋体" w:hAnsi="宋体" w:eastAsia="宋体" w:cs="宋体"/>
          <w:color w:val="auto"/>
          <w:sz w:val="21"/>
          <w:szCs w:val="21"/>
          <w:highlight w:val="none"/>
        </w:rPr>
        <w:t xml:space="preserve"> 低压成套配电柜</w:t>
      </w:r>
      <w:r>
        <w:rPr>
          <w:rFonts w:hint="eastAsia" w:ascii="宋体" w:hAnsi="宋体" w:eastAsia="宋体" w:cs="宋体"/>
          <w:color w:val="auto"/>
          <w:sz w:val="21"/>
          <w:szCs w:val="21"/>
          <w:highlight w:val="none"/>
          <w:lang w:val="en-US" w:eastAsia="zh-CN"/>
        </w:rPr>
        <w:t>和馈电线路的配电开关及保护装置交流工频耐压试验应全数检测。</w:t>
      </w:r>
    </w:p>
    <w:p>
      <w:pPr>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7.2.3 </w:t>
      </w:r>
      <w:r>
        <w:rPr>
          <w:rFonts w:hint="eastAsia" w:ascii="宋体" w:hAnsi="宋体" w:eastAsia="宋体" w:cs="宋体"/>
          <w:color w:val="auto"/>
          <w:sz w:val="21"/>
          <w:szCs w:val="21"/>
          <w:highlight w:val="none"/>
          <w:lang w:val="en-US" w:eastAsia="zh-CN"/>
        </w:rPr>
        <w:t>低压成套配电柜、箱及控制柜（台、箱）二次回路的相间及相对地间交流工频耐压试验应按每个检验批的配线回路数量抽查20%且不得少于1个回路。</w:t>
      </w:r>
    </w:p>
    <w:p>
      <w:pPr>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7.2.4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母线槽通电运行前的母线各相间及相对地间交流工频耐压试验应全数检测。</w:t>
      </w:r>
    </w:p>
    <w:p>
      <w:pPr>
        <w:pStyle w:val="3"/>
        <w:jc w:val="center"/>
        <w:rPr>
          <w:rFonts w:hint="eastAsia" w:ascii="宋体" w:hAnsi="宋体" w:eastAsia="宋体" w:cs="宋体"/>
          <w:color w:val="auto"/>
          <w:sz w:val="21"/>
          <w:szCs w:val="21"/>
          <w:highlight w:val="none"/>
          <w:lang w:val="en-US" w:eastAsia="zh-CN"/>
        </w:rPr>
      </w:pPr>
      <w:bookmarkStart w:id="141" w:name="_Toc11928"/>
      <w:bookmarkStart w:id="142" w:name="_Toc27719"/>
      <w:bookmarkStart w:id="143" w:name="_Toc31984"/>
      <w:r>
        <w:rPr>
          <w:rFonts w:hint="eastAsia" w:ascii="宋体" w:hAnsi="宋体" w:eastAsia="宋体" w:cs="宋体"/>
          <w:color w:val="auto"/>
          <w:sz w:val="21"/>
          <w:szCs w:val="21"/>
          <w:highlight w:val="none"/>
          <w:lang w:val="en-US" w:eastAsia="zh-CN"/>
        </w:rPr>
        <w:t>7</w:t>
      </w:r>
      <w:r>
        <w:rPr>
          <w:rFonts w:hint="default"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 xml:space="preserve">  检测方法</w:t>
      </w:r>
      <w:bookmarkEnd w:id="141"/>
      <w:bookmarkEnd w:id="142"/>
      <w:bookmarkEnd w:id="143"/>
    </w:p>
    <w:p>
      <w:pP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7.</w:t>
      </w:r>
      <w:r>
        <w:rPr>
          <w:rFonts w:hint="default"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 xml:space="preserve">1  </w:t>
      </w:r>
      <w:r>
        <w:rPr>
          <w:rFonts w:hint="eastAsia" w:ascii="宋体" w:hAnsi="宋体" w:eastAsia="宋体" w:cs="宋体"/>
          <w:color w:val="auto"/>
          <w:sz w:val="21"/>
          <w:szCs w:val="21"/>
          <w:highlight w:val="none"/>
        </w:rPr>
        <w:t>交流</w:t>
      </w:r>
      <w:r>
        <w:rPr>
          <w:rFonts w:hint="eastAsia" w:ascii="宋体" w:hAnsi="宋体" w:eastAsia="宋体" w:cs="宋体"/>
          <w:color w:val="auto"/>
          <w:sz w:val="21"/>
          <w:szCs w:val="21"/>
          <w:highlight w:val="none"/>
          <w:lang w:val="en-US" w:eastAsia="zh-CN"/>
        </w:rPr>
        <w:t>工频</w:t>
      </w:r>
      <w:r>
        <w:rPr>
          <w:rFonts w:hint="eastAsia" w:ascii="宋体" w:hAnsi="宋体" w:eastAsia="宋体" w:cs="宋体"/>
          <w:color w:val="auto"/>
          <w:sz w:val="21"/>
          <w:szCs w:val="21"/>
          <w:highlight w:val="none"/>
        </w:rPr>
        <w:t>耐压测试</w:t>
      </w:r>
      <w:r>
        <w:rPr>
          <w:rFonts w:hint="eastAsia" w:ascii="宋体" w:hAnsi="宋体" w:eastAsia="宋体" w:cs="宋体"/>
          <w:color w:val="auto"/>
          <w:sz w:val="21"/>
          <w:szCs w:val="21"/>
          <w:highlight w:val="none"/>
          <w:lang w:val="en-US" w:eastAsia="zh-CN"/>
        </w:rPr>
        <w:t>所用仪器的最大输出电压应根据实际被测对象进行选取。</w:t>
      </w:r>
    </w:p>
    <w:p>
      <w:pPr>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若有关设备标准无规定，在整个试验过程中试验电压的测量值应保持在规定电压值的±1%以内；当试验持续时间超过60s时，在整个试验过程中试验电压的测量值应保持在规定电压值的±3%以内。</w:t>
      </w:r>
    </w:p>
    <w:p>
      <w:pPr>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7.</w:t>
      </w:r>
      <w:r>
        <w:rPr>
          <w:rFonts w:hint="default"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 xml:space="preserve">.2  </w:t>
      </w:r>
      <w:r>
        <w:rPr>
          <w:rFonts w:hint="eastAsia" w:ascii="宋体" w:hAnsi="宋体" w:eastAsia="宋体" w:cs="宋体"/>
          <w:color w:val="auto"/>
          <w:sz w:val="21"/>
          <w:szCs w:val="21"/>
          <w:highlight w:val="none"/>
          <w:lang w:val="en-US" w:eastAsia="zh-CN"/>
        </w:rPr>
        <w:t>交流工频耐压试验应按下列步骤进行：</w:t>
      </w:r>
    </w:p>
    <w:p>
      <w:pPr>
        <w:numPr>
          <w:ilvl w:val="0"/>
          <w:numId w:val="0"/>
        </w:numPr>
        <w:ind w:firstLine="422"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任何被测对象在交流耐压试验前，应先进行其他绝缘试验，合格后再进行耐压试验。充油设备若经滤油或运输，耐压试验前还应将被试品按规定的时间静置，以排除内部可能残存的空气。</w:t>
      </w:r>
    </w:p>
    <w:p>
      <w:pPr>
        <w:numPr>
          <w:ilvl w:val="0"/>
          <w:numId w:val="0"/>
        </w:numPr>
        <w:ind w:firstLine="422" w:firstLineChars="200"/>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rPr>
        <w:t>2</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选择试验电压，设置升压程序和持续时间。</w:t>
      </w:r>
      <w:r>
        <w:rPr>
          <w:rFonts w:hint="eastAsia" w:ascii="宋体" w:hAnsi="宋体" w:eastAsia="宋体" w:cs="宋体"/>
          <w:color w:val="auto"/>
          <w:sz w:val="21"/>
          <w:szCs w:val="21"/>
          <w:highlight w:val="none"/>
        </w:rPr>
        <w:t>交流工频耐压试验电压为1000V</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试验电压升压应从零（或接近于零）开始，</w:t>
      </w:r>
      <w:r>
        <w:rPr>
          <w:rFonts w:hint="eastAsia" w:ascii="宋体" w:hAnsi="宋体" w:eastAsia="宋体" w:cs="宋体"/>
          <w:color w:val="auto"/>
          <w:sz w:val="21"/>
          <w:szCs w:val="21"/>
          <w:highlight w:val="none"/>
          <w:lang w:val="en-US" w:eastAsia="zh-CN"/>
        </w:rPr>
        <w:t>严禁</w:t>
      </w:r>
      <w:r>
        <w:rPr>
          <w:rFonts w:hint="eastAsia" w:ascii="宋体" w:hAnsi="宋体" w:eastAsia="宋体" w:cs="宋体"/>
          <w:color w:val="auto"/>
          <w:sz w:val="21"/>
          <w:szCs w:val="21"/>
          <w:highlight w:val="none"/>
        </w:rPr>
        <w:t>冲击合闸。升压速度在75%试验电压以前，可以是任意的，自75%电压开始均匀升压，约为每秒2%试验电压的速度升压。</w:t>
      </w:r>
      <w:r>
        <w:rPr>
          <w:rFonts w:hint="eastAsia" w:ascii="宋体" w:hAnsi="宋体" w:eastAsia="宋体" w:cs="宋体"/>
          <w:color w:val="auto"/>
          <w:sz w:val="21"/>
          <w:szCs w:val="21"/>
          <w:highlight w:val="none"/>
          <w:lang w:val="en-US" w:eastAsia="zh-CN"/>
        </w:rPr>
        <w:t>施加</w:t>
      </w:r>
      <w:r>
        <w:rPr>
          <w:rFonts w:hint="eastAsia" w:ascii="宋体" w:hAnsi="宋体" w:eastAsia="宋体" w:cs="宋体"/>
          <w:color w:val="auto"/>
          <w:sz w:val="21"/>
          <w:szCs w:val="21"/>
          <w:highlight w:val="none"/>
        </w:rPr>
        <w:t>试验</w:t>
      </w:r>
      <w:r>
        <w:rPr>
          <w:rFonts w:hint="eastAsia" w:ascii="宋体" w:hAnsi="宋体" w:eastAsia="宋体" w:cs="宋体"/>
          <w:color w:val="auto"/>
          <w:sz w:val="21"/>
          <w:szCs w:val="21"/>
          <w:highlight w:val="none"/>
          <w:lang w:val="en-US" w:eastAsia="zh-CN"/>
        </w:rPr>
        <w:t>电压</w:t>
      </w:r>
      <w:r>
        <w:rPr>
          <w:rFonts w:hint="eastAsia" w:ascii="宋体" w:hAnsi="宋体" w:eastAsia="宋体" w:cs="宋体"/>
          <w:color w:val="auto"/>
          <w:sz w:val="21"/>
          <w:szCs w:val="21"/>
          <w:highlight w:val="none"/>
        </w:rPr>
        <w:t>持续时间为1min</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当绝缘电阻值大于10MΩ时，宜采用2500V兆欧表</w:t>
      </w:r>
      <w:r>
        <w:rPr>
          <w:rFonts w:hint="eastAsia" w:ascii="宋体" w:hAnsi="宋体" w:eastAsia="宋体" w:cs="宋体"/>
          <w:color w:val="auto"/>
          <w:sz w:val="21"/>
          <w:szCs w:val="21"/>
          <w:highlight w:val="none"/>
          <w:lang w:val="en-US" w:eastAsia="zh-CN"/>
        </w:rPr>
        <w:t>代替，施加</w:t>
      </w:r>
      <w:r>
        <w:rPr>
          <w:rFonts w:hint="eastAsia" w:ascii="宋体" w:hAnsi="宋体" w:eastAsia="宋体" w:cs="宋体"/>
          <w:color w:val="auto"/>
          <w:sz w:val="21"/>
          <w:szCs w:val="21"/>
          <w:highlight w:val="none"/>
        </w:rPr>
        <w:t>试验</w:t>
      </w:r>
      <w:r>
        <w:rPr>
          <w:rFonts w:hint="eastAsia" w:ascii="宋体" w:hAnsi="宋体" w:eastAsia="宋体" w:cs="宋体"/>
          <w:color w:val="auto"/>
          <w:sz w:val="21"/>
          <w:szCs w:val="21"/>
          <w:highlight w:val="none"/>
          <w:lang w:val="en-US" w:eastAsia="zh-CN"/>
        </w:rPr>
        <w:t>电压</w:t>
      </w:r>
      <w:r>
        <w:rPr>
          <w:rFonts w:hint="eastAsia" w:ascii="宋体" w:hAnsi="宋体" w:eastAsia="宋体" w:cs="宋体"/>
          <w:color w:val="auto"/>
          <w:sz w:val="21"/>
          <w:szCs w:val="21"/>
          <w:highlight w:val="none"/>
        </w:rPr>
        <w:t>持续时间应为1min或符合产品技术文件要求</w:t>
      </w:r>
      <w:r>
        <w:rPr>
          <w:rFonts w:hint="eastAsia" w:ascii="宋体" w:hAnsi="宋体" w:eastAsia="宋体" w:cs="宋体"/>
          <w:color w:val="auto"/>
          <w:sz w:val="21"/>
          <w:szCs w:val="21"/>
          <w:highlight w:val="none"/>
          <w:lang w:eastAsia="zh-CN"/>
        </w:rPr>
        <w:t>。</w:t>
      </w:r>
    </w:p>
    <w:p>
      <w:pPr>
        <w:numPr>
          <w:ilvl w:val="0"/>
          <w:numId w:val="0"/>
        </w:numPr>
        <w:ind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 xml:space="preserve"> 连接检测对象与测量仪器，接通电源，开始升压。升压过程中应密切监视高压回路，监听被试品有何异响。升至试验电压，开始计时并读取试验电压。达到规定耐压时间后，匀速降压到零（或接近于零），然后切断电源，对设备及被测对象进行放电。</w:t>
      </w:r>
    </w:p>
    <w:p>
      <w:pPr>
        <w:numPr>
          <w:ilvl w:val="0"/>
          <w:numId w:val="0"/>
        </w:numPr>
        <w:ind w:firstLine="422"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被试品为有机绝缘材料时，试验</w:t>
      </w:r>
      <w:r>
        <w:rPr>
          <w:rFonts w:hint="eastAsia" w:ascii="宋体" w:hAnsi="宋体" w:eastAsia="宋体" w:cs="宋体"/>
          <w:color w:val="auto"/>
          <w:sz w:val="21"/>
          <w:szCs w:val="21"/>
          <w:highlight w:val="none"/>
          <w:lang w:val="en-US" w:eastAsia="zh-CN"/>
        </w:rPr>
        <w:t>过程中应监测被试品表面温度。</w:t>
      </w:r>
    </w:p>
    <w:p>
      <w:pPr>
        <w:numPr>
          <w:ilvl w:val="0"/>
          <w:numId w:val="0"/>
        </w:numP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7.</w:t>
      </w:r>
      <w:r>
        <w:rPr>
          <w:rFonts w:hint="default"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 xml:space="preserve">.3  </w:t>
      </w:r>
      <w:r>
        <w:rPr>
          <w:rFonts w:hint="eastAsia" w:ascii="宋体" w:hAnsi="宋体" w:eastAsia="宋体" w:cs="宋体"/>
          <w:b w:val="0"/>
          <w:bCs w:val="0"/>
          <w:color w:val="auto"/>
          <w:sz w:val="21"/>
          <w:szCs w:val="21"/>
          <w:highlight w:val="none"/>
          <w:lang w:val="en-US" w:eastAsia="zh-CN"/>
        </w:rPr>
        <w:t>被测对象</w:t>
      </w:r>
      <w:r>
        <w:rPr>
          <w:rFonts w:hint="eastAsia" w:ascii="宋体" w:hAnsi="宋体" w:eastAsia="宋体" w:cs="宋体"/>
          <w:color w:val="auto"/>
          <w:sz w:val="21"/>
          <w:szCs w:val="21"/>
          <w:highlight w:val="none"/>
        </w:rPr>
        <w:t>在升压和耐压过程中，发现</w:t>
      </w:r>
      <w:r>
        <w:rPr>
          <w:rFonts w:hint="eastAsia" w:ascii="宋体" w:hAnsi="宋体" w:eastAsia="宋体" w:cs="宋体"/>
          <w:color w:val="auto"/>
          <w:sz w:val="21"/>
          <w:szCs w:val="21"/>
          <w:highlight w:val="none"/>
          <w:lang w:val="en-US" w:eastAsia="zh-CN"/>
        </w:rPr>
        <w:t>下列情况</w:t>
      </w:r>
      <w:r>
        <w:rPr>
          <w:rFonts w:hint="eastAsia" w:ascii="宋体" w:hAnsi="宋体" w:eastAsia="宋体" w:cs="宋体"/>
          <w:color w:val="auto"/>
          <w:sz w:val="21"/>
          <w:szCs w:val="21"/>
          <w:highlight w:val="none"/>
        </w:rPr>
        <w:t>应立即停止升压，降压</w:t>
      </w:r>
      <w:r>
        <w:rPr>
          <w:rFonts w:hint="eastAsia" w:ascii="宋体" w:hAnsi="宋体" w:eastAsia="宋体" w:cs="宋体"/>
          <w:color w:val="auto"/>
          <w:sz w:val="21"/>
          <w:szCs w:val="21"/>
          <w:highlight w:val="none"/>
          <w:lang w:val="en-US" w:eastAsia="zh-CN"/>
        </w:rPr>
        <w:t>后停止试验：</w:t>
      </w:r>
    </w:p>
    <w:p>
      <w:pPr>
        <w:numPr>
          <w:ilvl w:val="0"/>
          <w:numId w:val="0"/>
        </w:numPr>
        <w:ind w:firstLine="422" w:firstLineChars="200"/>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电压表指针摆动</w:t>
      </w:r>
      <w:r>
        <w:rPr>
          <w:rFonts w:hint="eastAsia" w:ascii="宋体" w:hAnsi="宋体" w:eastAsia="宋体" w:cs="宋体"/>
          <w:color w:val="auto"/>
          <w:sz w:val="21"/>
          <w:szCs w:val="21"/>
          <w:highlight w:val="none"/>
          <w:lang w:val="en-US" w:eastAsia="zh-CN"/>
        </w:rPr>
        <w:t>幅度</w:t>
      </w:r>
      <w:r>
        <w:rPr>
          <w:rFonts w:hint="eastAsia" w:ascii="宋体" w:hAnsi="宋体" w:eastAsia="宋体" w:cs="宋体"/>
          <w:color w:val="auto"/>
          <w:sz w:val="21"/>
          <w:szCs w:val="21"/>
          <w:highlight w:val="none"/>
        </w:rPr>
        <w:t>很大</w:t>
      </w:r>
      <w:r>
        <w:rPr>
          <w:rFonts w:hint="eastAsia" w:ascii="宋体" w:hAnsi="宋体" w:eastAsia="宋体" w:cs="宋体"/>
          <w:color w:val="auto"/>
          <w:sz w:val="21"/>
          <w:szCs w:val="21"/>
          <w:highlight w:val="none"/>
          <w:lang w:eastAsia="zh-CN"/>
        </w:rPr>
        <w:t>；</w:t>
      </w:r>
    </w:p>
    <w:p>
      <w:pPr>
        <w:numPr>
          <w:ilvl w:val="0"/>
          <w:numId w:val="0"/>
        </w:numPr>
        <w:ind w:firstLine="422" w:firstLineChars="200"/>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电流表指示急剧增加</w:t>
      </w:r>
      <w:r>
        <w:rPr>
          <w:rFonts w:hint="eastAsia" w:ascii="宋体" w:hAnsi="宋体" w:eastAsia="宋体" w:cs="宋体"/>
          <w:color w:val="auto"/>
          <w:sz w:val="21"/>
          <w:szCs w:val="21"/>
          <w:highlight w:val="none"/>
          <w:lang w:eastAsia="zh-CN"/>
        </w:rPr>
        <w:t>；</w:t>
      </w:r>
    </w:p>
    <w:p>
      <w:pPr>
        <w:numPr>
          <w:ilvl w:val="0"/>
          <w:numId w:val="0"/>
        </w:numPr>
        <w:ind w:firstLine="422" w:firstLineChars="200"/>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调压器往上升方向调节，电流上升、电压基本不变甚至有下降趋势</w:t>
      </w:r>
      <w:r>
        <w:rPr>
          <w:rFonts w:hint="eastAsia" w:ascii="宋体" w:hAnsi="宋体" w:eastAsia="宋体" w:cs="宋体"/>
          <w:color w:val="auto"/>
          <w:sz w:val="21"/>
          <w:szCs w:val="21"/>
          <w:highlight w:val="none"/>
          <w:lang w:eastAsia="zh-CN"/>
        </w:rPr>
        <w:t>；</w:t>
      </w:r>
    </w:p>
    <w:p>
      <w:pPr>
        <w:numPr>
          <w:ilvl w:val="0"/>
          <w:numId w:val="0"/>
        </w:numPr>
        <w:ind w:firstLine="422" w:firstLineChars="200"/>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 xml:space="preserve"> 检测对象</w:t>
      </w:r>
      <w:r>
        <w:rPr>
          <w:rFonts w:hint="eastAsia" w:ascii="宋体" w:hAnsi="宋体" w:eastAsia="宋体" w:cs="宋体"/>
          <w:color w:val="auto"/>
          <w:sz w:val="21"/>
          <w:szCs w:val="21"/>
          <w:highlight w:val="none"/>
        </w:rPr>
        <w:t>冒烟、出气、焦臭、闪络、燃烧或发出击穿响声（或断续放电声）</w:t>
      </w:r>
      <w:r>
        <w:rPr>
          <w:rFonts w:hint="eastAsia" w:ascii="宋体" w:hAnsi="宋体" w:eastAsia="宋体" w:cs="宋体"/>
          <w:color w:val="auto"/>
          <w:sz w:val="21"/>
          <w:szCs w:val="21"/>
          <w:highlight w:val="none"/>
          <w:lang w:eastAsia="zh-CN"/>
        </w:rPr>
        <w:t>。</w:t>
      </w:r>
    </w:p>
    <w:p>
      <w:pPr>
        <w:numPr>
          <w:ilvl w:val="0"/>
          <w:numId w:val="0"/>
        </w:numP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7.</w:t>
      </w:r>
      <w:r>
        <w:rPr>
          <w:rFonts w:hint="default"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 xml:space="preserve">.4  </w:t>
      </w:r>
      <w:r>
        <w:rPr>
          <w:rFonts w:hint="eastAsia" w:ascii="宋体" w:hAnsi="宋体" w:eastAsia="宋体" w:cs="宋体"/>
          <w:color w:val="auto"/>
          <w:sz w:val="21"/>
          <w:szCs w:val="21"/>
          <w:highlight w:val="none"/>
          <w:lang w:val="en-US" w:eastAsia="zh-CN"/>
        </w:rPr>
        <w:t>在耐压试验后宜测量绝缘电阻。</w:t>
      </w:r>
    </w:p>
    <w:p>
      <w:pPr>
        <w:pStyle w:val="3"/>
        <w:jc w:val="center"/>
        <w:rPr>
          <w:rFonts w:hint="default" w:ascii="宋体" w:hAnsi="宋体" w:eastAsia="宋体" w:cs="宋体"/>
          <w:color w:val="auto"/>
          <w:sz w:val="21"/>
          <w:szCs w:val="21"/>
          <w:highlight w:val="none"/>
          <w:lang w:val="en-US" w:eastAsia="zh-CN"/>
        </w:rPr>
      </w:pPr>
      <w:bookmarkStart w:id="144" w:name="_Toc26470"/>
      <w:bookmarkStart w:id="145" w:name="_Toc26013"/>
      <w:bookmarkStart w:id="146" w:name="_Toc18568"/>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 xml:space="preserve">4  </w:t>
      </w:r>
      <w:r>
        <w:rPr>
          <w:rFonts w:hint="eastAsia" w:ascii="宋体" w:hAnsi="宋体" w:eastAsia="宋体" w:cs="宋体"/>
          <w:color w:val="auto"/>
          <w:sz w:val="21"/>
          <w:szCs w:val="21"/>
          <w:highlight w:val="none"/>
        </w:rPr>
        <w:t>检测结果</w:t>
      </w:r>
      <w:r>
        <w:rPr>
          <w:rFonts w:hint="eastAsia" w:ascii="宋体" w:hAnsi="宋体" w:eastAsia="宋体" w:cs="宋体"/>
          <w:color w:val="auto"/>
          <w:sz w:val="21"/>
          <w:szCs w:val="21"/>
          <w:highlight w:val="none"/>
          <w:lang w:val="en-US" w:eastAsia="zh-CN"/>
        </w:rPr>
        <w:t>的评价</w:t>
      </w:r>
      <w:bookmarkEnd w:id="144"/>
      <w:bookmarkEnd w:id="145"/>
      <w:bookmarkEnd w:id="146"/>
    </w:p>
    <w:p>
      <w:pPr>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7.4.1  </w:t>
      </w:r>
      <w:r>
        <w:rPr>
          <w:rFonts w:hint="eastAsia" w:ascii="宋体" w:hAnsi="宋体" w:eastAsia="宋体" w:cs="宋体"/>
          <w:color w:val="auto"/>
          <w:sz w:val="21"/>
          <w:szCs w:val="21"/>
          <w:highlight w:val="none"/>
          <w:lang w:val="en-US" w:eastAsia="zh-CN"/>
        </w:rPr>
        <w:t>试验过程中出现第7.3.3条所述情况且非因被测部位表面潮湿或污染导致时，</w:t>
      </w:r>
      <w:r>
        <w:rPr>
          <w:rFonts w:hint="eastAsia" w:ascii="宋体" w:hAnsi="宋体" w:eastAsia="宋体" w:cs="宋体"/>
          <w:color w:val="auto"/>
          <w:sz w:val="21"/>
          <w:szCs w:val="21"/>
          <w:highlight w:val="none"/>
        </w:rPr>
        <w:t>被</w:t>
      </w:r>
      <w:r>
        <w:rPr>
          <w:rFonts w:hint="eastAsia" w:ascii="宋体" w:hAnsi="宋体" w:eastAsia="宋体" w:cs="宋体"/>
          <w:color w:val="auto"/>
          <w:sz w:val="21"/>
          <w:szCs w:val="21"/>
          <w:highlight w:val="none"/>
          <w:lang w:val="en-US" w:eastAsia="zh-CN"/>
        </w:rPr>
        <w:t>测对象</w:t>
      </w:r>
      <w:r>
        <w:rPr>
          <w:rFonts w:hint="eastAsia" w:ascii="宋体" w:hAnsi="宋体" w:eastAsia="宋体" w:cs="宋体"/>
          <w:color w:val="auto"/>
          <w:sz w:val="21"/>
          <w:szCs w:val="21"/>
          <w:highlight w:val="none"/>
        </w:rPr>
        <w:t>交流耐压试验不合格。</w:t>
      </w:r>
    </w:p>
    <w:p>
      <w:pPr>
        <w:rPr>
          <w:rFonts w:hint="eastAsia" w:eastAsia="宋体" w:cs="Times New Roman"/>
          <w:bCs/>
          <w:color w:val="auto"/>
          <w:szCs w:val="44"/>
          <w:highlight w:val="none"/>
        </w:rPr>
      </w:pPr>
      <w:r>
        <w:rPr>
          <w:rFonts w:hint="eastAsia" w:ascii="宋体" w:hAnsi="宋体" w:eastAsia="宋体" w:cs="宋体"/>
          <w:b/>
          <w:bCs/>
          <w:color w:val="auto"/>
          <w:sz w:val="21"/>
          <w:szCs w:val="21"/>
          <w:highlight w:val="none"/>
          <w:lang w:val="en-US" w:eastAsia="zh-CN"/>
        </w:rPr>
        <w:t xml:space="preserve">7.4.2  </w:t>
      </w:r>
      <w:r>
        <w:rPr>
          <w:rFonts w:hint="eastAsia" w:ascii="宋体" w:hAnsi="宋体" w:eastAsia="宋体" w:cs="宋体"/>
          <w:color w:val="auto"/>
          <w:sz w:val="21"/>
          <w:szCs w:val="21"/>
          <w:highlight w:val="none"/>
        </w:rPr>
        <w:t>被试品为有机绝缘材料时，试验</w:t>
      </w:r>
      <w:r>
        <w:rPr>
          <w:rFonts w:hint="eastAsia" w:ascii="宋体" w:hAnsi="宋体" w:eastAsia="宋体" w:cs="宋体"/>
          <w:color w:val="auto"/>
          <w:sz w:val="21"/>
          <w:szCs w:val="21"/>
          <w:highlight w:val="none"/>
          <w:lang w:val="en-US" w:eastAsia="zh-CN"/>
        </w:rPr>
        <w:t>过程中表面温度</w:t>
      </w:r>
      <w:r>
        <w:rPr>
          <w:rFonts w:hint="eastAsia" w:ascii="宋体" w:hAnsi="宋体" w:eastAsia="宋体" w:cs="宋体"/>
          <w:color w:val="auto"/>
          <w:sz w:val="21"/>
          <w:szCs w:val="21"/>
          <w:highlight w:val="none"/>
        </w:rPr>
        <w:t>普遍或局部发热，则认为被</w:t>
      </w:r>
      <w:r>
        <w:rPr>
          <w:rFonts w:hint="eastAsia" w:ascii="宋体" w:hAnsi="宋体" w:eastAsia="宋体" w:cs="宋体"/>
          <w:color w:val="auto"/>
          <w:sz w:val="21"/>
          <w:szCs w:val="21"/>
          <w:highlight w:val="none"/>
          <w:lang w:val="en-US" w:eastAsia="zh-CN"/>
        </w:rPr>
        <w:t>测对象</w:t>
      </w:r>
      <w:r>
        <w:rPr>
          <w:rFonts w:hint="eastAsia" w:ascii="宋体" w:hAnsi="宋体" w:eastAsia="宋体" w:cs="宋体"/>
          <w:color w:val="auto"/>
          <w:sz w:val="21"/>
          <w:szCs w:val="21"/>
          <w:highlight w:val="none"/>
        </w:rPr>
        <w:t>交流耐压试验不合格</w:t>
      </w:r>
      <w:bookmarkEnd w:id="137"/>
      <w:bookmarkStart w:id="147" w:name="_Toc482"/>
      <w:r>
        <w:rPr>
          <w:rFonts w:hint="eastAsia" w:ascii="宋体" w:hAnsi="宋体" w:eastAsia="宋体" w:cs="宋体"/>
          <w:color w:val="auto"/>
          <w:sz w:val="21"/>
          <w:szCs w:val="21"/>
          <w:highlight w:val="none"/>
          <w:lang w:eastAsia="zh-CN"/>
        </w:rPr>
        <w:t>。</w:t>
      </w:r>
      <w:r>
        <w:rPr>
          <w:rFonts w:hint="eastAsia" w:eastAsia="宋体" w:cs="Times New Roman"/>
          <w:bCs/>
          <w:color w:val="auto"/>
          <w:szCs w:val="44"/>
          <w:highlight w:val="none"/>
        </w:rPr>
        <w:br w:type="page"/>
      </w:r>
    </w:p>
    <w:p>
      <w:pPr>
        <w:pStyle w:val="37"/>
        <w:spacing w:line="276" w:lineRule="auto"/>
        <w:rPr>
          <w:rFonts w:hint="eastAsia" w:eastAsia="宋体" w:cs="Times New Roman"/>
          <w:bCs/>
          <w:color w:val="auto"/>
          <w:szCs w:val="44"/>
          <w:highlight w:val="none"/>
        </w:rPr>
      </w:pPr>
      <w:bookmarkStart w:id="148" w:name="_Toc26757"/>
      <w:bookmarkStart w:id="149" w:name="_Toc16004"/>
      <w:bookmarkStart w:id="150" w:name="_Toc19687"/>
      <w:bookmarkStart w:id="151" w:name="_Toc18934"/>
      <w:bookmarkStart w:id="152" w:name="_Toc27316"/>
      <w:r>
        <w:rPr>
          <w:rFonts w:hint="eastAsia" w:eastAsia="宋体" w:cs="Times New Roman"/>
          <w:bCs/>
          <w:color w:val="auto"/>
          <w:szCs w:val="44"/>
          <w:highlight w:val="none"/>
        </w:rPr>
        <w:t>8</w:t>
      </w:r>
      <w:r>
        <w:rPr>
          <w:rFonts w:hint="eastAsia" w:eastAsia="宋体" w:cs="Times New Roman"/>
          <w:bCs/>
          <w:color w:val="auto"/>
          <w:szCs w:val="44"/>
          <w:highlight w:val="none"/>
          <w:lang w:val="en-US" w:eastAsia="zh-CN"/>
        </w:rPr>
        <w:t xml:space="preserve">   </w:t>
      </w:r>
      <w:r>
        <w:rPr>
          <w:rFonts w:hint="eastAsia" w:eastAsia="宋体" w:cs="Times New Roman"/>
          <w:bCs/>
          <w:color w:val="auto"/>
          <w:szCs w:val="44"/>
          <w:highlight w:val="none"/>
        </w:rPr>
        <w:t>接地故障回路阻抗检测</w:t>
      </w:r>
      <w:bookmarkEnd w:id="147"/>
      <w:bookmarkEnd w:id="148"/>
      <w:bookmarkEnd w:id="149"/>
      <w:bookmarkEnd w:id="150"/>
      <w:bookmarkEnd w:id="151"/>
      <w:bookmarkEnd w:id="152"/>
    </w:p>
    <w:p>
      <w:pPr>
        <w:pStyle w:val="3"/>
        <w:jc w:val="center"/>
        <w:rPr>
          <w:rFonts w:hint="eastAsia" w:ascii="宋体" w:hAnsi="宋体" w:eastAsia="宋体" w:cs="宋体"/>
          <w:color w:val="auto"/>
          <w:sz w:val="21"/>
          <w:szCs w:val="21"/>
          <w:highlight w:val="none"/>
          <w:lang w:val="en-US" w:eastAsia="zh-CN"/>
        </w:rPr>
      </w:pPr>
      <w:bookmarkStart w:id="153" w:name="_Toc4630"/>
      <w:bookmarkStart w:id="154" w:name="_Toc24197"/>
      <w:bookmarkStart w:id="155" w:name="_Toc26205"/>
      <w:bookmarkStart w:id="156" w:name="_Toc28150"/>
      <w:bookmarkStart w:id="157" w:name="_Toc7537"/>
      <w:bookmarkStart w:id="158" w:name="_Toc4187"/>
      <w:r>
        <w:rPr>
          <w:rFonts w:hint="eastAsia" w:ascii="宋体" w:hAnsi="宋体" w:eastAsia="宋体" w:cs="宋体"/>
          <w:color w:val="auto"/>
          <w:sz w:val="21"/>
          <w:szCs w:val="21"/>
          <w:highlight w:val="none"/>
          <w:lang w:val="en-US" w:eastAsia="zh-CN"/>
        </w:rPr>
        <w:t>8.1  一般规定</w:t>
      </w:r>
      <w:bookmarkEnd w:id="153"/>
      <w:bookmarkEnd w:id="154"/>
      <w:bookmarkEnd w:id="155"/>
      <w:bookmarkEnd w:id="156"/>
      <w:bookmarkEnd w:id="157"/>
    </w:p>
    <w:p>
      <w:pP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8.1.1  </w:t>
      </w:r>
      <w:r>
        <w:rPr>
          <w:rFonts w:hint="eastAsia" w:ascii="宋体" w:hAnsi="宋体" w:eastAsia="宋体" w:cs="宋体"/>
          <w:b w:val="0"/>
          <w:bCs w:val="0"/>
          <w:color w:val="auto"/>
          <w:sz w:val="21"/>
          <w:szCs w:val="21"/>
          <w:highlight w:val="none"/>
          <w:lang w:val="en-US" w:eastAsia="zh-CN"/>
        </w:rPr>
        <w:t>接地故障回路阻抗检测</w:t>
      </w:r>
      <w:r>
        <w:rPr>
          <w:rFonts w:hint="eastAsia" w:ascii="宋体" w:hAnsi="宋体" w:eastAsia="宋体" w:cs="宋体"/>
          <w:color w:val="auto"/>
          <w:sz w:val="21"/>
          <w:szCs w:val="21"/>
          <w:highlight w:val="none"/>
          <w:lang w:val="en-US" w:eastAsia="zh-CN"/>
        </w:rPr>
        <w:t>适用于配电系统采用断路器或熔断器作为过电流保护器兼做接地故障保护的末端回路，不适用于采用剩余动作电流保护器作附加保护的情况。</w:t>
      </w:r>
    </w:p>
    <w:p>
      <w:pPr>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8.1.2  </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rPr>
        <w:t>确保测试</w:t>
      </w:r>
      <w:r>
        <w:rPr>
          <w:rFonts w:hint="eastAsia" w:ascii="宋体" w:hAnsi="宋体" w:eastAsia="宋体" w:cs="宋体"/>
          <w:color w:val="auto"/>
          <w:sz w:val="21"/>
          <w:szCs w:val="21"/>
          <w:highlight w:val="none"/>
          <w:lang w:val="en-US" w:eastAsia="zh-CN"/>
        </w:rPr>
        <w:t>仪</w:t>
      </w:r>
      <w:r>
        <w:rPr>
          <w:rFonts w:hint="eastAsia" w:ascii="宋体" w:hAnsi="宋体" w:eastAsia="宋体" w:cs="宋体"/>
          <w:color w:val="auto"/>
          <w:sz w:val="21"/>
          <w:szCs w:val="21"/>
          <w:highlight w:val="none"/>
        </w:rPr>
        <w:t>接线</w:t>
      </w:r>
      <w:r>
        <w:rPr>
          <w:rFonts w:hint="eastAsia" w:ascii="宋体" w:hAnsi="宋体" w:eastAsia="宋体" w:cs="宋体"/>
          <w:color w:val="auto"/>
          <w:sz w:val="21"/>
          <w:szCs w:val="21"/>
          <w:highlight w:val="none"/>
          <w:lang w:val="en-US" w:eastAsia="zh-CN"/>
        </w:rPr>
        <w:t>准确可靠</w:t>
      </w:r>
      <w:r>
        <w:rPr>
          <w:rFonts w:hint="eastAsia" w:ascii="宋体" w:hAnsi="宋体" w:eastAsia="宋体" w:cs="宋体"/>
          <w:color w:val="auto"/>
          <w:sz w:val="21"/>
          <w:szCs w:val="21"/>
          <w:highlight w:val="none"/>
        </w:rPr>
        <w:t>，测量前用标准电阻校对测试仪，确保测试仪正常运行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连接线应使用绝缘良好的导线，</w:t>
      </w:r>
      <w:r>
        <w:rPr>
          <w:rFonts w:hint="eastAsia" w:ascii="宋体" w:hAnsi="宋体" w:eastAsia="宋体" w:cs="宋体"/>
          <w:color w:val="auto"/>
          <w:sz w:val="21"/>
          <w:szCs w:val="21"/>
          <w:highlight w:val="none"/>
          <w:lang w:val="en-US" w:eastAsia="zh-CN"/>
        </w:rPr>
        <w:t>防止</w:t>
      </w:r>
      <w:r>
        <w:rPr>
          <w:rFonts w:hint="eastAsia" w:ascii="宋体" w:hAnsi="宋体" w:eastAsia="宋体" w:cs="宋体"/>
          <w:color w:val="auto"/>
          <w:sz w:val="21"/>
          <w:szCs w:val="21"/>
          <w:highlight w:val="none"/>
        </w:rPr>
        <w:t>漏电。</w:t>
      </w:r>
    </w:p>
    <w:p>
      <w:pPr>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8.1.3  </w:t>
      </w:r>
      <w:r>
        <w:rPr>
          <w:rFonts w:hint="eastAsia" w:ascii="宋体" w:hAnsi="宋体" w:eastAsia="宋体" w:cs="宋体"/>
          <w:b w:val="0"/>
          <w:bCs w:val="0"/>
          <w:color w:val="auto"/>
          <w:sz w:val="21"/>
          <w:szCs w:val="21"/>
          <w:highlight w:val="none"/>
          <w:lang w:val="en-US" w:eastAsia="zh-CN"/>
        </w:rPr>
        <w:t>当采用有测试钳的仪表时，</w:t>
      </w:r>
      <w:r>
        <w:rPr>
          <w:rFonts w:hint="eastAsia" w:ascii="宋体" w:hAnsi="宋体" w:eastAsia="宋体" w:cs="宋体"/>
          <w:color w:val="auto"/>
          <w:sz w:val="21"/>
          <w:szCs w:val="21"/>
          <w:highlight w:val="none"/>
        </w:rPr>
        <w:t>取下测试钳前，应确认测试开关按钮处在断开的位置，测试钳上没有电流。</w:t>
      </w:r>
    </w:p>
    <w:p>
      <w:pPr>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8.1.4  </w:t>
      </w:r>
      <w:r>
        <w:rPr>
          <w:rFonts w:hint="eastAsia" w:ascii="宋体" w:hAnsi="宋体" w:eastAsia="宋体" w:cs="宋体"/>
          <w:color w:val="auto"/>
          <w:sz w:val="21"/>
          <w:szCs w:val="21"/>
          <w:highlight w:val="none"/>
        </w:rPr>
        <w:t>如需重复测试，应断开测量开关，将测试钳重新夹好，再</w:t>
      </w:r>
      <w:r>
        <w:rPr>
          <w:rFonts w:hint="eastAsia" w:ascii="宋体" w:hAnsi="宋体" w:eastAsia="宋体" w:cs="宋体"/>
          <w:color w:val="auto"/>
          <w:sz w:val="21"/>
          <w:szCs w:val="21"/>
          <w:highlight w:val="none"/>
          <w:lang w:val="en-US" w:eastAsia="zh-CN"/>
        </w:rPr>
        <w:t>开始测量</w:t>
      </w:r>
      <w:r>
        <w:rPr>
          <w:rFonts w:hint="eastAsia" w:ascii="宋体" w:hAnsi="宋体" w:eastAsia="宋体" w:cs="宋体"/>
          <w:color w:val="auto"/>
          <w:sz w:val="21"/>
          <w:szCs w:val="21"/>
          <w:highlight w:val="none"/>
        </w:rPr>
        <w:t>。</w:t>
      </w:r>
    </w:p>
    <w:p>
      <w:pPr>
        <w:pStyle w:val="3"/>
        <w:jc w:val="center"/>
        <w:rPr>
          <w:rFonts w:hint="eastAsia" w:ascii="宋体" w:hAnsi="宋体" w:eastAsia="宋体" w:cs="宋体"/>
          <w:color w:val="auto"/>
          <w:sz w:val="21"/>
          <w:szCs w:val="21"/>
          <w:highlight w:val="none"/>
          <w:lang w:val="en-US" w:eastAsia="zh-CN"/>
        </w:rPr>
      </w:pPr>
      <w:bookmarkStart w:id="159" w:name="_Toc13309"/>
      <w:bookmarkStart w:id="160" w:name="_Toc4333"/>
      <w:bookmarkStart w:id="161" w:name="_Toc7975"/>
      <w:r>
        <w:rPr>
          <w:rFonts w:hint="eastAsia" w:ascii="宋体" w:hAnsi="宋体" w:eastAsia="宋体" w:cs="宋体"/>
          <w:color w:val="auto"/>
          <w:sz w:val="21"/>
          <w:szCs w:val="21"/>
          <w:highlight w:val="none"/>
          <w:lang w:val="en-US" w:eastAsia="zh-CN"/>
        </w:rPr>
        <w:t>8.2  检测部位和检测数量</w:t>
      </w:r>
      <w:bookmarkEnd w:id="159"/>
      <w:bookmarkEnd w:id="160"/>
      <w:bookmarkEnd w:id="161"/>
    </w:p>
    <w:p>
      <w:pP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8.2.1</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低压成套配电柜和配电箱（盘）内末端用电回路</w:t>
      </w:r>
      <w:r>
        <w:rPr>
          <w:rFonts w:hint="eastAsia" w:ascii="宋体" w:hAnsi="宋体" w:eastAsia="宋体" w:cs="宋体"/>
          <w:color w:val="auto"/>
          <w:sz w:val="21"/>
          <w:szCs w:val="21"/>
          <w:highlight w:val="none"/>
          <w:lang w:val="en-US" w:eastAsia="zh-CN"/>
        </w:rPr>
        <w:t>中，所设过电流保护电器兼做故障防护时，应在回路末端测量接地故障回路阻抗。</w:t>
      </w:r>
    </w:p>
    <w:p>
      <w:pPr>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8.2.2  </w:t>
      </w:r>
      <w:r>
        <w:rPr>
          <w:rFonts w:hint="eastAsia" w:ascii="宋体" w:hAnsi="宋体" w:eastAsia="宋体" w:cs="宋体"/>
          <w:b w:val="0"/>
          <w:bCs w:val="0"/>
          <w:color w:val="auto"/>
          <w:sz w:val="21"/>
          <w:szCs w:val="21"/>
          <w:highlight w:val="none"/>
          <w:lang w:val="en-US" w:eastAsia="zh-CN"/>
        </w:rPr>
        <w:t>低压成套配电柜和配电箱（盘）</w:t>
      </w:r>
      <w:r>
        <w:rPr>
          <w:rFonts w:hint="eastAsia" w:ascii="宋体" w:hAnsi="宋体" w:eastAsia="宋体" w:cs="宋体"/>
          <w:color w:val="auto"/>
          <w:sz w:val="21"/>
          <w:szCs w:val="21"/>
          <w:highlight w:val="none"/>
          <w:lang w:val="en-US" w:eastAsia="zh-CN"/>
        </w:rPr>
        <w:t>应按末级配电箱（盘、柜）总数量抽查20%，每个被抽查的末级配电箱至少应抽查1个回路且不应少于1个末级配电箱。</w:t>
      </w:r>
    </w:p>
    <w:p>
      <w:pPr>
        <w:ind w:firstLine="420" w:firstLineChars="200"/>
        <w:rPr>
          <w:rFonts w:ascii="宋体" w:hAnsi="宋体" w:eastAsia="宋体" w:cs="宋体"/>
          <w:color w:val="auto"/>
          <w:sz w:val="21"/>
          <w:szCs w:val="21"/>
          <w:highlight w:val="none"/>
        </w:rPr>
      </w:pPr>
    </w:p>
    <w:p>
      <w:pPr>
        <w:pStyle w:val="3"/>
        <w:jc w:val="center"/>
        <w:rPr>
          <w:rFonts w:hint="eastAsia" w:ascii="宋体" w:hAnsi="宋体" w:eastAsia="宋体" w:cs="宋体"/>
          <w:color w:val="auto"/>
          <w:sz w:val="21"/>
          <w:szCs w:val="21"/>
          <w:highlight w:val="none"/>
          <w:lang w:val="en-US" w:eastAsia="zh-CN"/>
        </w:rPr>
      </w:pPr>
      <w:bookmarkStart w:id="162" w:name="_Toc14750"/>
      <w:bookmarkStart w:id="163" w:name="_Toc31748"/>
      <w:bookmarkStart w:id="164" w:name="_Toc4647"/>
      <w:r>
        <w:rPr>
          <w:rFonts w:hint="eastAsia" w:ascii="宋体" w:hAnsi="宋体" w:eastAsia="宋体" w:cs="宋体"/>
          <w:color w:val="auto"/>
          <w:sz w:val="21"/>
          <w:szCs w:val="21"/>
          <w:highlight w:val="none"/>
          <w:lang w:val="en-US" w:eastAsia="zh-CN"/>
        </w:rPr>
        <w:t>8.3  检测方法</w:t>
      </w:r>
      <w:bookmarkEnd w:id="162"/>
      <w:bookmarkEnd w:id="163"/>
      <w:bookmarkEnd w:id="164"/>
    </w:p>
    <w:p>
      <w:pPr>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8.3.1  </w:t>
      </w:r>
      <w:r>
        <w:rPr>
          <w:rFonts w:hint="eastAsia" w:ascii="宋体" w:hAnsi="宋体" w:eastAsia="宋体" w:cs="宋体"/>
          <w:color w:val="auto"/>
          <w:sz w:val="21"/>
          <w:szCs w:val="21"/>
          <w:highlight w:val="none"/>
          <w:lang w:val="en-US" w:eastAsia="zh-CN"/>
        </w:rPr>
        <w:t>接地故障回</w:t>
      </w:r>
      <w:r>
        <w:rPr>
          <w:rFonts w:hint="eastAsia" w:ascii="宋体" w:hAnsi="宋体" w:eastAsia="宋体" w:cs="宋体"/>
          <w:color w:val="auto"/>
          <w:sz w:val="21"/>
          <w:szCs w:val="21"/>
          <w:highlight w:val="none"/>
        </w:rPr>
        <w:t>路</w:t>
      </w:r>
      <w:r>
        <w:rPr>
          <w:rFonts w:hint="eastAsia" w:ascii="宋体" w:hAnsi="宋体" w:eastAsia="宋体" w:cs="宋体"/>
          <w:color w:val="auto"/>
          <w:sz w:val="21"/>
          <w:szCs w:val="21"/>
          <w:highlight w:val="none"/>
          <w:lang w:val="en-US" w:eastAsia="zh-CN"/>
        </w:rPr>
        <w:t>阻抗采用回路阻抗检测仪器进行检测，回路阻抗检测仪器应符合《交流1000V和直流1500V及以下低压配电系统电气安全 防护措施的试验、测量或监控设备 第3部分：环路阻抗》GB/T 18216.3的要求。</w:t>
      </w:r>
    </w:p>
    <w:p>
      <w:pPr>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8.3.2  </w:t>
      </w:r>
      <w:r>
        <w:rPr>
          <w:rFonts w:hint="eastAsia" w:ascii="宋体" w:hAnsi="宋体" w:eastAsia="宋体" w:cs="宋体"/>
          <w:color w:val="auto"/>
          <w:sz w:val="21"/>
          <w:szCs w:val="21"/>
          <w:highlight w:val="none"/>
          <w:lang w:val="en-US" w:eastAsia="zh-CN"/>
        </w:rPr>
        <w:t>接地故障回</w:t>
      </w:r>
      <w:r>
        <w:rPr>
          <w:rFonts w:hint="eastAsia" w:ascii="宋体" w:hAnsi="宋体" w:eastAsia="宋体" w:cs="宋体"/>
          <w:color w:val="auto"/>
          <w:sz w:val="21"/>
          <w:szCs w:val="21"/>
          <w:highlight w:val="none"/>
        </w:rPr>
        <w:t>路</w:t>
      </w:r>
      <w:r>
        <w:rPr>
          <w:rFonts w:hint="eastAsia" w:ascii="宋体" w:hAnsi="宋体" w:eastAsia="宋体" w:cs="宋体"/>
          <w:color w:val="auto"/>
          <w:sz w:val="21"/>
          <w:szCs w:val="21"/>
          <w:highlight w:val="none"/>
          <w:lang w:val="en-US" w:eastAsia="zh-CN"/>
        </w:rPr>
        <w:t>阻抗</w:t>
      </w:r>
      <w:r>
        <w:rPr>
          <w:rFonts w:hint="eastAsia" w:ascii="宋体" w:hAnsi="宋体" w:eastAsia="宋体" w:cs="宋体"/>
          <w:color w:val="auto"/>
          <w:sz w:val="21"/>
          <w:szCs w:val="21"/>
          <w:highlight w:val="none"/>
        </w:rPr>
        <w:t>测试</w:t>
      </w:r>
      <w:r>
        <w:rPr>
          <w:rFonts w:hint="eastAsia" w:ascii="宋体" w:hAnsi="宋体" w:eastAsia="宋体" w:cs="宋体"/>
          <w:color w:val="auto"/>
          <w:sz w:val="21"/>
          <w:szCs w:val="21"/>
          <w:highlight w:val="none"/>
          <w:lang w:val="en-US" w:eastAsia="zh-CN"/>
        </w:rPr>
        <w:t>应符合下列规定：</w:t>
      </w:r>
    </w:p>
    <w:p>
      <w:pPr>
        <w:ind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 xml:space="preserve"> 测量接地故障回路阻抗之前，应通过测量电阻来确认导体以及外露可导电部分连接的连续性；</w:t>
      </w:r>
    </w:p>
    <w:p>
      <w:pPr>
        <w:ind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 xml:space="preserve"> 对于给定系统接地配置，应对测试设备设置合理的预期接地故障回路阻抗量程；</w:t>
      </w:r>
    </w:p>
    <w:p>
      <w:pPr>
        <w:ind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 xml:space="preserve"> 按照测试设备操作说明书连接测试设备与被测对象，测得接地故障回路阻抗值。</w:t>
      </w:r>
    </w:p>
    <w:p>
      <w:pPr>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8.3.3  </w:t>
      </w:r>
      <w:r>
        <w:rPr>
          <w:rFonts w:hint="eastAsia" w:ascii="宋体" w:hAnsi="宋体" w:eastAsia="宋体" w:cs="宋体"/>
          <w:color w:val="auto"/>
          <w:sz w:val="21"/>
          <w:szCs w:val="21"/>
          <w:highlight w:val="none"/>
          <w:lang w:val="en-US" w:eastAsia="zh-CN"/>
        </w:rPr>
        <w:t>原始记录必要信息应包括（但不限于）：回路编号、相导体对接地的中性导体的电压U</w:t>
      </w:r>
      <w:r>
        <w:rPr>
          <w:rFonts w:hint="eastAsia" w:ascii="宋体" w:hAnsi="宋体" w:eastAsia="宋体" w:cs="宋体"/>
          <w:color w:val="auto"/>
          <w:sz w:val="21"/>
          <w:szCs w:val="21"/>
          <w:highlight w:val="none"/>
          <w:vertAlign w:val="subscript"/>
          <w:lang w:val="en-US" w:eastAsia="zh-CN"/>
        </w:rPr>
        <w:t>0</w:t>
      </w:r>
      <w:r>
        <w:rPr>
          <w:rFonts w:hint="eastAsia" w:ascii="宋体" w:hAnsi="宋体" w:eastAsia="宋体" w:cs="宋体"/>
          <w:color w:val="auto"/>
          <w:sz w:val="21"/>
          <w:szCs w:val="21"/>
          <w:highlight w:val="none"/>
          <w:vertAlign w:val="baseline"/>
          <w:lang w:val="en-US" w:eastAsia="zh-CN"/>
        </w:rPr>
        <w:t>（V）、保护电器在规定时间内切断故障回路的动作电流I</w:t>
      </w:r>
      <w:r>
        <w:rPr>
          <w:rFonts w:hint="eastAsia" w:ascii="宋体" w:hAnsi="宋体" w:eastAsia="宋体" w:cs="宋体"/>
          <w:color w:val="auto"/>
          <w:sz w:val="21"/>
          <w:szCs w:val="21"/>
          <w:highlight w:val="none"/>
          <w:vertAlign w:val="subscript"/>
          <w:lang w:val="en-US" w:eastAsia="zh-CN"/>
        </w:rPr>
        <w:t>a</w:t>
      </w:r>
      <w:r>
        <w:rPr>
          <w:rFonts w:hint="eastAsia" w:ascii="宋体" w:hAnsi="宋体" w:eastAsia="宋体" w:cs="宋体"/>
          <w:color w:val="auto"/>
          <w:sz w:val="21"/>
          <w:szCs w:val="21"/>
          <w:highlight w:val="none"/>
          <w:vertAlign w:val="baseline"/>
          <w:lang w:val="en-US" w:eastAsia="zh-CN"/>
        </w:rPr>
        <w:t>（A）、接地故障回路阻抗实测值Zs（m）（Ω）。</w:t>
      </w:r>
    </w:p>
    <w:p>
      <w:pPr>
        <w:pStyle w:val="3"/>
        <w:jc w:val="center"/>
        <w:rPr>
          <w:rFonts w:ascii="宋体" w:hAnsi="宋体" w:eastAsia="宋体" w:cs="宋体"/>
          <w:color w:val="auto"/>
          <w:sz w:val="21"/>
          <w:szCs w:val="21"/>
          <w:highlight w:val="none"/>
        </w:rPr>
      </w:pPr>
      <w:bookmarkStart w:id="165" w:name="_Toc7928"/>
      <w:bookmarkStart w:id="166" w:name="_Toc13614"/>
      <w:bookmarkStart w:id="167" w:name="_Toc24250"/>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en-US" w:eastAsia="zh-CN"/>
        </w:rPr>
        <w:t xml:space="preserve">4  </w:t>
      </w:r>
      <w:r>
        <w:rPr>
          <w:rFonts w:hint="eastAsia" w:ascii="宋体" w:hAnsi="宋体" w:eastAsia="宋体" w:cs="宋体"/>
          <w:color w:val="auto"/>
          <w:sz w:val="21"/>
          <w:szCs w:val="21"/>
          <w:highlight w:val="none"/>
        </w:rPr>
        <w:t>检测结果</w:t>
      </w:r>
      <w:bookmarkEnd w:id="165"/>
      <w:bookmarkEnd w:id="166"/>
      <w:bookmarkEnd w:id="167"/>
    </w:p>
    <w:p>
      <w:pPr>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8.4.1  </w:t>
      </w:r>
      <w:r>
        <w:rPr>
          <w:rFonts w:hint="eastAsia" w:ascii="宋体" w:hAnsi="宋体" w:eastAsia="宋体" w:cs="宋体"/>
          <w:color w:val="auto"/>
          <w:sz w:val="21"/>
          <w:szCs w:val="21"/>
          <w:highlight w:val="none"/>
        </w:rPr>
        <w:t>测得的</w:t>
      </w:r>
      <w:r>
        <w:rPr>
          <w:rFonts w:hint="eastAsia" w:ascii="宋体" w:hAnsi="宋体" w:eastAsia="宋体" w:cs="宋体"/>
          <w:color w:val="auto"/>
          <w:sz w:val="21"/>
          <w:szCs w:val="21"/>
          <w:highlight w:val="none"/>
          <w:lang w:val="en-US" w:eastAsia="zh-CN"/>
        </w:rPr>
        <w:t>接地</w:t>
      </w:r>
      <w:r>
        <w:rPr>
          <w:rFonts w:hint="eastAsia" w:ascii="宋体" w:hAnsi="宋体" w:eastAsia="宋体" w:cs="宋体"/>
          <w:color w:val="auto"/>
          <w:sz w:val="21"/>
          <w:szCs w:val="21"/>
          <w:highlight w:val="none"/>
        </w:rPr>
        <w:t>故障回路阻抗应满足</w:t>
      </w:r>
      <w:r>
        <w:rPr>
          <w:rFonts w:hint="eastAsia" w:ascii="宋体" w:hAnsi="宋体" w:eastAsia="宋体" w:cs="宋体"/>
          <w:color w:val="auto"/>
          <w:sz w:val="21"/>
          <w:szCs w:val="21"/>
          <w:highlight w:val="none"/>
          <w:u w:val="none"/>
        </w:rPr>
        <w:t>《低压电气装置</w:t>
      </w:r>
      <w:r>
        <w:rPr>
          <w:rFonts w:hint="eastAsia" w:ascii="宋体" w:hAnsi="宋体" w:eastAsia="宋体" w:cs="宋体"/>
          <w:color w:val="auto"/>
          <w:sz w:val="21"/>
          <w:szCs w:val="21"/>
          <w:highlight w:val="none"/>
          <w:u w:val="none"/>
          <w:lang w:val="en-US" w:eastAsia="zh-CN"/>
        </w:rPr>
        <w:t xml:space="preserve"> 第4-41部分：安全防护 电击防护</w:t>
      </w:r>
      <w:r>
        <w:rPr>
          <w:rFonts w:hint="eastAsia" w:ascii="宋体" w:hAnsi="宋体" w:eastAsia="宋体" w:cs="宋体"/>
          <w:color w:val="auto"/>
          <w:sz w:val="21"/>
          <w:szCs w:val="21"/>
          <w:highlight w:val="none"/>
          <w:u w:val="none"/>
        </w:rPr>
        <w:t>》GB/T 16895.21</w:t>
      </w:r>
      <w:r>
        <w:rPr>
          <w:rFonts w:hint="eastAsia" w:ascii="宋体" w:hAnsi="宋体" w:eastAsia="宋体" w:cs="宋体"/>
          <w:color w:val="auto"/>
          <w:sz w:val="21"/>
          <w:szCs w:val="21"/>
          <w:highlight w:val="none"/>
        </w:rPr>
        <w:t>中的规定。</w:t>
      </w:r>
    </w:p>
    <w:p>
      <w:pPr>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 xml:space="preserve">8.4.2  </w:t>
      </w:r>
      <w:r>
        <w:rPr>
          <w:rFonts w:hint="eastAsia" w:ascii="宋体" w:hAnsi="宋体" w:eastAsia="宋体" w:cs="宋体"/>
          <w:color w:val="auto"/>
          <w:sz w:val="21"/>
          <w:szCs w:val="21"/>
          <w:highlight w:val="none"/>
        </w:rPr>
        <w:t>低压成套配电柜和配电箱（盘）内末端用电回路中，所设过电流保护电器兼作故障防护时，在回路末端测量接地故障回路阻抗应满足</w:t>
      </w:r>
      <w:r>
        <w:rPr>
          <w:rFonts w:hint="eastAsia" w:ascii="宋体" w:hAnsi="宋体" w:eastAsia="宋体" w:cs="宋体"/>
          <w:color w:val="auto"/>
          <w:sz w:val="21"/>
          <w:szCs w:val="21"/>
          <w:highlight w:val="none"/>
          <w:lang w:eastAsia="zh-CN"/>
        </w:rPr>
        <w:t>下式</w:t>
      </w:r>
      <w:r>
        <w:rPr>
          <w:rFonts w:hint="eastAsia" w:ascii="宋体" w:hAnsi="宋体" w:eastAsia="宋体" w:cs="宋体"/>
          <w:color w:val="auto"/>
          <w:sz w:val="21"/>
          <w:szCs w:val="21"/>
          <w:highlight w:val="none"/>
        </w:rPr>
        <w:t>要求：</w:t>
      </w:r>
    </w:p>
    <w:p>
      <w:pPr>
        <w:jc w:val="right"/>
        <w:rPr>
          <w:rFonts w:hint="default" w:ascii="宋体" w:hAnsi="宋体" w:eastAsia="等线" w:cs="宋体"/>
          <w:color w:val="auto"/>
          <w:sz w:val="21"/>
          <w:szCs w:val="21"/>
          <w:highlight w:val="none"/>
          <w:lang w:val="en-US" w:eastAsia="zh-CN"/>
        </w:rPr>
      </w:pPr>
      <m:oMath>
        <m:sSub>
          <m:sSubPr>
            <m:ctrlPr>
              <w:rPr>
                <w:rFonts w:ascii="Cambria Math" w:hAnsi="Cambria Math" w:cs="宋体"/>
                <w:i/>
                <w:color w:val="auto"/>
                <w:sz w:val="21"/>
                <w:szCs w:val="21"/>
                <w:highlight w:val="none"/>
              </w:rPr>
            </m:ctrlPr>
          </m:sSubPr>
          <m:e>
            <m:r>
              <m:rPr/>
              <w:rPr>
                <w:rFonts w:ascii="Cambria Math" w:hAnsi="Cambria Math" w:cs="宋体"/>
                <w:color w:val="auto"/>
                <w:sz w:val="21"/>
                <w:szCs w:val="21"/>
                <w:highlight w:val="none"/>
              </w:rPr>
              <m:t>Z</m:t>
            </m:r>
            <m:ctrlPr>
              <w:rPr>
                <w:rFonts w:ascii="Cambria Math" w:hAnsi="Cambria Math" w:cs="宋体"/>
                <w:i/>
                <w:color w:val="auto"/>
                <w:sz w:val="21"/>
                <w:szCs w:val="21"/>
                <w:highlight w:val="none"/>
              </w:rPr>
            </m:ctrlPr>
          </m:e>
          <m:sub>
            <m:r>
              <m:rPr/>
              <w:rPr>
                <w:rFonts w:ascii="Cambria Math" w:hAnsi="Cambria Math" w:cs="宋体"/>
                <w:color w:val="auto"/>
                <w:sz w:val="21"/>
                <w:szCs w:val="21"/>
                <w:highlight w:val="none"/>
              </w:rPr>
              <m:t>s</m:t>
            </m:r>
            <m:ctrlPr>
              <w:rPr>
                <w:rFonts w:ascii="Cambria Math" w:hAnsi="Cambria Math" w:cs="宋体"/>
                <w:i/>
                <w:color w:val="auto"/>
                <w:sz w:val="21"/>
                <w:szCs w:val="21"/>
                <w:highlight w:val="none"/>
              </w:rPr>
            </m:ctrlPr>
          </m:sub>
        </m:sSub>
        <m:r>
          <m:rPr/>
          <w:rPr>
            <w:rFonts w:hint="eastAsia" w:ascii="Cambria Math" w:hAnsi="Cambria Math" w:cs="宋体"/>
            <w:color w:val="auto"/>
            <w:sz w:val="21"/>
            <w:szCs w:val="21"/>
            <w:highlight w:val="none"/>
          </w:rPr>
          <m:t>（</m:t>
        </m:r>
        <m:r>
          <m:rPr/>
          <w:rPr>
            <w:rFonts w:ascii="Cambria Math" w:hAnsi="Cambria Math" w:cs="宋体"/>
            <w:color w:val="auto"/>
            <w:sz w:val="21"/>
            <w:szCs w:val="21"/>
            <w:highlight w:val="none"/>
          </w:rPr>
          <m:t>m</m:t>
        </m:r>
        <m:r>
          <m:rPr/>
          <w:rPr>
            <w:rFonts w:hint="eastAsia" w:ascii="Cambria Math" w:hAnsi="Cambria Math" w:cs="宋体"/>
            <w:color w:val="auto"/>
            <w:sz w:val="21"/>
            <w:szCs w:val="21"/>
            <w:highlight w:val="none"/>
          </w:rPr>
          <m:t>）</m:t>
        </m:r>
        <m:r>
          <m:rPr/>
          <w:rPr>
            <w:rFonts w:ascii="Cambria Math" w:hAnsi="Cambria Math" w:cs="Cambria Math"/>
            <w:color w:val="auto"/>
            <w:sz w:val="21"/>
            <w:szCs w:val="21"/>
            <w:highlight w:val="none"/>
          </w:rPr>
          <m:t>≤</m:t>
        </m:r>
        <m:f>
          <m:fPr>
            <m:ctrlPr>
              <w:rPr>
                <w:rFonts w:ascii="Cambria Math" w:hAnsi="Cambria Math" w:cs="Cambria Math"/>
                <w:i/>
                <w:color w:val="auto"/>
                <w:sz w:val="21"/>
                <w:szCs w:val="21"/>
                <w:highlight w:val="none"/>
              </w:rPr>
            </m:ctrlPr>
          </m:fPr>
          <m:num>
            <m:r>
              <m:rPr/>
              <w:rPr>
                <w:rFonts w:ascii="Cambria Math" w:hAnsi="Cambria Math" w:cs="Cambria Math"/>
                <w:color w:val="auto"/>
                <w:sz w:val="21"/>
                <w:szCs w:val="21"/>
                <w:highlight w:val="none"/>
              </w:rPr>
              <m:t>2</m:t>
            </m:r>
            <m:ctrlPr>
              <w:rPr>
                <w:rFonts w:ascii="Cambria Math" w:hAnsi="Cambria Math" w:cs="Cambria Math"/>
                <w:i/>
                <w:color w:val="auto"/>
                <w:sz w:val="21"/>
                <w:szCs w:val="21"/>
                <w:highlight w:val="none"/>
              </w:rPr>
            </m:ctrlPr>
          </m:num>
          <m:den>
            <m:r>
              <m:rPr/>
              <w:rPr>
                <w:rFonts w:ascii="Cambria Math" w:hAnsi="Cambria Math" w:cs="Cambria Math"/>
                <w:color w:val="auto"/>
                <w:sz w:val="21"/>
                <w:szCs w:val="21"/>
                <w:highlight w:val="none"/>
              </w:rPr>
              <m:t>3</m:t>
            </m:r>
            <m:ctrlPr>
              <w:rPr>
                <w:rFonts w:ascii="Cambria Math" w:hAnsi="Cambria Math" w:cs="Cambria Math"/>
                <w:i/>
                <w:color w:val="auto"/>
                <w:sz w:val="21"/>
                <w:szCs w:val="21"/>
                <w:highlight w:val="none"/>
              </w:rPr>
            </m:ctrlPr>
          </m:den>
        </m:f>
        <m:r>
          <m:rPr/>
          <w:rPr>
            <w:rFonts w:ascii="Cambria Math" w:hAnsi="Cambria Math" w:cs="Cambria Math"/>
            <w:color w:val="auto"/>
            <w:sz w:val="21"/>
            <w:szCs w:val="21"/>
            <w:highlight w:val="none"/>
          </w:rPr>
          <m:t>×</m:t>
        </m:r>
        <m:f>
          <m:fPr>
            <m:ctrlPr>
              <w:rPr>
                <w:rFonts w:ascii="Cambria Math" w:hAnsi="Cambria Math" w:cs="Cambria Math"/>
                <w:i/>
                <w:color w:val="auto"/>
                <w:sz w:val="21"/>
                <w:szCs w:val="21"/>
                <w:highlight w:val="none"/>
              </w:rPr>
            </m:ctrlPr>
          </m:fPr>
          <m:num>
            <m:sSub>
              <m:sSubPr>
                <m:ctrlPr>
                  <w:rPr>
                    <w:rFonts w:ascii="Cambria Math" w:hAnsi="Cambria Math" w:cs="Cambria Math"/>
                    <w:i/>
                    <w:color w:val="auto"/>
                    <w:sz w:val="21"/>
                    <w:szCs w:val="21"/>
                    <w:highlight w:val="none"/>
                  </w:rPr>
                </m:ctrlPr>
              </m:sSubPr>
              <m:e>
                <m:r>
                  <m:rPr/>
                  <w:rPr>
                    <w:rFonts w:ascii="Cambria Math" w:hAnsi="Cambria Math" w:cs="Cambria Math"/>
                    <w:color w:val="auto"/>
                    <w:sz w:val="21"/>
                    <w:szCs w:val="21"/>
                    <w:highlight w:val="none"/>
                  </w:rPr>
                  <m:t>U</m:t>
                </m:r>
                <m:ctrlPr>
                  <w:rPr>
                    <w:rFonts w:ascii="Cambria Math" w:hAnsi="Cambria Math" w:cs="Cambria Math"/>
                    <w:i/>
                    <w:color w:val="auto"/>
                    <w:sz w:val="21"/>
                    <w:szCs w:val="21"/>
                    <w:highlight w:val="none"/>
                  </w:rPr>
                </m:ctrlPr>
              </m:e>
              <m:sub>
                <m:r>
                  <m:rPr/>
                  <w:rPr>
                    <w:rFonts w:ascii="Cambria Math" w:hAnsi="Cambria Math" w:cs="Cambria Math"/>
                    <w:color w:val="auto"/>
                    <w:sz w:val="21"/>
                    <w:szCs w:val="21"/>
                    <w:highlight w:val="none"/>
                  </w:rPr>
                  <m:t>0</m:t>
                </m:r>
                <m:ctrlPr>
                  <w:rPr>
                    <w:rFonts w:ascii="Cambria Math" w:hAnsi="Cambria Math" w:cs="Cambria Math"/>
                    <w:i/>
                    <w:color w:val="auto"/>
                    <w:sz w:val="21"/>
                    <w:szCs w:val="21"/>
                    <w:highlight w:val="none"/>
                  </w:rPr>
                </m:ctrlPr>
              </m:sub>
            </m:sSub>
            <m:ctrlPr>
              <w:rPr>
                <w:rFonts w:ascii="Cambria Math" w:hAnsi="Cambria Math" w:cs="Cambria Math"/>
                <w:i/>
                <w:color w:val="auto"/>
                <w:sz w:val="21"/>
                <w:szCs w:val="21"/>
                <w:highlight w:val="none"/>
              </w:rPr>
            </m:ctrlPr>
          </m:num>
          <m:den>
            <m:sSub>
              <m:sSubPr>
                <m:ctrlPr>
                  <w:rPr>
                    <w:rFonts w:ascii="Cambria Math" w:hAnsi="Cambria Math" w:cs="Cambria Math"/>
                    <w:i/>
                    <w:color w:val="auto"/>
                    <w:sz w:val="21"/>
                    <w:szCs w:val="21"/>
                    <w:highlight w:val="none"/>
                  </w:rPr>
                </m:ctrlPr>
              </m:sSubPr>
              <m:e>
                <m:r>
                  <m:rPr/>
                  <w:rPr>
                    <w:rFonts w:ascii="Cambria Math" w:hAnsi="Cambria Math" w:cs="Cambria Math"/>
                    <w:color w:val="auto"/>
                    <w:sz w:val="21"/>
                    <w:szCs w:val="21"/>
                    <w:highlight w:val="none"/>
                  </w:rPr>
                  <m:t>I</m:t>
                </m:r>
                <m:ctrlPr>
                  <w:rPr>
                    <w:rFonts w:ascii="Cambria Math" w:hAnsi="Cambria Math" w:cs="Cambria Math"/>
                    <w:i/>
                    <w:color w:val="auto"/>
                    <w:sz w:val="21"/>
                    <w:szCs w:val="21"/>
                    <w:highlight w:val="none"/>
                  </w:rPr>
                </m:ctrlPr>
              </m:e>
              <m:sub>
                <m:r>
                  <m:rPr/>
                  <w:rPr>
                    <w:rFonts w:ascii="Cambria Math" w:hAnsi="Cambria Math" w:cs="Cambria Math"/>
                    <w:color w:val="auto"/>
                    <w:sz w:val="21"/>
                    <w:szCs w:val="21"/>
                    <w:highlight w:val="none"/>
                  </w:rPr>
                  <m:t>a</m:t>
                </m:r>
                <m:ctrlPr>
                  <w:rPr>
                    <w:rFonts w:ascii="Cambria Math" w:hAnsi="Cambria Math" w:cs="Cambria Math"/>
                    <w:i/>
                    <w:color w:val="auto"/>
                    <w:sz w:val="21"/>
                    <w:szCs w:val="21"/>
                    <w:highlight w:val="none"/>
                  </w:rPr>
                </m:ctrlPr>
              </m:sub>
            </m:sSub>
            <m:ctrlPr>
              <w:rPr>
                <w:rFonts w:ascii="Cambria Math" w:hAnsi="Cambria Math" w:cs="Cambria Math"/>
                <w:i/>
                <w:color w:val="auto"/>
                <w:sz w:val="21"/>
                <w:szCs w:val="21"/>
                <w:highlight w:val="none"/>
              </w:rPr>
            </m:ctrlPr>
          </m:den>
        </m:f>
      </m:oMath>
      <w:r>
        <w:rPr>
          <w:rFonts w:hint="eastAsia" w:hAnsi="Cambria Math" w:cs="Cambria Math"/>
          <w:i w:val="0"/>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（8.4.2）</w:t>
      </w:r>
    </w:p>
    <w:p>
      <w:pP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式中：Z</w:t>
      </w:r>
      <w:r>
        <w:rPr>
          <w:rFonts w:hint="eastAsia" w:ascii="宋体" w:hAnsi="宋体" w:eastAsia="宋体" w:cs="宋体"/>
          <w:color w:val="auto"/>
          <w:sz w:val="21"/>
          <w:szCs w:val="21"/>
          <w:highlight w:val="none"/>
          <w:vertAlign w:val="subscript"/>
        </w:rPr>
        <w:t>s</w:t>
      </w:r>
      <w:r>
        <w:rPr>
          <w:rFonts w:hint="eastAsia" w:ascii="宋体" w:hAnsi="宋体" w:eastAsia="宋体" w:cs="宋体"/>
          <w:color w:val="auto"/>
          <w:sz w:val="21"/>
          <w:szCs w:val="21"/>
          <w:highlight w:val="none"/>
        </w:rPr>
        <w:t xml:space="preserve">（m）——实测接地故障回路阻抗（Ω）； </w:t>
      </w:r>
    </w:p>
    <w:p>
      <w:pPr>
        <w:ind w:firstLine="630" w:firstLineChars="3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U</w:t>
      </w:r>
      <w:r>
        <w:rPr>
          <w:rFonts w:hint="eastAsia" w:ascii="宋体" w:hAnsi="宋体" w:eastAsia="宋体" w:cs="宋体"/>
          <w:color w:val="auto"/>
          <w:sz w:val="21"/>
          <w:szCs w:val="21"/>
          <w:highlight w:val="none"/>
          <w:vertAlign w:val="subscript"/>
        </w:rPr>
        <w:t>0</w:t>
      </w:r>
      <w:r>
        <w:rPr>
          <w:rFonts w:hint="eastAsia" w:ascii="宋体" w:hAnsi="宋体" w:eastAsia="宋体" w:cs="宋体"/>
          <w:color w:val="auto"/>
          <w:sz w:val="21"/>
          <w:szCs w:val="21"/>
          <w:highlight w:val="none"/>
        </w:rPr>
        <w:t>——相导体对接地的中性导体的电压（V）</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pPr>
        <w:widowControl/>
        <w:ind w:firstLine="630" w:firstLineChars="3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I</w:t>
      </w:r>
      <w:r>
        <w:rPr>
          <w:rFonts w:hint="eastAsia" w:ascii="宋体" w:hAnsi="宋体" w:eastAsia="宋体" w:cs="宋体"/>
          <w:color w:val="auto"/>
          <w:sz w:val="21"/>
          <w:szCs w:val="21"/>
          <w:highlight w:val="none"/>
          <w:vertAlign w:val="subscript"/>
        </w:rPr>
        <w:t>a</w:t>
      </w:r>
      <w:r>
        <w:rPr>
          <w:rFonts w:hint="eastAsia" w:ascii="宋体" w:hAnsi="宋体" w:eastAsia="宋体" w:cs="宋体"/>
          <w:color w:val="auto"/>
          <w:sz w:val="21"/>
          <w:szCs w:val="21"/>
          <w:highlight w:val="none"/>
        </w:rPr>
        <w:t>——保护电器在规定时间内切断故障回路的动作电流（A）</w:t>
      </w:r>
      <w:r>
        <w:rPr>
          <w:rFonts w:hint="eastAsia" w:ascii="宋体" w:hAnsi="宋体" w:eastAsia="宋体" w:cs="宋体"/>
          <w:color w:val="auto"/>
          <w:sz w:val="21"/>
          <w:szCs w:val="21"/>
          <w:highlight w:val="none"/>
          <w:lang w:eastAsia="zh-CN"/>
        </w:rPr>
        <w:t>。</w:t>
      </w:r>
      <w:bookmarkEnd w:id="158"/>
    </w:p>
    <w:p>
      <w:pPr>
        <w:widowControl/>
        <w:jc w:val="left"/>
        <w:rPr>
          <w:rFonts w:ascii="宋体" w:hAnsi="宋体" w:eastAsia="宋体" w:cs="宋体"/>
          <w:color w:val="auto"/>
          <w:sz w:val="21"/>
          <w:szCs w:val="21"/>
          <w:highlight w:val="none"/>
        </w:rPr>
      </w:pPr>
      <w:r>
        <w:rPr>
          <w:rFonts w:ascii="宋体" w:hAnsi="宋体" w:eastAsia="宋体" w:cs="宋体"/>
          <w:color w:val="auto"/>
          <w:sz w:val="21"/>
          <w:szCs w:val="21"/>
          <w:highlight w:val="none"/>
        </w:rPr>
        <w:br w:type="page"/>
      </w:r>
    </w:p>
    <w:p>
      <w:pPr>
        <w:pStyle w:val="37"/>
        <w:spacing w:line="276" w:lineRule="auto"/>
        <w:rPr>
          <w:rFonts w:eastAsia="宋体" w:cs="Times New Roman"/>
          <w:bCs/>
          <w:color w:val="auto"/>
          <w:szCs w:val="44"/>
          <w:highlight w:val="none"/>
        </w:rPr>
      </w:pPr>
      <w:bookmarkStart w:id="168" w:name="_Toc25394"/>
      <w:bookmarkStart w:id="169" w:name="_Toc10783"/>
      <w:bookmarkStart w:id="170" w:name="_Toc27079"/>
      <w:bookmarkStart w:id="171" w:name="_Toc26638"/>
      <w:bookmarkStart w:id="172" w:name="_Toc13577"/>
      <w:r>
        <w:rPr>
          <w:rFonts w:eastAsia="宋体" w:cs="Times New Roman"/>
          <w:bCs/>
          <w:color w:val="auto"/>
          <w:szCs w:val="44"/>
          <w:highlight w:val="none"/>
        </w:rPr>
        <w:t>9</w:t>
      </w:r>
      <w:bookmarkStart w:id="173" w:name="_Hlk145159129"/>
      <w:r>
        <w:rPr>
          <w:rFonts w:hint="eastAsia" w:eastAsia="宋体" w:cs="Times New Roman"/>
          <w:bCs/>
          <w:color w:val="auto"/>
          <w:szCs w:val="44"/>
          <w:highlight w:val="none"/>
          <w:lang w:val="en-US" w:eastAsia="zh-CN"/>
        </w:rPr>
        <w:t xml:space="preserve">   </w:t>
      </w:r>
      <w:r>
        <w:rPr>
          <w:rFonts w:hint="eastAsia" w:eastAsia="宋体" w:cs="Times New Roman"/>
          <w:bCs/>
          <w:color w:val="auto"/>
          <w:szCs w:val="44"/>
          <w:highlight w:val="none"/>
        </w:rPr>
        <w:t>剩余电流动作保护</w:t>
      </w:r>
      <w:r>
        <w:rPr>
          <w:rFonts w:hint="eastAsia" w:eastAsia="宋体" w:cs="Times New Roman"/>
          <w:bCs/>
          <w:color w:val="auto"/>
          <w:szCs w:val="44"/>
          <w:highlight w:val="none"/>
          <w:lang w:val="en-US" w:eastAsia="zh-CN"/>
        </w:rPr>
        <w:t>器动作</w:t>
      </w:r>
      <w:r>
        <w:rPr>
          <w:rFonts w:hint="eastAsia" w:eastAsia="宋体" w:cs="Times New Roman"/>
          <w:bCs/>
          <w:color w:val="auto"/>
          <w:szCs w:val="44"/>
          <w:highlight w:val="none"/>
        </w:rPr>
        <w:t>特性检测</w:t>
      </w:r>
      <w:bookmarkEnd w:id="168"/>
      <w:bookmarkEnd w:id="169"/>
      <w:bookmarkEnd w:id="170"/>
      <w:bookmarkEnd w:id="171"/>
      <w:bookmarkEnd w:id="172"/>
      <w:bookmarkEnd w:id="173"/>
    </w:p>
    <w:p>
      <w:pPr>
        <w:pStyle w:val="3"/>
        <w:jc w:val="center"/>
        <w:rPr>
          <w:rFonts w:hint="default" w:ascii="宋体" w:hAnsi="宋体" w:eastAsia="宋体" w:cs="宋体"/>
          <w:color w:val="auto"/>
          <w:sz w:val="21"/>
          <w:szCs w:val="21"/>
          <w:highlight w:val="none"/>
          <w:lang w:val="en-US" w:eastAsia="zh-CN"/>
        </w:rPr>
      </w:pPr>
      <w:bookmarkStart w:id="174" w:name="_Toc31469"/>
      <w:bookmarkStart w:id="175" w:name="_Toc17362"/>
      <w:bookmarkStart w:id="176" w:name="_Toc18095"/>
      <w:bookmarkStart w:id="177" w:name="_Toc14244"/>
      <w:bookmarkStart w:id="178" w:name="_Toc16394"/>
      <w:r>
        <w:rPr>
          <w:rFonts w:ascii="宋体" w:hAnsi="宋体" w:eastAsia="宋体" w:cs="宋体"/>
          <w:color w:val="auto"/>
          <w:sz w:val="21"/>
          <w:szCs w:val="21"/>
          <w:highlight w:val="none"/>
        </w:rPr>
        <w:t>9.1</w:t>
      </w:r>
      <w:r>
        <w:rPr>
          <w:rFonts w:hint="eastAsia" w:ascii="宋体" w:hAnsi="宋体" w:eastAsia="宋体" w:cs="宋体"/>
          <w:color w:val="auto"/>
          <w:sz w:val="21"/>
          <w:szCs w:val="21"/>
          <w:highlight w:val="none"/>
          <w:lang w:val="en-US" w:eastAsia="zh-CN"/>
        </w:rPr>
        <w:t xml:space="preserve">  一般规定</w:t>
      </w:r>
      <w:bookmarkEnd w:id="174"/>
      <w:bookmarkEnd w:id="175"/>
      <w:bookmarkEnd w:id="176"/>
      <w:bookmarkEnd w:id="177"/>
      <w:bookmarkEnd w:id="178"/>
    </w:p>
    <w:p>
      <w:pP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 xml:space="preserve">9.1.1  </w:t>
      </w:r>
      <w:r>
        <w:rPr>
          <w:rFonts w:hint="eastAsia" w:ascii="宋体" w:hAnsi="宋体" w:eastAsia="宋体" w:cs="宋体"/>
          <w:color w:val="auto"/>
          <w:sz w:val="21"/>
          <w:szCs w:val="21"/>
          <w:highlight w:val="none"/>
          <w:lang w:val="en-US" w:eastAsia="zh-CN"/>
        </w:rPr>
        <w:t>本章</w:t>
      </w:r>
      <w:r>
        <w:rPr>
          <w:rFonts w:hint="eastAsia" w:ascii="宋体" w:hAnsi="宋体" w:eastAsia="宋体" w:cs="宋体"/>
          <w:color w:val="auto"/>
          <w:sz w:val="21"/>
          <w:szCs w:val="21"/>
          <w:highlight w:val="none"/>
        </w:rPr>
        <w:t>适用</w:t>
      </w:r>
      <w:r>
        <w:rPr>
          <w:rFonts w:hint="eastAsia" w:ascii="宋体" w:hAnsi="宋体" w:eastAsia="宋体" w:cs="宋体"/>
          <w:color w:val="auto"/>
          <w:sz w:val="21"/>
          <w:szCs w:val="21"/>
          <w:highlight w:val="none"/>
          <w:lang w:val="en-US" w:eastAsia="zh-CN"/>
        </w:rPr>
        <w:t>于</w:t>
      </w:r>
      <w:r>
        <w:rPr>
          <w:rFonts w:hint="eastAsia" w:ascii="宋体" w:hAnsi="宋体" w:eastAsia="宋体" w:cs="宋体"/>
          <w:color w:val="auto"/>
          <w:sz w:val="21"/>
          <w:szCs w:val="21"/>
          <w:highlight w:val="none"/>
        </w:rPr>
        <w:t>非延时类剩余电流动作保护器的动作特性检测</w:t>
      </w:r>
      <w:r>
        <w:rPr>
          <w:rFonts w:hint="eastAsia" w:ascii="宋体" w:hAnsi="宋体" w:eastAsia="宋体" w:cs="宋体"/>
          <w:color w:val="auto"/>
          <w:sz w:val="21"/>
          <w:szCs w:val="21"/>
          <w:highlight w:val="none"/>
          <w:lang w:eastAsia="zh-CN"/>
        </w:rPr>
        <w:t>。</w:t>
      </w:r>
    </w:p>
    <w:p>
      <w:pP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9.1.2  </w:t>
      </w:r>
      <w:r>
        <w:rPr>
          <w:rFonts w:hint="eastAsia" w:ascii="宋体" w:hAnsi="宋体" w:eastAsia="宋体" w:cs="宋体"/>
          <w:color w:val="auto"/>
          <w:sz w:val="21"/>
          <w:szCs w:val="21"/>
          <w:highlight w:val="none"/>
        </w:rPr>
        <w:t>剩余电流动作保护</w:t>
      </w:r>
      <w:r>
        <w:rPr>
          <w:rFonts w:hint="eastAsia" w:ascii="宋体" w:hAnsi="宋体" w:eastAsia="宋体" w:cs="宋体"/>
          <w:color w:val="auto"/>
          <w:sz w:val="21"/>
          <w:szCs w:val="21"/>
          <w:highlight w:val="none"/>
          <w:lang w:val="en-US" w:eastAsia="zh-CN"/>
        </w:rPr>
        <w:t>器动作</w:t>
      </w:r>
      <w:r>
        <w:rPr>
          <w:rFonts w:hint="eastAsia" w:ascii="宋体" w:hAnsi="宋体" w:eastAsia="宋体" w:cs="宋体"/>
          <w:color w:val="auto"/>
          <w:sz w:val="21"/>
          <w:szCs w:val="21"/>
          <w:highlight w:val="none"/>
        </w:rPr>
        <w:t>特性检测</w:t>
      </w:r>
      <w:r>
        <w:rPr>
          <w:rFonts w:hint="eastAsia" w:ascii="宋体" w:hAnsi="宋体" w:eastAsia="宋体" w:cs="宋体"/>
          <w:color w:val="auto"/>
          <w:sz w:val="21"/>
          <w:szCs w:val="21"/>
          <w:highlight w:val="none"/>
          <w:lang w:val="en-US" w:eastAsia="zh-CN"/>
        </w:rPr>
        <w:t>分为动作时间检测和动作电流检测。</w:t>
      </w:r>
    </w:p>
    <w:p>
      <w:pP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 xml:space="preserve">9.1.3  </w:t>
      </w:r>
      <w:r>
        <w:rPr>
          <w:rFonts w:hint="eastAsia" w:ascii="宋体" w:hAnsi="宋体" w:eastAsia="宋体" w:cs="宋体"/>
          <w:color w:val="auto"/>
          <w:sz w:val="21"/>
          <w:szCs w:val="21"/>
          <w:highlight w:val="none"/>
        </w:rPr>
        <w:t>不</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rPr>
        <w:t>用直接按压剩余电流动作保护器上的测试按钮替代剩余电流动作保护动作特性检测。</w:t>
      </w:r>
    </w:p>
    <w:p>
      <w:pP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 xml:space="preserve">9.1.4  </w:t>
      </w:r>
      <w:r>
        <w:rPr>
          <w:rFonts w:hint="eastAsia" w:ascii="宋体" w:hAnsi="宋体" w:eastAsia="宋体" w:cs="宋体"/>
          <w:color w:val="auto"/>
          <w:sz w:val="21"/>
          <w:szCs w:val="21"/>
          <w:highlight w:val="none"/>
          <w:lang w:val="en-US" w:eastAsia="zh-CN"/>
        </w:rPr>
        <w:t>检测将导致用电设备断电时，检测前应确认不因断电影响用电设备使用功能或造成损失</w:t>
      </w:r>
      <w:r>
        <w:rPr>
          <w:rFonts w:hint="eastAsia" w:ascii="宋体" w:hAnsi="宋体" w:eastAsia="宋体" w:cs="宋体"/>
          <w:color w:val="auto"/>
          <w:sz w:val="21"/>
          <w:szCs w:val="21"/>
          <w:highlight w:val="none"/>
        </w:rPr>
        <w:t>。</w:t>
      </w:r>
    </w:p>
    <w:p>
      <w:pPr>
        <w:pStyle w:val="3"/>
        <w:jc w:val="center"/>
        <w:rPr>
          <w:rFonts w:ascii="宋体" w:hAnsi="宋体" w:eastAsia="宋体" w:cs="宋体"/>
          <w:color w:val="auto"/>
          <w:sz w:val="21"/>
          <w:szCs w:val="21"/>
          <w:highlight w:val="none"/>
        </w:rPr>
      </w:pPr>
      <w:bookmarkStart w:id="179" w:name="_Toc23534"/>
      <w:bookmarkStart w:id="180" w:name="_Toc14816"/>
      <w:bookmarkStart w:id="181" w:name="_Toc15043"/>
      <w:bookmarkStart w:id="182" w:name="_Toc1745"/>
      <w:bookmarkStart w:id="183" w:name="_Toc23841"/>
      <w:r>
        <w:rPr>
          <w:rFonts w:ascii="宋体" w:hAnsi="宋体" w:eastAsia="宋体" w:cs="宋体"/>
          <w:color w:val="auto"/>
          <w:sz w:val="21"/>
          <w:szCs w:val="21"/>
          <w:highlight w:val="none"/>
        </w:rPr>
        <w:t>9.</w:t>
      </w:r>
      <w:r>
        <w:rPr>
          <w:rFonts w:hint="eastAsia" w:ascii="宋体" w:hAnsi="宋体" w:eastAsia="宋体" w:cs="宋体"/>
          <w:color w:val="auto"/>
          <w:sz w:val="21"/>
          <w:szCs w:val="21"/>
          <w:highlight w:val="none"/>
          <w:lang w:val="en-US" w:eastAsia="zh-CN"/>
        </w:rPr>
        <w:t xml:space="preserve">2  </w:t>
      </w:r>
      <w:r>
        <w:rPr>
          <w:rFonts w:hint="eastAsia" w:ascii="宋体" w:hAnsi="宋体" w:eastAsia="宋体" w:cs="宋体"/>
          <w:color w:val="auto"/>
          <w:sz w:val="21"/>
          <w:szCs w:val="21"/>
          <w:highlight w:val="none"/>
        </w:rPr>
        <w:t>检测部位和检测数量</w:t>
      </w:r>
      <w:bookmarkEnd w:id="179"/>
      <w:bookmarkEnd w:id="180"/>
      <w:bookmarkEnd w:id="181"/>
      <w:bookmarkEnd w:id="182"/>
      <w:bookmarkEnd w:id="183"/>
    </w:p>
    <w:p>
      <w:pP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 xml:space="preserve">9.2.1  </w:t>
      </w:r>
      <w:r>
        <w:rPr>
          <w:rFonts w:hint="eastAsia" w:ascii="宋体" w:hAnsi="宋体" w:eastAsia="宋体" w:cs="宋体"/>
          <w:color w:val="auto"/>
          <w:sz w:val="21"/>
          <w:szCs w:val="21"/>
          <w:highlight w:val="none"/>
          <w:lang w:val="en-US" w:eastAsia="zh-CN"/>
        </w:rPr>
        <w:t>具有</w:t>
      </w:r>
      <w:r>
        <w:rPr>
          <w:rFonts w:hint="eastAsia" w:ascii="宋体" w:hAnsi="宋体" w:eastAsia="宋体" w:cs="宋体"/>
          <w:color w:val="auto"/>
          <w:sz w:val="21"/>
          <w:szCs w:val="21"/>
          <w:highlight w:val="none"/>
        </w:rPr>
        <w:t>剩余电流动作保护</w:t>
      </w:r>
      <w:r>
        <w:rPr>
          <w:rFonts w:hint="eastAsia" w:ascii="宋体" w:hAnsi="宋体" w:eastAsia="宋体" w:cs="宋体"/>
          <w:color w:val="auto"/>
          <w:sz w:val="21"/>
          <w:szCs w:val="21"/>
          <w:highlight w:val="none"/>
          <w:lang w:val="en-US" w:eastAsia="zh-CN"/>
        </w:rPr>
        <w:t>器的电气回路应进行动作时间</w:t>
      </w:r>
      <w:r>
        <w:rPr>
          <w:rFonts w:hint="eastAsia" w:ascii="宋体" w:hAnsi="宋体" w:eastAsia="宋体" w:cs="宋体"/>
          <w:color w:val="auto"/>
          <w:sz w:val="21"/>
          <w:szCs w:val="21"/>
          <w:highlight w:val="none"/>
        </w:rPr>
        <w:t>检测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必要时，可进行动作电流检测</w:t>
      </w:r>
      <w:r>
        <w:rPr>
          <w:rFonts w:hint="eastAsia" w:ascii="宋体" w:hAnsi="宋体" w:eastAsia="宋体" w:cs="宋体"/>
          <w:color w:val="auto"/>
          <w:sz w:val="21"/>
          <w:szCs w:val="21"/>
          <w:highlight w:val="none"/>
          <w:lang w:eastAsia="zh-CN"/>
        </w:rPr>
        <w:t>。</w:t>
      </w:r>
    </w:p>
    <w:p>
      <w:pP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 xml:space="preserve">9.2.2  </w:t>
      </w:r>
      <w:r>
        <w:rPr>
          <w:rFonts w:hint="eastAsia" w:ascii="宋体" w:hAnsi="宋体" w:eastAsia="宋体" w:cs="宋体"/>
          <w:color w:val="auto"/>
          <w:sz w:val="21"/>
          <w:szCs w:val="21"/>
          <w:highlight w:val="none"/>
        </w:rPr>
        <w:t>每个配电箱应检测不少于1个剩余电流动作保护器；且每个单体工程中使用的</w:t>
      </w:r>
      <w:r>
        <w:rPr>
          <w:rFonts w:hint="eastAsia" w:ascii="宋体" w:hAnsi="宋体" w:eastAsia="宋体" w:cs="宋体"/>
          <w:color w:val="auto"/>
          <w:sz w:val="21"/>
          <w:szCs w:val="21"/>
          <w:highlight w:val="none"/>
          <w:lang w:val="en-US" w:eastAsia="zh-CN"/>
        </w:rPr>
        <w:t>不同生产</w:t>
      </w:r>
      <w:r>
        <w:rPr>
          <w:rFonts w:hint="eastAsia" w:ascii="宋体" w:hAnsi="宋体" w:eastAsia="宋体" w:cs="宋体"/>
          <w:color w:val="auto"/>
          <w:sz w:val="21"/>
          <w:szCs w:val="21"/>
          <w:highlight w:val="none"/>
        </w:rPr>
        <w:t>厂家、</w:t>
      </w:r>
      <w:r>
        <w:rPr>
          <w:rFonts w:hint="eastAsia" w:ascii="宋体" w:hAnsi="宋体" w:eastAsia="宋体" w:cs="宋体"/>
          <w:color w:val="auto"/>
          <w:sz w:val="21"/>
          <w:szCs w:val="21"/>
          <w:highlight w:val="none"/>
          <w:lang w:val="en-US" w:eastAsia="zh-CN"/>
        </w:rPr>
        <w:t>不同</w:t>
      </w:r>
      <w:r>
        <w:rPr>
          <w:rFonts w:hint="eastAsia" w:ascii="宋体" w:hAnsi="宋体" w:eastAsia="宋体" w:cs="宋体"/>
          <w:color w:val="auto"/>
          <w:sz w:val="21"/>
          <w:szCs w:val="21"/>
          <w:highlight w:val="none"/>
        </w:rPr>
        <w:t>规格</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rPr>
        <w:t>的剩余电流动作保护器应检测不少于1个。</w:t>
      </w:r>
    </w:p>
    <w:p>
      <w:pPr>
        <w:rPr>
          <w:rFonts w:ascii="宋体" w:hAnsi="宋体" w:eastAsia="宋体" w:cs="宋体"/>
          <w:strike/>
          <w:color w:val="auto"/>
          <w:sz w:val="21"/>
          <w:szCs w:val="21"/>
          <w:highlight w:val="none"/>
        </w:rPr>
      </w:pPr>
      <w:r>
        <w:rPr>
          <w:rFonts w:hint="eastAsia" w:ascii="宋体" w:hAnsi="宋体" w:eastAsia="宋体" w:cs="宋体"/>
          <w:b/>
          <w:bCs/>
          <w:color w:val="auto"/>
          <w:sz w:val="21"/>
          <w:szCs w:val="21"/>
          <w:highlight w:val="none"/>
          <w:lang w:val="en-US" w:eastAsia="zh-CN"/>
        </w:rPr>
        <w:t xml:space="preserve">9.2.3  </w:t>
      </w:r>
      <w:r>
        <w:rPr>
          <w:rFonts w:hint="eastAsia" w:ascii="宋体" w:hAnsi="宋体" w:eastAsia="宋体" w:cs="宋体"/>
          <w:color w:val="auto"/>
          <w:sz w:val="21"/>
          <w:szCs w:val="21"/>
          <w:highlight w:val="none"/>
        </w:rPr>
        <w:t>每个剩余电流动作保护器</w:t>
      </w:r>
      <w:r>
        <w:rPr>
          <w:rFonts w:hint="eastAsia" w:ascii="宋体" w:hAnsi="宋体" w:eastAsia="宋体" w:cs="宋体"/>
          <w:color w:val="auto"/>
          <w:sz w:val="21"/>
          <w:szCs w:val="21"/>
          <w:highlight w:val="none"/>
          <w:lang w:val="en-US" w:eastAsia="zh-CN"/>
        </w:rPr>
        <w:t>保护的所有回路均应全数检测，每个回路</w:t>
      </w:r>
      <w:r>
        <w:rPr>
          <w:rFonts w:hint="eastAsia" w:ascii="宋体" w:hAnsi="宋体" w:eastAsia="宋体" w:cs="宋体"/>
          <w:color w:val="auto"/>
          <w:sz w:val="21"/>
          <w:szCs w:val="21"/>
          <w:highlight w:val="none"/>
        </w:rPr>
        <w:t>测试</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次。</w:t>
      </w:r>
    </w:p>
    <w:p>
      <w:pPr>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 xml:space="preserve">9.2.4  </w:t>
      </w:r>
      <w:r>
        <w:rPr>
          <w:rFonts w:hint="eastAsia" w:ascii="宋体" w:hAnsi="宋体" w:eastAsia="宋体" w:cs="宋体"/>
          <w:color w:val="auto"/>
          <w:sz w:val="21"/>
          <w:szCs w:val="21"/>
          <w:highlight w:val="none"/>
          <w:lang w:val="en-US" w:eastAsia="zh-CN"/>
        </w:rPr>
        <w:t>当剩余电流动作保护器</w:t>
      </w:r>
      <w:r>
        <w:rPr>
          <w:rFonts w:hint="eastAsia" w:ascii="宋体" w:hAnsi="宋体" w:eastAsia="宋体" w:cs="宋体"/>
          <w:color w:val="auto"/>
          <w:sz w:val="21"/>
          <w:szCs w:val="21"/>
          <w:highlight w:val="none"/>
        </w:rPr>
        <w:t>具有多个剩余动作电流整定值时，应对每个整定值试验。</w:t>
      </w:r>
    </w:p>
    <w:p>
      <w:pPr>
        <w:pStyle w:val="3"/>
        <w:jc w:val="center"/>
        <w:rPr>
          <w:rFonts w:ascii="宋体" w:hAnsi="宋体" w:eastAsia="宋体" w:cs="宋体"/>
          <w:color w:val="auto"/>
          <w:sz w:val="21"/>
          <w:szCs w:val="21"/>
          <w:highlight w:val="none"/>
        </w:rPr>
      </w:pPr>
      <w:bookmarkStart w:id="184" w:name="_Toc13424"/>
      <w:bookmarkStart w:id="185" w:name="_Toc29873"/>
      <w:bookmarkStart w:id="186" w:name="_Toc30704"/>
      <w:bookmarkStart w:id="187" w:name="_Toc29243"/>
      <w:bookmarkStart w:id="188" w:name="_Toc178"/>
      <w:r>
        <w:rPr>
          <w:rFonts w:ascii="宋体" w:hAnsi="宋体" w:eastAsia="宋体" w:cs="宋体"/>
          <w:color w:val="auto"/>
          <w:sz w:val="21"/>
          <w:szCs w:val="21"/>
          <w:highlight w:val="none"/>
        </w:rPr>
        <w:t>9.</w:t>
      </w:r>
      <w:r>
        <w:rPr>
          <w:rFonts w:hint="eastAsia" w:ascii="宋体" w:hAnsi="宋体" w:eastAsia="宋体" w:cs="宋体"/>
          <w:color w:val="auto"/>
          <w:sz w:val="21"/>
          <w:szCs w:val="21"/>
          <w:highlight w:val="none"/>
          <w:lang w:val="en-US" w:eastAsia="zh-CN"/>
        </w:rPr>
        <w:t>3  检测</w:t>
      </w:r>
      <w:r>
        <w:rPr>
          <w:rFonts w:hint="eastAsia" w:ascii="宋体" w:hAnsi="宋体" w:eastAsia="宋体" w:cs="宋体"/>
          <w:color w:val="auto"/>
          <w:sz w:val="21"/>
          <w:szCs w:val="21"/>
          <w:highlight w:val="none"/>
        </w:rPr>
        <w:t>方法</w:t>
      </w:r>
      <w:bookmarkEnd w:id="184"/>
      <w:bookmarkEnd w:id="185"/>
      <w:bookmarkEnd w:id="186"/>
      <w:bookmarkEnd w:id="187"/>
      <w:bookmarkEnd w:id="188"/>
    </w:p>
    <w:p>
      <w:pPr>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9.3.1  </w:t>
      </w:r>
      <w:r>
        <w:rPr>
          <w:rFonts w:hint="eastAsia" w:ascii="宋体" w:hAnsi="宋体" w:eastAsia="宋体" w:cs="宋体"/>
          <w:color w:val="auto"/>
          <w:sz w:val="21"/>
          <w:szCs w:val="21"/>
          <w:highlight w:val="none"/>
          <w:lang w:val="en-US" w:eastAsia="zh-CN"/>
        </w:rPr>
        <w:t>动作时间检测用</w:t>
      </w:r>
      <w:r>
        <w:rPr>
          <w:rFonts w:hint="eastAsia" w:ascii="宋体" w:hAnsi="宋体" w:eastAsia="宋体" w:cs="宋体"/>
          <w:color w:val="auto"/>
          <w:sz w:val="21"/>
          <w:szCs w:val="21"/>
          <w:highlight w:val="none"/>
        </w:rPr>
        <w:t>剩余电流动作保护</w:t>
      </w:r>
      <w:r>
        <w:rPr>
          <w:rFonts w:hint="eastAsia" w:ascii="宋体" w:hAnsi="宋体" w:eastAsia="宋体" w:cs="宋体"/>
          <w:color w:val="auto"/>
          <w:sz w:val="21"/>
          <w:szCs w:val="21"/>
          <w:highlight w:val="none"/>
          <w:lang w:val="en-US" w:eastAsia="zh-CN"/>
        </w:rPr>
        <w:t>器</w:t>
      </w:r>
      <w:r>
        <w:rPr>
          <w:rFonts w:hint="eastAsia" w:ascii="宋体" w:hAnsi="宋体" w:eastAsia="宋体" w:cs="宋体"/>
          <w:color w:val="auto"/>
          <w:sz w:val="21"/>
          <w:szCs w:val="21"/>
          <w:highlight w:val="none"/>
          <w:lang w:eastAsia="zh-CN"/>
        </w:rPr>
        <w:t>检测仪器</w:t>
      </w:r>
      <w:r>
        <w:rPr>
          <w:rFonts w:hint="eastAsia" w:ascii="宋体" w:hAnsi="宋体" w:eastAsia="宋体" w:cs="宋体"/>
          <w:color w:val="auto"/>
          <w:sz w:val="21"/>
          <w:szCs w:val="21"/>
          <w:highlight w:val="none"/>
          <w:lang w:val="en-US" w:eastAsia="zh-CN"/>
        </w:rPr>
        <w:t>应具备突加</w:t>
      </w:r>
      <w:r>
        <w:rPr>
          <w:rFonts w:hint="eastAsia" w:ascii="宋体" w:hAnsi="宋体" w:eastAsia="宋体" w:cs="宋体"/>
          <w:color w:val="auto"/>
          <w:sz w:val="21"/>
          <w:szCs w:val="21"/>
          <w:highlight w:val="none"/>
        </w:rPr>
        <w:t>剩余动作电流</w:t>
      </w:r>
      <w:r>
        <w:rPr>
          <w:rFonts w:hint="eastAsia" w:ascii="宋体" w:hAnsi="宋体" w:eastAsia="宋体" w:cs="宋体"/>
          <w:color w:val="auto"/>
          <w:sz w:val="21"/>
          <w:szCs w:val="21"/>
          <w:highlight w:val="none"/>
          <w:lang w:val="en-US" w:eastAsia="zh-CN"/>
        </w:rPr>
        <w:t>的功能，施加的</w:t>
      </w:r>
      <w:r>
        <w:rPr>
          <w:rFonts w:hint="eastAsia" w:ascii="宋体" w:hAnsi="宋体" w:eastAsia="宋体" w:cs="宋体"/>
          <w:color w:val="auto"/>
          <w:sz w:val="21"/>
          <w:szCs w:val="21"/>
          <w:highlight w:val="none"/>
        </w:rPr>
        <w:t>剩余动作电流</w:t>
      </w:r>
      <w:r>
        <w:rPr>
          <w:rFonts w:hint="eastAsia" w:ascii="宋体" w:hAnsi="宋体" w:eastAsia="宋体" w:cs="宋体"/>
          <w:color w:val="auto"/>
          <w:sz w:val="21"/>
          <w:szCs w:val="21"/>
          <w:highlight w:val="none"/>
          <w:lang w:val="en-US" w:eastAsia="zh-CN"/>
        </w:rPr>
        <w:t>不小于被测对象的额定剩余动作电流</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动作电流检测用</w:t>
      </w:r>
      <w:r>
        <w:rPr>
          <w:rFonts w:hint="eastAsia" w:ascii="宋体" w:hAnsi="宋体" w:eastAsia="宋体" w:cs="宋体"/>
          <w:color w:val="auto"/>
          <w:sz w:val="21"/>
          <w:szCs w:val="21"/>
          <w:highlight w:val="none"/>
        </w:rPr>
        <w:t>剩余电流</w:t>
      </w:r>
      <w:r>
        <w:rPr>
          <w:rFonts w:hint="eastAsia" w:ascii="宋体" w:hAnsi="宋体" w:eastAsia="宋体" w:cs="宋体"/>
          <w:color w:val="auto"/>
          <w:sz w:val="21"/>
          <w:szCs w:val="21"/>
          <w:highlight w:val="none"/>
          <w:lang w:val="en-US" w:eastAsia="zh-CN"/>
        </w:rPr>
        <w:t>动作</w:t>
      </w:r>
      <w:r>
        <w:rPr>
          <w:rFonts w:hint="eastAsia" w:ascii="宋体" w:hAnsi="宋体" w:eastAsia="宋体" w:cs="宋体"/>
          <w:color w:val="auto"/>
          <w:sz w:val="21"/>
          <w:szCs w:val="21"/>
          <w:highlight w:val="none"/>
        </w:rPr>
        <w:t>保护</w:t>
      </w:r>
      <w:r>
        <w:rPr>
          <w:rFonts w:hint="eastAsia" w:ascii="宋体" w:hAnsi="宋体" w:eastAsia="宋体" w:cs="宋体"/>
          <w:color w:val="auto"/>
          <w:sz w:val="21"/>
          <w:szCs w:val="21"/>
          <w:highlight w:val="none"/>
          <w:lang w:val="en-US" w:eastAsia="zh-CN"/>
        </w:rPr>
        <w:t>器</w:t>
      </w:r>
      <w:r>
        <w:rPr>
          <w:rFonts w:hint="eastAsia" w:ascii="宋体" w:hAnsi="宋体" w:eastAsia="宋体" w:cs="宋体"/>
          <w:color w:val="auto"/>
          <w:sz w:val="21"/>
          <w:szCs w:val="21"/>
          <w:highlight w:val="none"/>
          <w:lang w:eastAsia="zh-CN"/>
        </w:rPr>
        <w:t>检测仪器</w:t>
      </w:r>
      <w:r>
        <w:rPr>
          <w:rFonts w:hint="eastAsia" w:ascii="宋体" w:hAnsi="宋体" w:eastAsia="宋体" w:cs="宋体"/>
          <w:color w:val="auto"/>
          <w:sz w:val="21"/>
          <w:szCs w:val="21"/>
          <w:highlight w:val="none"/>
          <w:lang w:val="en-US" w:eastAsia="zh-CN"/>
        </w:rPr>
        <w:t>应具备逐步增加剩余动作电流的功能。</w:t>
      </w:r>
    </w:p>
    <w:p>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动作时间为1</w:t>
      </w:r>
      <w:r>
        <w:rPr>
          <w:rFonts w:ascii="宋体" w:hAnsi="宋体" w:eastAsia="宋体" w:cs="宋体"/>
          <w:color w:val="auto"/>
          <w:sz w:val="21"/>
          <w:szCs w:val="21"/>
          <w:highlight w:val="none"/>
        </w:rPr>
        <w:t>0</w:t>
      </w:r>
      <w:r>
        <w:rPr>
          <w:rFonts w:hint="eastAsia" w:ascii="宋体" w:hAnsi="宋体" w:eastAsia="宋体" w:cs="宋体"/>
          <w:color w:val="auto"/>
          <w:sz w:val="21"/>
          <w:szCs w:val="21"/>
          <w:highlight w:val="none"/>
        </w:rPr>
        <w:t>ms</w:t>
      </w:r>
      <w:r>
        <w:rPr>
          <w:rFonts w:ascii="宋体" w:hAnsi="宋体" w:eastAsia="宋体" w:cs="宋体"/>
          <w:color w:val="auto"/>
          <w:sz w:val="21"/>
          <w:szCs w:val="21"/>
          <w:highlight w:val="none"/>
        </w:rPr>
        <w:sym w:font="Symbol" w:char="F07E"/>
      </w:r>
      <w:r>
        <w:rPr>
          <w:rFonts w:ascii="宋体" w:hAnsi="宋体" w:eastAsia="宋体" w:cs="宋体"/>
          <w:color w:val="auto"/>
          <w:sz w:val="21"/>
          <w:szCs w:val="21"/>
          <w:highlight w:val="none"/>
        </w:rPr>
        <w:t>200</w:t>
      </w:r>
      <w:r>
        <w:rPr>
          <w:rFonts w:hint="eastAsia" w:ascii="宋体" w:hAnsi="宋体" w:eastAsia="宋体" w:cs="宋体"/>
          <w:color w:val="auto"/>
          <w:sz w:val="21"/>
          <w:szCs w:val="21"/>
          <w:highlight w:val="none"/>
        </w:rPr>
        <w:t>ms</w:t>
      </w:r>
      <w:r>
        <w:rPr>
          <w:rFonts w:hint="eastAsia" w:ascii="宋体" w:hAnsi="宋体" w:eastAsia="宋体" w:cs="宋体"/>
          <w:color w:val="auto"/>
          <w:sz w:val="21"/>
          <w:szCs w:val="21"/>
          <w:highlight w:val="none"/>
          <w:lang w:val="en-US" w:eastAsia="zh-CN"/>
        </w:rPr>
        <w:t>时</w:t>
      </w:r>
      <w:r>
        <w:rPr>
          <w:rFonts w:hint="eastAsia" w:ascii="宋体" w:hAnsi="宋体" w:eastAsia="宋体" w:cs="宋体"/>
          <w:color w:val="auto"/>
          <w:sz w:val="21"/>
          <w:szCs w:val="21"/>
          <w:highlight w:val="none"/>
        </w:rPr>
        <w:t>，测量时间的</w:t>
      </w:r>
      <w:r>
        <w:rPr>
          <w:rFonts w:hint="eastAsia" w:ascii="宋体" w:hAnsi="宋体" w:eastAsia="宋体" w:cs="宋体"/>
          <w:color w:val="auto"/>
          <w:sz w:val="21"/>
          <w:szCs w:val="21"/>
          <w:highlight w:val="none"/>
          <w:lang w:val="en-US" w:eastAsia="zh-CN"/>
        </w:rPr>
        <w:t>仪表</w:t>
      </w:r>
      <w:r>
        <w:rPr>
          <w:rFonts w:hint="eastAsia" w:ascii="宋体" w:hAnsi="宋体" w:eastAsia="宋体" w:cs="宋体"/>
          <w:color w:val="auto"/>
          <w:sz w:val="21"/>
          <w:szCs w:val="21"/>
          <w:highlight w:val="none"/>
        </w:rPr>
        <w:t>精度为</w:t>
      </w:r>
      <w:r>
        <w:rPr>
          <w:rFonts w:hint="eastAsia" w:ascii="仿宋" w:hAnsi="仿宋" w:eastAsia="仿宋" w:cs="宋体"/>
          <w:color w:val="auto"/>
          <w:sz w:val="21"/>
          <w:szCs w:val="21"/>
          <w:highlight w:val="none"/>
        </w:rPr>
        <w:t>±</w:t>
      </w:r>
      <w:r>
        <w:rPr>
          <w:rFonts w:hint="eastAsia" w:ascii="宋体" w:hAnsi="宋体" w:eastAsia="宋体" w:cs="宋体"/>
          <w:color w:val="auto"/>
          <w:sz w:val="21"/>
          <w:szCs w:val="21"/>
          <w:highlight w:val="none"/>
        </w:rPr>
        <w:t>5</w:t>
      </w:r>
      <w:r>
        <w:rPr>
          <w:rFonts w:ascii="宋体" w:hAnsi="宋体" w:eastAsia="宋体" w:cs="宋体"/>
          <w:color w:val="auto"/>
          <w:sz w:val="21"/>
          <w:szCs w:val="21"/>
          <w:highlight w:val="none"/>
        </w:rPr>
        <w:t>%</w:t>
      </w:r>
      <w:r>
        <w:rPr>
          <w:rFonts w:hint="eastAsia" w:ascii="宋体" w:hAnsi="宋体" w:eastAsia="宋体" w:cs="宋体"/>
          <w:color w:val="auto"/>
          <w:sz w:val="21"/>
          <w:szCs w:val="21"/>
          <w:highlight w:val="none"/>
        </w:rPr>
        <w:t>，动作时间为</w:t>
      </w:r>
      <w:r>
        <w:rPr>
          <w:rFonts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ms</w:t>
      </w:r>
      <w:r>
        <w:rPr>
          <w:rFonts w:ascii="宋体" w:hAnsi="宋体" w:eastAsia="宋体" w:cs="宋体"/>
          <w:color w:val="auto"/>
          <w:sz w:val="21"/>
          <w:szCs w:val="21"/>
          <w:highlight w:val="none"/>
        </w:rPr>
        <w:sym w:font="Symbol" w:char="F07E"/>
      </w:r>
      <w:r>
        <w:rPr>
          <w:rFonts w:ascii="宋体" w:hAnsi="宋体" w:eastAsia="宋体" w:cs="宋体"/>
          <w:color w:val="auto"/>
          <w:sz w:val="21"/>
          <w:szCs w:val="21"/>
          <w:highlight w:val="none"/>
        </w:rPr>
        <w:t>1</w:t>
      </w:r>
      <w:r>
        <w:rPr>
          <w:rFonts w:hint="eastAsia" w:ascii="宋体" w:hAnsi="宋体" w:eastAsia="宋体" w:cs="宋体"/>
          <w:color w:val="auto"/>
          <w:sz w:val="21"/>
          <w:szCs w:val="21"/>
          <w:highlight w:val="none"/>
        </w:rPr>
        <w:t>s</w:t>
      </w:r>
      <w:r>
        <w:rPr>
          <w:rFonts w:hint="eastAsia" w:ascii="宋体" w:hAnsi="宋体" w:eastAsia="宋体" w:cs="宋体"/>
          <w:color w:val="auto"/>
          <w:sz w:val="21"/>
          <w:szCs w:val="21"/>
          <w:highlight w:val="none"/>
          <w:lang w:val="en-US" w:eastAsia="zh-CN"/>
        </w:rPr>
        <w:t>时</w:t>
      </w:r>
      <w:r>
        <w:rPr>
          <w:rFonts w:hint="eastAsia" w:ascii="宋体" w:hAnsi="宋体" w:eastAsia="宋体" w:cs="宋体"/>
          <w:color w:val="auto"/>
          <w:sz w:val="21"/>
          <w:szCs w:val="21"/>
          <w:highlight w:val="none"/>
        </w:rPr>
        <w:t>，测量时间的</w:t>
      </w:r>
      <w:r>
        <w:rPr>
          <w:rFonts w:hint="eastAsia" w:ascii="宋体" w:hAnsi="宋体" w:eastAsia="宋体" w:cs="宋体"/>
          <w:color w:val="auto"/>
          <w:sz w:val="21"/>
          <w:szCs w:val="21"/>
          <w:highlight w:val="none"/>
          <w:lang w:val="en-US" w:eastAsia="zh-CN"/>
        </w:rPr>
        <w:t>仪表</w:t>
      </w:r>
      <w:r>
        <w:rPr>
          <w:rFonts w:hint="eastAsia" w:ascii="宋体" w:hAnsi="宋体" w:eastAsia="宋体" w:cs="宋体"/>
          <w:color w:val="auto"/>
          <w:sz w:val="21"/>
          <w:szCs w:val="21"/>
          <w:highlight w:val="none"/>
        </w:rPr>
        <w:t>精度为1</w:t>
      </w:r>
      <w:r>
        <w:rPr>
          <w:rFonts w:ascii="宋体" w:hAnsi="宋体" w:eastAsia="宋体" w:cs="宋体"/>
          <w:color w:val="auto"/>
          <w:sz w:val="21"/>
          <w:szCs w:val="21"/>
          <w:highlight w:val="none"/>
        </w:rPr>
        <w:t>0</w:t>
      </w:r>
      <w:r>
        <w:rPr>
          <w:rFonts w:hint="eastAsia" w:ascii="宋体" w:hAnsi="宋体" w:eastAsia="宋体" w:cs="宋体"/>
          <w:color w:val="auto"/>
          <w:sz w:val="21"/>
          <w:szCs w:val="21"/>
          <w:highlight w:val="none"/>
        </w:rPr>
        <w:t>ms。</w:t>
      </w:r>
    </w:p>
    <w:p>
      <w:pPr>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9.3.2  </w:t>
      </w:r>
      <w:r>
        <w:rPr>
          <w:rFonts w:hint="eastAsia" w:ascii="宋体" w:hAnsi="宋体" w:eastAsia="宋体" w:cs="宋体"/>
          <w:color w:val="auto"/>
          <w:sz w:val="21"/>
          <w:szCs w:val="21"/>
          <w:highlight w:val="none"/>
          <w:lang w:val="en-US" w:eastAsia="zh-CN"/>
        </w:rPr>
        <w:t>剩余电流动作保护器动作特性检测应符合下列规定：</w:t>
      </w:r>
    </w:p>
    <w:p>
      <w:pPr>
        <w:ind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 xml:space="preserve"> 插座回路应在插座端施加剩余电流；</w:t>
      </w:r>
    </w:p>
    <w:p>
      <w:pPr>
        <w:ind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 xml:space="preserve"> 干线回路宜在剩余电流动作保护器出线端施加剩余电流；</w:t>
      </w:r>
    </w:p>
    <w:p>
      <w:pPr>
        <w:ind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 xml:space="preserve"> 其他回路在回路末端施加剩余电流。</w:t>
      </w:r>
    </w:p>
    <w:p>
      <w:pPr>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 xml:space="preserve">9.3.3  </w:t>
      </w:r>
      <w:r>
        <w:rPr>
          <w:rFonts w:hint="eastAsia" w:ascii="宋体" w:hAnsi="宋体" w:eastAsia="宋体" w:cs="宋体"/>
          <w:color w:val="auto"/>
          <w:sz w:val="21"/>
          <w:szCs w:val="21"/>
          <w:highlight w:val="none"/>
          <w:lang w:val="en-US" w:eastAsia="zh-CN"/>
        </w:rPr>
        <w:t>动作时间检测应按下列步骤进行</w:t>
      </w:r>
      <w:r>
        <w:rPr>
          <w:rFonts w:hint="eastAsia" w:ascii="宋体" w:hAnsi="宋体" w:eastAsia="宋体" w:cs="宋体"/>
          <w:color w:val="auto"/>
          <w:sz w:val="21"/>
          <w:szCs w:val="21"/>
          <w:highlight w:val="none"/>
        </w:rPr>
        <w:t>：</w:t>
      </w:r>
    </w:p>
    <w:p>
      <w:pPr>
        <w:ind w:firstLine="422" w:firstLineChars="20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将剩余电流动作保护器处于通路状态；</w:t>
      </w:r>
    </w:p>
    <w:p>
      <w:pPr>
        <w:ind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2</w:t>
      </w:r>
      <w:r>
        <w:rPr>
          <w:rFonts w:hint="eastAsia" w:ascii="宋体" w:hAnsi="宋体" w:eastAsia="宋体" w:cs="宋体"/>
          <w:color w:val="auto"/>
          <w:sz w:val="21"/>
          <w:szCs w:val="21"/>
          <w:highlight w:val="none"/>
          <w:lang w:val="en-US" w:eastAsia="zh-CN"/>
        </w:rPr>
        <w:t xml:space="preserve"> 将剩余电流动作保护器检测仪器连接任一相导体和PE端；</w:t>
      </w:r>
    </w:p>
    <w:p>
      <w:pPr>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 xml:space="preserve"> 剩余电流动作保护器检测仪器向回路突加</w:t>
      </w:r>
      <w:r>
        <w:rPr>
          <w:rFonts w:hint="eastAsia" w:ascii="宋体" w:hAnsi="宋体" w:eastAsia="宋体" w:cs="宋体"/>
          <w:color w:val="auto"/>
          <w:sz w:val="21"/>
          <w:szCs w:val="21"/>
          <w:highlight w:val="none"/>
        </w:rPr>
        <w:t>额定剩余动作电流，记录剩余电流动作保护器分断时间。</w:t>
      </w:r>
    </w:p>
    <w:p>
      <w:pPr>
        <w:ind w:firstLine="360" w:firstLineChars="200"/>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注：采用导线将剩余电流动作保护器检测仪器与回路连接时，必须先将回路断电，待完成检测仪器连接后再送电并进行测试。</w:t>
      </w:r>
    </w:p>
    <w:p>
      <w:pPr>
        <w:rPr>
          <w:rFonts w:hint="eastAsia" w:ascii="宋体" w:hAnsi="宋体" w:eastAsia="宋体" w:cs="宋体"/>
          <w:color w:val="auto"/>
          <w:sz w:val="21"/>
          <w:szCs w:val="21"/>
          <w:highlight w:val="none"/>
          <w:lang w:val="en-US" w:eastAsia="zh-CN"/>
        </w:rPr>
      </w:pPr>
      <w:bookmarkStart w:id="189" w:name="OLE_LINK8"/>
      <w:bookmarkStart w:id="190" w:name="OLE_LINK9"/>
      <w:r>
        <w:rPr>
          <w:rFonts w:hint="eastAsia" w:ascii="宋体" w:hAnsi="宋体" w:eastAsia="宋体" w:cs="宋体"/>
          <w:b/>
          <w:bCs/>
          <w:color w:val="auto"/>
          <w:sz w:val="21"/>
          <w:szCs w:val="21"/>
          <w:highlight w:val="none"/>
          <w:lang w:val="en-US" w:eastAsia="zh-CN"/>
        </w:rPr>
        <w:t>9.3.4</w:t>
      </w:r>
      <w:bookmarkEnd w:id="189"/>
      <w:bookmarkEnd w:id="190"/>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动作电流检测应按下列步骤进行：</w:t>
      </w:r>
    </w:p>
    <w:p>
      <w:pPr>
        <w:ind w:firstLine="422" w:firstLineChars="20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将剩余电流动作保护器处于通路状态；</w:t>
      </w:r>
    </w:p>
    <w:p>
      <w:pPr>
        <w:ind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2</w:t>
      </w:r>
      <w:r>
        <w:rPr>
          <w:rFonts w:hint="eastAsia" w:ascii="宋体" w:hAnsi="宋体" w:eastAsia="宋体" w:cs="宋体"/>
          <w:color w:val="auto"/>
          <w:sz w:val="21"/>
          <w:szCs w:val="21"/>
          <w:highlight w:val="none"/>
          <w:lang w:val="en-US" w:eastAsia="zh-CN"/>
        </w:rPr>
        <w:t xml:space="preserve"> 将剩余电流动作保护器检测仪器连接任一相导体和PE端；</w:t>
      </w:r>
    </w:p>
    <w:p>
      <w:pPr>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 xml:space="preserve"> 剩余电流动作保护器检测仪器以逐渐增加剩余电流的方式向回路</w:t>
      </w:r>
      <w:r>
        <w:rPr>
          <w:rFonts w:hint="eastAsia" w:ascii="宋体" w:hAnsi="宋体" w:eastAsia="宋体" w:cs="宋体"/>
          <w:color w:val="auto"/>
          <w:sz w:val="21"/>
          <w:szCs w:val="21"/>
          <w:highlight w:val="none"/>
        </w:rPr>
        <w:t>施加剩余动作电流，记录剩余电流动作保护器分断时</w:t>
      </w:r>
      <w:r>
        <w:rPr>
          <w:rFonts w:hint="eastAsia" w:ascii="宋体" w:hAnsi="宋体" w:eastAsia="宋体" w:cs="宋体"/>
          <w:color w:val="auto"/>
          <w:sz w:val="21"/>
          <w:szCs w:val="21"/>
          <w:highlight w:val="none"/>
          <w:lang w:val="en-US" w:eastAsia="zh-CN"/>
        </w:rPr>
        <w:t>的剩余电流和动作时间</w:t>
      </w:r>
      <w:r>
        <w:rPr>
          <w:rFonts w:hint="eastAsia" w:ascii="宋体" w:hAnsi="宋体" w:eastAsia="宋体" w:cs="宋体"/>
          <w:color w:val="auto"/>
          <w:sz w:val="21"/>
          <w:szCs w:val="21"/>
          <w:highlight w:val="none"/>
        </w:rPr>
        <w:t>。</w:t>
      </w:r>
    </w:p>
    <w:p>
      <w:pPr>
        <w:ind w:firstLine="36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18"/>
          <w:szCs w:val="18"/>
          <w:highlight w:val="none"/>
          <w:lang w:val="en-US" w:eastAsia="zh-CN"/>
        </w:rPr>
        <w:t>注：采用导线将剩余电流动作保护器检测仪器与回路连接时，必须先将回路断电，待完成检测仪器连接后再送电并进行测试。</w:t>
      </w:r>
    </w:p>
    <w:p>
      <w:pPr>
        <w:pStyle w:val="3"/>
        <w:jc w:val="center"/>
        <w:rPr>
          <w:rFonts w:ascii="宋体" w:hAnsi="宋体" w:eastAsia="宋体" w:cs="宋体"/>
          <w:color w:val="auto"/>
          <w:sz w:val="21"/>
          <w:szCs w:val="21"/>
          <w:highlight w:val="none"/>
        </w:rPr>
      </w:pPr>
      <w:bookmarkStart w:id="191" w:name="_Toc21789"/>
      <w:bookmarkStart w:id="192" w:name="_Toc15280"/>
      <w:bookmarkStart w:id="193" w:name="_Toc12980"/>
      <w:bookmarkStart w:id="194" w:name="_Toc6987"/>
      <w:bookmarkStart w:id="195" w:name="_Toc12565"/>
      <w:r>
        <w:rPr>
          <w:rFonts w:ascii="宋体" w:hAnsi="宋体" w:eastAsia="宋体" w:cs="宋体"/>
          <w:color w:val="auto"/>
          <w:sz w:val="21"/>
          <w:szCs w:val="21"/>
          <w:highlight w:val="none"/>
        </w:rPr>
        <w:t>9.</w:t>
      </w:r>
      <w:r>
        <w:rPr>
          <w:rFonts w:hint="eastAsia" w:ascii="宋体" w:hAnsi="宋体" w:eastAsia="宋体" w:cs="宋体"/>
          <w:color w:val="auto"/>
          <w:sz w:val="21"/>
          <w:szCs w:val="21"/>
          <w:highlight w:val="none"/>
          <w:lang w:val="en-US" w:eastAsia="zh-CN"/>
        </w:rPr>
        <w:t xml:space="preserve">4  </w:t>
      </w:r>
      <w:r>
        <w:rPr>
          <w:rFonts w:hint="eastAsia" w:ascii="宋体" w:hAnsi="宋体" w:eastAsia="宋体" w:cs="宋体"/>
          <w:color w:val="auto"/>
          <w:sz w:val="21"/>
          <w:szCs w:val="21"/>
          <w:highlight w:val="none"/>
        </w:rPr>
        <w:t>检测结果</w:t>
      </w:r>
      <w:bookmarkEnd w:id="191"/>
      <w:r>
        <w:rPr>
          <w:rFonts w:hint="eastAsia" w:ascii="宋体" w:hAnsi="宋体" w:eastAsia="宋体" w:cs="宋体"/>
          <w:color w:val="auto"/>
          <w:sz w:val="21"/>
          <w:szCs w:val="21"/>
          <w:highlight w:val="none"/>
          <w:lang w:val="en-US" w:eastAsia="zh-CN"/>
        </w:rPr>
        <w:t>的评价</w:t>
      </w:r>
      <w:bookmarkEnd w:id="192"/>
      <w:bookmarkEnd w:id="193"/>
      <w:bookmarkEnd w:id="194"/>
      <w:bookmarkEnd w:id="195"/>
    </w:p>
    <w:p>
      <w:pP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9.4.1  当</w:t>
      </w:r>
      <w:r>
        <w:rPr>
          <w:rFonts w:hint="eastAsia" w:ascii="宋体" w:hAnsi="宋体" w:eastAsia="宋体" w:cs="宋体"/>
          <w:color w:val="auto"/>
          <w:sz w:val="21"/>
          <w:szCs w:val="21"/>
          <w:highlight w:val="none"/>
          <w:lang w:val="en-US" w:eastAsia="zh-CN"/>
        </w:rPr>
        <w:t>突</w:t>
      </w:r>
      <w:r>
        <w:rPr>
          <w:rFonts w:hint="eastAsia" w:ascii="宋体" w:hAnsi="宋体" w:eastAsia="宋体" w:cs="宋体"/>
          <w:color w:val="auto"/>
          <w:sz w:val="21"/>
          <w:szCs w:val="21"/>
          <w:highlight w:val="none"/>
        </w:rPr>
        <w:t>加额定剩余动作电流（I</w:t>
      </w:r>
      <w:r>
        <w:rPr>
          <w:rFonts w:ascii="宋体" w:hAnsi="宋体" w:eastAsia="宋体" w:cs="宋体"/>
          <w:color w:val="auto"/>
          <w:sz w:val="21"/>
          <w:szCs w:val="21"/>
          <w:highlight w:val="none"/>
          <w:vertAlign w:val="subscript"/>
        </w:rPr>
        <w:sym w:font="Symbol" w:char="F044"/>
      </w:r>
      <w:r>
        <w:rPr>
          <w:rFonts w:hint="eastAsia" w:ascii="宋体" w:hAnsi="宋体" w:eastAsia="宋体" w:cs="宋体"/>
          <w:color w:val="auto"/>
          <w:sz w:val="21"/>
          <w:szCs w:val="21"/>
          <w:highlight w:val="none"/>
          <w:vertAlign w:val="subscript"/>
        </w:rPr>
        <w:t>n</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时，动作</w:t>
      </w: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rPr>
        <w:t>不</w:t>
      </w:r>
      <w:r>
        <w:rPr>
          <w:rFonts w:hint="eastAsia" w:ascii="宋体" w:hAnsi="宋体" w:eastAsia="宋体" w:cs="宋体"/>
          <w:color w:val="auto"/>
          <w:sz w:val="21"/>
          <w:szCs w:val="21"/>
          <w:highlight w:val="none"/>
          <w:lang w:val="en-US" w:eastAsia="zh-CN"/>
        </w:rPr>
        <w:t>大于</w:t>
      </w:r>
      <w:r>
        <w:rPr>
          <w:rFonts w:hint="eastAsia" w:ascii="宋体" w:hAnsi="宋体" w:eastAsia="宋体" w:cs="宋体"/>
          <w:color w:val="auto"/>
          <w:sz w:val="21"/>
          <w:szCs w:val="21"/>
          <w:highlight w:val="none"/>
        </w:rPr>
        <w:t>剩余电流动作保护器</w:t>
      </w:r>
      <w:r>
        <w:rPr>
          <w:rFonts w:hint="eastAsia" w:ascii="宋体" w:hAnsi="宋体" w:eastAsia="宋体" w:cs="宋体"/>
          <w:color w:val="auto"/>
          <w:sz w:val="21"/>
          <w:szCs w:val="21"/>
          <w:highlight w:val="none"/>
          <w:lang w:val="en-US" w:eastAsia="zh-CN"/>
        </w:rPr>
        <w:t>产品要求</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最大</w:t>
      </w:r>
      <w:r>
        <w:rPr>
          <w:rFonts w:hint="eastAsia" w:ascii="宋体" w:hAnsi="宋体" w:eastAsia="宋体" w:cs="宋体"/>
          <w:color w:val="auto"/>
          <w:sz w:val="21"/>
          <w:szCs w:val="21"/>
          <w:highlight w:val="none"/>
        </w:rPr>
        <w:t>动作时间</w:t>
      </w:r>
      <w:r>
        <w:rPr>
          <w:rFonts w:hint="eastAsia" w:ascii="宋体" w:hAnsi="宋体" w:eastAsia="宋体" w:cs="宋体"/>
          <w:color w:val="auto"/>
          <w:sz w:val="21"/>
          <w:szCs w:val="21"/>
          <w:highlight w:val="none"/>
          <w:lang w:val="en-US" w:eastAsia="zh-CN"/>
        </w:rPr>
        <w:t>或设计要求</w:t>
      </w:r>
      <w:r>
        <w:rPr>
          <w:rFonts w:hint="eastAsia" w:ascii="宋体" w:hAnsi="宋体" w:eastAsia="宋体" w:cs="宋体"/>
          <w:color w:val="auto"/>
          <w:sz w:val="21"/>
          <w:szCs w:val="21"/>
          <w:highlight w:val="none"/>
        </w:rPr>
        <w:t>。</w:t>
      </w:r>
    </w:p>
    <w:p>
      <w:pP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9.4.2  当</w:t>
      </w:r>
      <w:r>
        <w:rPr>
          <w:rFonts w:hint="eastAsia" w:ascii="宋体" w:hAnsi="宋体" w:eastAsia="宋体" w:cs="宋体"/>
          <w:color w:val="auto"/>
          <w:sz w:val="21"/>
          <w:szCs w:val="21"/>
          <w:highlight w:val="none"/>
          <w:lang w:val="en-US" w:eastAsia="zh-CN"/>
        </w:rPr>
        <w:t>逐渐施加</w:t>
      </w:r>
      <w:r>
        <w:rPr>
          <w:rFonts w:hint="eastAsia" w:ascii="宋体" w:hAnsi="宋体" w:eastAsia="宋体" w:cs="宋体"/>
          <w:color w:val="auto"/>
          <w:sz w:val="21"/>
          <w:szCs w:val="21"/>
          <w:highlight w:val="none"/>
        </w:rPr>
        <w:t>剩余动作电流</w:t>
      </w:r>
      <w:r>
        <w:rPr>
          <w:rFonts w:hint="eastAsia" w:ascii="宋体" w:hAnsi="宋体" w:eastAsia="宋体" w:cs="宋体"/>
          <w:color w:val="auto"/>
          <w:sz w:val="21"/>
          <w:szCs w:val="21"/>
          <w:highlight w:val="none"/>
          <w:lang w:val="en-US" w:eastAsia="zh-CN"/>
        </w:rPr>
        <w:t>时，最大动作电流应</w:t>
      </w:r>
      <w:r>
        <w:rPr>
          <w:rFonts w:hint="eastAsia" w:ascii="宋体" w:hAnsi="宋体" w:eastAsia="宋体" w:cs="宋体"/>
          <w:color w:val="auto"/>
          <w:sz w:val="21"/>
          <w:szCs w:val="21"/>
          <w:highlight w:val="none"/>
        </w:rPr>
        <w:t>不大于额定剩余动作电流</w:t>
      </w:r>
      <w:r>
        <w:rPr>
          <w:rFonts w:hint="eastAsia" w:ascii="宋体" w:hAnsi="宋体" w:eastAsia="宋体" w:cs="宋体"/>
          <w:color w:val="auto"/>
          <w:sz w:val="21"/>
          <w:szCs w:val="21"/>
          <w:highlight w:val="none"/>
          <w:lang w:val="en-US" w:eastAsia="zh-CN"/>
        </w:rPr>
        <w:t>且</w:t>
      </w:r>
      <w:r>
        <w:rPr>
          <w:rFonts w:hint="eastAsia" w:ascii="宋体" w:hAnsi="宋体" w:eastAsia="宋体" w:cs="宋体"/>
          <w:color w:val="auto"/>
          <w:sz w:val="21"/>
          <w:szCs w:val="21"/>
          <w:highlight w:val="none"/>
        </w:rPr>
        <w:t>不小于额定剩余动作电流值的0.5倍</w:t>
      </w:r>
      <w:r>
        <w:rPr>
          <w:rFonts w:hint="eastAsia" w:ascii="宋体" w:hAnsi="宋体" w:eastAsia="宋体" w:cs="宋体"/>
          <w:color w:val="auto"/>
          <w:sz w:val="21"/>
          <w:szCs w:val="21"/>
          <w:highlight w:val="none"/>
          <w:lang w:eastAsia="zh-CN"/>
        </w:rPr>
        <w:t>。</w:t>
      </w:r>
    </w:p>
    <w:p>
      <w:pP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9.4.3</w:t>
      </w:r>
      <w:r>
        <w:rPr>
          <w:rFonts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检测过程中出现越级分断时，检测结果无效。</w:t>
      </w:r>
    </w:p>
    <w:p>
      <w:pPr>
        <w:rPr>
          <w:i/>
          <w:iCs/>
          <w:color w:val="auto"/>
          <w:sz w:val="21"/>
          <w:szCs w:val="21"/>
          <w:highlight w:val="none"/>
        </w:rPr>
      </w:pPr>
      <w:r>
        <w:rPr>
          <w:rFonts w:hint="eastAsia" w:ascii="宋体" w:hAnsi="宋体" w:eastAsia="宋体" w:cs="宋体"/>
          <w:b/>
          <w:bCs/>
          <w:color w:val="auto"/>
          <w:sz w:val="21"/>
          <w:szCs w:val="21"/>
          <w:highlight w:val="none"/>
          <w:lang w:val="en-US" w:eastAsia="zh-CN"/>
        </w:rPr>
        <w:t>9.4.4</w:t>
      </w:r>
      <w:r>
        <w:rPr>
          <w:rFonts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检测结果不合格</w:t>
      </w:r>
      <w:r>
        <w:rPr>
          <w:rFonts w:hint="eastAsia" w:ascii="宋体" w:hAnsi="宋体" w:eastAsia="宋体" w:cs="宋体"/>
          <w:color w:val="auto"/>
          <w:sz w:val="21"/>
          <w:szCs w:val="21"/>
          <w:highlight w:val="none"/>
          <w:lang w:val="en-US" w:eastAsia="zh-CN"/>
        </w:rPr>
        <w:t>或无效时</w:t>
      </w:r>
      <w:r>
        <w:rPr>
          <w:rFonts w:hint="eastAsia" w:ascii="宋体" w:hAnsi="宋体" w:eastAsia="宋体" w:cs="宋体"/>
          <w:color w:val="auto"/>
          <w:sz w:val="21"/>
          <w:szCs w:val="21"/>
          <w:highlight w:val="none"/>
        </w:rPr>
        <w:t>，应查找原因，整改后复测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对同厂家同规格的剩余电流动作保护器加倍抽检</w:t>
      </w:r>
      <w:r>
        <w:rPr>
          <w:rFonts w:hint="eastAsia" w:ascii="宋体" w:hAnsi="宋体" w:eastAsia="宋体" w:cs="宋体"/>
          <w:color w:val="auto"/>
          <w:sz w:val="21"/>
          <w:szCs w:val="21"/>
          <w:highlight w:val="none"/>
          <w:lang w:val="en-US" w:eastAsia="zh-CN"/>
        </w:rPr>
        <w:t>，全部合格，判定为合格</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复测仍有不合格，则应对未检测的同厂家同规格的</w:t>
      </w:r>
      <w:r>
        <w:rPr>
          <w:rFonts w:hint="eastAsia" w:ascii="宋体" w:hAnsi="宋体" w:eastAsia="宋体" w:cs="宋体"/>
          <w:color w:val="auto"/>
          <w:sz w:val="21"/>
          <w:szCs w:val="21"/>
          <w:highlight w:val="none"/>
        </w:rPr>
        <w:t>剩余电流动作保护器</w:t>
      </w:r>
      <w:r>
        <w:rPr>
          <w:rFonts w:hint="eastAsia" w:ascii="宋体" w:hAnsi="宋体" w:eastAsia="宋体" w:cs="宋体"/>
          <w:color w:val="auto"/>
          <w:sz w:val="21"/>
          <w:szCs w:val="21"/>
          <w:highlight w:val="none"/>
          <w:lang w:val="en-US" w:eastAsia="zh-CN"/>
        </w:rPr>
        <w:t>进行全数检测。所有不合格均应整改至合格。</w:t>
      </w:r>
      <w:r>
        <w:rPr>
          <w:i/>
          <w:iCs/>
          <w:color w:val="auto"/>
          <w:sz w:val="21"/>
          <w:szCs w:val="21"/>
          <w:highlight w:val="none"/>
        </w:rPr>
        <w:br w:type="page"/>
      </w:r>
    </w:p>
    <w:p>
      <w:pPr>
        <w:pStyle w:val="37"/>
        <w:spacing w:line="276" w:lineRule="auto"/>
        <w:rPr>
          <w:rFonts w:eastAsia="宋体" w:cs="Times New Roman"/>
          <w:bCs/>
          <w:color w:val="auto"/>
          <w:szCs w:val="44"/>
          <w:highlight w:val="none"/>
        </w:rPr>
      </w:pPr>
      <w:bookmarkStart w:id="196" w:name="_Toc20332"/>
      <w:bookmarkStart w:id="197" w:name="_Toc8648"/>
      <w:bookmarkStart w:id="198" w:name="_Toc3150"/>
      <w:bookmarkStart w:id="199" w:name="_Toc15228"/>
      <w:bookmarkStart w:id="200" w:name="_Toc20978"/>
      <w:r>
        <w:rPr>
          <w:rFonts w:hint="eastAsia" w:eastAsia="宋体" w:cs="Times New Roman"/>
          <w:bCs/>
          <w:color w:val="auto"/>
          <w:szCs w:val="44"/>
          <w:highlight w:val="none"/>
        </w:rPr>
        <w:t>10</w:t>
      </w:r>
      <w:r>
        <w:rPr>
          <w:rFonts w:hint="eastAsia" w:eastAsia="宋体" w:cs="Times New Roman"/>
          <w:bCs/>
          <w:color w:val="auto"/>
          <w:szCs w:val="44"/>
          <w:highlight w:val="none"/>
          <w:lang w:val="en-US" w:eastAsia="zh-CN"/>
        </w:rPr>
        <w:t xml:space="preserve">   </w:t>
      </w:r>
      <w:r>
        <w:rPr>
          <w:rFonts w:hint="eastAsia" w:eastAsia="宋体" w:cs="Times New Roman"/>
          <w:bCs/>
          <w:color w:val="auto"/>
          <w:szCs w:val="44"/>
          <w:highlight w:val="none"/>
        </w:rPr>
        <w:t>接线正确性检测</w:t>
      </w:r>
      <w:bookmarkEnd w:id="196"/>
      <w:bookmarkEnd w:id="197"/>
      <w:bookmarkEnd w:id="198"/>
      <w:bookmarkEnd w:id="199"/>
      <w:bookmarkEnd w:id="200"/>
    </w:p>
    <w:p>
      <w:pPr>
        <w:pStyle w:val="3"/>
        <w:jc w:val="center"/>
        <w:rPr>
          <w:rFonts w:hint="eastAsia" w:ascii="宋体" w:hAnsi="宋体" w:eastAsia="宋体" w:cs="宋体"/>
          <w:color w:val="auto"/>
          <w:sz w:val="21"/>
          <w:szCs w:val="21"/>
          <w:highlight w:val="none"/>
          <w:lang w:val="en-US" w:eastAsia="zh-CN"/>
        </w:rPr>
      </w:pPr>
      <w:bookmarkStart w:id="201" w:name="_Toc6058"/>
      <w:bookmarkStart w:id="202" w:name="_Toc30279"/>
      <w:bookmarkStart w:id="203" w:name="_Toc23896"/>
      <w:bookmarkStart w:id="204" w:name="_Toc31532"/>
      <w:bookmarkStart w:id="205" w:name="_Toc28190"/>
      <w:bookmarkStart w:id="206" w:name="_Toc4556"/>
      <w:r>
        <w:rPr>
          <w:rFonts w:hint="eastAsia" w:ascii="宋体" w:hAnsi="宋体" w:eastAsia="宋体" w:cs="宋体"/>
          <w:color w:val="auto"/>
          <w:sz w:val="21"/>
          <w:szCs w:val="21"/>
          <w:highlight w:val="none"/>
          <w:lang w:val="en-US" w:eastAsia="zh-CN"/>
        </w:rPr>
        <w:t>10.1  一般规定</w:t>
      </w:r>
      <w:bookmarkEnd w:id="201"/>
      <w:bookmarkEnd w:id="202"/>
      <w:bookmarkEnd w:id="203"/>
      <w:bookmarkEnd w:id="204"/>
      <w:bookmarkEnd w:id="205"/>
    </w:p>
    <w:p>
      <w:pP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10.1.1  </w:t>
      </w:r>
      <w:r>
        <w:rPr>
          <w:rFonts w:hint="eastAsia" w:ascii="宋体" w:hAnsi="宋体" w:eastAsia="宋体" w:cs="宋体"/>
          <w:color w:val="auto"/>
          <w:sz w:val="21"/>
          <w:szCs w:val="21"/>
          <w:highlight w:val="none"/>
          <w:lang w:val="en-US" w:eastAsia="zh-CN"/>
        </w:rPr>
        <w:t>电气装置接线应按接线端头标志进行且接线应排列整齐、清晰、美观，导线绝缘应良好，无损伤。</w:t>
      </w:r>
    </w:p>
    <w:p>
      <w:pPr>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10.1</w:t>
      </w:r>
      <w:r>
        <w:rPr>
          <w:rFonts w:hint="default"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用于电气连接的螺栓或螺钉，应采用</w:t>
      </w:r>
      <w:r>
        <w:rPr>
          <w:rFonts w:hint="eastAsia" w:ascii="宋体" w:hAnsi="宋体" w:eastAsia="宋体" w:cs="宋体"/>
          <w:color w:val="auto"/>
          <w:sz w:val="21"/>
          <w:szCs w:val="21"/>
          <w:highlight w:val="none"/>
          <w:lang w:val="en-US" w:eastAsia="zh-CN"/>
        </w:rPr>
        <w:t>铜质或有电镀金属防锈层的产品，连接紧固应可靠且应有防松装置。</w:t>
      </w:r>
    </w:p>
    <w:p>
      <w:pPr>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10.1.</w:t>
      </w:r>
      <w:r>
        <w:rPr>
          <w:rFonts w:hint="default"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color w:val="auto"/>
          <w:sz w:val="21"/>
          <w:szCs w:val="21"/>
          <w:highlight w:val="none"/>
        </w:rPr>
        <w:t>检测过程中所有拆</w:t>
      </w:r>
      <w:r>
        <w:rPr>
          <w:rFonts w:hint="eastAsia" w:ascii="宋体" w:hAnsi="宋体" w:eastAsia="宋体" w:cs="宋体"/>
          <w:color w:val="auto"/>
          <w:sz w:val="21"/>
          <w:szCs w:val="21"/>
          <w:highlight w:val="none"/>
          <w:lang w:val="en-US" w:eastAsia="zh-CN"/>
        </w:rPr>
        <w:t>卸</w:t>
      </w:r>
      <w:r>
        <w:rPr>
          <w:rFonts w:hint="eastAsia" w:ascii="宋体" w:hAnsi="宋体" w:eastAsia="宋体" w:cs="宋体"/>
          <w:color w:val="auto"/>
          <w:sz w:val="21"/>
          <w:szCs w:val="21"/>
          <w:highlight w:val="none"/>
        </w:rPr>
        <w:t>的电线要</w:t>
      </w:r>
      <w:r>
        <w:rPr>
          <w:rFonts w:hint="eastAsia" w:ascii="宋体" w:hAnsi="宋体" w:eastAsia="宋体" w:cs="宋体"/>
          <w:color w:val="auto"/>
          <w:sz w:val="21"/>
          <w:szCs w:val="21"/>
          <w:highlight w:val="none"/>
          <w:lang w:val="en-US" w:eastAsia="zh-CN"/>
        </w:rPr>
        <w:t>作绝缘防护处理</w:t>
      </w:r>
      <w:r>
        <w:rPr>
          <w:rFonts w:hint="eastAsia" w:ascii="宋体" w:hAnsi="宋体" w:eastAsia="宋体" w:cs="宋体"/>
          <w:color w:val="auto"/>
          <w:sz w:val="21"/>
          <w:szCs w:val="21"/>
          <w:highlight w:val="none"/>
        </w:rPr>
        <w:t>，以防发生触电</w:t>
      </w:r>
      <w:r>
        <w:rPr>
          <w:rFonts w:hint="eastAsia" w:ascii="宋体" w:hAnsi="宋体" w:eastAsia="宋体" w:cs="宋体"/>
          <w:color w:val="auto"/>
          <w:sz w:val="21"/>
          <w:szCs w:val="21"/>
          <w:highlight w:val="none"/>
          <w:lang w:val="en-US" w:eastAsia="zh-CN"/>
        </w:rPr>
        <w:t>和短路事故</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检测完成后应立即将拆卸的导线恢复正常的连接，以保障电气装置正常的使用功能。</w:t>
      </w:r>
    </w:p>
    <w:p>
      <w:pPr>
        <w:pStyle w:val="3"/>
        <w:jc w:val="center"/>
        <w:rPr>
          <w:rFonts w:ascii="宋体" w:hAnsi="宋体" w:eastAsia="宋体" w:cs="宋体"/>
          <w:color w:val="auto"/>
          <w:sz w:val="21"/>
          <w:szCs w:val="21"/>
          <w:highlight w:val="none"/>
        </w:rPr>
      </w:pPr>
      <w:bookmarkStart w:id="207" w:name="_Toc19434"/>
      <w:bookmarkStart w:id="208" w:name="_Toc16499"/>
      <w:bookmarkStart w:id="209" w:name="_Toc30550"/>
      <w:bookmarkStart w:id="210" w:name="_Toc10298"/>
      <w:bookmarkStart w:id="211" w:name="_Toc18044"/>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 xml:space="preserve">2  </w:t>
      </w:r>
      <w:r>
        <w:rPr>
          <w:rFonts w:hint="eastAsia" w:ascii="宋体" w:hAnsi="宋体" w:eastAsia="宋体" w:cs="宋体"/>
          <w:color w:val="auto"/>
          <w:sz w:val="21"/>
          <w:szCs w:val="21"/>
          <w:highlight w:val="none"/>
        </w:rPr>
        <w:t>检测部位和检测数量</w:t>
      </w:r>
      <w:bookmarkEnd w:id="206"/>
      <w:bookmarkEnd w:id="207"/>
      <w:bookmarkEnd w:id="208"/>
      <w:bookmarkEnd w:id="209"/>
      <w:bookmarkEnd w:id="210"/>
      <w:bookmarkEnd w:id="211"/>
    </w:p>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10.2.1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接线正确性检测包括但不限于下列部位：</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 xml:space="preserve"> 插座；</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color w:val="auto"/>
          <w:sz w:val="21"/>
          <w:szCs w:val="21"/>
          <w:highlight w:val="none"/>
        </w:rPr>
        <w:t>柜、箱、盘内</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电涌保护器（SPD）</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 xml:space="preserve"> 照明配电箱（盘）；</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i w:val="0"/>
          <w:iCs w:val="0"/>
          <w:color w:val="auto"/>
          <w:sz w:val="21"/>
          <w:szCs w:val="21"/>
          <w:highlight w:val="none"/>
          <w:lang w:val="en-US" w:eastAsia="zh-CN"/>
        </w:rPr>
        <w:t>成套配电柜、控制箱（台、箱）和配电箱（盘）等配电装置。</w:t>
      </w:r>
    </w:p>
    <w:p>
      <w:pPr>
        <w:keepNext w:val="0"/>
        <w:keepLines w:val="0"/>
        <w:pageBreakBefore w:val="0"/>
        <w:widowControl w:val="0"/>
        <w:kinsoku/>
        <w:wordWrap/>
        <w:overflowPunct/>
        <w:topLinePunct w:val="0"/>
        <w:autoSpaceDE/>
        <w:autoSpaceDN/>
        <w:bidi w:val="0"/>
        <w:adjustRightInd/>
        <w:snapToGrid/>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10.2.2  </w:t>
      </w:r>
      <w:r>
        <w:rPr>
          <w:rFonts w:hint="eastAsia" w:ascii="宋体" w:hAnsi="宋体" w:eastAsia="宋体" w:cs="宋体"/>
          <w:color w:val="auto"/>
          <w:sz w:val="21"/>
          <w:szCs w:val="21"/>
          <w:highlight w:val="none"/>
          <w:lang w:val="en-US" w:eastAsia="zh-CN"/>
        </w:rPr>
        <w:t>插座接线正确性检测应按每检验批的插座型号各抽查不少于5%且均不应少于1个。</w:t>
      </w:r>
    </w:p>
    <w:p>
      <w:pPr>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 xml:space="preserve">10.2.3  </w:t>
      </w:r>
      <w:r>
        <w:rPr>
          <w:rFonts w:hint="eastAsia" w:ascii="宋体" w:hAnsi="宋体" w:eastAsia="宋体" w:cs="宋体"/>
          <w:color w:val="auto"/>
          <w:sz w:val="21"/>
          <w:szCs w:val="21"/>
          <w:highlight w:val="none"/>
        </w:rPr>
        <w:t>柜、箱、盘内</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电涌保护器（SPD）</w:t>
      </w:r>
      <w:r>
        <w:rPr>
          <w:rFonts w:hint="eastAsia" w:ascii="宋体" w:hAnsi="宋体" w:eastAsia="宋体" w:cs="宋体"/>
          <w:color w:val="auto"/>
          <w:sz w:val="21"/>
          <w:szCs w:val="21"/>
          <w:highlight w:val="none"/>
          <w:lang w:val="en-US" w:eastAsia="zh-CN"/>
        </w:rPr>
        <w:t>接线正确性检测应</w:t>
      </w:r>
      <w:r>
        <w:rPr>
          <w:rFonts w:hint="eastAsia" w:ascii="宋体" w:hAnsi="宋体" w:eastAsia="宋体" w:cs="宋体"/>
          <w:color w:val="auto"/>
          <w:sz w:val="21"/>
          <w:szCs w:val="21"/>
          <w:highlight w:val="none"/>
        </w:rPr>
        <w:t>按每个检验批电涌保护器（SPD）的数量抽查</w:t>
      </w:r>
      <w:r>
        <w:rPr>
          <w:rFonts w:hint="eastAsia" w:ascii="宋体" w:hAnsi="宋体" w:eastAsia="宋体" w:cs="宋体"/>
          <w:color w:val="auto"/>
          <w:sz w:val="21"/>
          <w:szCs w:val="21"/>
          <w:highlight w:val="none"/>
          <w:lang w:val="en-US" w:eastAsia="zh-CN"/>
        </w:rPr>
        <w:t>不少于</w:t>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eastAsia="zh-CN"/>
        </w:rPr>
        <w:t>且</w:t>
      </w:r>
      <w:r>
        <w:rPr>
          <w:rFonts w:hint="eastAsia" w:ascii="宋体" w:hAnsi="宋体" w:eastAsia="宋体" w:cs="宋体"/>
          <w:color w:val="auto"/>
          <w:sz w:val="21"/>
          <w:szCs w:val="21"/>
          <w:highlight w:val="none"/>
        </w:rPr>
        <w:t>不得少于1个。</w:t>
      </w:r>
    </w:p>
    <w:p>
      <w:pPr>
        <w:rPr>
          <w:color w:val="auto"/>
          <w:sz w:val="21"/>
          <w:szCs w:val="21"/>
          <w:highlight w:val="none"/>
        </w:rPr>
      </w:pPr>
      <w:r>
        <w:rPr>
          <w:rFonts w:hint="eastAsia" w:ascii="宋体" w:hAnsi="宋体" w:eastAsia="宋体" w:cs="宋体"/>
          <w:b/>
          <w:bCs/>
          <w:color w:val="auto"/>
          <w:sz w:val="21"/>
          <w:szCs w:val="21"/>
          <w:highlight w:val="none"/>
          <w:lang w:val="en-US" w:eastAsia="zh-CN"/>
        </w:rPr>
        <w:t xml:space="preserve">10.2.4  </w:t>
      </w:r>
      <w:r>
        <w:rPr>
          <w:rFonts w:hint="eastAsia" w:ascii="宋体" w:hAnsi="宋体" w:eastAsia="宋体" w:cs="宋体"/>
          <w:color w:val="auto"/>
          <w:sz w:val="21"/>
          <w:szCs w:val="21"/>
          <w:highlight w:val="none"/>
          <w:lang w:val="en-US" w:eastAsia="zh-CN"/>
        </w:rPr>
        <w:t>照明配电箱（盘）接线正确性检测应按照明配电箱（盘）数量抽查不少于10%且不得少于1台。</w:t>
      </w:r>
    </w:p>
    <w:p>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宋体" w:hAnsi="宋体" w:eastAsia="宋体" w:cs="宋体"/>
          <w:i w:val="0"/>
          <w:i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10.2.5  </w:t>
      </w:r>
      <w:r>
        <w:rPr>
          <w:rFonts w:hint="eastAsia" w:ascii="宋体" w:hAnsi="宋体" w:eastAsia="宋体" w:cs="宋体"/>
          <w:i w:val="0"/>
          <w:iCs w:val="0"/>
          <w:color w:val="auto"/>
          <w:sz w:val="21"/>
          <w:szCs w:val="21"/>
          <w:highlight w:val="none"/>
          <w:lang w:val="en-US" w:eastAsia="zh-CN"/>
        </w:rPr>
        <w:t>成套配电柜、控制箱（台、箱）和配电箱（盘）等配电装置接线正确性检测应全数检查。</w:t>
      </w:r>
    </w:p>
    <w:p>
      <w:pPr>
        <w:pStyle w:val="3"/>
        <w:jc w:val="center"/>
        <w:rPr>
          <w:rFonts w:ascii="宋体" w:hAnsi="宋体" w:eastAsia="宋体" w:cs="宋体"/>
          <w:color w:val="auto"/>
          <w:sz w:val="21"/>
          <w:szCs w:val="21"/>
          <w:highlight w:val="none"/>
        </w:rPr>
      </w:pPr>
      <w:bookmarkStart w:id="212" w:name="_Toc6413"/>
      <w:bookmarkStart w:id="213" w:name="_Toc18297"/>
      <w:bookmarkStart w:id="214" w:name="_Toc8549"/>
      <w:bookmarkStart w:id="215" w:name="_Toc6054"/>
      <w:bookmarkStart w:id="216" w:name="_Toc22093"/>
      <w:bookmarkStart w:id="217" w:name="_Toc6312"/>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 xml:space="preserve">3  </w:t>
      </w:r>
      <w:r>
        <w:rPr>
          <w:rFonts w:hint="eastAsia" w:ascii="宋体" w:hAnsi="宋体" w:eastAsia="宋体" w:cs="宋体"/>
          <w:color w:val="auto"/>
          <w:sz w:val="21"/>
          <w:szCs w:val="21"/>
          <w:highlight w:val="none"/>
        </w:rPr>
        <w:t>检测方法</w:t>
      </w:r>
      <w:bookmarkEnd w:id="212"/>
      <w:bookmarkEnd w:id="213"/>
      <w:bookmarkEnd w:id="214"/>
      <w:bookmarkEnd w:id="215"/>
      <w:bookmarkEnd w:id="216"/>
      <w:bookmarkEnd w:id="217"/>
    </w:p>
    <w:p>
      <w:pPr>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10.3.1</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接线正确性的检测仪器包括但不限于电压表、导通性测试仪、相序测试仪、量尺、螺丝刀、力矩扳手等设备。</w:t>
      </w:r>
    </w:p>
    <w:p>
      <w:pPr>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10.3.2  </w:t>
      </w:r>
      <w:r>
        <w:rPr>
          <w:rFonts w:hint="eastAsia" w:ascii="宋体" w:hAnsi="宋体" w:eastAsia="宋体" w:cs="宋体"/>
          <w:color w:val="auto"/>
          <w:sz w:val="21"/>
          <w:szCs w:val="21"/>
          <w:highlight w:val="none"/>
          <w:lang w:val="en-US" w:eastAsia="zh-CN"/>
        </w:rPr>
        <w:t>插座接线正确性检测应符合下列规定：</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 xml:space="preserve"> 应</w:t>
      </w:r>
      <w:r>
        <w:rPr>
          <w:rFonts w:hint="eastAsia" w:ascii="宋体" w:hAnsi="宋体" w:eastAsia="宋体" w:cs="宋体"/>
          <w:color w:val="auto"/>
          <w:sz w:val="21"/>
          <w:szCs w:val="21"/>
          <w:highlight w:val="none"/>
        </w:rPr>
        <w:t>用</w:t>
      </w:r>
      <w:r>
        <w:rPr>
          <w:rFonts w:hint="eastAsia" w:ascii="宋体" w:hAnsi="宋体" w:eastAsia="宋体" w:cs="宋体"/>
          <w:color w:val="auto"/>
          <w:sz w:val="21"/>
          <w:szCs w:val="21"/>
          <w:highlight w:val="none"/>
          <w:lang w:val="en-US" w:eastAsia="zh-CN"/>
        </w:rPr>
        <w:t>电压测量设备</w:t>
      </w:r>
      <w:r>
        <w:rPr>
          <w:rFonts w:hint="eastAsia" w:ascii="宋体" w:hAnsi="宋体" w:eastAsia="宋体" w:cs="宋体"/>
          <w:color w:val="auto"/>
          <w:sz w:val="21"/>
          <w:szCs w:val="21"/>
          <w:highlight w:val="none"/>
        </w:rPr>
        <w:t>依次对插座中各接线端子之间的电压进行测量；</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rPr>
        <w:t>用导通性测试仪测量插座PE线的导通性，</w:t>
      </w:r>
      <w:r>
        <w:rPr>
          <w:rFonts w:hint="eastAsia" w:ascii="宋体" w:hAnsi="宋体" w:eastAsia="宋体" w:cs="宋体"/>
          <w:color w:val="auto"/>
          <w:sz w:val="21"/>
          <w:szCs w:val="21"/>
          <w:highlight w:val="none"/>
          <w:lang w:val="en-US" w:eastAsia="zh-CN"/>
        </w:rPr>
        <w:t>以</w:t>
      </w:r>
      <w:r>
        <w:rPr>
          <w:rFonts w:hint="eastAsia" w:ascii="宋体" w:hAnsi="宋体" w:eastAsia="宋体" w:cs="宋体"/>
          <w:color w:val="auto"/>
          <w:sz w:val="21"/>
          <w:szCs w:val="21"/>
          <w:highlight w:val="none"/>
        </w:rPr>
        <w:t>确</w:t>
      </w:r>
      <w:r>
        <w:rPr>
          <w:rFonts w:hint="eastAsia" w:ascii="宋体" w:hAnsi="宋体" w:eastAsia="宋体" w:cs="宋体"/>
          <w:color w:val="auto"/>
          <w:sz w:val="21"/>
          <w:szCs w:val="21"/>
          <w:highlight w:val="none"/>
          <w:lang w:val="en-US" w:eastAsia="zh-CN"/>
        </w:rPr>
        <w:t>认</w:t>
      </w:r>
      <w:r>
        <w:rPr>
          <w:rFonts w:hint="eastAsia" w:ascii="宋体" w:hAnsi="宋体" w:eastAsia="宋体" w:cs="宋体"/>
          <w:color w:val="auto"/>
          <w:sz w:val="21"/>
          <w:szCs w:val="21"/>
          <w:highlight w:val="none"/>
        </w:rPr>
        <w:t>PE线在插座中安装位置是否正确</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rPr>
        <w:t>2</w:t>
      </w:r>
      <w:r>
        <w:rPr>
          <w:rFonts w:hint="eastAsia" w:ascii="宋体" w:hAnsi="宋体" w:eastAsia="宋体" w:cs="宋体"/>
          <w:color w:val="auto"/>
          <w:sz w:val="21"/>
          <w:szCs w:val="21"/>
          <w:highlight w:val="none"/>
        </w:rPr>
        <w:t xml:space="preserve"> 打开插座面板，观察插座接线端，确认插座中的PE线有无串接，相线和中性线导体有无利用接线端子转接供电</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rPr>
        <w:t>用相序测试仪判断同一场所的三相插座，其接线的相序是否一致</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4</w:t>
      </w:r>
      <w:r>
        <w:rPr>
          <w:rFonts w:hint="eastAsia" w:ascii="宋体" w:hAnsi="宋体" w:eastAsia="宋体" w:cs="宋体"/>
          <w:color w:val="auto"/>
          <w:sz w:val="21"/>
          <w:szCs w:val="21"/>
          <w:highlight w:val="none"/>
        </w:rPr>
        <w:t xml:space="preserve"> 当采用能断开电源的带开关插座，开关</w:t>
      </w:r>
      <w:r>
        <w:rPr>
          <w:rFonts w:hint="eastAsia" w:ascii="宋体" w:hAnsi="宋体" w:eastAsia="宋体" w:cs="宋体"/>
          <w:color w:val="auto"/>
          <w:sz w:val="21"/>
          <w:szCs w:val="21"/>
          <w:highlight w:val="none"/>
          <w:lang w:val="en-US" w:eastAsia="zh-CN"/>
        </w:rPr>
        <w:t>应能分断</w:t>
      </w:r>
      <w:r>
        <w:rPr>
          <w:rFonts w:hint="eastAsia" w:ascii="宋体" w:hAnsi="宋体" w:eastAsia="宋体" w:cs="宋体"/>
          <w:color w:val="auto"/>
          <w:sz w:val="21"/>
          <w:szCs w:val="21"/>
          <w:highlight w:val="none"/>
        </w:rPr>
        <w:t>相线。</w:t>
      </w:r>
    </w:p>
    <w:p>
      <w:pP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 xml:space="preserve">10.3.3  </w:t>
      </w:r>
      <w:r>
        <w:rPr>
          <w:rFonts w:hint="eastAsia" w:ascii="宋体" w:hAnsi="宋体" w:eastAsia="宋体" w:cs="宋体"/>
          <w:color w:val="auto"/>
          <w:sz w:val="21"/>
          <w:szCs w:val="21"/>
          <w:highlight w:val="none"/>
        </w:rPr>
        <w:t>柜、箱、盘内电涌保护器（SPD）</w:t>
      </w:r>
      <w:r>
        <w:rPr>
          <w:rFonts w:hint="eastAsia" w:ascii="宋体" w:hAnsi="宋体" w:eastAsia="宋体" w:cs="宋体"/>
          <w:color w:val="auto"/>
          <w:sz w:val="21"/>
          <w:szCs w:val="21"/>
          <w:highlight w:val="none"/>
          <w:lang w:val="en-US" w:eastAsia="zh-CN"/>
        </w:rPr>
        <w:t>接线正确性检测应</w:t>
      </w:r>
      <w:r>
        <w:rPr>
          <w:rFonts w:hint="eastAsia" w:ascii="宋体" w:hAnsi="宋体" w:eastAsia="宋体" w:cs="宋体"/>
          <w:color w:val="auto"/>
          <w:sz w:val="21"/>
          <w:szCs w:val="21"/>
          <w:highlight w:val="none"/>
        </w:rPr>
        <w:t>观察检查</w:t>
      </w:r>
      <w:r>
        <w:rPr>
          <w:rFonts w:hint="eastAsia" w:ascii="宋体" w:hAnsi="宋体" w:eastAsia="宋体" w:cs="宋体"/>
          <w:color w:val="auto"/>
          <w:sz w:val="21"/>
          <w:szCs w:val="21"/>
          <w:highlight w:val="none"/>
          <w:lang w:val="en-US" w:eastAsia="zh-CN"/>
        </w:rPr>
        <w:t>接线正确性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尺量检查从接线端引出的导线长度</w:t>
      </w:r>
      <w:r>
        <w:rPr>
          <w:rFonts w:hint="eastAsia" w:ascii="宋体" w:hAnsi="宋体" w:eastAsia="宋体" w:cs="宋体"/>
          <w:color w:val="auto"/>
          <w:sz w:val="21"/>
          <w:szCs w:val="21"/>
          <w:highlight w:val="none"/>
          <w:lang w:eastAsia="zh-CN"/>
        </w:rPr>
        <w:t>。</w:t>
      </w:r>
    </w:p>
    <w:p>
      <w:pPr>
        <w:rPr>
          <w:rFonts w:hint="default"/>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10.3.4  </w:t>
      </w:r>
      <w:r>
        <w:rPr>
          <w:rFonts w:hint="eastAsia" w:ascii="宋体" w:hAnsi="宋体" w:eastAsia="宋体" w:cs="宋体"/>
          <w:color w:val="auto"/>
          <w:sz w:val="21"/>
          <w:szCs w:val="21"/>
          <w:highlight w:val="none"/>
          <w:lang w:val="en-US" w:eastAsia="zh-CN"/>
        </w:rPr>
        <w:t>照明配电箱、</w:t>
      </w:r>
      <w:r>
        <w:rPr>
          <w:rFonts w:hint="eastAsia" w:ascii="宋体" w:hAnsi="宋体" w:eastAsia="宋体" w:cs="宋体"/>
          <w:i w:val="0"/>
          <w:iCs w:val="0"/>
          <w:color w:val="auto"/>
          <w:sz w:val="21"/>
          <w:szCs w:val="21"/>
          <w:highlight w:val="none"/>
          <w:lang w:val="en-US" w:eastAsia="zh-CN"/>
        </w:rPr>
        <w:t>成套配电柜、控制箱（台、箱）和配电箱（盘）等配电装置</w:t>
      </w:r>
      <w:r>
        <w:rPr>
          <w:rFonts w:hint="eastAsia" w:ascii="宋体" w:hAnsi="宋体" w:eastAsia="宋体" w:cs="宋体"/>
          <w:color w:val="auto"/>
          <w:sz w:val="21"/>
          <w:szCs w:val="21"/>
          <w:highlight w:val="none"/>
          <w:lang w:val="en-US" w:eastAsia="zh-CN"/>
        </w:rPr>
        <w:t>接线正确性检测应观察检查接线正确性，应用紧固工具操作检查紧固件的紧固程度。</w:t>
      </w:r>
    </w:p>
    <w:p>
      <w:pPr>
        <w:pStyle w:val="3"/>
        <w:jc w:val="center"/>
        <w:rPr>
          <w:rFonts w:ascii="宋体" w:hAnsi="宋体" w:eastAsia="宋体" w:cs="宋体"/>
          <w:color w:val="auto"/>
          <w:sz w:val="21"/>
          <w:szCs w:val="21"/>
          <w:highlight w:val="none"/>
        </w:rPr>
      </w:pPr>
      <w:bookmarkStart w:id="218" w:name="_Toc2548"/>
      <w:bookmarkStart w:id="219" w:name="_Toc1339"/>
      <w:bookmarkStart w:id="220" w:name="_Toc27028"/>
      <w:bookmarkStart w:id="221" w:name="_Toc718"/>
      <w:bookmarkStart w:id="222" w:name="_Toc20715"/>
      <w:bookmarkStart w:id="223" w:name="_Toc13314"/>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 xml:space="preserve">4  </w:t>
      </w:r>
      <w:r>
        <w:rPr>
          <w:rFonts w:hint="eastAsia" w:ascii="宋体" w:hAnsi="宋体" w:eastAsia="宋体" w:cs="宋体"/>
          <w:color w:val="auto"/>
          <w:sz w:val="21"/>
          <w:szCs w:val="21"/>
          <w:highlight w:val="none"/>
        </w:rPr>
        <w:t>检测结果</w:t>
      </w:r>
      <w:bookmarkEnd w:id="218"/>
      <w:bookmarkEnd w:id="219"/>
      <w:r>
        <w:rPr>
          <w:rFonts w:hint="eastAsia" w:ascii="宋体" w:hAnsi="宋体" w:eastAsia="宋体" w:cs="宋体"/>
          <w:color w:val="auto"/>
          <w:sz w:val="21"/>
          <w:szCs w:val="21"/>
          <w:highlight w:val="none"/>
          <w:lang w:val="en-US" w:eastAsia="zh-CN"/>
        </w:rPr>
        <w:t>的评价</w:t>
      </w:r>
      <w:bookmarkEnd w:id="220"/>
      <w:bookmarkEnd w:id="221"/>
      <w:bookmarkEnd w:id="222"/>
      <w:bookmarkEnd w:id="223"/>
    </w:p>
    <w:p>
      <w:pPr>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10.4.1</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插座接线应符合下列规定：</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对于单相两孔插座，面对插座的右孔或上孔应与相线连接，左孔或下孔应与中性导体（N）连接；对于单相三孔插座，面对插座的右孔应与相线连接，左孔应与中性导体（N）连接</w:t>
      </w:r>
      <w:r>
        <w:rPr>
          <w:rFonts w:hint="eastAsia" w:ascii="宋体" w:hAnsi="宋体" w:eastAsia="宋体" w:cs="宋体"/>
          <w:color w:val="auto"/>
          <w:sz w:val="21"/>
          <w:szCs w:val="21"/>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22" w:firstLineChars="200"/>
        <w:textAlignment w:val="auto"/>
        <w:rPr>
          <w:rFonts w:hint="eastAsia" w:ascii="宋体" w:hAnsi="宋体" w:eastAsia="宋体" w:cs="宋体"/>
          <w:color w:val="auto"/>
          <w:sz w:val="21"/>
          <w:szCs w:val="21"/>
          <w:highlight w:val="none"/>
          <w:lang w:eastAsia="zh-CN"/>
        </w:rPr>
      </w:pPr>
      <w:r>
        <w:rPr>
          <w:rFonts w:ascii="宋体" w:hAnsi="宋体" w:eastAsia="宋体" w:cs="宋体"/>
          <w:b/>
          <w:bCs/>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 xml:space="preserve"> </w:t>
      </w:r>
      <w:r>
        <w:rPr>
          <w:rFonts w:hint="eastAsia" w:ascii="宋体" w:hAnsi="宋体" w:eastAsia="宋体" w:cs="宋体"/>
          <w:color w:val="auto"/>
          <w:sz w:val="21"/>
          <w:szCs w:val="21"/>
          <w:highlight w:val="none"/>
        </w:rPr>
        <w:t>单相三孔、三相四孔及三相五孔插座的保护接地导体(PE)应接在上孔；插座的保护接地导体端子不得与中性导体端子连接；同一场所的三相插座，其接线的相序应一致</w:t>
      </w:r>
      <w:r>
        <w:rPr>
          <w:rFonts w:hint="eastAsia" w:ascii="宋体" w:hAnsi="宋体" w:eastAsia="宋体" w:cs="宋体"/>
          <w:color w:val="auto"/>
          <w:sz w:val="21"/>
          <w:szCs w:val="21"/>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22" w:firstLineChars="200"/>
        <w:textAlignment w:val="auto"/>
        <w:rPr>
          <w:rFonts w:hint="eastAsia" w:ascii="宋体" w:hAnsi="宋体" w:eastAsia="宋体" w:cs="宋体"/>
          <w:color w:val="auto"/>
          <w:sz w:val="21"/>
          <w:szCs w:val="21"/>
          <w:highlight w:val="none"/>
          <w:lang w:eastAsia="zh-CN"/>
        </w:rPr>
      </w:pPr>
      <w:r>
        <w:rPr>
          <w:rFonts w:ascii="宋体" w:hAnsi="宋体" w:eastAsia="宋体" w:cs="宋体"/>
          <w:b/>
          <w:bCs/>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 xml:space="preserve"> </w:t>
      </w:r>
      <w:r>
        <w:rPr>
          <w:rFonts w:hint="eastAsia" w:ascii="宋体" w:hAnsi="宋体" w:eastAsia="宋体" w:cs="宋体"/>
          <w:color w:val="auto"/>
          <w:sz w:val="21"/>
          <w:szCs w:val="21"/>
          <w:highlight w:val="none"/>
        </w:rPr>
        <w:t>保护接地导体(PE)在插座之间不得串联连接</w:t>
      </w:r>
      <w:r>
        <w:rPr>
          <w:rFonts w:hint="eastAsia" w:ascii="宋体" w:hAnsi="宋体" w:eastAsia="宋体" w:cs="宋体"/>
          <w:color w:val="auto"/>
          <w:sz w:val="21"/>
          <w:szCs w:val="21"/>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22" w:firstLineChars="200"/>
        <w:textAlignment w:val="auto"/>
        <w:rPr>
          <w:rFonts w:hint="eastAsia" w:ascii="宋体" w:hAnsi="宋体" w:eastAsia="宋体" w:cs="宋体"/>
          <w:color w:val="auto"/>
          <w:sz w:val="21"/>
          <w:szCs w:val="21"/>
          <w:highlight w:val="none"/>
          <w:lang w:eastAsia="zh-CN"/>
        </w:rPr>
      </w:pPr>
      <w:r>
        <w:rPr>
          <w:rFonts w:ascii="宋体" w:hAnsi="宋体" w:eastAsia="宋体" w:cs="宋体"/>
          <w:b/>
          <w:bCs/>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 xml:space="preserve"> </w:t>
      </w:r>
      <w:r>
        <w:rPr>
          <w:rFonts w:hint="eastAsia" w:ascii="宋体" w:hAnsi="宋体" w:eastAsia="宋体" w:cs="宋体"/>
          <w:color w:val="auto"/>
          <w:sz w:val="21"/>
          <w:szCs w:val="21"/>
          <w:highlight w:val="none"/>
        </w:rPr>
        <w:t>相线与中性导体(N)不应利用插座本体的接线端子转接供电</w:t>
      </w:r>
      <w:r>
        <w:rPr>
          <w:rFonts w:hint="eastAsia" w:ascii="宋体" w:hAnsi="宋体" w:eastAsia="宋体" w:cs="宋体"/>
          <w:color w:val="auto"/>
          <w:sz w:val="21"/>
          <w:szCs w:val="21"/>
          <w:highlight w:val="none"/>
          <w:lang w:eastAsia="zh-CN"/>
        </w:rPr>
        <w:t>。</w:t>
      </w:r>
    </w:p>
    <w:p>
      <w:pPr>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10.4.2</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柜、箱、盘内电涌保护器（SPD）</w:t>
      </w:r>
      <w:r>
        <w:rPr>
          <w:rFonts w:hint="eastAsia" w:ascii="宋体" w:hAnsi="宋体" w:eastAsia="宋体" w:cs="宋体"/>
          <w:color w:val="auto"/>
          <w:sz w:val="21"/>
          <w:szCs w:val="21"/>
          <w:highlight w:val="none"/>
          <w:lang w:val="en-US" w:eastAsia="zh-CN"/>
        </w:rPr>
        <w:t>接线应符合下列规定：</w:t>
      </w:r>
    </w:p>
    <w:p>
      <w:pPr>
        <w:ind w:firstLine="422" w:firstLineChars="200"/>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 xml:space="preserve"> 电涌保护器</w:t>
      </w:r>
      <w:r>
        <w:rPr>
          <w:rFonts w:hint="eastAsia" w:ascii="宋体" w:hAnsi="宋体" w:eastAsia="宋体" w:cs="宋体"/>
          <w:color w:val="auto"/>
          <w:sz w:val="21"/>
          <w:szCs w:val="21"/>
          <w:highlight w:val="none"/>
        </w:rPr>
        <w:t>的接线形式应符合设计要求，接地导线的位置不宜靠近出</w:t>
      </w:r>
      <w:r>
        <w:rPr>
          <w:rFonts w:hint="eastAsia" w:ascii="宋体" w:hAnsi="宋体" w:eastAsia="宋体" w:cs="宋体"/>
          <w:color w:val="auto"/>
          <w:sz w:val="21"/>
          <w:szCs w:val="21"/>
          <w:highlight w:val="none"/>
          <w:lang w:val="en-US" w:eastAsia="zh-CN"/>
        </w:rPr>
        <w:t>线</w:t>
      </w:r>
      <w:r>
        <w:rPr>
          <w:rFonts w:hint="eastAsia" w:ascii="宋体" w:hAnsi="宋体" w:eastAsia="宋体" w:cs="宋体"/>
          <w:color w:val="auto"/>
          <w:sz w:val="21"/>
          <w:szCs w:val="21"/>
          <w:highlight w:val="none"/>
        </w:rPr>
        <w:t>位置</w:t>
      </w:r>
      <w:r>
        <w:rPr>
          <w:rFonts w:hint="eastAsia" w:ascii="宋体" w:hAnsi="宋体" w:eastAsia="宋体" w:cs="宋体"/>
          <w:color w:val="auto"/>
          <w:sz w:val="21"/>
          <w:szCs w:val="21"/>
          <w:highlight w:val="none"/>
          <w:lang w:eastAsia="zh-CN"/>
        </w:rPr>
        <w:t>；</w:t>
      </w:r>
    </w:p>
    <w:p>
      <w:pPr>
        <w:ind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 xml:space="preserve"> 电涌保护器接入主电路的引线应尽量短而直，不应形成环路和死弯。上引线和下引线长度之和不宜超过0.5m；</w:t>
      </w:r>
    </w:p>
    <w:p>
      <w:pPr>
        <w:ind w:firstLine="422"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 xml:space="preserve"> 电涌保护器电源侧引线与被保护侧引线不应合并绑扎或互绞。</w:t>
      </w:r>
    </w:p>
    <w:p>
      <w:pP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10.4.3</w:t>
      </w:r>
      <w:r>
        <w:rPr>
          <w:rFonts w:hint="eastAsia" w:ascii="宋体" w:hAnsi="宋体" w:eastAsia="宋体" w:cs="宋体"/>
          <w:color w:val="auto"/>
          <w:sz w:val="21"/>
          <w:szCs w:val="21"/>
          <w:highlight w:val="none"/>
          <w:lang w:val="en-US" w:eastAsia="zh-CN"/>
        </w:rPr>
        <w:t xml:space="preserve">  照明配电箱（盘）接线应符合下列规定：</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b/>
          <w:bCs/>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 xml:space="preserve"> 箱（盘）内配线应整齐、无绞接现象；导线连接应紧密、不伤线芯、不断股；垫圈下螺丝两侧压的导线截面积应相同，同一电器器件端子上的导线连接不应多于2根，防松垫圈等零件应齐全；</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color w:val="auto"/>
          <w:sz w:val="21"/>
          <w:szCs w:val="21"/>
          <w:highlight w:val="none"/>
        </w:rPr>
      </w:pPr>
      <w:r>
        <w:rPr>
          <w:rFonts w:hint="default" w:ascii="宋体" w:hAnsi="宋体" w:eastAsia="宋体" w:cs="宋体"/>
          <w:b/>
          <w:bCs/>
          <w:color w:val="auto"/>
          <w:sz w:val="21"/>
          <w:szCs w:val="21"/>
          <w:highlight w:val="none"/>
          <w:lang w:val="en-US" w:eastAsia="zh-CN"/>
        </w:rPr>
        <w:t>2</w:t>
      </w:r>
      <w:r>
        <w:rPr>
          <w:rFonts w:hint="default" w:ascii="宋体" w:hAnsi="宋体" w:eastAsia="宋体" w:cs="宋体"/>
          <w:color w:val="auto"/>
          <w:sz w:val="21"/>
          <w:szCs w:val="21"/>
          <w:highlight w:val="none"/>
          <w:lang w:val="en-US" w:eastAsia="zh-CN"/>
        </w:rPr>
        <w:t xml:space="preserve"> 箱（盘）内宜分别设置中性导体（N）和保护接地导体（PE）汇流排，汇流排上同一端子不应连接不同回路的N或PE</w:t>
      </w:r>
      <w:r>
        <w:rPr>
          <w:rFonts w:hint="eastAsia" w:ascii="宋体" w:hAnsi="宋体" w:eastAsia="宋体" w:cs="宋体"/>
          <w:color w:val="auto"/>
          <w:sz w:val="21"/>
          <w:szCs w:val="21"/>
          <w:highlight w:val="none"/>
          <w:lang w:val="en-US" w:eastAsia="zh-CN"/>
        </w:rPr>
        <w:t>且汇流排端子孔径大小、端子数量应与电线线径、电线根数适配；</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 xml:space="preserve"> 照明配电箱（盘）不带电的外露可导电部分应与保护接地（PE）连接可靠；装有电器的可开启门，应用裸铜编织软线与箱体内接地的金属部分做可靠连接；</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4 </w:t>
      </w:r>
      <w:r>
        <w:rPr>
          <w:rFonts w:hint="eastAsia" w:ascii="宋体" w:hAnsi="宋体" w:eastAsia="宋体" w:cs="宋体"/>
          <w:color w:val="auto"/>
          <w:sz w:val="21"/>
          <w:szCs w:val="21"/>
          <w:highlight w:val="none"/>
          <w:lang w:val="en-US" w:eastAsia="zh-CN"/>
        </w:rPr>
        <w:t>建筑智能化控制或信号线路引入照明配电箱时应减少与交流供电线路和其他系统的线路交叉且不得并排敷设或共用一个管槽。</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10.4.4  </w:t>
      </w:r>
      <w:r>
        <w:rPr>
          <w:rFonts w:hint="eastAsia" w:ascii="宋体" w:hAnsi="宋体" w:eastAsia="宋体" w:cs="宋体"/>
          <w:i w:val="0"/>
          <w:iCs w:val="0"/>
          <w:color w:val="auto"/>
          <w:sz w:val="21"/>
          <w:szCs w:val="21"/>
          <w:highlight w:val="none"/>
          <w:lang w:val="en-US" w:eastAsia="zh-CN"/>
        </w:rPr>
        <w:t>成套配电柜、控制箱（台、箱）和配电箱（盘）等配电装置接线应符合下列规定：</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lang w:val="en-US" w:eastAsia="zh-CN"/>
        </w:rPr>
        <w:t>1</w:t>
      </w:r>
      <w:r>
        <w:rPr>
          <w:rFonts w:hint="eastAsia" w:ascii="宋体" w:hAnsi="宋体" w:eastAsia="宋体" w:cs="宋体"/>
          <w:i w:val="0"/>
          <w:iCs w:val="0"/>
          <w:color w:val="auto"/>
          <w:sz w:val="21"/>
          <w:szCs w:val="21"/>
          <w:highlight w:val="none"/>
          <w:lang w:val="en-US" w:eastAsia="zh-CN"/>
        </w:rPr>
        <w:t xml:space="preserve"> 柜、电、箱、盘等配电装置应有可靠的防电击保护；</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lang w:val="en-US" w:eastAsia="zh-CN"/>
        </w:rPr>
        <w:t>2</w:t>
      </w:r>
      <w:r>
        <w:rPr>
          <w:rFonts w:hint="eastAsia" w:ascii="宋体" w:hAnsi="宋体" w:eastAsia="宋体" w:cs="宋体"/>
          <w:i w:val="0"/>
          <w:iCs w:val="0"/>
          <w:color w:val="auto"/>
          <w:sz w:val="21"/>
          <w:szCs w:val="21"/>
          <w:highlight w:val="none"/>
          <w:lang w:val="en-US" w:eastAsia="zh-CN"/>
        </w:rPr>
        <w:t xml:space="preserve"> 装置内保护接地导体（PE）排应有裸露的连接外部保护接地导体的端子并应可靠连接；</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color w:val="auto"/>
          <w:sz w:val="21"/>
          <w:szCs w:val="21"/>
          <w:highlight w:val="none"/>
        </w:rPr>
      </w:pPr>
      <w:r>
        <w:rPr>
          <w:rFonts w:hint="eastAsia" w:ascii="宋体" w:hAnsi="宋体" w:eastAsia="宋体" w:cs="宋体"/>
          <w:b/>
          <w:bCs/>
          <w:i w:val="0"/>
          <w:iCs w:val="0"/>
          <w:color w:val="auto"/>
          <w:sz w:val="21"/>
          <w:szCs w:val="21"/>
          <w:highlight w:val="none"/>
          <w:lang w:val="en-US" w:eastAsia="zh-CN"/>
        </w:rPr>
        <w:t>3</w:t>
      </w:r>
      <w:r>
        <w:rPr>
          <w:rFonts w:hint="eastAsia" w:ascii="宋体" w:hAnsi="宋体" w:eastAsia="宋体" w:cs="宋体"/>
          <w:i w:val="0"/>
          <w:iCs w:val="0"/>
          <w:color w:val="auto"/>
          <w:sz w:val="21"/>
          <w:szCs w:val="21"/>
          <w:highlight w:val="none"/>
          <w:lang w:val="en-US" w:eastAsia="zh-CN"/>
        </w:rPr>
        <w:t xml:space="preserve"> 当设计未做要求时，连接导体最小截面积应符合现行国家标准《低压配电设计规范》GB 50054的规定。</w:t>
      </w:r>
    </w:p>
    <w:p>
      <w:pPr>
        <w:widowControl/>
        <w:jc w:val="left"/>
        <w:rPr>
          <w:color w:val="auto"/>
          <w:sz w:val="21"/>
          <w:szCs w:val="21"/>
          <w:highlight w:val="none"/>
        </w:rPr>
      </w:pPr>
    </w:p>
    <w:p>
      <w:pPr>
        <w:rPr>
          <w:rFonts w:ascii="宋体" w:hAnsi="宋体" w:eastAsia="宋体" w:cs="宋体"/>
          <w:color w:val="auto"/>
          <w:sz w:val="21"/>
          <w:szCs w:val="21"/>
          <w:highlight w:val="none"/>
        </w:rPr>
      </w:pPr>
      <w:r>
        <w:rPr>
          <w:rFonts w:ascii="宋体" w:hAnsi="宋体" w:eastAsia="宋体" w:cs="宋体"/>
          <w:color w:val="auto"/>
          <w:sz w:val="21"/>
          <w:szCs w:val="21"/>
          <w:highlight w:val="none"/>
        </w:rPr>
        <w:br w:type="page"/>
      </w:r>
    </w:p>
    <w:p>
      <w:pPr>
        <w:pStyle w:val="37"/>
        <w:spacing w:line="276" w:lineRule="auto"/>
        <w:rPr>
          <w:rFonts w:hint="default" w:eastAsia="宋体" w:cs="Times New Roman"/>
          <w:bCs/>
          <w:color w:val="auto"/>
          <w:szCs w:val="44"/>
          <w:highlight w:val="none"/>
          <w:lang w:val="en-US" w:eastAsia="zh-CN"/>
        </w:rPr>
      </w:pPr>
      <w:bookmarkStart w:id="224" w:name="_Toc23686"/>
      <w:bookmarkStart w:id="225" w:name="_Toc7159"/>
      <w:bookmarkStart w:id="226" w:name="_Toc3551"/>
      <w:bookmarkStart w:id="227" w:name="_Toc19887"/>
      <w:bookmarkStart w:id="228" w:name="_Toc26428"/>
      <w:r>
        <w:rPr>
          <w:rFonts w:hint="eastAsia" w:eastAsia="宋体" w:cs="Times New Roman"/>
          <w:bCs/>
          <w:color w:val="auto"/>
          <w:szCs w:val="44"/>
          <w:highlight w:val="none"/>
        </w:rPr>
        <w:t>11</w:t>
      </w:r>
      <w:r>
        <w:rPr>
          <w:rFonts w:hint="eastAsia" w:eastAsia="宋体" w:cs="Times New Roman"/>
          <w:bCs/>
          <w:color w:val="auto"/>
          <w:szCs w:val="44"/>
          <w:highlight w:val="none"/>
          <w:lang w:val="en-US" w:eastAsia="zh-CN"/>
        </w:rPr>
        <w:t xml:space="preserve"> </w:t>
      </w:r>
      <w:r>
        <w:rPr>
          <w:rFonts w:hint="eastAsia" w:eastAsia="宋体" w:cs="Times New Roman"/>
          <w:bCs/>
          <w:color w:val="auto"/>
          <w:szCs w:val="44"/>
          <w:highlight w:val="none"/>
        </w:rPr>
        <w:t xml:space="preserve"> </w:t>
      </w:r>
      <w:r>
        <w:rPr>
          <w:rFonts w:hint="eastAsia" w:eastAsia="宋体" w:cs="Times New Roman"/>
          <w:bCs/>
          <w:color w:val="auto"/>
          <w:szCs w:val="44"/>
          <w:highlight w:val="none"/>
          <w:lang w:val="en-US" w:eastAsia="zh-CN"/>
        </w:rPr>
        <w:t xml:space="preserve"> 温度检测</w:t>
      </w:r>
      <w:bookmarkEnd w:id="224"/>
      <w:bookmarkEnd w:id="225"/>
      <w:bookmarkEnd w:id="226"/>
      <w:bookmarkEnd w:id="227"/>
      <w:bookmarkEnd w:id="228"/>
    </w:p>
    <w:p>
      <w:pPr>
        <w:pStyle w:val="3"/>
        <w:jc w:val="center"/>
        <w:rPr>
          <w:rFonts w:ascii="宋体" w:hAnsi="宋体" w:eastAsia="宋体" w:cs="宋体"/>
          <w:color w:val="auto"/>
          <w:sz w:val="21"/>
          <w:szCs w:val="21"/>
          <w:highlight w:val="none"/>
        </w:rPr>
      </w:pPr>
      <w:bookmarkStart w:id="229" w:name="_Toc8746"/>
      <w:bookmarkStart w:id="230" w:name="_Toc9275"/>
      <w:bookmarkStart w:id="231" w:name="_Toc8127"/>
      <w:bookmarkStart w:id="232" w:name="_Toc16861"/>
      <w:bookmarkStart w:id="233" w:name="_Toc16046"/>
      <w:r>
        <w:rPr>
          <w:rFonts w:hint="eastAsia" w:ascii="宋体" w:hAnsi="宋体" w:eastAsia="宋体" w:cs="宋体"/>
          <w:color w:val="auto"/>
          <w:sz w:val="21"/>
          <w:szCs w:val="21"/>
          <w:highlight w:val="none"/>
        </w:rPr>
        <w:t xml:space="preserve">11.1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一般规定</w:t>
      </w:r>
      <w:bookmarkEnd w:id="229"/>
      <w:bookmarkEnd w:id="230"/>
      <w:bookmarkEnd w:id="231"/>
      <w:bookmarkEnd w:id="232"/>
      <w:bookmarkEnd w:id="233"/>
    </w:p>
    <w:p>
      <w:pPr>
        <w:rPr>
          <w:rFonts w:hint="default" w:ascii="宋体" w:hAnsi="宋体" w:eastAsia="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11.1.1</w:t>
      </w:r>
      <w:r>
        <w:rPr>
          <w:rFonts w:hint="eastAsia" w:ascii="宋体" w:hAnsi="宋体" w:eastAsia="宋体"/>
          <w:color w:val="auto"/>
          <w:sz w:val="21"/>
          <w:szCs w:val="21"/>
          <w:highlight w:val="none"/>
          <w:lang w:val="en-US" w:eastAsia="zh-CN"/>
        </w:rPr>
        <w:t xml:space="preserve"> 本章适用于</w:t>
      </w:r>
      <w:r>
        <w:rPr>
          <w:rFonts w:hint="eastAsia" w:ascii="宋体" w:hAnsi="宋体" w:eastAsia="宋体" w:cs="宋体"/>
          <w:color w:val="auto"/>
          <w:sz w:val="21"/>
          <w:szCs w:val="21"/>
          <w:highlight w:val="none"/>
          <w:lang w:val="en-US" w:eastAsia="zh-CN"/>
        </w:rPr>
        <w:t>红外热像法检测电气设备和电气线路的温度。</w:t>
      </w:r>
    </w:p>
    <w:p>
      <w:pPr>
        <w:rPr>
          <w:rFonts w:hint="eastAsia" w:ascii="宋体" w:hAnsi="宋体" w:eastAsia="宋体"/>
          <w:color w:val="auto"/>
          <w:sz w:val="21"/>
          <w:szCs w:val="21"/>
          <w:highlight w:val="none"/>
        </w:rPr>
      </w:pPr>
      <w:r>
        <w:rPr>
          <w:rFonts w:hint="eastAsia" w:ascii="宋体" w:hAnsi="宋体" w:eastAsia="宋体" w:cs="宋体"/>
          <w:b/>
          <w:bCs/>
          <w:color w:val="auto"/>
          <w:sz w:val="21"/>
          <w:szCs w:val="21"/>
          <w:highlight w:val="none"/>
          <w:lang w:val="en-US" w:eastAsia="zh-CN"/>
        </w:rPr>
        <w:t xml:space="preserve">11.1.2 </w:t>
      </w:r>
      <w:r>
        <w:rPr>
          <w:rFonts w:hint="eastAsia" w:ascii="宋体" w:hAnsi="宋体" w:eastAsia="宋体" w:cs="宋体"/>
          <w:color w:val="auto"/>
          <w:sz w:val="21"/>
          <w:szCs w:val="21"/>
          <w:highlight w:val="none"/>
          <w:lang w:val="en-US" w:eastAsia="zh-CN"/>
        </w:rPr>
        <w:t>红外热像法检测温度</w:t>
      </w:r>
      <w:r>
        <w:rPr>
          <w:rFonts w:hint="eastAsia" w:ascii="宋体" w:hAnsi="宋体" w:eastAsia="宋体"/>
          <w:color w:val="auto"/>
          <w:sz w:val="21"/>
          <w:szCs w:val="21"/>
          <w:highlight w:val="none"/>
        </w:rPr>
        <w:t>应在电气设备和</w:t>
      </w:r>
      <w:r>
        <w:rPr>
          <w:rFonts w:hint="eastAsia" w:ascii="宋体" w:hAnsi="宋体" w:eastAsia="宋体"/>
          <w:color w:val="auto"/>
          <w:sz w:val="21"/>
          <w:szCs w:val="21"/>
          <w:highlight w:val="none"/>
          <w:lang w:val="en-US" w:eastAsia="zh-CN"/>
        </w:rPr>
        <w:t>电气</w:t>
      </w:r>
      <w:r>
        <w:rPr>
          <w:rFonts w:hint="eastAsia" w:ascii="宋体" w:hAnsi="宋体" w:eastAsia="宋体"/>
          <w:color w:val="auto"/>
          <w:sz w:val="21"/>
          <w:szCs w:val="21"/>
          <w:highlight w:val="none"/>
        </w:rPr>
        <w:t>线路带载运行不少于1h且工作状态正常稳定后进行。</w:t>
      </w:r>
    </w:p>
    <w:p>
      <w:pPr>
        <w:rPr>
          <w:rFonts w:hint="eastAsia" w:ascii="宋体" w:hAnsi="宋体" w:eastAsia="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 xml:space="preserve">11.1.3 </w:t>
      </w:r>
      <w:r>
        <w:rPr>
          <w:rFonts w:hint="eastAsia" w:ascii="宋体" w:hAnsi="宋体" w:eastAsia="宋体"/>
          <w:color w:val="auto"/>
          <w:sz w:val="21"/>
          <w:szCs w:val="21"/>
          <w:highlight w:val="none"/>
        </w:rPr>
        <w:t>当被检测物体表面热反射率小于0.5时，应采取合适的方法降低发射率带来的温度测量误差。</w:t>
      </w:r>
    </w:p>
    <w:p>
      <w:pPr>
        <w:rPr>
          <w:rFonts w:ascii="宋体" w:hAnsi="宋体" w:eastAsia="宋体"/>
          <w:color w:val="auto"/>
          <w:sz w:val="21"/>
          <w:szCs w:val="21"/>
          <w:highlight w:val="none"/>
        </w:rPr>
      </w:pPr>
      <w:r>
        <w:rPr>
          <w:rFonts w:hint="eastAsia" w:ascii="宋体" w:hAnsi="宋体" w:eastAsia="宋体" w:cs="宋体"/>
          <w:b/>
          <w:bCs/>
          <w:color w:val="auto"/>
          <w:sz w:val="21"/>
          <w:szCs w:val="21"/>
          <w:highlight w:val="none"/>
          <w:lang w:val="en-US" w:eastAsia="zh-CN"/>
        </w:rPr>
        <w:t xml:space="preserve">11.1.4 </w:t>
      </w:r>
      <w:r>
        <w:rPr>
          <w:rFonts w:hint="eastAsia" w:ascii="宋体" w:hAnsi="宋体" w:eastAsia="宋体"/>
          <w:color w:val="auto"/>
          <w:sz w:val="21"/>
          <w:szCs w:val="21"/>
          <w:highlight w:val="none"/>
          <w:lang w:eastAsia="zh-CN"/>
        </w:rPr>
        <w:t>红外热像法检测温度</w:t>
      </w:r>
      <w:r>
        <w:rPr>
          <w:rFonts w:hint="eastAsia" w:ascii="宋体" w:hAnsi="宋体" w:eastAsia="宋体"/>
          <w:color w:val="auto"/>
          <w:sz w:val="21"/>
          <w:szCs w:val="21"/>
          <w:highlight w:val="none"/>
        </w:rPr>
        <w:t>现场检测时应</w:t>
      </w:r>
      <w:r>
        <w:rPr>
          <w:rFonts w:hint="eastAsia" w:ascii="宋体" w:hAnsi="宋体" w:eastAsia="宋体"/>
          <w:color w:val="auto"/>
          <w:sz w:val="21"/>
          <w:szCs w:val="21"/>
          <w:highlight w:val="none"/>
          <w:lang w:val="en-US" w:eastAsia="zh-CN"/>
        </w:rPr>
        <w:t>满足</w:t>
      </w:r>
      <w:r>
        <w:rPr>
          <w:rFonts w:hint="eastAsia" w:ascii="宋体" w:hAnsi="宋体" w:eastAsia="宋体"/>
          <w:color w:val="auto"/>
          <w:sz w:val="21"/>
          <w:szCs w:val="21"/>
          <w:highlight w:val="none"/>
        </w:rPr>
        <w:t>下列外部环境条件：</w:t>
      </w:r>
    </w:p>
    <w:p>
      <w:pPr>
        <w:ind w:firstLine="422" w:firstLineChars="200"/>
        <w:rPr>
          <w:rFonts w:ascii="宋体" w:hAnsi="宋体" w:eastAsia="宋体"/>
          <w:color w:val="auto"/>
          <w:sz w:val="21"/>
          <w:szCs w:val="21"/>
          <w:highlight w:val="none"/>
        </w:rPr>
      </w:pPr>
      <w:r>
        <w:rPr>
          <w:rFonts w:hint="eastAsia" w:ascii="宋体" w:hAnsi="宋体" w:eastAsia="宋体"/>
          <w:b/>
          <w:bCs/>
          <w:color w:val="auto"/>
          <w:sz w:val="21"/>
          <w:szCs w:val="21"/>
          <w:highlight w:val="none"/>
        </w:rPr>
        <w:t>1</w:t>
      </w:r>
      <w:r>
        <w:rPr>
          <w:rFonts w:hint="eastAsia" w:ascii="宋体" w:hAnsi="宋体" w:eastAsia="宋体"/>
          <w:color w:val="auto"/>
          <w:sz w:val="21"/>
          <w:szCs w:val="21"/>
          <w:highlight w:val="none"/>
        </w:rPr>
        <w:t xml:space="preserve"> 环境温度不宜低于0℃，相对湿度不宜大于85%；</w:t>
      </w:r>
    </w:p>
    <w:p>
      <w:pPr>
        <w:ind w:firstLine="422" w:firstLineChars="200"/>
        <w:rPr>
          <w:rFonts w:ascii="宋体" w:hAnsi="宋体" w:eastAsia="宋体"/>
          <w:color w:val="auto"/>
          <w:sz w:val="21"/>
          <w:szCs w:val="21"/>
          <w:highlight w:val="none"/>
        </w:rPr>
      </w:pPr>
      <w:r>
        <w:rPr>
          <w:rFonts w:hint="eastAsia" w:ascii="宋体" w:hAnsi="宋体" w:eastAsia="宋体"/>
          <w:b/>
          <w:bCs/>
          <w:color w:val="auto"/>
          <w:sz w:val="21"/>
          <w:szCs w:val="21"/>
          <w:highlight w:val="none"/>
        </w:rPr>
        <w:t>2</w:t>
      </w:r>
      <w:r>
        <w:rPr>
          <w:rFonts w:hint="eastAsia" w:ascii="宋体" w:hAnsi="宋体" w:eastAsia="宋体"/>
          <w:color w:val="auto"/>
          <w:sz w:val="21"/>
          <w:szCs w:val="21"/>
          <w:highlight w:val="none"/>
        </w:rPr>
        <w:t xml:space="preserve"> 宜避免非待测物体的辐射进入测试范围；</w:t>
      </w:r>
    </w:p>
    <w:p>
      <w:pPr>
        <w:ind w:firstLine="422" w:firstLineChars="200"/>
        <w:rPr>
          <w:rFonts w:ascii="宋体" w:hAnsi="宋体" w:eastAsia="宋体"/>
          <w:color w:val="auto"/>
          <w:sz w:val="21"/>
          <w:szCs w:val="21"/>
          <w:highlight w:val="none"/>
        </w:rPr>
      </w:pPr>
      <w:r>
        <w:rPr>
          <w:rFonts w:hint="eastAsia" w:ascii="宋体" w:hAnsi="宋体" w:eastAsia="宋体"/>
          <w:b/>
          <w:bCs/>
          <w:color w:val="auto"/>
          <w:sz w:val="21"/>
          <w:szCs w:val="21"/>
          <w:highlight w:val="none"/>
          <w:lang w:val="en-US" w:eastAsia="zh-CN"/>
        </w:rPr>
        <w:t>3</w:t>
      </w:r>
      <w:r>
        <w:rPr>
          <w:rFonts w:hint="eastAsia" w:ascii="宋体" w:hAnsi="宋体" w:eastAsia="宋体"/>
          <w:color w:val="auto"/>
          <w:sz w:val="21"/>
          <w:szCs w:val="21"/>
          <w:highlight w:val="none"/>
        </w:rPr>
        <w:t xml:space="preserve"> 室内检测时，被测部位应避免灯光的直射，安全条件允许时，宜关闭灯光进行检测；</w:t>
      </w:r>
    </w:p>
    <w:p>
      <w:pPr>
        <w:ind w:firstLine="422" w:firstLineChars="200"/>
        <w:rPr>
          <w:rFonts w:ascii="宋体" w:hAnsi="宋体" w:eastAsia="宋体"/>
          <w:color w:val="auto"/>
          <w:sz w:val="21"/>
          <w:szCs w:val="21"/>
          <w:highlight w:val="none"/>
        </w:rPr>
      </w:pPr>
      <w:r>
        <w:rPr>
          <w:rFonts w:hint="eastAsia" w:ascii="宋体" w:hAnsi="宋体" w:eastAsia="宋体"/>
          <w:b/>
          <w:bCs/>
          <w:color w:val="auto"/>
          <w:sz w:val="21"/>
          <w:szCs w:val="21"/>
          <w:highlight w:val="none"/>
          <w:lang w:val="en-US" w:eastAsia="zh-CN"/>
        </w:rPr>
        <w:t>4</w:t>
      </w:r>
      <w:r>
        <w:rPr>
          <w:rFonts w:hint="eastAsia" w:ascii="宋体" w:hAnsi="宋体" w:eastAsia="宋体"/>
          <w:color w:val="auto"/>
          <w:sz w:val="21"/>
          <w:szCs w:val="21"/>
          <w:highlight w:val="none"/>
        </w:rPr>
        <w:t xml:space="preserve"> </w:t>
      </w:r>
      <w:r>
        <w:rPr>
          <w:rFonts w:hint="eastAsia" w:ascii="宋体" w:hAnsi="宋体" w:eastAsia="宋体"/>
          <w:color w:val="auto"/>
          <w:sz w:val="21"/>
          <w:szCs w:val="21"/>
          <w:highlight w:val="none"/>
          <w:lang w:val="en-US" w:eastAsia="zh-CN"/>
        </w:rPr>
        <w:t>避免</w:t>
      </w:r>
      <w:r>
        <w:rPr>
          <w:rFonts w:hint="eastAsia" w:ascii="宋体" w:hAnsi="宋体" w:eastAsia="宋体"/>
          <w:color w:val="auto"/>
          <w:sz w:val="21"/>
          <w:szCs w:val="21"/>
          <w:highlight w:val="none"/>
        </w:rPr>
        <w:t>阳光照射的影响；</w:t>
      </w:r>
    </w:p>
    <w:p>
      <w:pPr>
        <w:ind w:firstLine="422" w:firstLineChars="200"/>
        <w:rPr>
          <w:rFonts w:ascii="宋体" w:hAnsi="宋体" w:eastAsia="宋体"/>
          <w:color w:val="auto"/>
          <w:sz w:val="21"/>
          <w:szCs w:val="21"/>
          <w:highlight w:val="none"/>
        </w:rPr>
      </w:pPr>
      <w:r>
        <w:rPr>
          <w:rFonts w:hint="eastAsia" w:ascii="宋体" w:hAnsi="宋体" w:eastAsia="宋体"/>
          <w:b/>
          <w:bCs/>
          <w:color w:val="auto"/>
          <w:sz w:val="21"/>
          <w:szCs w:val="21"/>
          <w:highlight w:val="none"/>
          <w:lang w:val="en-US" w:eastAsia="zh-CN"/>
        </w:rPr>
        <w:t>5</w:t>
      </w:r>
      <w:r>
        <w:rPr>
          <w:rFonts w:hint="eastAsia" w:ascii="宋体" w:hAnsi="宋体" w:eastAsia="宋体"/>
          <w:color w:val="auto"/>
          <w:sz w:val="21"/>
          <w:szCs w:val="21"/>
          <w:highlight w:val="none"/>
        </w:rPr>
        <w:t xml:space="preserve"> 周围</w:t>
      </w:r>
      <w:r>
        <w:rPr>
          <w:rFonts w:hint="eastAsia" w:ascii="宋体" w:hAnsi="宋体" w:eastAsia="宋体"/>
          <w:color w:val="auto"/>
          <w:sz w:val="21"/>
          <w:szCs w:val="21"/>
          <w:highlight w:val="none"/>
          <w:lang w:val="en-US" w:eastAsia="zh-CN"/>
        </w:rPr>
        <w:t>无</w:t>
      </w:r>
      <w:r>
        <w:rPr>
          <w:rFonts w:hint="eastAsia" w:ascii="宋体" w:hAnsi="宋体" w:eastAsia="宋体"/>
          <w:color w:val="auto"/>
          <w:sz w:val="21"/>
          <w:szCs w:val="21"/>
          <w:highlight w:val="none"/>
        </w:rPr>
        <w:t>强电磁场的影响。</w:t>
      </w:r>
    </w:p>
    <w:p>
      <w:pPr>
        <w:pStyle w:val="3"/>
        <w:jc w:val="center"/>
        <w:rPr>
          <w:rFonts w:ascii="宋体" w:hAnsi="宋体" w:eastAsia="宋体" w:cs="宋体"/>
          <w:color w:val="auto"/>
          <w:sz w:val="21"/>
          <w:szCs w:val="21"/>
          <w:highlight w:val="none"/>
        </w:rPr>
      </w:pPr>
      <w:bookmarkStart w:id="234" w:name="_Toc25419"/>
      <w:bookmarkStart w:id="235" w:name="_Toc6527"/>
      <w:bookmarkStart w:id="236" w:name="_Toc26188"/>
      <w:bookmarkStart w:id="237" w:name="_Toc19497"/>
      <w:bookmarkStart w:id="238" w:name="_Toc13185"/>
      <w:r>
        <w:rPr>
          <w:rFonts w:hint="eastAsia" w:ascii="宋体" w:hAnsi="宋体" w:eastAsia="宋体" w:cs="宋体"/>
          <w:color w:val="auto"/>
          <w:sz w:val="21"/>
          <w:szCs w:val="21"/>
          <w:highlight w:val="none"/>
        </w:rPr>
        <w:t xml:space="preserve">11.2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检测部位及检测数量</w:t>
      </w:r>
      <w:bookmarkEnd w:id="234"/>
      <w:bookmarkEnd w:id="235"/>
      <w:bookmarkEnd w:id="236"/>
      <w:bookmarkEnd w:id="237"/>
      <w:bookmarkEnd w:id="238"/>
    </w:p>
    <w:p>
      <w:pPr>
        <w:jc w:val="left"/>
        <w:rPr>
          <w:rFonts w:hint="eastAsia" w:ascii="宋体" w:hAnsi="宋体" w:eastAsia="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11.2.1  </w:t>
      </w:r>
      <w:r>
        <w:rPr>
          <w:rFonts w:hint="eastAsia" w:ascii="宋体" w:hAnsi="宋体" w:eastAsia="宋体" w:cs="宋体"/>
          <w:color w:val="auto"/>
          <w:sz w:val="21"/>
          <w:szCs w:val="21"/>
          <w:highlight w:val="none"/>
          <w:lang w:val="en-US" w:eastAsia="zh-CN"/>
        </w:rPr>
        <w:t>建筑电气工程</w:t>
      </w:r>
      <w:r>
        <w:rPr>
          <w:rFonts w:hint="eastAsia" w:ascii="宋体" w:hAnsi="宋体" w:eastAsia="宋体"/>
          <w:color w:val="auto"/>
          <w:sz w:val="21"/>
          <w:szCs w:val="21"/>
          <w:highlight w:val="none"/>
          <w:lang w:val="en-US" w:eastAsia="zh-CN"/>
        </w:rPr>
        <w:t>红外热像法温升检测</w:t>
      </w:r>
      <w:r>
        <w:rPr>
          <w:rFonts w:hint="eastAsia" w:ascii="宋体" w:hAnsi="宋体" w:eastAsia="宋体" w:cs="宋体"/>
          <w:color w:val="auto"/>
          <w:sz w:val="21"/>
          <w:szCs w:val="21"/>
          <w:highlight w:val="none"/>
          <w:lang w:val="en-US" w:eastAsia="zh-CN"/>
        </w:rPr>
        <w:t>应包括但不限于下列部位</w:t>
      </w:r>
      <w:r>
        <w:rPr>
          <w:rFonts w:hint="eastAsia" w:ascii="宋体" w:hAnsi="宋体" w:eastAsia="宋体"/>
          <w:color w:val="auto"/>
          <w:sz w:val="21"/>
          <w:szCs w:val="21"/>
          <w:highlight w:val="none"/>
          <w:lang w:val="en-US" w:eastAsia="zh-CN"/>
        </w:rPr>
        <w:t>：</w:t>
      </w:r>
    </w:p>
    <w:p>
      <w:pPr>
        <w:ind w:firstLine="422" w:firstLineChars="200"/>
        <w:jc w:val="left"/>
        <w:rPr>
          <w:rFonts w:hint="eastAsia" w:ascii="宋体" w:hAnsi="宋体" w:eastAsia="宋体"/>
          <w:color w:val="auto"/>
          <w:sz w:val="21"/>
          <w:szCs w:val="21"/>
          <w:highlight w:val="none"/>
          <w:lang w:eastAsia="zh-CN"/>
        </w:rPr>
      </w:pPr>
      <w:r>
        <w:rPr>
          <w:rFonts w:hint="eastAsia" w:ascii="宋体" w:hAnsi="宋体" w:eastAsia="宋体"/>
          <w:b/>
          <w:bCs/>
          <w:color w:val="auto"/>
          <w:sz w:val="21"/>
          <w:szCs w:val="21"/>
          <w:highlight w:val="none"/>
          <w:lang w:val="en-US" w:eastAsia="zh-CN"/>
        </w:rPr>
        <w:t>1</w:t>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rPr>
        <w:t>低压配电装置</w:t>
      </w:r>
      <w:r>
        <w:rPr>
          <w:rFonts w:hint="eastAsia" w:ascii="宋体" w:hAnsi="宋体" w:eastAsia="宋体"/>
          <w:color w:val="auto"/>
          <w:sz w:val="21"/>
          <w:szCs w:val="21"/>
          <w:highlight w:val="none"/>
          <w:lang w:val="en-US" w:eastAsia="zh-CN"/>
        </w:rPr>
        <w:t>出线端</w:t>
      </w:r>
      <w:r>
        <w:rPr>
          <w:rFonts w:hint="eastAsia" w:ascii="宋体" w:hAnsi="宋体" w:eastAsia="宋体"/>
          <w:color w:val="auto"/>
          <w:sz w:val="21"/>
          <w:szCs w:val="21"/>
          <w:highlight w:val="none"/>
          <w:lang w:eastAsia="zh-CN"/>
        </w:rPr>
        <w:t>；</w:t>
      </w:r>
    </w:p>
    <w:p>
      <w:pPr>
        <w:ind w:firstLine="422" w:firstLineChars="200"/>
        <w:jc w:val="left"/>
        <w:rPr>
          <w:rFonts w:hint="eastAsia" w:ascii="宋体" w:hAnsi="宋体" w:eastAsia="宋体"/>
          <w:color w:val="auto"/>
          <w:sz w:val="21"/>
          <w:szCs w:val="21"/>
          <w:highlight w:val="none"/>
          <w:lang w:eastAsia="zh-CN"/>
        </w:rPr>
      </w:pPr>
      <w:r>
        <w:rPr>
          <w:rFonts w:hint="eastAsia" w:ascii="宋体" w:hAnsi="宋体" w:eastAsia="宋体"/>
          <w:b/>
          <w:bCs/>
          <w:color w:val="auto"/>
          <w:sz w:val="21"/>
          <w:szCs w:val="21"/>
          <w:highlight w:val="none"/>
          <w:lang w:val="en-US" w:eastAsia="zh-CN"/>
        </w:rPr>
        <w:t>2</w:t>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rPr>
        <w:t>配电箱（柜）与控制箱（柜）</w:t>
      </w:r>
      <w:r>
        <w:rPr>
          <w:rFonts w:hint="eastAsia" w:ascii="宋体" w:hAnsi="宋体" w:eastAsia="宋体"/>
          <w:color w:val="auto"/>
          <w:sz w:val="21"/>
          <w:szCs w:val="21"/>
          <w:highlight w:val="none"/>
          <w:lang w:val="en-US" w:eastAsia="zh-CN"/>
        </w:rPr>
        <w:t>与外部连接的接线端子</w:t>
      </w:r>
      <w:r>
        <w:rPr>
          <w:rFonts w:hint="eastAsia" w:ascii="宋体" w:hAnsi="宋体" w:eastAsia="宋体"/>
          <w:color w:val="auto"/>
          <w:sz w:val="21"/>
          <w:szCs w:val="21"/>
          <w:highlight w:val="none"/>
          <w:lang w:eastAsia="zh-CN"/>
        </w:rPr>
        <w:t>；</w:t>
      </w:r>
    </w:p>
    <w:p>
      <w:pPr>
        <w:ind w:firstLine="422" w:firstLineChars="200"/>
        <w:jc w:val="left"/>
        <w:rPr>
          <w:rFonts w:hint="eastAsia" w:ascii="宋体" w:hAnsi="宋体" w:eastAsia="宋体"/>
          <w:color w:val="auto"/>
          <w:sz w:val="21"/>
          <w:szCs w:val="21"/>
          <w:highlight w:val="none"/>
          <w:lang w:eastAsia="zh-CN"/>
        </w:rPr>
      </w:pPr>
      <w:r>
        <w:rPr>
          <w:rFonts w:hint="eastAsia" w:ascii="宋体" w:hAnsi="宋体" w:eastAsia="宋体"/>
          <w:b/>
          <w:bCs/>
          <w:color w:val="auto"/>
          <w:sz w:val="21"/>
          <w:szCs w:val="21"/>
          <w:highlight w:val="none"/>
          <w:lang w:val="en-US" w:eastAsia="zh-CN"/>
        </w:rPr>
        <w:t>3</w:t>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rPr>
        <w:t>低压配电线路</w:t>
      </w:r>
      <w:r>
        <w:rPr>
          <w:rFonts w:hint="eastAsia" w:ascii="宋体" w:hAnsi="宋体" w:eastAsia="宋体"/>
          <w:color w:val="auto"/>
          <w:sz w:val="21"/>
          <w:szCs w:val="21"/>
          <w:highlight w:val="none"/>
          <w:lang w:val="en-US" w:eastAsia="zh-CN"/>
        </w:rPr>
        <w:t>中电线电缆和母线干线系统的外壳</w:t>
      </w:r>
      <w:r>
        <w:rPr>
          <w:rFonts w:hint="eastAsia" w:ascii="宋体" w:hAnsi="宋体" w:eastAsia="宋体"/>
          <w:color w:val="auto"/>
          <w:sz w:val="21"/>
          <w:szCs w:val="21"/>
          <w:highlight w:val="none"/>
          <w:lang w:eastAsia="zh-CN"/>
        </w:rPr>
        <w:t>；</w:t>
      </w:r>
    </w:p>
    <w:p>
      <w:pPr>
        <w:ind w:firstLine="422" w:firstLineChars="200"/>
        <w:jc w:val="left"/>
        <w:rPr>
          <w:rFonts w:hint="eastAsia" w:ascii="宋体" w:hAnsi="宋体" w:eastAsia="宋体"/>
          <w:color w:val="auto"/>
          <w:sz w:val="21"/>
          <w:szCs w:val="21"/>
          <w:highlight w:val="none"/>
        </w:rPr>
      </w:pPr>
      <w:r>
        <w:rPr>
          <w:rFonts w:hint="eastAsia" w:ascii="宋体" w:hAnsi="宋体" w:eastAsia="宋体"/>
          <w:b/>
          <w:bCs/>
          <w:color w:val="auto"/>
          <w:sz w:val="21"/>
          <w:szCs w:val="21"/>
          <w:highlight w:val="none"/>
          <w:lang w:val="en-US" w:eastAsia="zh-CN"/>
        </w:rPr>
        <w:t>4</w:t>
      </w:r>
      <w:r>
        <w:rPr>
          <w:rFonts w:hint="eastAsia" w:ascii="宋体" w:hAnsi="宋体" w:eastAsia="宋体"/>
          <w:color w:val="auto"/>
          <w:sz w:val="21"/>
          <w:szCs w:val="21"/>
          <w:highlight w:val="none"/>
          <w:lang w:val="en-US" w:eastAsia="zh-CN"/>
        </w:rPr>
        <w:t xml:space="preserve">  电动机电子元器件的触头和接线端子、电热器件的电源线</w:t>
      </w:r>
      <w:r>
        <w:rPr>
          <w:rFonts w:hint="eastAsia" w:ascii="宋体" w:hAnsi="宋体" w:eastAsia="宋体"/>
          <w:color w:val="auto"/>
          <w:sz w:val="21"/>
          <w:szCs w:val="21"/>
          <w:highlight w:val="none"/>
        </w:rPr>
        <w:t>。</w:t>
      </w:r>
    </w:p>
    <w:p>
      <w:pPr>
        <w:rPr>
          <w:rFonts w:ascii="宋体" w:hAnsi="宋体" w:eastAsia="宋体"/>
          <w:color w:val="auto"/>
          <w:sz w:val="21"/>
          <w:szCs w:val="21"/>
          <w:highlight w:val="none"/>
        </w:rPr>
      </w:pPr>
      <w:r>
        <w:rPr>
          <w:rFonts w:hint="eastAsia" w:ascii="宋体" w:hAnsi="宋体" w:eastAsia="宋体" w:cs="宋体"/>
          <w:b/>
          <w:bCs/>
          <w:color w:val="auto"/>
          <w:sz w:val="21"/>
          <w:szCs w:val="21"/>
          <w:highlight w:val="none"/>
          <w:lang w:val="en-US" w:eastAsia="zh-CN"/>
        </w:rPr>
        <w:t>11.2.2</w:t>
      </w:r>
      <w:r>
        <w:rPr>
          <w:rFonts w:hint="eastAsia" w:ascii="宋体" w:hAnsi="宋体" w:eastAsia="宋体"/>
          <w:color w:val="auto"/>
          <w:sz w:val="21"/>
          <w:szCs w:val="21"/>
          <w:highlight w:val="none"/>
          <w:lang w:val="en-US" w:eastAsia="zh-CN"/>
        </w:rPr>
        <w:t xml:space="preserve">  红外热像法温升检测的</w:t>
      </w:r>
      <w:r>
        <w:rPr>
          <w:rFonts w:hint="eastAsia" w:ascii="宋体" w:hAnsi="宋体" w:eastAsia="宋体"/>
          <w:color w:val="auto"/>
          <w:sz w:val="21"/>
          <w:szCs w:val="21"/>
          <w:highlight w:val="none"/>
        </w:rPr>
        <w:t>检测数量应符合表11.2.</w:t>
      </w:r>
      <w:r>
        <w:rPr>
          <w:rFonts w:hint="eastAsia" w:ascii="宋体" w:hAnsi="宋体" w:eastAsia="宋体"/>
          <w:color w:val="auto"/>
          <w:sz w:val="21"/>
          <w:szCs w:val="21"/>
          <w:highlight w:val="none"/>
          <w:lang w:val="en-US" w:eastAsia="zh-CN"/>
        </w:rPr>
        <w:t>2</w:t>
      </w:r>
      <w:r>
        <w:rPr>
          <w:rFonts w:hint="eastAsia" w:ascii="宋体" w:hAnsi="宋体" w:eastAsia="宋体"/>
          <w:color w:val="auto"/>
          <w:sz w:val="21"/>
          <w:szCs w:val="21"/>
          <w:highlight w:val="none"/>
        </w:rPr>
        <w:t>的要求。</w:t>
      </w:r>
    </w:p>
    <w:p>
      <w:pPr>
        <w:pStyle w:val="38"/>
        <w:rPr>
          <w:rFonts w:hint="eastAsia" w:cs="Times New Roman"/>
          <w:color w:val="auto"/>
          <w:highlight w:val="none"/>
          <w:lang w:val="en-US" w:eastAsia="zh-CN"/>
        </w:rPr>
      </w:pPr>
      <w:r>
        <w:rPr>
          <w:rFonts w:hint="eastAsia" w:cs="Times New Roman"/>
          <w:color w:val="auto"/>
          <w:highlight w:val="none"/>
        </w:rPr>
        <w:t xml:space="preserve">表11.2.2 </w:t>
      </w:r>
      <w:r>
        <w:rPr>
          <w:rFonts w:hint="eastAsia" w:cs="Times New Roman"/>
          <w:color w:val="auto"/>
          <w:highlight w:val="none"/>
          <w:lang w:val="en-US" w:eastAsia="zh-CN"/>
        </w:rPr>
        <w:t xml:space="preserve">  </w:t>
      </w:r>
      <w:r>
        <w:rPr>
          <w:rFonts w:hint="eastAsia" w:cs="Times New Roman"/>
          <w:color w:val="auto"/>
          <w:highlight w:val="none"/>
          <w:lang w:eastAsia="zh-CN"/>
        </w:rPr>
        <w:t>红外热像法检测温度</w:t>
      </w:r>
      <w:r>
        <w:rPr>
          <w:rFonts w:hint="eastAsia" w:cs="Times New Roman"/>
          <w:color w:val="auto"/>
          <w:highlight w:val="none"/>
        </w:rPr>
        <w:t>的检测部位及检测</w:t>
      </w:r>
      <w:r>
        <w:rPr>
          <w:rFonts w:hint="eastAsia" w:cs="Times New Roman"/>
          <w:color w:val="auto"/>
          <w:highlight w:val="none"/>
          <w:lang w:val="en-US" w:eastAsia="zh-CN"/>
        </w:rPr>
        <w:t>数量</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1622"/>
        <w:gridCol w:w="3745"/>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0" w:type="pct"/>
            <w:vAlign w:val="center"/>
          </w:tcPr>
          <w:p>
            <w:pPr>
              <w:jc w:val="center"/>
              <w:rPr>
                <w:rFonts w:hint="eastAsia" w:ascii="宋体" w:hAnsi="宋体" w:eastAsia="宋体"/>
                <w:color w:val="auto"/>
                <w:sz w:val="18"/>
                <w:szCs w:val="18"/>
                <w:highlight w:val="none"/>
              </w:rPr>
            </w:pPr>
            <w:r>
              <w:rPr>
                <w:rFonts w:hint="eastAsia" w:ascii="宋体" w:hAnsi="宋体" w:eastAsia="宋体"/>
                <w:color w:val="auto"/>
                <w:sz w:val="18"/>
                <w:szCs w:val="18"/>
                <w:highlight w:val="none"/>
              </w:rPr>
              <w:t>序号</w:t>
            </w:r>
          </w:p>
        </w:tc>
        <w:tc>
          <w:tcPr>
            <w:tcW w:w="2796" w:type="pct"/>
            <w:gridSpan w:val="2"/>
            <w:vAlign w:val="center"/>
          </w:tcPr>
          <w:p>
            <w:pPr>
              <w:jc w:val="center"/>
              <w:rPr>
                <w:rFonts w:hint="eastAsia" w:ascii="宋体" w:hAnsi="宋体" w:eastAsia="宋体"/>
                <w:color w:val="auto"/>
                <w:sz w:val="18"/>
                <w:szCs w:val="18"/>
                <w:highlight w:val="none"/>
                <w:lang w:eastAsia="zh-CN"/>
              </w:rPr>
            </w:pPr>
            <w:r>
              <w:rPr>
                <w:rFonts w:hint="eastAsia" w:ascii="宋体" w:hAnsi="宋体" w:eastAsia="宋体"/>
                <w:color w:val="auto"/>
                <w:sz w:val="18"/>
                <w:szCs w:val="18"/>
                <w:highlight w:val="none"/>
              </w:rPr>
              <w:t>检测部位</w:t>
            </w:r>
          </w:p>
        </w:tc>
        <w:tc>
          <w:tcPr>
            <w:tcW w:w="1862" w:type="pct"/>
            <w:vAlign w:val="center"/>
          </w:tcPr>
          <w:p>
            <w:pPr>
              <w:jc w:val="center"/>
              <w:rPr>
                <w:rFonts w:hint="eastAsia" w:ascii="宋体" w:hAnsi="宋体" w:eastAsia="宋体"/>
                <w:color w:val="auto"/>
                <w:sz w:val="18"/>
                <w:szCs w:val="18"/>
                <w:highlight w:val="none"/>
              </w:rPr>
            </w:pPr>
            <w:r>
              <w:rPr>
                <w:rFonts w:hint="eastAsia" w:ascii="宋体" w:hAnsi="宋体" w:eastAsia="宋体"/>
                <w:color w:val="auto"/>
                <w:sz w:val="18"/>
                <w:szCs w:val="18"/>
                <w:highlight w:val="none"/>
              </w:rPr>
              <w:t>检测数量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0" w:type="pct"/>
            <w:vAlign w:val="center"/>
          </w:tcPr>
          <w:p>
            <w:pPr>
              <w:jc w:val="center"/>
              <w:rPr>
                <w:rFonts w:hint="eastAsia" w:ascii="宋体" w:hAnsi="宋体" w:eastAsia="宋体"/>
                <w:color w:val="auto"/>
                <w:sz w:val="18"/>
                <w:szCs w:val="18"/>
                <w:highlight w:val="none"/>
              </w:rPr>
            </w:pPr>
            <w:r>
              <w:rPr>
                <w:rFonts w:hint="eastAsia" w:ascii="宋体" w:hAnsi="宋体" w:eastAsia="宋体"/>
                <w:color w:val="auto"/>
                <w:sz w:val="18"/>
                <w:szCs w:val="18"/>
                <w:highlight w:val="none"/>
              </w:rPr>
              <w:t>1</w:t>
            </w:r>
          </w:p>
        </w:tc>
        <w:tc>
          <w:tcPr>
            <w:tcW w:w="845" w:type="pct"/>
            <w:vAlign w:val="center"/>
          </w:tcPr>
          <w:p>
            <w:pPr>
              <w:rPr>
                <w:rFonts w:hint="eastAsia" w:ascii="宋体" w:hAnsi="宋体" w:eastAsia="宋体"/>
                <w:color w:val="auto"/>
                <w:sz w:val="18"/>
                <w:szCs w:val="18"/>
                <w:highlight w:val="none"/>
              </w:rPr>
            </w:pPr>
            <w:r>
              <w:rPr>
                <w:rFonts w:hint="eastAsia" w:ascii="宋体" w:hAnsi="宋体" w:eastAsia="宋体"/>
                <w:color w:val="auto"/>
                <w:sz w:val="18"/>
                <w:szCs w:val="18"/>
                <w:highlight w:val="none"/>
              </w:rPr>
              <w:t>低压配电装置</w:t>
            </w:r>
          </w:p>
        </w:tc>
        <w:tc>
          <w:tcPr>
            <w:tcW w:w="1950" w:type="pct"/>
            <w:vAlign w:val="center"/>
          </w:tcPr>
          <w:p>
            <w:pPr>
              <w:rPr>
                <w:rFonts w:hint="eastAsia" w:ascii="宋体" w:hAnsi="宋体" w:eastAsia="宋体"/>
                <w:color w:val="auto"/>
                <w:sz w:val="18"/>
                <w:szCs w:val="18"/>
                <w:highlight w:val="none"/>
              </w:rPr>
            </w:pPr>
            <w:r>
              <w:rPr>
                <w:rFonts w:hint="eastAsia" w:ascii="宋体" w:hAnsi="宋体" w:eastAsia="宋体"/>
                <w:color w:val="auto"/>
                <w:sz w:val="18"/>
                <w:szCs w:val="18"/>
                <w:highlight w:val="none"/>
              </w:rPr>
              <w:t>低压配电装置引出端的温度、交流低压母线装置各部位的允许温升</w:t>
            </w:r>
          </w:p>
        </w:tc>
        <w:tc>
          <w:tcPr>
            <w:tcW w:w="1862" w:type="pct"/>
            <w:vAlign w:val="center"/>
          </w:tcPr>
          <w:p>
            <w:pPr>
              <w:rPr>
                <w:rFonts w:hint="eastAsia" w:ascii="宋体" w:hAnsi="宋体" w:eastAsia="宋体"/>
                <w:color w:val="auto"/>
                <w:sz w:val="18"/>
                <w:szCs w:val="18"/>
                <w:highlight w:val="none"/>
              </w:rPr>
            </w:pPr>
            <w:r>
              <w:rPr>
                <w:rFonts w:hint="eastAsia" w:ascii="宋体" w:hAnsi="宋体" w:eastAsia="宋体"/>
                <w:color w:val="auto"/>
                <w:sz w:val="18"/>
                <w:szCs w:val="18"/>
                <w:highlight w:val="none"/>
              </w:rPr>
              <w:t>全数检测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0" w:type="pct"/>
            <w:vAlign w:val="center"/>
          </w:tcPr>
          <w:p>
            <w:pPr>
              <w:jc w:val="center"/>
              <w:rPr>
                <w:rFonts w:hint="eastAsia" w:ascii="宋体" w:hAnsi="宋体" w:eastAsia="宋体"/>
                <w:color w:val="auto"/>
                <w:sz w:val="18"/>
                <w:szCs w:val="18"/>
                <w:highlight w:val="none"/>
              </w:rPr>
            </w:pPr>
            <w:r>
              <w:rPr>
                <w:rFonts w:hint="eastAsia" w:ascii="宋体" w:hAnsi="宋体" w:eastAsia="宋体"/>
                <w:color w:val="auto"/>
                <w:sz w:val="18"/>
                <w:szCs w:val="18"/>
                <w:highlight w:val="none"/>
              </w:rPr>
              <w:t>2</w:t>
            </w:r>
          </w:p>
        </w:tc>
        <w:tc>
          <w:tcPr>
            <w:tcW w:w="845" w:type="pct"/>
            <w:vAlign w:val="center"/>
          </w:tcPr>
          <w:p>
            <w:pPr>
              <w:rPr>
                <w:rFonts w:hint="eastAsia" w:ascii="宋体" w:hAnsi="宋体" w:eastAsia="宋体"/>
                <w:color w:val="auto"/>
                <w:sz w:val="18"/>
                <w:szCs w:val="18"/>
                <w:highlight w:val="none"/>
              </w:rPr>
            </w:pPr>
            <w:r>
              <w:rPr>
                <w:rFonts w:hint="eastAsia" w:ascii="宋体" w:hAnsi="宋体" w:eastAsia="宋体"/>
                <w:color w:val="auto"/>
                <w:sz w:val="18"/>
                <w:szCs w:val="18"/>
                <w:highlight w:val="none"/>
              </w:rPr>
              <w:t>配电箱（柜）与控制箱（柜）</w:t>
            </w:r>
          </w:p>
        </w:tc>
        <w:tc>
          <w:tcPr>
            <w:tcW w:w="1950" w:type="pct"/>
            <w:vAlign w:val="center"/>
          </w:tcPr>
          <w:p>
            <w:pPr>
              <w:rPr>
                <w:rFonts w:hint="eastAsia" w:ascii="宋体" w:hAnsi="宋体" w:eastAsia="宋体"/>
                <w:color w:val="auto"/>
                <w:sz w:val="18"/>
                <w:szCs w:val="18"/>
                <w:highlight w:val="none"/>
              </w:rPr>
            </w:pPr>
            <w:r>
              <w:rPr>
                <w:rFonts w:hint="eastAsia" w:ascii="宋体" w:hAnsi="宋体" w:eastAsia="宋体"/>
                <w:color w:val="auto"/>
                <w:sz w:val="18"/>
                <w:szCs w:val="18"/>
                <w:highlight w:val="none"/>
              </w:rPr>
              <w:t>低压电器与外部连接的连接端子温度</w:t>
            </w:r>
          </w:p>
        </w:tc>
        <w:tc>
          <w:tcPr>
            <w:tcW w:w="1862" w:type="pct"/>
            <w:vAlign w:val="center"/>
          </w:tcPr>
          <w:p>
            <w:pPr>
              <w:rPr>
                <w:rFonts w:hint="eastAsia" w:ascii="宋体" w:hAnsi="宋体" w:eastAsia="宋体"/>
                <w:color w:val="auto"/>
                <w:sz w:val="18"/>
                <w:szCs w:val="18"/>
                <w:highlight w:val="none"/>
              </w:rPr>
            </w:pPr>
            <w:r>
              <w:rPr>
                <w:rFonts w:hint="eastAsia" w:ascii="宋体" w:hAnsi="宋体" w:eastAsia="宋体"/>
                <w:color w:val="auto"/>
                <w:sz w:val="18"/>
                <w:szCs w:val="18"/>
                <w:highlight w:val="none"/>
              </w:rPr>
              <w:t>按防火分区或楼层实际安装数量进行抽检。实际安装数量在5台及以下者，全部检测；实际安装数量在6-50台的，按不少于5台抽检；实际安装数量超过50台的，按实际安装数量不少于10%的比例抽检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0" w:type="pct"/>
            <w:vAlign w:val="center"/>
          </w:tcPr>
          <w:p>
            <w:pPr>
              <w:jc w:val="center"/>
              <w:rPr>
                <w:rFonts w:hint="eastAsia" w:ascii="宋体" w:hAnsi="宋体" w:eastAsia="宋体"/>
                <w:color w:val="auto"/>
                <w:sz w:val="18"/>
                <w:szCs w:val="18"/>
                <w:highlight w:val="none"/>
              </w:rPr>
            </w:pPr>
            <w:r>
              <w:rPr>
                <w:rFonts w:hint="eastAsia" w:ascii="宋体" w:hAnsi="宋体" w:eastAsia="宋体"/>
                <w:color w:val="auto"/>
                <w:sz w:val="18"/>
                <w:szCs w:val="18"/>
                <w:highlight w:val="none"/>
              </w:rPr>
              <w:t>3</w:t>
            </w:r>
          </w:p>
        </w:tc>
        <w:tc>
          <w:tcPr>
            <w:tcW w:w="845" w:type="pct"/>
            <w:vAlign w:val="center"/>
          </w:tcPr>
          <w:p>
            <w:pPr>
              <w:rPr>
                <w:rFonts w:hint="eastAsia" w:ascii="宋体" w:hAnsi="宋体" w:eastAsia="宋体"/>
                <w:color w:val="auto"/>
                <w:sz w:val="18"/>
                <w:szCs w:val="18"/>
                <w:highlight w:val="none"/>
              </w:rPr>
            </w:pPr>
            <w:r>
              <w:rPr>
                <w:rFonts w:hint="eastAsia" w:ascii="宋体" w:hAnsi="宋体" w:eastAsia="宋体"/>
                <w:color w:val="auto"/>
                <w:sz w:val="18"/>
                <w:szCs w:val="18"/>
                <w:highlight w:val="none"/>
              </w:rPr>
              <w:t>低压配电线路</w:t>
            </w:r>
          </w:p>
        </w:tc>
        <w:tc>
          <w:tcPr>
            <w:tcW w:w="1950" w:type="pct"/>
            <w:vAlign w:val="center"/>
          </w:tcPr>
          <w:p>
            <w:pPr>
              <w:rPr>
                <w:rFonts w:hint="eastAsia" w:ascii="宋体" w:hAnsi="宋体" w:eastAsia="宋体"/>
                <w:color w:val="auto"/>
                <w:sz w:val="18"/>
                <w:szCs w:val="18"/>
                <w:highlight w:val="none"/>
              </w:rPr>
            </w:pPr>
            <w:r>
              <w:rPr>
                <w:rFonts w:hint="eastAsia" w:ascii="宋体" w:hAnsi="宋体" w:eastAsia="宋体"/>
                <w:color w:val="auto"/>
                <w:sz w:val="18"/>
                <w:szCs w:val="18"/>
                <w:highlight w:val="none"/>
              </w:rPr>
              <w:t>母线槽外壳金属表面和绝缘表面的温升、电缆线芯和绝缘温度、电缆及电缆终端温度</w:t>
            </w:r>
          </w:p>
        </w:tc>
        <w:tc>
          <w:tcPr>
            <w:tcW w:w="1862" w:type="pct"/>
            <w:vAlign w:val="center"/>
          </w:tcPr>
          <w:p>
            <w:pPr>
              <w:rPr>
                <w:rFonts w:hint="eastAsia" w:ascii="宋体" w:hAnsi="宋体" w:eastAsia="宋体"/>
                <w:color w:val="auto"/>
                <w:sz w:val="18"/>
                <w:szCs w:val="18"/>
                <w:highlight w:val="none"/>
              </w:rPr>
            </w:pPr>
            <w:r>
              <w:rPr>
                <w:rFonts w:hint="eastAsia" w:ascii="宋体" w:hAnsi="宋体" w:eastAsia="宋体"/>
                <w:color w:val="auto"/>
                <w:sz w:val="18"/>
                <w:szCs w:val="18"/>
                <w:highlight w:val="none"/>
              </w:rPr>
              <w:t>不低于总数量的20%</w:t>
            </w:r>
            <w:r>
              <w:rPr>
                <w:rFonts w:hint="eastAsia" w:ascii="宋体" w:hAnsi="宋体" w:eastAsia="宋体"/>
                <w:color w:val="auto"/>
                <w:sz w:val="18"/>
                <w:szCs w:val="18"/>
                <w:highlight w:val="none"/>
                <w:lang w:eastAsia="zh-CN"/>
              </w:rPr>
              <w:t>且</w:t>
            </w:r>
            <w:r>
              <w:rPr>
                <w:rFonts w:hint="eastAsia" w:ascii="宋体" w:hAnsi="宋体" w:eastAsia="宋体"/>
                <w:color w:val="auto"/>
                <w:sz w:val="18"/>
                <w:szCs w:val="18"/>
                <w:highlight w:val="none"/>
              </w:rPr>
              <w:t>每个防火分区不应少于2处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0" w:type="pct"/>
            <w:vAlign w:val="center"/>
          </w:tcPr>
          <w:p>
            <w:pPr>
              <w:jc w:val="center"/>
              <w:rPr>
                <w:rFonts w:hint="eastAsia" w:ascii="宋体" w:hAnsi="宋体" w:eastAsia="宋体"/>
                <w:color w:val="auto"/>
                <w:sz w:val="18"/>
                <w:szCs w:val="18"/>
                <w:highlight w:val="none"/>
              </w:rPr>
            </w:pPr>
            <w:r>
              <w:rPr>
                <w:rFonts w:hint="eastAsia" w:ascii="宋体" w:hAnsi="宋体" w:eastAsia="宋体"/>
                <w:color w:val="auto"/>
                <w:sz w:val="18"/>
                <w:szCs w:val="18"/>
                <w:highlight w:val="none"/>
              </w:rPr>
              <w:t>4</w:t>
            </w:r>
          </w:p>
        </w:tc>
        <w:tc>
          <w:tcPr>
            <w:tcW w:w="845" w:type="pct"/>
            <w:vAlign w:val="center"/>
          </w:tcPr>
          <w:p>
            <w:pPr>
              <w:rPr>
                <w:rFonts w:hint="eastAsia" w:ascii="宋体" w:hAnsi="宋体" w:eastAsia="宋体"/>
                <w:color w:val="auto"/>
                <w:sz w:val="18"/>
                <w:szCs w:val="18"/>
                <w:highlight w:val="none"/>
              </w:rPr>
            </w:pPr>
            <w:r>
              <w:rPr>
                <w:rFonts w:hint="eastAsia" w:ascii="宋体" w:hAnsi="宋体" w:eastAsia="宋体"/>
                <w:color w:val="auto"/>
                <w:sz w:val="18"/>
                <w:szCs w:val="18"/>
                <w:highlight w:val="none"/>
              </w:rPr>
              <w:t>电动机</w:t>
            </w:r>
          </w:p>
        </w:tc>
        <w:tc>
          <w:tcPr>
            <w:tcW w:w="1950" w:type="pct"/>
            <w:vAlign w:val="center"/>
          </w:tcPr>
          <w:p>
            <w:pPr>
              <w:rPr>
                <w:rFonts w:hint="eastAsia" w:ascii="宋体" w:hAnsi="宋体" w:eastAsia="宋体"/>
                <w:color w:val="auto"/>
                <w:sz w:val="18"/>
                <w:szCs w:val="18"/>
                <w:highlight w:val="none"/>
              </w:rPr>
            </w:pPr>
            <w:r>
              <w:rPr>
                <w:rFonts w:hint="eastAsia" w:ascii="宋体" w:hAnsi="宋体" w:eastAsia="宋体"/>
                <w:color w:val="auto"/>
                <w:sz w:val="18"/>
                <w:szCs w:val="18"/>
                <w:highlight w:val="none"/>
              </w:rPr>
              <w:t>电动机轴承温度、电动机电气元器件的触头和接线端子温度、电热器具电源线的温度</w:t>
            </w:r>
          </w:p>
        </w:tc>
        <w:tc>
          <w:tcPr>
            <w:tcW w:w="1862" w:type="pct"/>
            <w:vAlign w:val="center"/>
          </w:tcPr>
          <w:p>
            <w:pPr>
              <w:rPr>
                <w:rFonts w:hint="eastAsia" w:ascii="宋体" w:hAnsi="宋体" w:eastAsia="宋体"/>
                <w:color w:val="auto"/>
                <w:sz w:val="18"/>
                <w:szCs w:val="18"/>
                <w:highlight w:val="none"/>
              </w:rPr>
            </w:pPr>
            <w:r>
              <w:rPr>
                <w:rFonts w:hint="eastAsia" w:ascii="宋体" w:hAnsi="宋体" w:eastAsia="宋体"/>
                <w:color w:val="auto"/>
                <w:sz w:val="18"/>
                <w:szCs w:val="18"/>
                <w:highlight w:val="none"/>
              </w:rPr>
              <w:t>不低于总数量的20%</w:t>
            </w:r>
            <w:r>
              <w:rPr>
                <w:rFonts w:hint="eastAsia" w:ascii="宋体" w:hAnsi="宋体" w:eastAsia="宋体"/>
                <w:color w:val="auto"/>
                <w:sz w:val="18"/>
                <w:szCs w:val="18"/>
                <w:highlight w:val="none"/>
                <w:lang w:eastAsia="zh-CN"/>
              </w:rPr>
              <w:t>且</w:t>
            </w:r>
            <w:r>
              <w:rPr>
                <w:rFonts w:hint="eastAsia" w:ascii="宋体" w:hAnsi="宋体" w:eastAsia="宋体"/>
                <w:color w:val="auto"/>
                <w:sz w:val="18"/>
                <w:szCs w:val="18"/>
                <w:highlight w:val="none"/>
              </w:rPr>
              <w:t>每个防火分区不应少于2处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0" w:type="pct"/>
            <w:vAlign w:val="center"/>
          </w:tcPr>
          <w:p>
            <w:pPr>
              <w:jc w:val="center"/>
              <w:rPr>
                <w:rFonts w:hint="eastAsia" w:ascii="宋体" w:hAnsi="宋体" w:eastAsia="宋体"/>
                <w:color w:val="auto"/>
                <w:sz w:val="18"/>
                <w:szCs w:val="18"/>
                <w:highlight w:val="none"/>
                <w:lang w:val="en-US" w:eastAsia="zh-CN"/>
              </w:rPr>
            </w:pPr>
            <w:r>
              <w:rPr>
                <w:rFonts w:hint="eastAsia" w:ascii="宋体" w:hAnsi="宋体" w:eastAsia="宋体"/>
                <w:color w:val="auto"/>
                <w:sz w:val="18"/>
                <w:szCs w:val="18"/>
                <w:highlight w:val="none"/>
                <w:lang w:val="en-US" w:eastAsia="zh-CN"/>
              </w:rPr>
              <w:t>5</w:t>
            </w:r>
          </w:p>
        </w:tc>
        <w:tc>
          <w:tcPr>
            <w:tcW w:w="845" w:type="pct"/>
            <w:vAlign w:val="center"/>
          </w:tcPr>
          <w:p>
            <w:pPr>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lang w:val="en-US" w:eastAsia="zh-CN"/>
              </w:rPr>
              <w:t>电热器件</w:t>
            </w:r>
          </w:p>
        </w:tc>
        <w:tc>
          <w:tcPr>
            <w:tcW w:w="1950" w:type="pct"/>
            <w:vAlign w:val="center"/>
          </w:tcPr>
          <w:p>
            <w:pPr>
              <w:rPr>
                <w:rFonts w:hint="eastAsia" w:ascii="宋体" w:hAnsi="宋体" w:eastAsia="宋体"/>
                <w:color w:val="auto"/>
                <w:sz w:val="18"/>
                <w:szCs w:val="18"/>
                <w:highlight w:val="none"/>
                <w:lang w:val="en-US" w:eastAsia="zh-CN"/>
              </w:rPr>
            </w:pPr>
            <w:r>
              <w:rPr>
                <w:rFonts w:hint="eastAsia" w:ascii="宋体" w:hAnsi="宋体" w:eastAsia="宋体"/>
                <w:color w:val="auto"/>
                <w:sz w:val="18"/>
                <w:szCs w:val="18"/>
                <w:highlight w:val="none"/>
                <w:lang w:val="en-US" w:eastAsia="zh-CN"/>
              </w:rPr>
              <w:t>电源线</w:t>
            </w:r>
          </w:p>
        </w:tc>
        <w:tc>
          <w:tcPr>
            <w:tcW w:w="1862" w:type="pct"/>
            <w:vAlign w:val="center"/>
          </w:tcPr>
          <w:p>
            <w:pPr>
              <w:rPr>
                <w:rFonts w:hint="eastAsia" w:ascii="宋体" w:hAnsi="宋体" w:eastAsia="宋体"/>
                <w:color w:val="auto"/>
                <w:sz w:val="18"/>
                <w:szCs w:val="18"/>
                <w:highlight w:val="none"/>
              </w:rPr>
            </w:pPr>
            <w:r>
              <w:rPr>
                <w:rFonts w:hint="eastAsia" w:ascii="宋体" w:hAnsi="宋体" w:eastAsia="宋体"/>
                <w:color w:val="auto"/>
                <w:sz w:val="18"/>
                <w:szCs w:val="18"/>
                <w:highlight w:val="none"/>
              </w:rPr>
              <w:t>不低于总数量的20%</w:t>
            </w:r>
            <w:r>
              <w:rPr>
                <w:rFonts w:hint="eastAsia" w:ascii="宋体" w:hAnsi="宋体" w:eastAsia="宋体"/>
                <w:color w:val="auto"/>
                <w:sz w:val="18"/>
                <w:szCs w:val="18"/>
                <w:highlight w:val="none"/>
                <w:lang w:eastAsia="zh-CN"/>
              </w:rPr>
              <w:t>且</w:t>
            </w:r>
            <w:r>
              <w:rPr>
                <w:rFonts w:hint="eastAsia" w:ascii="宋体" w:hAnsi="宋体" w:eastAsia="宋体"/>
                <w:color w:val="auto"/>
                <w:sz w:val="18"/>
                <w:szCs w:val="18"/>
                <w:highlight w:val="none"/>
              </w:rPr>
              <w:t>每个防火分区不应少于2处</w:t>
            </w:r>
          </w:p>
        </w:tc>
      </w:tr>
    </w:tbl>
    <w:p>
      <w:pPr>
        <w:pStyle w:val="3"/>
        <w:jc w:val="center"/>
        <w:rPr>
          <w:rFonts w:ascii="宋体" w:hAnsi="宋体" w:eastAsia="宋体" w:cs="宋体"/>
          <w:color w:val="auto"/>
          <w:sz w:val="21"/>
          <w:szCs w:val="21"/>
          <w:highlight w:val="none"/>
        </w:rPr>
      </w:pPr>
      <w:bookmarkStart w:id="239" w:name="_Toc26701"/>
      <w:bookmarkStart w:id="240" w:name="_Toc29978"/>
      <w:bookmarkStart w:id="241" w:name="_Toc1110"/>
      <w:bookmarkStart w:id="242" w:name="_Toc18982"/>
      <w:bookmarkStart w:id="243" w:name="_Toc17862"/>
      <w:r>
        <w:rPr>
          <w:rFonts w:hint="eastAsia" w:ascii="宋体" w:hAnsi="宋体" w:eastAsia="宋体" w:cs="宋体"/>
          <w:color w:val="auto"/>
          <w:sz w:val="21"/>
          <w:szCs w:val="21"/>
          <w:highlight w:val="none"/>
        </w:rPr>
        <w:t>11.3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检测方法</w:t>
      </w:r>
      <w:bookmarkEnd w:id="239"/>
      <w:bookmarkEnd w:id="240"/>
      <w:bookmarkEnd w:id="241"/>
      <w:bookmarkEnd w:id="242"/>
      <w:bookmarkEnd w:id="243"/>
    </w:p>
    <w:p>
      <w:pPr>
        <w:keepNext w:val="0"/>
        <w:keepLines w:val="0"/>
        <w:widowControl/>
        <w:suppressLineNumbers w:val="0"/>
        <w:jc w:val="left"/>
        <w:rPr>
          <w:rFonts w:hint="eastAsia" w:ascii="宋体" w:hAnsi="宋体" w:eastAsia="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11.3.1  </w:t>
      </w:r>
      <w:r>
        <w:rPr>
          <w:rFonts w:hint="eastAsia" w:ascii="宋体" w:hAnsi="宋体" w:eastAsia="宋体"/>
          <w:color w:val="auto"/>
          <w:sz w:val="21"/>
          <w:szCs w:val="21"/>
          <w:highlight w:val="none"/>
        </w:rPr>
        <w:t>红外热像</w:t>
      </w:r>
      <w:r>
        <w:rPr>
          <w:rFonts w:hint="eastAsia" w:ascii="宋体" w:hAnsi="宋体" w:eastAsia="宋体"/>
          <w:color w:val="auto"/>
          <w:sz w:val="21"/>
          <w:szCs w:val="21"/>
          <w:highlight w:val="none"/>
          <w:lang w:val="en-US" w:eastAsia="zh-CN"/>
        </w:rPr>
        <w:t>法测温仪器应符合下列规定：</w:t>
      </w:r>
    </w:p>
    <w:p>
      <w:pPr>
        <w:keepNext w:val="0"/>
        <w:keepLines w:val="0"/>
        <w:widowControl/>
        <w:suppressLineNumbers w:val="0"/>
        <w:ind w:firstLine="422" w:firstLineChars="200"/>
        <w:jc w:val="left"/>
        <w:rPr>
          <w:rFonts w:hint="eastAsia" w:ascii="宋体" w:hAnsi="宋体" w:eastAsia="宋体"/>
          <w:color w:val="auto"/>
          <w:sz w:val="21"/>
          <w:szCs w:val="21"/>
          <w:highlight w:val="none"/>
          <w:lang w:eastAsia="zh-CN"/>
        </w:rPr>
      </w:pPr>
      <w:r>
        <w:rPr>
          <w:rFonts w:hint="eastAsia" w:ascii="宋体" w:hAnsi="宋体" w:eastAsia="宋体"/>
          <w:b/>
          <w:bCs/>
          <w:color w:val="auto"/>
          <w:sz w:val="21"/>
          <w:szCs w:val="21"/>
          <w:highlight w:val="none"/>
          <w:lang w:val="en-US" w:eastAsia="zh-CN"/>
        </w:rPr>
        <w:t>1</w:t>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rPr>
        <w:t>应符合</w:t>
      </w:r>
      <w:r>
        <w:rPr>
          <w:rFonts w:hint="eastAsia" w:ascii="宋体" w:hAnsi="宋体" w:eastAsia="宋体"/>
          <w:color w:val="auto"/>
          <w:sz w:val="21"/>
          <w:szCs w:val="21"/>
          <w:highlight w:val="none"/>
          <w:lang w:eastAsia="zh-CN"/>
        </w:rPr>
        <w:t>《工业检测型红外热像仪》</w:t>
      </w:r>
      <w:r>
        <w:rPr>
          <w:rFonts w:hint="eastAsia" w:ascii="宋体" w:hAnsi="宋体" w:eastAsia="宋体"/>
          <w:color w:val="auto"/>
          <w:sz w:val="21"/>
          <w:szCs w:val="21"/>
          <w:highlight w:val="none"/>
        </w:rPr>
        <w:t>GB/T 19870的规定</w:t>
      </w:r>
      <w:r>
        <w:rPr>
          <w:rFonts w:hint="eastAsia" w:ascii="宋体" w:hAnsi="宋体" w:eastAsia="宋体"/>
          <w:color w:val="auto"/>
          <w:sz w:val="21"/>
          <w:szCs w:val="21"/>
          <w:highlight w:val="none"/>
          <w:lang w:eastAsia="zh-CN"/>
        </w:rPr>
        <w:t>且</w:t>
      </w:r>
      <w:r>
        <w:rPr>
          <w:rFonts w:hint="eastAsia" w:ascii="宋体" w:hAnsi="宋体" w:eastAsia="宋体"/>
          <w:color w:val="auto"/>
          <w:sz w:val="21"/>
          <w:szCs w:val="21"/>
          <w:highlight w:val="none"/>
        </w:rPr>
        <w:t>与</w:t>
      </w:r>
      <w:r>
        <w:rPr>
          <w:rFonts w:hint="eastAsia" w:ascii="宋体" w:hAnsi="宋体" w:eastAsia="宋体"/>
          <w:color w:val="auto"/>
          <w:sz w:val="21"/>
          <w:szCs w:val="21"/>
          <w:highlight w:val="none"/>
          <w:lang w:val="en-US" w:eastAsia="zh-CN"/>
        </w:rPr>
        <w:t>检测对象</w:t>
      </w:r>
      <w:r>
        <w:rPr>
          <w:rFonts w:hint="eastAsia" w:ascii="宋体" w:hAnsi="宋体" w:eastAsia="宋体"/>
          <w:color w:val="auto"/>
          <w:sz w:val="21"/>
          <w:szCs w:val="21"/>
          <w:highlight w:val="none"/>
        </w:rPr>
        <w:t>的温度范围相匹配</w:t>
      </w:r>
      <w:r>
        <w:rPr>
          <w:rFonts w:hint="eastAsia" w:ascii="宋体" w:hAnsi="宋体" w:eastAsia="宋体"/>
          <w:color w:val="auto"/>
          <w:sz w:val="21"/>
          <w:szCs w:val="21"/>
          <w:highlight w:val="none"/>
          <w:lang w:eastAsia="zh-CN"/>
        </w:rPr>
        <w:t>；</w:t>
      </w:r>
    </w:p>
    <w:p>
      <w:pPr>
        <w:keepNext w:val="0"/>
        <w:keepLines w:val="0"/>
        <w:widowControl/>
        <w:suppressLineNumbers w:val="0"/>
        <w:ind w:firstLine="422" w:firstLineChars="200"/>
        <w:jc w:val="left"/>
        <w:rPr>
          <w:rFonts w:hint="eastAsia" w:ascii="宋体" w:hAnsi="宋体" w:eastAsia="宋体"/>
          <w:color w:val="auto"/>
          <w:sz w:val="21"/>
          <w:szCs w:val="21"/>
          <w:highlight w:val="none"/>
          <w:lang w:val="en-US" w:eastAsia="zh-CN"/>
        </w:rPr>
      </w:pPr>
      <w:r>
        <w:rPr>
          <w:rFonts w:hint="eastAsia" w:ascii="宋体" w:hAnsi="宋体" w:eastAsia="宋体"/>
          <w:b/>
          <w:bCs/>
          <w:color w:val="auto"/>
          <w:sz w:val="21"/>
          <w:szCs w:val="21"/>
          <w:highlight w:val="none"/>
          <w:lang w:val="en-US" w:eastAsia="zh-CN"/>
        </w:rPr>
        <w:t>2</w:t>
      </w:r>
      <w:r>
        <w:rPr>
          <w:rFonts w:hint="eastAsia" w:ascii="宋体" w:hAnsi="宋体" w:eastAsia="宋体"/>
          <w:color w:val="auto"/>
          <w:sz w:val="21"/>
          <w:szCs w:val="21"/>
          <w:highlight w:val="none"/>
          <w:lang w:val="en-US" w:eastAsia="zh-CN"/>
        </w:rPr>
        <w:t xml:space="preserve">  测温范围0℃～200℃，测温精确度读数的±2%或±2℃；</w:t>
      </w:r>
    </w:p>
    <w:p>
      <w:pPr>
        <w:keepNext w:val="0"/>
        <w:keepLines w:val="0"/>
        <w:widowControl/>
        <w:suppressLineNumbers w:val="0"/>
        <w:ind w:firstLine="422" w:firstLineChars="200"/>
        <w:jc w:val="left"/>
        <w:rPr>
          <w:rFonts w:hint="default" w:ascii="宋体" w:hAnsi="宋体" w:eastAsia="宋体"/>
          <w:color w:val="auto"/>
          <w:sz w:val="21"/>
          <w:szCs w:val="21"/>
          <w:highlight w:val="none"/>
          <w:lang w:val="en-US"/>
        </w:rPr>
      </w:pPr>
      <w:r>
        <w:rPr>
          <w:rFonts w:hint="eastAsia" w:ascii="宋体" w:hAnsi="宋体" w:eastAsia="宋体"/>
          <w:b/>
          <w:bCs/>
          <w:color w:val="auto"/>
          <w:sz w:val="21"/>
          <w:szCs w:val="21"/>
          <w:highlight w:val="none"/>
          <w:lang w:val="en-US" w:eastAsia="zh-CN"/>
        </w:rPr>
        <w:t>3</w:t>
      </w:r>
      <w:r>
        <w:rPr>
          <w:rFonts w:hint="eastAsia" w:ascii="宋体" w:hAnsi="宋体" w:eastAsia="宋体"/>
          <w:color w:val="auto"/>
          <w:sz w:val="21"/>
          <w:szCs w:val="21"/>
          <w:highlight w:val="none"/>
          <w:lang w:val="en-US" w:eastAsia="zh-CN"/>
        </w:rPr>
        <w:t xml:space="preserve">  具备图像存储和回放功能。</w:t>
      </w:r>
    </w:p>
    <w:p>
      <w:pPr>
        <w:rPr>
          <w:rFonts w:hint="eastAsia" w:ascii="宋体" w:hAnsi="宋体" w:eastAsia="宋体"/>
          <w:color w:val="auto"/>
          <w:sz w:val="21"/>
          <w:szCs w:val="21"/>
          <w:highlight w:val="none"/>
        </w:rPr>
      </w:pPr>
      <w:r>
        <w:rPr>
          <w:rFonts w:hint="eastAsia" w:ascii="宋体" w:hAnsi="宋体" w:eastAsia="宋体" w:cs="宋体"/>
          <w:b/>
          <w:bCs/>
          <w:color w:val="auto"/>
          <w:sz w:val="21"/>
          <w:szCs w:val="21"/>
          <w:highlight w:val="none"/>
          <w:lang w:val="en-US" w:eastAsia="zh-CN"/>
        </w:rPr>
        <w:t xml:space="preserve">11.3.2  </w:t>
      </w:r>
      <w:r>
        <w:rPr>
          <w:rFonts w:hint="eastAsia" w:ascii="宋体" w:hAnsi="宋体" w:eastAsia="宋体"/>
          <w:color w:val="auto"/>
          <w:sz w:val="21"/>
          <w:szCs w:val="21"/>
          <w:highlight w:val="none"/>
        </w:rPr>
        <w:t>检测前</w:t>
      </w:r>
      <w:r>
        <w:rPr>
          <w:rFonts w:hint="eastAsia" w:ascii="宋体" w:hAnsi="宋体" w:eastAsia="宋体"/>
          <w:color w:val="auto"/>
          <w:sz w:val="21"/>
          <w:szCs w:val="21"/>
          <w:highlight w:val="none"/>
          <w:lang w:val="en-US" w:eastAsia="zh-CN"/>
        </w:rPr>
        <w:t>应完成下列工作：</w:t>
      </w:r>
    </w:p>
    <w:p>
      <w:pPr>
        <w:ind w:firstLine="422" w:firstLineChars="200"/>
        <w:rPr>
          <w:rFonts w:ascii="宋体" w:hAnsi="宋体" w:eastAsia="宋体"/>
          <w:color w:val="auto"/>
          <w:sz w:val="21"/>
          <w:szCs w:val="21"/>
          <w:highlight w:val="none"/>
        </w:rPr>
      </w:pPr>
      <w:r>
        <w:rPr>
          <w:rFonts w:hint="eastAsia" w:ascii="宋体" w:hAnsi="宋体" w:eastAsia="宋体"/>
          <w:b/>
          <w:bCs/>
          <w:color w:val="auto"/>
          <w:sz w:val="21"/>
          <w:szCs w:val="21"/>
          <w:highlight w:val="none"/>
        </w:rPr>
        <w:t>1</w:t>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rPr>
        <w:t>检查被检部位表面颜色的均匀性和锈蚀层疏松程度，存在大面积疏松锈蚀层时，宜对表面进行处理；</w:t>
      </w:r>
    </w:p>
    <w:p>
      <w:pPr>
        <w:ind w:firstLine="422" w:firstLineChars="200"/>
        <w:rPr>
          <w:rFonts w:ascii="宋体" w:hAnsi="宋体" w:eastAsia="宋体"/>
          <w:color w:val="auto"/>
          <w:sz w:val="21"/>
          <w:szCs w:val="21"/>
          <w:highlight w:val="none"/>
        </w:rPr>
      </w:pPr>
      <w:r>
        <w:rPr>
          <w:rFonts w:hint="eastAsia" w:ascii="宋体" w:hAnsi="宋体" w:eastAsia="宋体"/>
          <w:b/>
          <w:bCs/>
          <w:color w:val="auto"/>
          <w:sz w:val="21"/>
          <w:szCs w:val="21"/>
          <w:highlight w:val="none"/>
        </w:rPr>
        <w:t>2</w:t>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rPr>
        <w:t>打开或移开相关的柜门、端盖等检测部位的遮挡物，可直接观察到被检部位；</w:t>
      </w:r>
    </w:p>
    <w:p>
      <w:pPr>
        <w:ind w:firstLine="422" w:firstLineChars="200"/>
        <w:rPr>
          <w:rFonts w:ascii="宋体" w:hAnsi="宋体" w:eastAsia="宋体"/>
          <w:color w:val="auto"/>
          <w:sz w:val="21"/>
          <w:szCs w:val="21"/>
          <w:highlight w:val="none"/>
        </w:rPr>
      </w:pPr>
      <w:r>
        <w:rPr>
          <w:rFonts w:hint="eastAsia" w:ascii="宋体" w:hAnsi="宋体" w:eastAsia="宋体"/>
          <w:b/>
          <w:bCs/>
          <w:color w:val="auto"/>
          <w:sz w:val="21"/>
          <w:szCs w:val="21"/>
          <w:highlight w:val="none"/>
        </w:rPr>
        <w:t>3</w:t>
      </w:r>
      <w:r>
        <w:rPr>
          <w:rFonts w:hint="eastAsia" w:ascii="宋体" w:hAnsi="宋体" w:eastAsia="宋体"/>
          <w:color w:val="auto"/>
          <w:sz w:val="21"/>
          <w:szCs w:val="21"/>
          <w:highlight w:val="none"/>
          <w:lang w:val="en-US" w:eastAsia="zh-CN"/>
        </w:rPr>
        <w:t xml:space="preserve">  检测对象</w:t>
      </w:r>
      <w:r>
        <w:rPr>
          <w:rFonts w:hint="eastAsia" w:ascii="宋体" w:hAnsi="宋体" w:eastAsia="宋体"/>
          <w:color w:val="auto"/>
          <w:sz w:val="21"/>
          <w:szCs w:val="21"/>
          <w:highlight w:val="none"/>
        </w:rPr>
        <w:t>应达到预定载荷或者设备最大载荷</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rPr>
        <w:t>运行正常稳定。</w:t>
      </w:r>
    </w:p>
    <w:p>
      <w:pPr>
        <w:rPr>
          <w:rFonts w:ascii="宋体" w:hAnsi="宋体" w:eastAsia="宋体"/>
          <w:color w:val="auto"/>
          <w:sz w:val="21"/>
          <w:szCs w:val="21"/>
          <w:highlight w:val="none"/>
        </w:rPr>
      </w:pPr>
      <w:r>
        <w:rPr>
          <w:rFonts w:hint="eastAsia" w:ascii="宋体" w:hAnsi="宋体" w:eastAsia="宋体" w:cs="宋体"/>
          <w:b/>
          <w:bCs/>
          <w:color w:val="auto"/>
          <w:sz w:val="21"/>
          <w:szCs w:val="21"/>
          <w:highlight w:val="none"/>
          <w:lang w:val="en-US" w:eastAsia="zh-CN"/>
        </w:rPr>
        <w:t xml:space="preserve">11.3.3  </w:t>
      </w:r>
      <w:r>
        <w:rPr>
          <w:rFonts w:hint="eastAsia" w:ascii="宋体" w:hAnsi="宋体" w:eastAsia="宋体"/>
          <w:color w:val="auto"/>
          <w:sz w:val="21"/>
          <w:szCs w:val="21"/>
          <w:highlight w:val="none"/>
          <w:lang w:val="en-US" w:eastAsia="zh-CN"/>
        </w:rPr>
        <w:t>红外热像法测温</w:t>
      </w:r>
      <w:r>
        <w:rPr>
          <w:rFonts w:hint="eastAsia" w:ascii="宋体" w:hAnsi="宋体" w:eastAsia="宋体"/>
          <w:color w:val="auto"/>
          <w:sz w:val="21"/>
          <w:szCs w:val="21"/>
          <w:highlight w:val="none"/>
        </w:rPr>
        <w:t>应按下列步骤进行：</w:t>
      </w:r>
    </w:p>
    <w:p>
      <w:pPr>
        <w:ind w:firstLine="422" w:firstLineChars="200"/>
        <w:rPr>
          <w:rFonts w:ascii="宋体" w:hAnsi="宋体" w:eastAsia="宋体"/>
          <w:color w:val="auto"/>
          <w:sz w:val="21"/>
          <w:szCs w:val="21"/>
          <w:highlight w:val="none"/>
        </w:rPr>
      </w:pPr>
      <w:r>
        <w:rPr>
          <w:rFonts w:hint="eastAsia" w:ascii="宋体" w:hAnsi="宋体" w:eastAsia="宋体"/>
          <w:b/>
          <w:bCs/>
          <w:color w:val="auto"/>
          <w:sz w:val="21"/>
          <w:szCs w:val="21"/>
          <w:highlight w:val="none"/>
        </w:rPr>
        <w:t>1</w:t>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rPr>
        <w:t>打开</w:t>
      </w:r>
      <w:r>
        <w:rPr>
          <w:rFonts w:hint="eastAsia" w:ascii="宋体" w:hAnsi="宋体" w:eastAsia="宋体"/>
          <w:color w:val="auto"/>
          <w:sz w:val="21"/>
          <w:szCs w:val="21"/>
          <w:highlight w:val="none"/>
          <w:lang w:eastAsia="zh-CN"/>
        </w:rPr>
        <w:t>红外热像法检测温度</w:t>
      </w:r>
      <w:r>
        <w:rPr>
          <w:rFonts w:hint="eastAsia" w:ascii="宋体" w:hAnsi="宋体" w:eastAsia="宋体"/>
          <w:color w:val="auto"/>
          <w:sz w:val="21"/>
          <w:szCs w:val="21"/>
          <w:highlight w:val="none"/>
        </w:rPr>
        <w:t>仪器，完成温度自动检验</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rPr>
        <w:t>检查图像稳定性和数据显示</w:t>
      </w:r>
      <w:r>
        <w:rPr>
          <w:rFonts w:hint="eastAsia" w:ascii="宋体" w:hAnsi="宋体" w:eastAsia="宋体"/>
          <w:color w:val="auto"/>
          <w:sz w:val="21"/>
          <w:szCs w:val="21"/>
          <w:highlight w:val="none"/>
          <w:lang w:val="en-US" w:eastAsia="zh-CN"/>
        </w:rPr>
        <w:t>是否</w:t>
      </w:r>
      <w:r>
        <w:rPr>
          <w:rFonts w:hint="eastAsia" w:ascii="宋体" w:hAnsi="宋体" w:eastAsia="宋体"/>
          <w:color w:val="auto"/>
          <w:sz w:val="21"/>
          <w:szCs w:val="21"/>
          <w:highlight w:val="none"/>
        </w:rPr>
        <w:t>正常；</w:t>
      </w:r>
    </w:p>
    <w:p>
      <w:pPr>
        <w:ind w:firstLine="422" w:firstLineChars="200"/>
        <w:rPr>
          <w:rFonts w:hint="eastAsia" w:ascii="宋体" w:hAnsi="宋体" w:eastAsia="宋体"/>
          <w:color w:val="auto"/>
          <w:sz w:val="21"/>
          <w:szCs w:val="21"/>
          <w:highlight w:val="none"/>
          <w:lang w:eastAsia="zh-CN"/>
        </w:rPr>
      </w:pPr>
      <w:r>
        <w:rPr>
          <w:rFonts w:hint="eastAsia" w:ascii="宋体" w:hAnsi="宋体" w:eastAsia="宋体"/>
          <w:b/>
          <w:bCs/>
          <w:color w:val="auto"/>
          <w:sz w:val="21"/>
          <w:szCs w:val="21"/>
          <w:highlight w:val="none"/>
        </w:rPr>
        <w:t>2</w:t>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rPr>
        <w:t>根据被测部位可能的温度范围设定温度量程，检测过程中可根据实际情况再次调整红外热像仪的温度范围</w:t>
      </w:r>
      <w:r>
        <w:rPr>
          <w:rFonts w:hint="eastAsia" w:ascii="宋体" w:hAnsi="宋体" w:eastAsia="宋体"/>
          <w:color w:val="auto"/>
          <w:sz w:val="21"/>
          <w:szCs w:val="21"/>
          <w:highlight w:val="none"/>
          <w:lang w:eastAsia="zh-CN"/>
        </w:rPr>
        <w:t>；</w:t>
      </w:r>
    </w:p>
    <w:p>
      <w:pPr>
        <w:ind w:firstLine="422" w:firstLineChars="200"/>
        <w:rPr>
          <w:rFonts w:hint="eastAsia" w:ascii="宋体" w:hAnsi="宋体" w:eastAsia="宋体"/>
          <w:color w:val="auto"/>
          <w:sz w:val="21"/>
          <w:szCs w:val="21"/>
          <w:highlight w:val="none"/>
          <w:lang w:eastAsia="zh-CN"/>
        </w:rPr>
      </w:pPr>
      <w:r>
        <w:rPr>
          <w:rFonts w:hint="eastAsia" w:ascii="宋体" w:hAnsi="宋体" w:eastAsia="宋体"/>
          <w:b/>
          <w:bCs/>
          <w:color w:val="auto"/>
          <w:sz w:val="21"/>
          <w:szCs w:val="21"/>
          <w:highlight w:val="none"/>
        </w:rPr>
        <w:t>3</w:t>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rPr>
        <w:t>在</w:t>
      </w:r>
      <w:r>
        <w:rPr>
          <w:rFonts w:hint="eastAsia" w:ascii="宋体" w:hAnsi="宋体" w:eastAsia="宋体"/>
          <w:color w:val="auto"/>
          <w:sz w:val="21"/>
          <w:szCs w:val="21"/>
          <w:highlight w:val="none"/>
          <w:lang w:eastAsia="zh-CN"/>
        </w:rPr>
        <w:t>红外热像法检测温度</w:t>
      </w:r>
      <w:r>
        <w:rPr>
          <w:rFonts w:hint="eastAsia" w:ascii="宋体" w:hAnsi="宋体" w:eastAsia="宋体"/>
          <w:color w:val="auto"/>
          <w:sz w:val="21"/>
          <w:szCs w:val="21"/>
          <w:highlight w:val="none"/>
        </w:rPr>
        <w:t>仪器中输入被检部位红外发射率。扫查检测时，被测设备的辐射率可取0.9。精确检测时，红外发射率选择参照附录A</w:t>
      </w:r>
      <w:r>
        <w:rPr>
          <w:rFonts w:hint="eastAsia" w:ascii="宋体" w:hAnsi="宋体" w:eastAsia="宋体"/>
          <w:color w:val="auto"/>
          <w:sz w:val="21"/>
          <w:szCs w:val="21"/>
          <w:highlight w:val="none"/>
          <w:lang w:eastAsia="zh-CN"/>
        </w:rPr>
        <w:t>；</w:t>
      </w:r>
    </w:p>
    <w:p>
      <w:pPr>
        <w:ind w:firstLine="422" w:firstLineChars="200"/>
        <w:rPr>
          <w:rFonts w:hint="eastAsia" w:ascii="宋体" w:hAnsi="宋体" w:eastAsia="宋体"/>
          <w:color w:val="auto"/>
          <w:sz w:val="21"/>
          <w:szCs w:val="21"/>
          <w:highlight w:val="none"/>
          <w:lang w:eastAsia="zh-CN"/>
        </w:rPr>
      </w:pPr>
      <w:r>
        <w:rPr>
          <w:rFonts w:hint="eastAsia" w:ascii="宋体" w:hAnsi="宋体" w:eastAsia="宋体"/>
          <w:b/>
          <w:bCs/>
          <w:color w:val="auto"/>
          <w:sz w:val="21"/>
          <w:szCs w:val="21"/>
          <w:highlight w:val="none"/>
        </w:rPr>
        <w:t>4</w:t>
      </w:r>
      <w:r>
        <w:rPr>
          <w:rFonts w:hint="eastAsia" w:ascii="宋体" w:hAnsi="宋体" w:eastAsia="宋体"/>
          <w:color w:val="auto"/>
          <w:sz w:val="21"/>
          <w:szCs w:val="21"/>
          <w:highlight w:val="none"/>
        </w:rPr>
        <w:t xml:space="preserve"> 在</w:t>
      </w:r>
      <w:r>
        <w:rPr>
          <w:rFonts w:hint="eastAsia" w:ascii="宋体" w:hAnsi="宋体" w:eastAsia="宋体"/>
          <w:color w:val="auto"/>
          <w:sz w:val="21"/>
          <w:szCs w:val="21"/>
          <w:highlight w:val="none"/>
          <w:lang w:eastAsia="zh-CN"/>
        </w:rPr>
        <w:t>红外热像法检测温度</w:t>
      </w:r>
      <w:r>
        <w:rPr>
          <w:rFonts w:hint="eastAsia" w:ascii="宋体" w:hAnsi="宋体" w:eastAsia="宋体"/>
          <w:color w:val="auto"/>
          <w:sz w:val="21"/>
          <w:szCs w:val="21"/>
          <w:highlight w:val="none"/>
        </w:rPr>
        <w:t>仪器中输入检测现场环境温度、相对湿度、测量距离等补偿参数。检测距离不应小于与设备的安全距离</w:t>
      </w:r>
      <w:r>
        <w:rPr>
          <w:rFonts w:hint="eastAsia" w:ascii="宋体" w:hAnsi="宋体" w:eastAsia="宋体"/>
          <w:color w:val="auto"/>
          <w:sz w:val="21"/>
          <w:szCs w:val="21"/>
          <w:highlight w:val="none"/>
          <w:lang w:eastAsia="zh-CN"/>
        </w:rPr>
        <w:t>；</w:t>
      </w:r>
    </w:p>
    <w:p>
      <w:pPr>
        <w:ind w:firstLine="422" w:firstLineChars="200"/>
        <w:rPr>
          <w:rFonts w:hint="eastAsia" w:ascii="宋体" w:hAnsi="宋体" w:eastAsia="宋体"/>
          <w:color w:val="auto"/>
          <w:sz w:val="21"/>
          <w:szCs w:val="21"/>
          <w:highlight w:val="none"/>
          <w:lang w:eastAsia="zh-CN"/>
        </w:rPr>
      </w:pPr>
      <w:r>
        <w:rPr>
          <w:rFonts w:hint="eastAsia" w:ascii="宋体" w:hAnsi="宋体" w:eastAsia="宋体"/>
          <w:b/>
          <w:bCs/>
          <w:color w:val="auto"/>
          <w:sz w:val="21"/>
          <w:szCs w:val="21"/>
          <w:highlight w:val="none"/>
        </w:rPr>
        <w:t>5</w:t>
      </w:r>
      <w:r>
        <w:rPr>
          <w:rFonts w:hint="eastAsia" w:ascii="宋体" w:hAnsi="宋体" w:eastAsia="宋体"/>
          <w:color w:val="auto"/>
          <w:sz w:val="21"/>
          <w:szCs w:val="21"/>
          <w:highlight w:val="none"/>
        </w:rPr>
        <w:t xml:space="preserve"> 选择彩色显示方式，宜选择铁红色调色板</w:t>
      </w:r>
      <w:r>
        <w:rPr>
          <w:rFonts w:hint="eastAsia" w:ascii="宋体" w:hAnsi="宋体" w:eastAsia="宋体"/>
          <w:color w:val="auto"/>
          <w:sz w:val="21"/>
          <w:szCs w:val="21"/>
          <w:highlight w:val="none"/>
          <w:lang w:eastAsia="zh-CN"/>
        </w:rPr>
        <w:t>；</w:t>
      </w:r>
    </w:p>
    <w:p>
      <w:pPr>
        <w:ind w:firstLine="422" w:firstLineChars="200"/>
        <w:rPr>
          <w:rFonts w:hint="eastAsia" w:ascii="宋体" w:hAnsi="宋体" w:eastAsia="宋体"/>
          <w:color w:val="auto"/>
          <w:sz w:val="21"/>
          <w:szCs w:val="21"/>
          <w:highlight w:val="none"/>
          <w:lang w:eastAsia="zh-CN"/>
        </w:rPr>
      </w:pPr>
      <w:r>
        <w:rPr>
          <w:rFonts w:hint="eastAsia" w:ascii="宋体" w:hAnsi="宋体" w:eastAsia="宋体"/>
          <w:b/>
          <w:bCs/>
          <w:color w:val="auto"/>
          <w:sz w:val="21"/>
          <w:szCs w:val="21"/>
          <w:highlight w:val="none"/>
        </w:rPr>
        <w:t>6</w:t>
      </w:r>
      <w:r>
        <w:rPr>
          <w:rFonts w:hint="eastAsia" w:ascii="宋体" w:hAnsi="宋体" w:eastAsia="宋体"/>
          <w:color w:val="auto"/>
          <w:sz w:val="21"/>
          <w:szCs w:val="21"/>
          <w:highlight w:val="none"/>
        </w:rPr>
        <w:t xml:space="preserve"> 进行扫查检测，发现可能存在的温度异常部位</w:t>
      </w:r>
      <w:r>
        <w:rPr>
          <w:rFonts w:hint="eastAsia" w:ascii="宋体" w:hAnsi="宋体" w:eastAsia="宋体"/>
          <w:color w:val="auto"/>
          <w:sz w:val="21"/>
          <w:szCs w:val="21"/>
          <w:highlight w:val="none"/>
          <w:lang w:eastAsia="zh-CN"/>
        </w:rPr>
        <w:t>；</w:t>
      </w:r>
    </w:p>
    <w:p>
      <w:pPr>
        <w:ind w:firstLine="422" w:firstLineChars="200"/>
        <w:rPr>
          <w:rFonts w:hint="eastAsia" w:ascii="宋体" w:hAnsi="宋体" w:eastAsia="宋体"/>
          <w:color w:val="auto"/>
          <w:sz w:val="21"/>
          <w:szCs w:val="21"/>
          <w:highlight w:val="none"/>
          <w:lang w:eastAsia="zh-CN"/>
        </w:rPr>
      </w:pPr>
      <w:r>
        <w:rPr>
          <w:rFonts w:hint="eastAsia" w:ascii="宋体" w:hAnsi="宋体" w:eastAsia="宋体"/>
          <w:b/>
          <w:bCs/>
          <w:color w:val="auto"/>
          <w:sz w:val="21"/>
          <w:szCs w:val="21"/>
          <w:highlight w:val="none"/>
        </w:rPr>
        <w:t>7</w:t>
      </w:r>
      <w:r>
        <w:rPr>
          <w:rFonts w:hint="eastAsia" w:ascii="宋体" w:hAnsi="宋体" w:eastAsia="宋体"/>
          <w:color w:val="auto"/>
          <w:sz w:val="21"/>
          <w:szCs w:val="21"/>
          <w:highlight w:val="none"/>
        </w:rPr>
        <w:t xml:space="preserve"> 对温度异常部位温度检测时，</w:t>
      </w:r>
      <w:r>
        <w:rPr>
          <w:rFonts w:hint="eastAsia" w:ascii="宋体" w:hAnsi="宋体" w:eastAsia="宋体"/>
          <w:color w:val="auto"/>
          <w:sz w:val="21"/>
          <w:szCs w:val="21"/>
          <w:highlight w:val="none"/>
          <w:lang w:eastAsia="zh-CN"/>
        </w:rPr>
        <w:t>红外热像法检测温度</w:t>
      </w:r>
      <w:r>
        <w:rPr>
          <w:rFonts w:hint="eastAsia" w:ascii="宋体" w:hAnsi="宋体" w:eastAsia="宋体"/>
          <w:color w:val="auto"/>
          <w:sz w:val="21"/>
          <w:szCs w:val="21"/>
          <w:highlight w:val="none"/>
        </w:rPr>
        <w:t>仪器宜靠近被测设备，使被测设备充满整个仪器的视场，必要时，可使用中、长焦距镜头</w:t>
      </w:r>
      <w:r>
        <w:rPr>
          <w:rFonts w:hint="eastAsia" w:ascii="宋体" w:hAnsi="宋体" w:eastAsia="宋体"/>
          <w:color w:val="auto"/>
          <w:sz w:val="21"/>
          <w:szCs w:val="21"/>
          <w:highlight w:val="none"/>
          <w:lang w:eastAsia="zh-CN"/>
        </w:rPr>
        <w:t>；</w:t>
      </w:r>
    </w:p>
    <w:p>
      <w:pPr>
        <w:ind w:firstLine="422" w:firstLineChars="200"/>
        <w:rPr>
          <w:rFonts w:hint="eastAsia" w:ascii="宋体" w:hAnsi="宋体" w:eastAsia="宋体"/>
          <w:color w:val="auto"/>
          <w:sz w:val="21"/>
          <w:szCs w:val="21"/>
          <w:highlight w:val="none"/>
          <w:lang w:eastAsia="zh-CN"/>
        </w:rPr>
      </w:pPr>
      <w:r>
        <w:rPr>
          <w:rFonts w:hint="eastAsia" w:ascii="宋体" w:hAnsi="宋体" w:eastAsia="宋体"/>
          <w:b/>
          <w:bCs/>
          <w:color w:val="auto"/>
          <w:sz w:val="21"/>
          <w:szCs w:val="21"/>
          <w:highlight w:val="none"/>
        </w:rPr>
        <w:t>8</w:t>
      </w:r>
      <w:r>
        <w:rPr>
          <w:rFonts w:hint="eastAsia" w:ascii="宋体" w:hAnsi="宋体" w:eastAsia="宋体"/>
          <w:color w:val="auto"/>
          <w:sz w:val="21"/>
          <w:szCs w:val="21"/>
          <w:highlight w:val="none"/>
        </w:rPr>
        <w:t xml:space="preserve"> 拍摄宜选取2个以上不同的方向和角度，确定最佳检测位置并记录，以供复测使用</w:t>
      </w:r>
      <w:r>
        <w:rPr>
          <w:rFonts w:hint="eastAsia" w:ascii="宋体" w:hAnsi="宋体" w:eastAsia="宋体"/>
          <w:color w:val="auto"/>
          <w:sz w:val="21"/>
          <w:szCs w:val="21"/>
          <w:highlight w:val="none"/>
          <w:lang w:eastAsia="zh-CN"/>
        </w:rPr>
        <w:t>；</w:t>
      </w:r>
    </w:p>
    <w:p>
      <w:pPr>
        <w:ind w:firstLine="422" w:firstLineChars="200"/>
        <w:rPr>
          <w:rFonts w:hint="eastAsia" w:ascii="宋体" w:hAnsi="宋体" w:eastAsia="宋体"/>
          <w:color w:val="auto"/>
          <w:sz w:val="21"/>
          <w:szCs w:val="21"/>
          <w:highlight w:val="none"/>
        </w:rPr>
      </w:pPr>
      <w:r>
        <w:rPr>
          <w:rFonts w:hint="eastAsia" w:ascii="宋体" w:hAnsi="宋体" w:eastAsia="宋体"/>
          <w:b/>
          <w:bCs/>
          <w:color w:val="auto"/>
          <w:sz w:val="21"/>
          <w:szCs w:val="21"/>
          <w:highlight w:val="none"/>
        </w:rPr>
        <w:t>9</w:t>
      </w:r>
      <w:r>
        <w:rPr>
          <w:rFonts w:hint="eastAsia" w:ascii="宋体" w:hAnsi="宋体" w:eastAsia="宋体"/>
          <w:color w:val="auto"/>
          <w:sz w:val="21"/>
          <w:szCs w:val="21"/>
          <w:highlight w:val="none"/>
        </w:rPr>
        <w:t xml:space="preserve"> 记录被检设备的实际负荷电流、被检部位温度、环境温度、红外热像图，同时在被检设备上对温度异常部位做出标识</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rPr>
        <w:t>拍下被检部位的可见光照片。</w:t>
      </w:r>
    </w:p>
    <w:p>
      <w:pPr>
        <w:pStyle w:val="3"/>
        <w:jc w:val="center"/>
        <w:rPr>
          <w:rFonts w:ascii="宋体" w:hAnsi="宋体" w:eastAsia="宋体" w:cs="宋体"/>
          <w:color w:val="auto"/>
          <w:sz w:val="21"/>
          <w:szCs w:val="21"/>
          <w:highlight w:val="none"/>
        </w:rPr>
      </w:pPr>
      <w:bookmarkStart w:id="244" w:name="_Toc13744"/>
      <w:bookmarkStart w:id="245" w:name="_Toc26956"/>
      <w:bookmarkStart w:id="246" w:name="_Toc28107"/>
      <w:bookmarkStart w:id="247" w:name="_Toc16209"/>
      <w:bookmarkStart w:id="248" w:name="_Toc13752"/>
      <w:r>
        <w:rPr>
          <w:rFonts w:hint="eastAsia" w:ascii="宋体" w:hAnsi="宋体" w:eastAsia="宋体" w:cs="宋体"/>
          <w:color w:val="auto"/>
          <w:sz w:val="21"/>
          <w:szCs w:val="21"/>
          <w:highlight w:val="none"/>
        </w:rPr>
        <w:t xml:space="preserve">11.4 </w:t>
      </w:r>
      <w:r>
        <w:rPr>
          <w:rFonts w:hint="eastAsia" w:ascii="宋体" w:hAnsi="宋体" w:eastAsia="宋体" w:cs="宋体"/>
          <w:color w:val="auto"/>
          <w:sz w:val="21"/>
          <w:szCs w:val="21"/>
          <w:highlight w:val="none"/>
          <w:lang w:val="en-US" w:eastAsia="zh-CN"/>
        </w:rPr>
        <w:t xml:space="preserve"> 检测结果</w:t>
      </w:r>
      <w:bookmarkEnd w:id="244"/>
      <w:r>
        <w:rPr>
          <w:rFonts w:hint="eastAsia" w:ascii="宋体" w:hAnsi="宋体" w:eastAsia="宋体" w:cs="宋体"/>
          <w:color w:val="auto"/>
          <w:sz w:val="21"/>
          <w:szCs w:val="21"/>
          <w:highlight w:val="none"/>
          <w:lang w:val="en-US" w:eastAsia="zh-CN"/>
        </w:rPr>
        <w:t>的评价</w:t>
      </w:r>
      <w:bookmarkEnd w:id="245"/>
      <w:bookmarkEnd w:id="246"/>
      <w:bookmarkEnd w:id="247"/>
      <w:bookmarkEnd w:id="248"/>
    </w:p>
    <w:p>
      <w:pPr>
        <w:rPr>
          <w:rFonts w:hint="eastAsia" w:ascii="宋体" w:hAnsi="宋体" w:eastAsia="宋体"/>
          <w:color w:val="auto"/>
          <w:sz w:val="21"/>
          <w:szCs w:val="21"/>
          <w:highlight w:val="none"/>
        </w:rPr>
      </w:pPr>
      <w:r>
        <w:rPr>
          <w:rFonts w:hint="eastAsia" w:ascii="宋体" w:hAnsi="宋体" w:eastAsia="宋体" w:cs="宋体"/>
          <w:b/>
          <w:bCs/>
          <w:color w:val="auto"/>
          <w:sz w:val="21"/>
          <w:szCs w:val="21"/>
          <w:highlight w:val="none"/>
          <w:lang w:val="en-US" w:eastAsia="zh-CN"/>
        </w:rPr>
        <w:t>11.4.1</w:t>
      </w:r>
      <w:r>
        <w:rPr>
          <w:rFonts w:hint="eastAsia" w:ascii="宋体" w:hAnsi="宋体" w:eastAsia="宋体"/>
          <w:color w:val="auto"/>
          <w:sz w:val="21"/>
          <w:szCs w:val="21"/>
          <w:highlight w:val="none"/>
        </w:rPr>
        <w:t xml:space="preserve"> </w:t>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rPr>
        <w:t>低压配电装置引出端、交流低压母线装置各部位的温升值</w:t>
      </w:r>
      <w:r>
        <w:rPr>
          <w:rFonts w:hint="eastAsia" w:ascii="宋体" w:hAnsi="宋体" w:eastAsia="宋体"/>
          <w:color w:val="auto"/>
          <w:sz w:val="21"/>
          <w:szCs w:val="21"/>
          <w:highlight w:val="none"/>
          <w:lang w:val="en-US" w:eastAsia="zh-CN"/>
        </w:rPr>
        <w:t>应符合</w:t>
      </w:r>
      <w:r>
        <w:rPr>
          <w:rFonts w:hint="eastAsia" w:ascii="宋体" w:hAnsi="宋体" w:eastAsia="宋体"/>
          <w:color w:val="auto"/>
          <w:sz w:val="21"/>
          <w:szCs w:val="21"/>
          <w:highlight w:val="none"/>
        </w:rPr>
        <w:t>表11.4.1-1和表11.4.1-2</w:t>
      </w:r>
      <w:r>
        <w:rPr>
          <w:rFonts w:hint="eastAsia" w:ascii="宋体" w:hAnsi="宋体" w:eastAsia="宋体"/>
          <w:color w:val="auto"/>
          <w:sz w:val="21"/>
          <w:szCs w:val="21"/>
          <w:highlight w:val="none"/>
          <w:lang w:val="en-US" w:eastAsia="zh-CN"/>
        </w:rPr>
        <w:t>规定</w:t>
      </w:r>
      <w:r>
        <w:rPr>
          <w:rFonts w:hint="eastAsia" w:ascii="宋体" w:hAnsi="宋体" w:eastAsia="宋体"/>
          <w:color w:val="auto"/>
          <w:sz w:val="21"/>
          <w:szCs w:val="21"/>
          <w:highlight w:val="none"/>
        </w:rPr>
        <w:t>。</w:t>
      </w:r>
    </w:p>
    <w:p>
      <w:pPr>
        <w:pStyle w:val="38"/>
        <w:rPr>
          <w:rFonts w:hint="eastAsia" w:cs="Times New Roman"/>
          <w:color w:val="auto"/>
          <w:highlight w:val="none"/>
        </w:rPr>
      </w:pPr>
      <w:r>
        <w:rPr>
          <w:rFonts w:hint="eastAsia" w:cs="Times New Roman"/>
          <w:color w:val="auto"/>
          <w:highlight w:val="none"/>
        </w:rPr>
        <w:t xml:space="preserve">表11.4.1-1 </w:t>
      </w:r>
      <w:r>
        <w:rPr>
          <w:rFonts w:hint="eastAsia" w:cs="Times New Roman"/>
          <w:color w:val="auto"/>
          <w:highlight w:val="none"/>
          <w:lang w:val="en-US" w:eastAsia="zh-CN"/>
        </w:rPr>
        <w:t xml:space="preserve">  </w:t>
      </w:r>
      <w:r>
        <w:rPr>
          <w:rFonts w:hint="eastAsia" w:cs="Times New Roman"/>
          <w:color w:val="auto"/>
          <w:highlight w:val="none"/>
        </w:rPr>
        <w:t>低压配电装置引出端的允许温升值</w:t>
      </w:r>
    </w:p>
    <w:tbl>
      <w:tblPr>
        <w:tblStyle w:val="12"/>
        <w:tblW w:w="87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21"/>
        <w:gridCol w:w="5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21"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接线端子材料</w:t>
            </w:r>
          </w:p>
        </w:tc>
        <w:tc>
          <w:tcPr>
            <w:tcW w:w="5230"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周围空气温度为40℃的允许温升（K）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21"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裸铜</w:t>
            </w:r>
          </w:p>
        </w:tc>
        <w:tc>
          <w:tcPr>
            <w:tcW w:w="5230"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21"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裸黄铜</w:t>
            </w:r>
          </w:p>
        </w:tc>
        <w:tc>
          <w:tcPr>
            <w:tcW w:w="5230"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21"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铜（或黄铜）镀锡</w:t>
            </w:r>
          </w:p>
        </w:tc>
        <w:tc>
          <w:tcPr>
            <w:tcW w:w="5230"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21"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铜（或黄铜）镀银或镀镍</w:t>
            </w:r>
          </w:p>
        </w:tc>
        <w:tc>
          <w:tcPr>
            <w:tcW w:w="5230"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70</w:t>
            </w:r>
          </w:p>
        </w:tc>
      </w:tr>
    </w:tbl>
    <w:p>
      <w:pPr>
        <w:ind w:firstLine="36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注：低压配电室的最高温度不应超过40℃。</w:t>
      </w:r>
    </w:p>
    <w:p>
      <w:pPr>
        <w:pStyle w:val="38"/>
        <w:rPr>
          <w:rFonts w:hint="eastAsia" w:cs="Times New Roman"/>
          <w:color w:val="auto"/>
          <w:highlight w:val="none"/>
        </w:rPr>
      </w:pPr>
      <w:r>
        <w:rPr>
          <w:rFonts w:hint="eastAsia" w:cs="Times New Roman"/>
          <w:color w:val="auto"/>
          <w:highlight w:val="none"/>
          <w:lang w:val="en-US" w:eastAsia="zh-CN"/>
        </w:rPr>
        <w:t>表</w:t>
      </w:r>
      <w:r>
        <w:rPr>
          <w:rFonts w:hint="eastAsia" w:cs="Times New Roman"/>
          <w:color w:val="auto"/>
          <w:highlight w:val="none"/>
        </w:rPr>
        <w:t xml:space="preserve">11.4.1-2 </w:t>
      </w:r>
      <w:r>
        <w:rPr>
          <w:rFonts w:hint="eastAsia" w:cs="Times New Roman"/>
          <w:color w:val="auto"/>
          <w:highlight w:val="none"/>
          <w:lang w:val="en-US" w:eastAsia="zh-CN"/>
        </w:rPr>
        <w:t xml:space="preserve">  </w:t>
      </w:r>
      <w:r>
        <w:rPr>
          <w:rFonts w:hint="eastAsia" w:cs="Times New Roman"/>
          <w:color w:val="auto"/>
          <w:highlight w:val="none"/>
        </w:rPr>
        <w:t>交流低压母线装置各部位的允许温升值</w:t>
      </w:r>
    </w:p>
    <w:tbl>
      <w:tblPr>
        <w:tblStyle w:val="12"/>
        <w:tblW w:w="87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21"/>
        <w:gridCol w:w="5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3521"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部位</w:t>
            </w:r>
          </w:p>
        </w:tc>
        <w:tc>
          <w:tcPr>
            <w:tcW w:w="523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周围空气温度为40℃的允许温升（K）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21"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铜母线</w:t>
            </w:r>
          </w:p>
        </w:tc>
        <w:tc>
          <w:tcPr>
            <w:tcW w:w="523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21"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镀锡铝母线</w:t>
            </w:r>
          </w:p>
        </w:tc>
        <w:tc>
          <w:tcPr>
            <w:tcW w:w="523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55</w:t>
            </w:r>
          </w:p>
        </w:tc>
      </w:tr>
    </w:tbl>
    <w:p>
      <w:pPr>
        <w:pStyle w:val="38"/>
        <w:ind w:left="0" w:leftChars="0" w:firstLine="0" w:firstLineChars="0"/>
        <w:jc w:val="center"/>
        <w:rPr>
          <w:rFonts w:hint="default" w:eastAsia="黑体" w:cs="Times New Roman"/>
          <w:strike/>
          <w:dstrike w:val="0"/>
          <w:color w:val="auto"/>
          <w:highlight w:val="none"/>
          <w:lang w:val="en-US" w:eastAsia="zh-CN"/>
        </w:rPr>
      </w:pPr>
      <w:r>
        <w:rPr>
          <w:rFonts w:hint="eastAsia" w:cs="Times New Roman"/>
          <w:color w:val="auto"/>
          <w:highlight w:val="none"/>
          <w:lang w:val="en-US" w:eastAsia="zh-CN"/>
        </w:rPr>
        <w:t>续表</w:t>
      </w:r>
      <w:r>
        <w:rPr>
          <w:rFonts w:hint="eastAsia" w:cs="Times New Roman"/>
          <w:color w:val="auto"/>
          <w:highlight w:val="none"/>
        </w:rPr>
        <w:t>11.4.1-2</w:t>
      </w:r>
    </w:p>
    <w:tbl>
      <w:tblPr>
        <w:tblStyle w:val="12"/>
        <w:tblW w:w="87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21"/>
        <w:gridCol w:w="5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21" w:type="dxa"/>
            <w:shd w:val="clear" w:color="auto" w:fill="auto"/>
            <w:vAlign w:val="center"/>
          </w:tcPr>
          <w:p>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部位</w:t>
            </w:r>
          </w:p>
        </w:tc>
        <w:tc>
          <w:tcPr>
            <w:tcW w:w="5230" w:type="dxa"/>
            <w:shd w:val="clear" w:color="auto" w:fill="auto"/>
            <w:vAlign w:val="center"/>
          </w:tcPr>
          <w:p>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周围空气温度为40℃的允许温升（K）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21"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铜-铜</w:t>
            </w:r>
          </w:p>
        </w:tc>
        <w:tc>
          <w:tcPr>
            <w:tcW w:w="523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21"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铜搪锡—铜搪锡</w:t>
            </w:r>
          </w:p>
        </w:tc>
        <w:tc>
          <w:tcPr>
            <w:tcW w:w="523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21"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铜搪银—铜镀银</w:t>
            </w:r>
          </w:p>
        </w:tc>
        <w:tc>
          <w:tcPr>
            <w:tcW w:w="523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21"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铝搪锡—铝搪锡</w:t>
            </w:r>
          </w:p>
        </w:tc>
        <w:tc>
          <w:tcPr>
            <w:tcW w:w="523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21"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铝搪锡—铜搪锡</w:t>
            </w:r>
          </w:p>
        </w:tc>
        <w:tc>
          <w:tcPr>
            <w:tcW w:w="523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55</w:t>
            </w:r>
          </w:p>
        </w:tc>
      </w:tr>
    </w:tbl>
    <w:p>
      <w:pPr>
        <w:ind w:firstLine="0" w:firstLineChars="0"/>
        <w:rPr>
          <w:rFonts w:hint="eastAsia" w:ascii="宋体" w:hAnsi="宋体" w:eastAsia="宋体" w:cs="宋体"/>
          <w:b w:val="0"/>
          <w:bCs w:val="0"/>
          <w:color w:val="auto"/>
          <w:sz w:val="21"/>
          <w:szCs w:val="21"/>
          <w:highlight w:val="none"/>
          <w:lang w:val="en-US" w:eastAsia="zh-CN"/>
        </w:rPr>
      </w:pPr>
    </w:p>
    <w:p>
      <w:pPr>
        <w:ind w:firstLine="0" w:firstLineChars="0"/>
        <w:rPr>
          <w:rFonts w:hint="eastAsia" w:ascii="宋体" w:hAnsi="宋体" w:eastAsia="宋体"/>
          <w:color w:val="auto"/>
          <w:sz w:val="21"/>
          <w:szCs w:val="21"/>
          <w:highlight w:val="none"/>
        </w:rPr>
      </w:pPr>
      <w:r>
        <w:rPr>
          <w:rFonts w:hint="eastAsia" w:ascii="宋体" w:hAnsi="宋体" w:eastAsia="宋体" w:cs="宋体"/>
          <w:b/>
          <w:bCs/>
          <w:color w:val="auto"/>
          <w:sz w:val="21"/>
          <w:szCs w:val="21"/>
          <w:highlight w:val="none"/>
          <w:lang w:val="en-US" w:eastAsia="zh-CN"/>
        </w:rPr>
        <w:t xml:space="preserve">11.4.2  </w:t>
      </w:r>
      <w:r>
        <w:rPr>
          <w:rFonts w:hint="eastAsia" w:ascii="宋体" w:hAnsi="宋体" w:eastAsia="宋体"/>
          <w:color w:val="auto"/>
          <w:sz w:val="21"/>
          <w:szCs w:val="21"/>
          <w:highlight w:val="none"/>
        </w:rPr>
        <w:t>配电箱（柜）与控制箱（柜）的低压电器与外部连接的连接端子的温升值</w:t>
      </w:r>
      <w:r>
        <w:rPr>
          <w:rFonts w:hint="eastAsia" w:ascii="宋体" w:hAnsi="宋体" w:eastAsia="宋体"/>
          <w:color w:val="auto"/>
          <w:sz w:val="21"/>
          <w:szCs w:val="21"/>
          <w:highlight w:val="none"/>
          <w:lang w:val="en-US" w:eastAsia="zh-CN"/>
        </w:rPr>
        <w:t>应符合</w:t>
      </w:r>
      <w:r>
        <w:rPr>
          <w:rFonts w:hint="eastAsia" w:ascii="宋体" w:hAnsi="宋体" w:eastAsia="宋体"/>
          <w:color w:val="auto"/>
          <w:sz w:val="21"/>
          <w:szCs w:val="21"/>
          <w:highlight w:val="none"/>
        </w:rPr>
        <w:t>表11.4.2</w:t>
      </w:r>
      <w:r>
        <w:rPr>
          <w:rFonts w:hint="eastAsia" w:ascii="宋体" w:hAnsi="宋体" w:eastAsia="宋体"/>
          <w:color w:val="auto"/>
          <w:sz w:val="21"/>
          <w:szCs w:val="21"/>
          <w:highlight w:val="none"/>
          <w:lang w:val="en-US" w:eastAsia="zh-CN"/>
        </w:rPr>
        <w:t>规定</w:t>
      </w:r>
      <w:r>
        <w:rPr>
          <w:rFonts w:hint="eastAsia" w:ascii="宋体" w:hAnsi="宋体" w:eastAsia="宋体"/>
          <w:color w:val="auto"/>
          <w:sz w:val="21"/>
          <w:szCs w:val="21"/>
          <w:highlight w:val="none"/>
        </w:rPr>
        <w:t>。</w:t>
      </w:r>
    </w:p>
    <w:p>
      <w:pPr>
        <w:pStyle w:val="38"/>
        <w:rPr>
          <w:rFonts w:hint="eastAsia" w:cs="Times New Roman"/>
          <w:color w:val="auto"/>
          <w:highlight w:val="none"/>
        </w:rPr>
      </w:pPr>
      <w:r>
        <w:rPr>
          <w:rFonts w:hint="eastAsia" w:cs="Times New Roman"/>
          <w:color w:val="auto"/>
          <w:highlight w:val="none"/>
        </w:rPr>
        <w:t xml:space="preserve">表11.4.2 </w:t>
      </w:r>
      <w:r>
        <w:rPr>
          <w:rFonts w:hint="eastAsia" w:cs="Times New Roman"/>
          <w:color w:val="auto"/>
          <w:highlight w:val="none"/>
          <w:lang w:val="en-US" w:eastAsia="zh-CN"/>
        </w:rPr>
        <w:t xml:space="preserve">  </w:t>
      </w:r>
      <w:r>
        <w:rPr>
          <w:rFonts w:hint="eastAsia" w:cs="Times New Roman"/>
          <w:color w:val="auto"/>
          <w:highlight w:val="none"/>
        </w:rPr>
        <w:t>低压电器与外部连接的连接端子的允许温升值</w:t>
      </w:r>
    </w:p>
    <w:tbl>
      <w:tblPr>
        <w:tblStyle w:val="12"/>
        <w:tblW w:w="87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21"/>
        <w:gridCol w:w="5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21"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接线端子材料</w:t>
            </w:r>
          </w:p>
        </w:tc>
        <w:tc>
          <w:tcPr>
            <w:tcW w:w="5230"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周围空气温度为40℃的允许温升（K）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21"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裸铜</w:t>
            </w:r>
          </w:p>
        </w:tc>
        <w:tc>
          <w:tcPr>
            <w:tcW w:w="5230"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21"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裸黄铜</w:t>
            </w:r>
          </w:p>
        </w:tc>
        <w:tc>
          <w:tcPr>
            <w:tcW w:w="5230"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21"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铜（或黄铜）镀锡</w:t>
            </w:r>
          </w:p>
        </w:tc>
        <w:tc>
          <w:tcPr>
            <w:tcW w:w="5230"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21"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铜（或黄铜）镀银或镀镍</w:t>
            </w:r>
          </w:p>
        </w:tc>
        <w:tc>
          <w:tcPr>
            <w:tcW w:w="5230"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70</w:t>
            </w:r>
          </w:p>
        </w:tc>
      </w:tr>
    </w:tbl>
    <w:p>
      <w:pPr>
        <w:ind w:firstLine="36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注：低压配电室的最高温度不应超过40℃。</w:t>
      </w:r>
    </w:p>
    <w:p>
      <w:pPr>
        <w:keepNext w:val="0"/>
        <w:keepLines w:val="0"/>
        <w:pageBreakBefore w:val="0"/>
        <w:widowControl w:val="0"/>
        <w:kinsoku/>
        <w:wordWrap/>
        <w:overflowPunct/>
        <w:topLinePunct w:val="0"/>
        <w:autoSpaceDE/>
        <w:autoSpaceDN/>
        <w:bidi w:val="0"/>
        <w:adjustRightInd/>
        <w:snapToGrid/>
        <w:spacing w:before="313" w:beforeLines="100"/>
        <w:textAlignment w:val="auto"/>
        <w:rPr>
          <w:rFonts w:ascii="宋体" w:hAnsi="宋体" w:eastAsia="宋体"/>
          <w:color w:val="auto"/>
          <w:sz w:val="21"/>
          <w:szCs w:val="21"/>
          <w:highlight w:val="none"/>
        </w:rPr>
      </w:pPr>
      <w:r>
        <w:rPr>
          <w:rFonts w:hint="eastAsia" w:ascii="宋体" w:hAnsi="宋体" w:eastAsia="宋体" w:cs="宋体"/>
          <w:b/>
          <w:bCs/>
          <w:color w:val="auto"/>
          <w:sz w:val="21"/>
          <w:szCs w:val="21"/>
          <w:highlight w:val="none"/>
          <w:lang w:val="en-US" w:eastAsia="zh-CN"/>
        </w:rPr>
        <w:t>11.4.3</w:t>
      </w:r>
      <w:r>
        <w:rPr>
          <w:rFonts w:hint="eastAsia" w:ascii="宋体" w:hAnsi="宋体" w:eastAsia="宋体"/>
          <w:color w:val="auto"/>
          <w:sz w:val="21"/>
          <w:szCs w:val="21"/>
          <w:highlight w:val="none"/>
        </w:rPr>
        <w:t xml:space="preserve"> </w:t>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rPr>
        <w:t>低压配电线路的温度和温升值</w:t>
      </w:r>
      <w:r>
        <w:rPr>
          <w:rFonts w:hint="eastAsia" w:ascii="宋体" w:hAnsi="宋体" w:eastAsia="宋体"/>
          <w:color w:val="auto"/>
          <w:sz w:val="21"/>
          <w:szCs w:val="21"/>
          <w:highlight w:val="none"/>
          <w:lang w:val="en-US" w:eastAsia="zh-CN"/>
        </w:rPr>
        <w:t>应符合下列规定</w:t>
      </w:r>
      <w:r>
        <w:rPr>
          <w:rFonts w:hint="eastAsia" w:ascii="宋体" w:hAnsi="宋体" w:eastAsia="宋体"/>
          <w:color w:val="auto"/>
          <w:sz w:val="21"/>
          <w:szCs w:val="21"/>
          <w:highlight w:val="none"/>
        </w:rPr>
        <w:t>：</w:t>
      </w:r>
    </w:p>
    <w:p>
      <w:pPr>
        <w:ind w:firstLine="422" w:firstLineChars="200"/>
        <w:rPr>
          <w:rFonts w:ascii="宋体" w:hAnsi="宋体" w:eastAsia="宋体"/>
          <w:color w:val="auto"/>
          <w:sz w:val="21"/>
          <w:szCs w:val="21"/>
          <w:highlight w:val="none"/>
        </w:rPr>
      </w:pPr>
      <w:r>
        <w:rPr>
          <w:rFonts w:hint="eastAsia" w:ascii="宋体" w:hAnsi="宋体" w:eastAsia="宋体"/>
          <w:b/>
          <w:bCs/>
          <w:color w:val="auto"/>
          <w:sz w:val="21"/>
          <w:szCs w:val="21"/>
          <w:highlight w:val="none"/>
        </w:rPr>
        <w:t>1</w:t>
      </w:r>
      <w:r>
        <w:rPr>
          <w:rFonts w:hint="eastAsia" w:ascii="宋体" w:hAnsi="宋体" w:eastAsia="宋体"/>
          <w:color w:val="auto"/>
          <w:sz w:val="21"/>
          <w:szCs w:val="21"/>
          <w:highlight w:val="none"/>
        </w:rPr>
        <w:t xml:space="preserve"> 正常工作时可接近但不需要接触的母线干线系统的外壳，金属表面和绝缘表面的温升不应大于55K；</w:t>
      </w:r>
    </w:p>
    <w:p>
      <w:pPr>
        <w:ind w:firstLine="422" w:firstLineChars="200"/>
        <w:rPr>
          <w:rFonts w:ascii="宋体" w:hAnsi="宋体" w:eastAsia="宋体"/>
          <w:color w:val="auto"/>
          <w:sz w:val="21"/>
          <w:szCs w:val="21"/>
          <w:highlight w:val="none"/>
        </w:rPr>
      </w:pPr>
      <w:r>
        <w:rPr>
          <w:rFonts w:hint="eastAsia" w:ascii="宋体" w:hAnsi="宋体" w:eastAsia="宋体"/>
          <w:b/>
          <w:bCs/>
          <w:color w:val="auto"/>
          <w:sz w:val="21"/>
          <w:szCs w:val="21"/>
          <w:highlight w:val="none"/>
        </w:rPr>
        <w:t>2</w:t>
      </w:r>
      <w:r>
        <w:rPr>
          <w:rFonts w:hint="eastAsia" w:ascii="宋体" w:hAnsi="宋体" w:eastAsia="宋体"/>
          <w:color w:val="auto"/>
          <w:sz w:val="21"/>
          <w:szCs w:val="21"/>
          <w:highlight w:val="none"/>
        </w:rPr>
        <w:t xml:space="preserve"> 电缆线芯最高温度、绝缘表面温升值、导体连接部位电缆及电缆终端的外表温升值</w:t>
      </w:r>
      <w:r>
        <w:rPr>
          <w:rFonts w:hint="eastAsia" w:ascii="宋体" w:hAnsi="宋体" w:eastAsia="宋体"/>
          <w:color w:val="auto"/>
          <w:sz w:val="21"/>
          <w:szCs w:val="21"/>
          <w:highlight w:val="none"/>
          <w:lang w:val="en-US" w:eastAsia="zh-CN"/>
        </w:rPr>
        <w:t>应符合</w:t>
      </w:r>
      <w:r>
        <w:rPr>
          <w:rFonts w:hint="eastAsia" w:ascii="宋体" w:hAnsi="宋体" w:eastAsia="宋体"/>
          <w:color w:val="auto"/>
          <w:sz w:val="21"/>
          <w:szCs w:val="21"/>
          <w:highlight w:val="none"/>
        </w:rPr>
        <w:t>表</w:t>
      </w:r>
      <w:r>
        <w:rPr>
          <w:rFonts w:hint="eastAsia" w:ascii="宋体" w:hAnsi="宋体" w:eastAsia="宋体"/>
          <w:color w:val="auto"/>
          <w:sz w:val="21"/>
          <w:szCs w:val="21"/>
          <w:highlight w:val="none"/>
          <w:lang w:val="en-US" w:eastAsia="zh-CN"/>
        </w:rPr>
        <w:t>11.4.3规定</w:t>
      </w:r>
      <w:r>
        <w:rPr>
          <w:rFonts w:hint="eastAsia" w:ascii="宋体" w:hAnsi="宋体" w:eastAsia="宋体"/>
          <w:color w:val="auto"/>
          <w:sz w:val="21"/>
          <w:szCs w:val="21"/>
          <w:highlight w:val="none"/>
        </w:rPr>
        <w:t>。</w:t>
      </w:r>
    </w:p>
    <w:p>
      <w:pPr>
        <w:pStyle w:val="38"/>
        <w:rPr>
          <w:rFonts w:hint="eastAsia" w:cs="Times New Roman"/>
          <w:color w:val="auto"/>
          <w:highlight w:val="none"/>
        </w:rPr>
      </w:pPr>
      <w:r>
        <w:rPr>
          <w:rFonts w:hint="eastAsia" w:cs="Times New Roman"/>
          <w:color w:val="auto"/>
          <w:highlight w:val="none"/>
        </w:rPr>
        <w:t>表11.4.3</w:t>
      </w:r>
      <w:r>
        <w:rPr>
          <w:rFonts w:hint="eastAsia" w:cs="Times New Roman"/>
          <w:color w:val="auto"/>
          <w:highlight w:val="none"/>
          <w:lang w:val="en-US" w:eastAsia="zh-CN"/>
        </w:rPr>
        <w:t xml:space="preserve">  </w:t>
      </w:r>
      <w:r>
        <w:rPr>
          <w:rFonts w:hint="eastAsia" w:cs="Times New Roman"/>
          <w:color w:val="auto"/>
          <w:highlight w:val="none"/>
        </w:rPr>
        <w:t xml:space="preserve"> 电力电缆最高允许温度和表面允许温升值</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1"/>
        <w:gridCol w:w="2490"/>
        <w:gridCol w:w="1650"/>
        <w:gridCol w:w="1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61" w:type="dxa"/>
            <w:vMerge w:val="restart"/>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电缆类型</w:t>
            </w:r>
          </w:p>
        </w:tc>
        <w:tc>
          <w:tcPr>
            <w:tcW w:w="2490" w:type="dxa"/>
            <w:vMerge w:val="restart"/>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缆芯长期允许温度（℃）</w:t>
            </w:r>
          </w:p>
        </w:tc>
        <w:tc>
          <w:tcPr>
            <w:tcW w:w="3171" w:type="dxa"/>
            <w:gridSpan w:val="2"/>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表面允许温升（K）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61" w:type="dxa"/>
            <w:vMerge w:val="continue"/>
            <w:vAlign w:val="center"/>
          </w:tcPr>
          <w:p>
            <w:pPr>
              <w:jc w:val="center"/>
              <w:rPr>
                <w:rFonts w:hint="eastAsia" w:ascii="宋体" w:hAnsi="宋体" w:eastAsia="宋体" w:cs="宋体"/>
                <w:color w:val="auto"/>
                <w:sz w:val="18"/>
                <w:szCs w:val="18"/>
                <w:highlight w:val="none"/>
              </w:rPr>
            </w:pPr>
          </w:p>
        </w:tc>
        <w:tc>
          <w:tcPr>
            <w:tcW w:w="2490" w:type="dxa"/>
            <w:vMerge w:val="continue"/>
            <w:vAlign w:val="center"/>
          </w:tcPr>
          <w:p>
            <w:pPr>
              <w:jc w:val="center"/>
              <w:rPr>
                <w:rFonts w:hint="eastAsia" w:ascii="宋体" w:hAnsi="宋体" w:eastAsia="宋体" w:cs="宋体"/>
                <w:color w:val="auto"/>
                <w:sz w:val="18"/>
                <w:szCs w:val="18"/>
                <w:highlight w:val="none"/>
              </w:rPr>
            </w:pPr>
          </w:p>
        </w:tc>
        <w:tc>
          <w:tcPr>
            <w:tcW w:w="165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带铠装</w:t>
            </w:r>
          </w:p>
        </w:tc>
        <w:tc>
          <w:tcPr>
            <w:tcW w:w="1521"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不带铠装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61"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聚氯乙烯绝缘电缆</w:t>
            </w:r>
          </w:p>
        </w:tc>
        <w:tc>
          <w:tcPr>
            <w:tcW w:w="249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70</w:t>
            </w:r>
          </w:p>
        </w:tc>
        <w:tc>
          <w:tcPr>
            <w:tcW w:w="165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w:t>
            </w:r>
          </w:p>
        </w:tc>
        <w:tc>
          <w:tcPr>
            <w:tcW w:w="1521"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61"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交联聚乙烯绝缘电缆</w:t>
            </w:r>
          </w:p>
        </w:tc>
        <w:tc>
          <w:tcPr>
            <w:tcW w:w="249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90</w:t>
            </w:r>
          </w:p>
        </w:tc>
        <w:tc>
          <w:tcPr>
            <w:tcW w:w="165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40</w:t>
            </w:r>
          </w:p>
        </w:tc>
        <w:tc>
          <w:tcPr>
            <w:tcW w:w="1521"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61"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橡胶绝缘电缆</w:t>
            </w:r>
          </w:p>
        </w:tc>
        <w:tc>
          <w:tcPr>
            <w:tcW w:w="249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65</w:t>
            </w:r>
          </w:p>
        </w:tc>
        <w:tc>
          <w:tcPr>
            <w:tcW w:w="1650"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w:t>
            </w:r>
          </w:p>
        </w:tc>
        <w:tc>
          <w:tcPr>
            <w:tcW w:w="1521"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25</w:t>
            </w:r>
          </w:p>
        </w:tc>
      </w:tr>
    </w:tbl>
    <w:p>
      <w:pPr>
        <w:keepNext w:val="0"/>
        <w:keepLines w:val="0"/>
        <w:pageBreakBefore w:val="0"/>
        <w:widowControl w:val="0"/>
        <w:kinsoku/>
        <w:wordWrap/>
        <w:overflowPunct/>
        <w:topLinePunct w:val="0"/>
        <w:autoSpaceDE/>
        <w:autoSpaceDN/>
        <w:bidi w:val="0"/>
        <w:adjustRightInd/>
        <w:snapToGrid/>
        <w:spacing w:before="313" w:beforeLines="100"/>
        <w:textAlignment w:val="auto"/>
        <w:rPr>
          <w:rFonts w:hint="eastAsia" w:ascii="宋体" w:hAnsi="宋体" w:eastAsia="宋体"/>
          <w:color w:val="auto"/>
          <w:sz w:val="21"/>
          <w:szCs w:val="21"/>
          <w:highlight w:val="none"/>
        </w:rPr>
      </w:pPr>
      <w:r>
        <w:rPr>
          <w:rFonts w:hint="eastAsia" w:ascii="宋体" w:hAnsi="宋体" w:eastAsia="宋体" w:cs="宋体"/>
          <w:b/>
          <w:bCs/>
          <w:color w:val="auto"/>
          <w:sz w:val="21"/>
          <w:szCs w:val="21"/>
          <w:highlight w:val="none"/>
          <w:lang w:val="en-US" w:eastAsia="zh-CN"/>
        </w:rPr>
        <w:t>11.4.4</w:t>
      </w:r>
      <w:r>
        <w:rPr>
          <w:rFonts w:hint="eastAsia" w:ascii="宋体" w:hAnsi="宋体" w:eastAsia="宋体"/>
          <w:color w:val="auto"/>
          <w:sz w:val="21"/>
          <w:szCs w:val="21"/>
          <w:highlight w:val="none"/>
        </w:rPr>
        <w:t xml:space="preserve"> </w:t>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rPr>
        <w:t>电动机电气元件的触头、接线端子等的</w:t>
      </w:r>
      <w:r>
        <w:rPr>
          <w:rFonts w:hint="eastAsia" w:ascii="宋体" w:hAnsi="宋体" w:eastAsia="宋体"/>
          <w:color w:val="auto"/>
          <w:sz w:val="21"/>
          <w:szCs w:val="21"/>
          <w:highlight w:val="none"/>
          <w:lang w:val="en-US" w:eastAsia="zh-CN"/>
        </w:rPr>
        <w:t>最高</w:t>
      </w:r>
      <w:r>
        <w:rPr>
          <w:rFonts w:hint="eastAsia" w:ascii="宋体" w:hAnsi="宋体" w:eastAsia="宋体"/>
          <w:color w:val="auto"/>
          <w:sz w:val="21"/>
          <w:szCs w:val="21"/>
          <w:highlight w:val="none"/>
        </w:rPr>
        <w:t>温度和温升值</w:t>
      </w:r>
      <w:r>
        <w:rPr>
          <w:rFonts w:hint="eastAsia" w:ascii="宋体" w:hAnsi="宋体" w:eastAsia="宋体"/>
          <w:color w:val="auto"/>
          <w:sz w:val="21"/>
          <w:szCs w:val="21"/>
          <w:highlight w:val="none"/>
          <w:lang w:val="en-US" w:eastAsia="zh-CN"/>
        </w:rPr>
        <w:t>应符合表</w:t>
      </w:r>
      <w:r>
        <w:rPr>
          <w:rFonts w:hint="eastAsia" w:ascii="宋体" w:hAnsi="宋体" w:eastAsia="宋体"/>
          <w:color w:val="auto"/>
          <w:sz w:val="21"/>
          <w:szCs w:val="21"/>
          <w:highlight w:val="none"/>
        </w:rPr>
        <w:t>11.4.4</w:t>
      </w:r>
      <w:r>
        <w:rPr>
          <w:rFonts w:hint="eastAsia" w:ascii="宋体" w:hAnsi="宋体" w:eastAsia="宋体"/>
          <w:color w:val="auto"/>
          <w:sz w:val="21"/>
          <w:szCs w:val="21"/>
          <w:highlight w:val="none"/>
          <w:lang w:val="en-US" w:eastAsia="zh-CN"/>
        </w:rPr>
        <w:t>规定</w:t>
      </w:r>
      <w:r>
        <w:rPr>
          <w:rFonts w:hint="eastAsia" w:ascii="宋体" w:hAnsi="宋体" w:eastAsia="宋体"/>
          <w:color w:val="auto"/>
          <w:sz w:val="21"/>
          <w:szCs w:val="21"/>
          <w:highlight w:val="none"/>
        </w:rPr>
        <w:t>。</w:t>
      </w:r>
    </w:p>
    <w:p>
      <w:pPr>
        <w:pStyle w:val="38"/>
        <w:rPr>
          <w:rFonts w:hint="eastAsia" w:cs="Times New Roman"/>
          <w:color w:val="auto"/>
          <w:highlight w:val="none"/>
        </w:rPr>
      </w:pPr>
      <w:r>
        <w:rPr>
          <w:rFonts w:hint="eastAsia" w:cs="Times New Roman"/>
          <w:color w:val="auto"/>
          <w:highlight w:val="none"/>
        </w:rPr>
        <w:t xml:space="preserve">表11.4.4 </w:t>
      </w:r>
      <w:r>
        <w:rPr>
          <w:rFonts w:hint="eastAsia" w:cs="Times New Roman"/>
          <w:color w:val="auto"/>
          <w:highlight w:val="none"/>
          <w:lang w:val="en-US" w:eastAsia="zh-CN"/>
        </w:rPr>
        <w:t xml:space="preserve">  </w:t>
      </w:r>
      <w:r>
        <w:rPr>
          <w:rFonts w:hint="eastAsia" w:cs="Times New Roman"/>
          <w:color w:val="auto"/>
          <w:highlight w:val="none"/>
        </w:rPr>
        <w:t>电动机最高允许温度（t）与温升值（k）</w:t>
      </w:r>
    </w:p>
    <w:tbl>
      <w:tblPr>
        <w:tblStyle w:val="12"/>
        <w:tblW w:w="92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0"/>
        <w:gridCol w:w="713"/>
        <w:gridCol w:w="713"/>
        <w:gridCol w:w="713"/>
        <w:gridCol w:w="713"/>
        <w:gridCol w:w="713"/>
        <w:gridCol w:w="713"/>
        <w:gridCol w:w="714"/>
        <w:gridCol w:w="714"/>
        <w:gridCol w:w="714"/>
        <w:gridCol w:w="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140" w:type="dxa"/>
            <w:vMerge w:val="restart"/>
          </w:tcPr>
          <w:p>
            <w:pPr>
              <w:rPr>
                <w:rFonts w:hint="eastAsia" w:ascii="宋体" w:hAnsi="宋体" w:eastAsia="宋体" w:cs="宋体"/>
                <w:color w:val="auto"/>
                <w:sz w:val="21"/>
                <w:szCs w:val="21"/>
                <w:highlight w:val="none"/>
              </w:rPr>
            </w:pPr>
            <w:r>
              <w:rPr>
                <w:color w:val="auto"/>
                <w:sz w:val="21"/>
                <w:szCs w:val="21"/>
                <w:highlight w:val="none"/>
              </w:rPr>
              <mc:AlternateContent>
                <mc:Choice Requires="wps">
                  <w:drawing>
                    <wp:anchor distT="0" distB="0" distL="114300" distR="114300" simplePos="0" relativeHeight="251659264" behindDoc="0" locked="0" layoutInCell="1" allowOverlap="1">
                      <wp:simplePos x="0" y="0"/>
                      <wp:positionH relativeFrom="column">
                        <wp:posOffset>471805</wp:posOffset>
                      </wp:positionH>
                      <wp:positionV relativeFrom="paragraph">
                        <wp:posOffset>17780</wp:posOffset>
                      </wp:positionV>
                      <wp:extent cx="800100" cy="812800"/>
                      <wp:effectExtent l="3175" t="3175" r="9525" b="9525"/>
                      <wp:wrapNone/>
                      <wp:docPr id="1524870548" name="直线 5"/>
                      <wp:cNvGraphicFramePr/>
                      <a:graphic xmlns:a="http://schemas.openxmlformats.org/drawingml/2006/main">
                        <a:graphicData uri="http://schemas.microsoft.com/office/word/2010/wordprocessingShape">
                          <wps:wsp>
                            <wps:cNvCnPr/>
                            <wps:spPr>
                              <a:xfrm>
                                <a:off x="0" y="0"/>
                                <a:ext cx="800100" cy="81280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5" o:spid="_x0000_s1026" o:spt="20" style="position:absolute;left:0pt;margin-left:37.15pt;margin-top:1.4pt;height:64pt;width:63pt;z-index:251659264;mso-width-relative:page;mso-height-relative:page;" filled="f" stroked="t" coordsize="21600,21600" o:gfxdata="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xPz3wtQAAAAI&#10;AQAADwAAAAAAAAABACAAAAAiAAAAZHJzL2Rvd25yZXYueG1sUEsBAhQAFAAAAAgAh07iQD1jcubn&#10;AQAA3AMAAA4AAAAAAAAAAQAgAAAAIwEAAGRycy9lMm9Eb2MueG1sUEsFBgAAAAAGAAYAWQEAAHwF&#10;AAAAAA==&#10;">
                      <v:fill on="f" focussize="0,0"/>
                      <v:stroke color="#000000" joinstyle="round"/>
                      <v:imagedata o:title=""/>
                      <o:lock v:ext="edit" aspectratio="f"/>
                    </v:line>
                  </w:pict>
                </mc:Fallback>
              </mc:AlternateContent>
            </w:r>
            <w:r>
              <w:rPr>
                <w:rFonts w:hint="eastAsia"/>
                <w:color w:val="auto"/>
                <w:sz w:val="21"/>
                <w:szCs w:val="21"/>
                <w:highlight w:val="none"/>
              </w:rPr>
              <w:t>温度</w:t>
            </w:r>
            <w:r>
              <w:rPr>
                <w:rFonts w:hint="eastAsia" w:ascii="宋体" w:hAnsi="宋体" w:eastAsia="宋体" w:cs="宋体"/>
                <w:color w:val="auto"/>
                <w:sz w:val="21"/>
                <w:szCs w:val="21"/>
                <w:highlight w:val="none"/>
              </w:rPr>
              <w:t xml:space="preserve">    绝缘等级</w:t>
            </w:r>
          </w:p>
          <w:p>
            <w:pPr>
              <w:rPr>
                <w:rFonts w:hint="eastAsia" w:ascii="宋体" w:hAnsi="宋体" w:eastAsia="宋体" w:cs="宋体"/>
                <w:color w:val="auto"/>
                <w:sz w:val="21"/>
                <w:szCs w:val="21"/>
                <w:highlight w:val="none"/>
              </w:rPr>
            </w:pPr>
            <w:r>
              <w:rPr>
                <w:color w:val="auto"/>
                <w:sz w:val="21"/>
                <w:szCs w:val="21"/>
                <w:highlight w:val="none"/>
              </w:rPr>
              <mc:AlternateContent>
                <mc:Choice Requires="wps">
                  <w:drawing>
                    <wp:anchor distT="0" distB="0" distL="114300" distR="114300" simplePos="0" relativeHeight="251661312" behindDoc="0" locked="0" layoutInCell="1" allowOverlap="1">
                      <wp:simplePos x="0" y="0"/>
                      <wp:positionH relativeFrom="column">
                        <wp:posOffset>-73660</wp:posOffset>
                      </wp:positionH>
                      <wp:positionV relativeFrom="paragraph">
                        <wp:posOffset>129540</wp:posOffset>
                      </wp:positionV>
                      <wp:extent cx="1352550" cy="527050"/>
                      <wp:effectExtent l="1905" t="4445" r="4445" b="14605"/>
                      <wp:wrapNone/>
                      <wp:docPr id="366512411" name="直线 6"/>
                      <wp:cNvGraphicFramePr/>
                      <a:graphic xmlns:a="http://schemas.openxmlformats.org/drawingml/2006/main">
                        <a:graphicData uri="http://schemas.microsoft.com/office/word/2010/wordprocessingShape">
                          <wps:wsp>
                            <wps:cNvCnPr/>
                            <wps:spPr>
                              <a:xfrm>
                                <a:off x="0" y="0"/>
                                <a:ext cx="1352550" cy="52705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6" o:spid="_x0000_s1026" o:spt="20" style="position:absolute;left:0pt;margin-left:-5.8pt;margin-top:10.2pt;height:41.5pt;width:106.5pt;z-index:251661312;mso-width-relative:page;mso-height-relative:page;" filled="f" stroked="t" coordsize="21600,21600" o:gfxdata="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b3/PLX&#10;AAAACgEAAA8AAAAAAAAAAQAgAAAAIgAAAGRycy9kb3ducmV2LnhtbFBLAQIUABQAAAAIAIdO4kB7&#10;fT3y6AEAANwDAAAOAAAAAAAAAAEAIAAAACYBAABkcnMvZTJvRG9jLnhtbFBLBQYAAAAABgAGAFkB&#10;AACABQAAAAA=&#10;">
                      <v:fill on="f" focussize="0,0"/>
                      <v:stroke color="#000000" joinstyle="round"/>
                      <v:imagedata o:title=""/>
                      <o:lock v:ext="edit" aspectratio="f"/>
                    </v:line>
                  </w:pict>
                </mc:Fallback>
              </mc:AlternateContent>
            </w:r>
            <w:r>
              <w:rPr>
                <w:rFonts w:hint="eastAsia" w:ascii="宋体" w:hAnsi="宋体" w:eastAsia="宋体" w:cs="宋体"/>
                <w:color w:val="auto"/>
                <w:sz w:val="21"/>
                <w:szCs w:val="21"/>
                <w:highlight w:val="none"/>
              </w:rPr>
              <w:t xml:space="preserve">   与温升</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部位</w:t>
            </w:r>
          </w:p>
        </w:tc>
        <w:tc>
          <w:tcPr>
            <w:tcW w:w="7134" w:type="dxa"/>
            <w:gridSpan w:val="1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绝缘等级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140" w:type="dxa"/>
            <w:vMerge w:val="continue"/>
          </w:tcPr>
          <w:p>
            <w:pPr>
              <w:rPr>
                <w:rFonts w:hint="eastAsia" w:ascii="宋体" w:hAnsi="宋体" w:eastAsia="宋体" w:cs="宋体"/>
                <w:color w:val="auto"/>
                <w:sz w:val="21"/>
                <w:szCs w:val="21"/>
                <w:highlight w:val="none"/>
              </w:rPr>
            </w:pPr>
          </w:p>
        </w:tc>
        <w:tc>
          <w:tcPr>
            <w:tcW w:w="1426" w:type="dxa"/>
            <w:gridSpan w:val="2"/>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A级</w:t>
            </w:r>
          </w:p>
        </w:tc>
        <w:tc>
          <w:tcPr>
            <w:tcW w:w="1426" w:type="dxa"/>
            <w:gridSpan w:val="2"/>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E级</w:t>
            </w:r>
          </w:p>
        </w:tc>
        <w:tc>
          <w:tcPr>
            <w:tcW w:w="1426" w:type="dxa"/>
            <w:gridSpan w:val="2"/>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B级</w:t>
            </w:r>
          </w:p>
        </w:tc>
        <w:tc>
          <w:tcPr>
            <w:tcW w:w="1428" w:type="dxa"/>
            <w:gridSpan w:val="2"/>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F级</w:t>
            </w:r>
          </w:p>
        </w:tc>
        <w:tc>
          <w:tcPr>
            <w:tcW w:w="1428" w:type="dxa"/>
            <w:gridSpan w:val="2"/>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H级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140" w:type="dxa"/>
            <w:vMerge w:val="continue"/>
          </w:tcPr>
          <w:p>
            <w:pPr>
              <w:rPr>
                <w:rFonts w:hint="eastAsia" w:ascii="宋体" w:hAnsi="宋体" w:eastAsia="宋体" w:cs="宋体"/>
                <w:color w:val="auto"/>
                <w:sz w:val="21"/>
                <w:szCs w:val="21"/>
                <w:highlight w:val="none"/>
              </w:rPr>
            </w:pPr>
          </w:p>
        </w:tc>
        <w:tc>
          <w:tcPr>
            <w:tcW w:w="713"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t</w:t>
            </w:r>
          </w:p>
        </w:tc>
        <w:tc>
          <w:tcPr>
            <w:tcW w:w="713"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k</w:t>
            </w:r>
          </w:p>
        </w:tc>
        <w:tc>
          <w:tcPr>
            <w:tcW w:w="713"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t</w:t>
            </w:r>
          </w:p>
        </w:tc>
        <w:tc>
          <w:tcPr>
            <w:tcW w:w="713"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k</w:t>
            </w:r>
          </w:p>
        </w:tc>
        <w:tc>
          <w:tcPr>
            <w:tcW w:w="713"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t</w:t>
            </w:r>
          </w:p>
        </w:tc>
        <w:tc>
          <w:tcPr>
            <w:tcW w:w="713"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k</w:t>
            </w:r>
          </w:p>
        </w:tc>
        <w:tc>
          <w:tcPr>
            <w:tcW w:w="714"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t</w:t>
            </w:r>
          </w:p>
        </w:tc>
        <w:tc>
          <w:tcPr>
            <w:tcW w:w="714"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k</w:t>
            </w:r>
          </w:p>
        </w:tc>
        <w:tc>
          <w:tcPr>
            <w:tcW w:w="714"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t</w:t>
            </w:r>
          </w:p>
        </w:tc>
        <w:tc>
          <w:tcPr>
            <w:tcW w:w="714"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140"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定子、转子绕组</w:t>
            </w:r>
          </w:p>
        </w:tc>
        <w:tc>
          <w:tcPr>
            <w:tcW w:w="713"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105</w:t>
            </w:r>
          </w:p>
        </w:tc>
        <w:tc>
          <w:tcPr>
            <w:tcW w:w="713"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70</w:t>
            </w:r>
          </w:p>
        </w:tc>
        <w:tc>
          <w:tcPr>
            <w:tcW w:w="713"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120</w:t>
            </w:r>
          </w:p>
        </w:tc>
        <w:tc>
          <w:tcPr>
            <w:tcW w:w="713"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85</w:t>
            </w:r>
          </w:p>
        </w:tc>
        <w:tc>
          <w:tcPr>
            <w:tcW w:w="713"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130</w:t>
            </w:r>
          </w:p>
        </w:tc>
        <w:tc>
          <w:tcPr>
            <w:tcW w:w="713"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95</w:t>
            </w:r>
          </w:p>
        </w:tc>
        <w:tc>
          <w:tcPr>
            <w:tcW w:w="714"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140</w:t>
            </w:r>
          </w:p>
        </w:tc>
        <w:tc>
          <w:tcPr>
            <w:tcW w:w="714"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105</w:t>
            </w:r>
          </w:p>
        </w:tc>
        <w:tc>
          <w:tcPr>
            <w:tcW w:w="714"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165</w:t>
            </w:r>
          </w:p>
        </w:tc>
        <w:tc>
          <w:tcPr>
            <w:tcW w:w="714"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140"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定子铁芯</w:t>
            </w:r>
          </w:p>
        </w:tc>
        <w:tc>
          <w:tcPr>
            <w:tcW w:w="713"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105</w:t>
            </w:r>
          </w:p>
        </w:tc>
        <w:tc>
          <w:tcPr>
            <w:tcW w:w="713"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70</w:t>
            </w:r>
          </w:p>
        </w:tc>
        <w:tc>
          <w:tcPr>
            <w:tcW w:w="713"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120</w:t>
            </w:r>
          </w:p>
        </w:tc>
        <w:tc>
          <w:tcPr>
            <w:tcW w:w="713"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85</w:t>
            </w:r>
          </w:p>
        </w:tc>
        <w:tc>
          <w:tcPr>
            <w:tcW w:w="713"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130</w:t>
            </w:r>
          </w:p>
        </w:tc>
        <w:tc>
          <w:tcPr>
            <w:tcW w:w="713"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95</w:t>
            </w:r>
          </w:p>
        </w:tc>
        <w:tc>
          <w:tcPr>
            <w:tcW w:w="714"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140</w:t>
            </w:r>
          </w:p>
        </w:tc>
        <w:tc>
          <w:tcPr>
            <w:tcW w:w="714"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105</w:t>
            </w:r>
          </w:p>
        </w:tc>
        <w:tc>
          <w:tcPr>
            <w:tcW w:w="714"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165</w:t>
            </w:r>
          </w:p>
        </w:tc>
        <w:tc>
          <w:tcPr>
            <w:tcW w:w="714"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140"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滑环</w:t>
            </w:r>
          </w:p>
        </w:tc>
        <w:tc>
          <w:tcPr>
            <w:tcW w:w="7134" w:type="dxa"/>
            <w:gridSpan w:val="1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t=105          k=70</w:t>
            </w:r>
          </w:p>
        </w:tc>
      </w:tr>
    </w:tbl>
    <w:p>
      <w:pPr>
        <w:keepNext w:val="0"/>
        <w:keepLines w:val="0"/>
        <w:pageBreakBefore w:val="0"/>
        <w:widowControl w:val="0"/>
        <w:kinsoku/>
        <w:wordWrap/>
        <w:overflowPunct/>
        <w:topLinePunct w:val="0"/>
        <w:autoSpaceDE/>
        <w:autoSpaceDN/>
        <w:bidi w:val="0"/>
        <w:adjustRightInd/>
        <w:snapToGrid/>
        <w:spacing w:before="313" w:beforeLines="100"/>
        <w:textAlignment w:val="auto"/>
        <w:rPr>
          <w:rFonts w:hint="eastAsia" w:ascii="宋体" w:hAnsi="宋体" w:eastAsia="宋体"/>
          <w:color w:val="auto"/>
          <w:sz w:val="21"/>
          <w:szCs w:val="21"/>
          <w:highlight w:val="none"/>
        </w:rPr>
      </w:pPr>
      <w:r>
        <w:rPr>
          <w:rFonts w:hint="eastAsia" w:ascii="宋体" w:hAnsi="宋体" w:eastAsia="宋体" w:cs="宋体"/>
          <w:b/>
          <w:bCs/>
          <w:color w:val="auto"/>
          <w:sz w:val="21"/>
          <w:szCs w:val="21"/>
          <w:highlight w:val="none"/>
          <w:lang w:val="en-US" w:eastAsia="zh-CN"/>
        </w:rPr>
        <w:t xml:space="preserve">11.4.5 </w:t>
      </w:r>
      <w:r>
        <w:rPr>
          <w:rFonts w:hint="eastAsia" w:ascii="宋体" w:hAnsi="宋体" w:eastAsia="宋体"/>
          <w:color w:val="auto"/>
          <w:sz w:val="21"/>
          <w:szCs w:val="21"/>
          <w:highlight w:val="none"/>
        </w:rPr>
        <w:t>电热器具电源线的</w:t>
      </w:r>
      <w:r>
        <w:rPr>
          <w:rFonts w:hint="eastAsia" w:ascii="宋体" w:hAnsi="宋体" w:eastAsia="宋体"/>
          <w:color w:val="auto"/>
          <w:sz w:val="21"/>
          <w:szCs w:val="21"/>
          <w:highlight w:val="none"/>
          <w:lang w:val="en-US" w:eastAsia="zh-CN"/>
        </w:rPr>
        <w:t>最高</w:t>
      </w:r>
      <w:r>
        <w:rPr>
          <w:rFonts w:hint="eastAsia" w:ascii="宋体" w:hAnsi="宋体" w:eastAsia="宋体"/>
          <w:color w:val="auto"/>
          <w:sz w:val="21"/>
          <w:szCs w:val="21"/>
          <w:highlight w:val="none"/>
        </w:rPr>
        <w:t>温度</w:t>
      </w:r>
      <w:r>
        <w:rPr>
          <w:rFonts w:hint="eastAsia" w:ascii="宋体" w:hAnsi="宋体" w:eastAsia="宋体"/>
          <w:color w:val="auto"/>
          <w:sz w:val="21"/>
          <w:szCs w:val="21"/>
          <w:highlight w:val="none"/>
          <w:lang w:val="en-US" w:eastAsia="zh-CN"/>
        </w:rPr>
        <w:t>应符合</w:t>
      </w:r>
      <w:r>
        <w:rPr>
          <w:rFonts w:hint="eastAsia" w:ascii="宋体" w:hAnsi="宋体" w:eastAsia="宋体"/>
          <w:color w:val="auto"/>
          <w:sz w:val="21"/>
          <w:szCs w:val="21"/>
          <w:highlight w:val="none"/>
        </w:rPr>
        <w:t>表11.4.5</w:t>
      </w:r>
      <w:r>
        <w:rPr>
          <w:rFonts w:hint="eastAsia" w:ascii="宋体" w:hAnsi="宋体" w:eastAsia="宋体"/>
          <w:color w:val="auto"/>
          <w:sz w:val="21"/>
          <w:szCs w:val="21"/>
          <w:highlight w:val="none"/>
          <w:lang w:val="en-US" w:eastAsia="zh-CN"/>
        </w:rPr>
        <w:t>规定</w:t>
      </w:r>
      <w:r>
        <w:rPr>
          <w:rFonts w:hint="eastAsia" w:ascii="宋体" w:hAnsi="宋体" w:eastAsia="宋体"/>
          <w:color w:val="auto"/>
          <w:sz w:val="21"/>
          <w:szCs w:val="21"/>
          <w:highlight w:val="none"/>
        </w:rPr>
        <w:t>。</w:t>
      </w:r>
    </w:p>
    <w:p>
      <w:pPr>
        <w:pStyle w:val="38"/>
        <w:rPr>
          <w:rFonts w:hint="eastAsia" w:cs="Times New Roman"/>
          <w:color w:val="auto"/>
          <w:highlight w:val="none"/>
        </w:rPr>
      </w:pPr>
      <w:r>
        <w:rPr>
          <w:rFonts w:hint="eastAsia" w:cs="Times New Roman"/>
          <w:color w:val="auto"/>
          <w:highlight w:val="none"/>
        </w:rPr>
        <w:t>表11.4.5</w:t>
      </w:r>
      <w:r>
        <w:rPr>
          <w:rFonts w:hint="eastAsia" w:cs="Times New Roman"/>
          <w:color w:val="auto"/>
          <w:highlight w:val="none"/>
          <w:lang w:val="en-US" w:eastAsia="zh-CN"/>
        </w:rPr>
        <w:t xml:space="preserve">  </w:t>
      </w:r>
      <w:r>
        <w:rPr>
          <w:rFonts w:hint="eastAsia" w:cs="Times New Roman"/>
          <w:color w:val="auto"/>
          <w:highlight w:val="none"/>
        </w:rPr>
        <w:t>导线芯线长期工作最高允许温度</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类型</w:t>
            </w:r>
          </w:p>
        </w:tc>
        <w:tc>
          <w:tcPr>
            <w:tcW w:w="4261"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长期工作最高允许温度（℃）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聚氯乙烯绝缘导线</w:t>
            </w:r>
          </w:p>
        </w:tc>
        <w:tc>
          <w:tcPr>
            <w:tcW w:w="4261"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橡皮绝缘导线</w:t>
            </w:r>
          </w:p>
        </w:tc>
        <w:tc>
          <w:tcPr>
            <w:tcW w:w="4261"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w:t>
            </w:r>
          </w:p>
        </w:tc>
      </w:tr>
    </w:tbl>
    <w:p>
      <w:pPr>
        <w:keepNext w:val="0"/>
        <w:keepLines w:val="0"/>
        <w:pageBreakBefore w:val="0"/>
        <w:widowControl w:val="0"/>
        <w:kinsoku/>
        <w:wordWrap/>
        <w:overflowPunct/>
        <w:topLinePunct w:val="0"/>
        <w:autoSpaceDE/>
        <w:autoSpaceDN/>
        <w:bidi w:val="0"/>
        <w:adjustRightInd/>
        <w:snapToGrid/>
        <w:spacing w:before="313" w:beforeLine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11.4.6 </w:t>
      </w:r>
      <w:r>
        <w:rPr>
          <w:rFonts w:hint="eastAsia" w:ascii="宋体" w:hAnsi="宋体" w:eastAsia="宋体" w:cs="宋体"/>
          <w:color w:val="auto"/>
          <w:sz w:val="21"/>
          <w:szCs w:val="21"/>
          <w:highlight w:val="none"/>
          <w:lang w:val="en-US" w:eastAsia="zh-CN"/>
        </w:rPr>
        <w:t>温升值应按下式计算：</w:t>
      </w:r>
    </w:p>
    <w:p>
      <w:pPr>
        <w:jc w:val="righ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position w:val="-12"/>
          <w:sz w:val="21"/>
          <w:szCs w:val="21"/>
          <w:highlight w:val="none"/>
          <w:lang w:val="en-US" w:eastAsia="zh-CN"/>
        </w:rPr>
        <w:object>
          <v:shape id="_x0000_i1025" o:spt="75" type="#_x0000_t75" style="height:18pt;width:54pt;" o:ole="t" filled="f" o:preferrelative="t" stroked="f" coordsize="21600,21600">
            <v:path/>
            <v:fill on="f" focussize="0,0"/>
            <v:stroke on="f"/>
            <v:imagedata r:id="rId10" o:title=""/>
            <o:lock v:ext="edit" aspectratio="t"/>
            <w10:wrap type="none"/>
            <w10:anchorlock/>
          </v:shape>
          <o:OLEObject Type="Embed" ProgID="Equation.KSEE3" ShapeID="_x0000_i1025" DrawAspect="Content" ObjectID="_1468075725" r:id="rId9">
            <o:LockedField>false</o:LockedField>
          </o:OLEObject>
        </w:object>
      </w:r>
      <w:r>
        <w:rPr>
          <w:rFonts w:hint="eastAsia" w:ascii="宋体" w:hAnsi="宋体" w:eastAsia="宋体" w:cs="宋体"/>
          <w:color w:val="auto"/>
          <w:sz w:val="21"/>
          <w:szCs w:val="21"/>
          <w:highlight w:val="none"/>
          <w:lang w:val="en-US" w:eastAsia="zh-CN"/>
        </w:rPr>
        <w:t xml:space="preserve">                            （11.4.6）</w:t>
      </w:r>
    </w:p>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式中：Δt——温升值，K；</w:t>
      </w:r>
    </w:p>
    <w:p>
      <w:pPr>
        <w:ind w:firstLine="630" w:firstLineChars="30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t</w:t>
      </w:r>
      <w:r>
        <w:rPr>
          <w:rFonts w:hint="eastAsia" w:ascii="宋体" w:hAnsi="宋体" w:eastAsia="宋体" w:cs="宋体"/>
          <w:color w:val="auto"/>
          <w:sz w:val="21"/>
          <w:szCs w:val="21"/>
          <w:highlight w:val="none"/>
          <w:vertAlign w:val="subscript"/>
          <w:lang w:val="en-US" w:eastAsia="zh-CN"/>
        </w:rPr>
        <w:t>1</w:t>
      </w:r>
      <w:r>
        <w:rPr>
          <w:rFonts w:hint="eastAsia" w:ascii="宋体" w:hAnsi="宋体" w:eastAsia="宋体" w:cs="宋体"/>
          <w:color w:val="auto"/>
          <w:sz w:val="21"/>
          <w:szCs w:val="21"/>
          <w:highlight w:val="none"/>
          <w:vertAlign w:val="baseline"/>
          <w:lang w:val="en-US" w:eastAsia="zh-CN"/>
        </w:rPr>
        <w:t>——检测部位温度，℃；</w:t>
      </w:r>
    </w:p>
    <w:p>
      <w:pPr>
        <w:ind w:firstLine="630" w:firstLineChars="30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t</w:t>
      </w:r>
      <w:r>
        <w:rPr>
          <w:rFonts w:hint="eastAsia" w:ascii="宋体" w:hAnsi="宋体" w:eastAsia="宋体" w:cs="宋体"/>
          <w:color w:val="auto"/>
          <w:sz w:val="21"/>
          <w:szCs w:val="21"/>
          <w:highlight w:val="none"/>
          <w:vertAlign w:val="subscript"/>
          <w:lang w:val="en-US" w:eastAsia="zh-CN"/>
        </w:rPr>
        <w:t>0</w:t>
      </w:r>
      <w:r>
        <w:rPr>
          <w:rFonts w:hint="eastAsia" w:ascii="宋体" w:hAnsi="宋体" w:eastAsia="宋体" w:cs="宋体"/>
          <w:color w:val="auto"/>
          <w:sz w:val="21"/>
          <w:szCs w:val="21"/>
          <w:highlight w:val="none"/>
          <w:vertAlign w:val="baseline"/>
          <w:lang w:val="en-US" w:eastAsia="zh-CN"/>
        </w:rPr>
        <w:t>——环境温度，℃。</w:t>
      </w:r>
    </w:p>
    <w:p>
      <w:pPr>
        <w:rPr>
          <w:rFonts w:ascii="宋体" w:hAnsi="宋体" w:eastAsia="宋体" w:cs="宋体"/>
          <w:color w:val="auto"/>
          <w:sz w:val="21"/>
          <w:szCs w:val="21"/>
          <w:highlight w:val="none"/>
        </w:rPr>
      </w:pPr>
      <w:r>
        <w:rPr>
          <w:rFonts w:hint="eastAsia" w:ascii="宋体" w:hAnsi="宋体" w:eastAsia="宋体" w:cs="宋体"/>
          <w:color w:val="auto"/>
          <w:sz w:val="18"/>
          <w:szCs w:val="18"/>
          <w:highlight w:val="none"/>
          <w:vertAlign w:val="baseline"/>
          <w:lang w:val="en-US" w:eastAsia="zh-CN"/>
        </w:rPr>
        <w:t>注：环境温度指检测对象所处环境的温度且环境温度的测试位置应不受检测对象热辐射影响。</w:t>
      </w:r>
      <w:r>
        <w:rPr>
          <w:rFonts w:ascii="宋体" w:hAnsi="宋体" w:eastAsia="宋体" w:cs="宋体"/>
          <w:color w:val="auto"/>
          <w:sz w:val="21"/>
          <w:szCs w:val="21"/>
          <w:highlight w:val="none"/>
        </w:rPr>
        <w:br w:type="page"/>
      </w:r>
    </w:p>
    <w:p>
      <w:pPr>
        <w:pStyle w:val="37"/>
        <w:spacing w:line="276" w:lineRule="auto"/>
        <w:rPr>
          <w:rFonts w:hint="default" w:eastAsia="宋体" w:cs="Times New Roman"/>
          <w:bCs/>
          <w:color w:val="auto"/>
          <w:szCs w:val="44"/>
          <w:highlight w:val="none"/>
          <w:lang w:val="en-US" w:eastAsia="zh-CN"/>
        </w:rPr>
      </w:pPr>
      <w:bookmarkStart w:id="249" w:name="_Toc7506"/>
      <w:bookmarkStart w:id="250" w:name="_Toc10287"/>
      <w:bookmarkStart w:id="251" w:name="_Toc25186"/>
      <w:bookmarkStart w:id="252" w:name="_Toc26655"/>
      <w:bookmarkStart w:id="253" w:name="_Toc30769"/>
      <w:r>
        <w:rPr>
          <w:rFonts w:eastAsia="宋体" w:cs="Times New Roman"/>
          <w:bCs/>
          <w:color w:val="auto"/>
          <w:szCs w:val="44"/>
          <w:highlight w:val="none"/>
        </w:rPr>
        <w:t>1</w:t>
      </w:r>
      <w:r>
        <w:rPr>
          <w:rFonts w:hint="eastAsia" w:eastAsia="宋体" w:cs="Times New Roman"/>
          <w:bCs/>
          <w:color w:val="auto"/>
          <w:szCs w:val="44"/>
          <w:highlight w:val="none"/>
        </w:rPr>
        <w:t>2</w:t>
      </w:r>
      <w:r>
        <w:rPr>
          <w:rFonts w:eastAsia="宋体" w:cs="Times New Roman"/>
          <w:bCs/>
          <w:color w:val="auto"/>
          <w:szCs w:val="44"/>
          <w:highlight w:val="none"/>
        </w:rPr>
        <w:t xml:space="preserve"> </w:t>
      </w:r>
      <w:r>
        <w:rPr>
          <w:rFonts w:hint="eastAsia" w:eastAsia="宋体" w:cs="Times New Roman"/>
          <w:bCs/>
          <w:color w:val="auto"/>
          <w:szCs w:val="44"/>
          <w:highlight w:val="none"/>
          <w:lang w:val="en-US" w:eastAsia="zh-CN"/>
        </w:rPr>
        <w:t xml:space="preserve"> </w:t>
      </w:r>
      <w:r>
        <w:rPr>
          <w:rFonts w:hint="eastAsia" w:eastAsia="宋体" w:cs="Times New Roman"/>
          <w:bCs/>
          <w:color w:val="auto"/>
          <w:szCs w:val="44"/>
          <w:highlight w:val="none"/>
        </w:rPr>
        <w:t xml:space="preserve"> </w:t>
      </w:r>
      <w:r>
        <w:rPr>
          <w:rFonts w:hint="eastAsia" w:eastAsia="宋体" w:cs="Times New Roman"/>
          <w:bCs/>
          <w:color w:val="auto"/>
          <w:szCs w:val="44"/>
          <w:highlight w:val="none"/>
          <w:lang w:val="en-US" w:eastAsia="zh-CN"/>
        </w:rPr>
        <w:t>照明的照度和功率密度检测</w:t>
      </w:r>
      <w:bookmarkEnd w:id="249"/>
      <w:bookmarkEnd w:id="250"/>
      <w:bookmarkEnd w:id="251"/>
      <w:bookmarkEnd w:id="252"/>
      <w:bookmarkEnd w:id="253"/>
    </w:p>
    <w:p>
      <w:pPr>
        <w:pStyle w:val="3"/>
        <w:jc w:val="center"/>
        <w:rPr>
          <w:rFonts w:hint="eastAsia" w:ascii="宋体" w:hAnsi="宋体" w:eastAsia="宋体" w:cs="宋体"/>
          <w:color w:val="auto"/>
          <w:sz w:val="21"/>
          <w:szCs w:val="21"/>
          <w:highlight w:val="none"/>
          <w:lang w:eastAsia="zh-CN"/>
        </w:rPr>
      </w:pPr>
      <w:bookmarkStart w:id="254" w:name="_Toc838"/>
      <w:bookmarkStart w:id="255" w:name="_Toc16118"/>
      <w:bookmarkStart w:id="256" w:name="_Toc20253"/>
      <w:bookmarkStart w:id="257" w:name="_Toc1491"/>
      <w:bookmarkStart w:id="258" w:name="_Toc12543"/>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一般</w:t>
      </w:r>
      <w:r>
        <w:rPr>
          <w:rFonts w:hint="eastAsia" w:ascii="宋体" w:hAnsi="宋体" w:eastAsia="宋体" w:cs="宋体"/>
          <w:color w:val="auto"/>
          <w:sz w:val="21"/>
          <w:szCs w:val="21"/>
          <w:highlight w:val="none"/>
          <w:lang w:val="en-US" w:eastAsia="zh-CN"/>
        </w:rPr>
        <w:t>规定</w:t>
      </w:r>
      <w:bookmarkEnd w:id="254"/>
      <w:bookmarkEnd w:id="255"/>
      <w:bookmarkEnd w:id="256"/>
      <w:bookmarkEnd w:id="257"/>
      <w:bookmarkEnd w:id="258"/>
    </w:p>
    <w:p>
      <w:pPr>
        <w:keepNext w:val="0"/>
        <w:keepLines w:val="0"/>
        <w:pageBreakBefore w:val="0"/>
        <w:widowControl w:val="0"/>
        <w:kinsoku/>
        <w:wordWrap/>
        <w:overflowPunct/>
        <w:topLinePunct w:val="0"/>
        <w:autoSpaceDE/>
        <w:autoSpaceDN/>
        <w:bidi w:val="0"/>
        <w:adjustRightInd/>
        <w:snapToGrid/>
        <w:spacing w:before="313" w:beforeLines="1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 xml:space="preserve">12.1.1  </w:t>
      </w:r>
      <w:r>
        <w:rPr>
          <w:rFonts w:hint="eastAsia" w:ascii="宋体" w:hAnsi="宋体" w:eastAsia="宋体" w:cs="宋体"/>
          <w:color w:val="auto"/>
          <w:sz w:val="21"/>
          <w:szCs w:val="21"/>
          <w:highlight w:val="none"/>
        </w:rPr>
        <w:t>进行照明测量前，光源应预先完成老化，卤钨灯累计燃点时间宜在50h以上，气体放电类光源累计燃点时间宜在100h以上；白炽灯累计</w:t>
      </w:r>
      <w:bookmarkStart w:id="259" w:name="OLE_LINK7"/>
      <w:bookmarkStart w:id="260" w:name="OLE_LINK6"/>
      <w:r>
        <w:rPr>
          <w:rFonts w:hint="eastAsia" w:ascii="宋体" w:hAnsi="宋体" w:eastAsia="宋体" w:cs="宋体"/>
          <w:color w:val="auto"/>
          <w:sz w:val="21"/>
          <w:szCs w:val="21"/>
          <w:highlight w:val="none"/>
        </w:rPr>
        <w:t>燃点时间</w:t>
      </w:r>
      <w:bookmarkEnd w:id="259"/>
      <w:bookmarkEnd w:id="260"/>
      <w:r>
        <w:rPr>
          <w:rFonts w:hint="eastAsia" w:ascii="宋体" w:hAnsi="宋体" w:eastAsia="宋体" w:cs="宋体"/>
          <w:color w:val="auto"/>
          <w:sz w:val="21"/>
          <w:szCs w:val="21"/>
          <w:highlight w:val="none"/>
        </w:rPr>
        <w:t>宜在10h以上。</w:t>
      </w:r>
    </w:p>
    <w:p>
      <w:pPr>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12.1.2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进行照明测量前，光源应</w:t>
      </w:r>
      <w:r>
        <w:rPr>
          <w:rFonts w:hint="eastAsia" w:ascii="宋体" w:hAnsi="宋体" w:eastAsia="宋体" w:cs="宋体"/>
          <w:color w:val="auto"/>
          <w:sz w:val="21"/>
          <w:szCs w:val="21"/>
          <w:highlight w:val="none"/>
          <w:lang w:val="en-US" w:eastAsia="zh-CN"/>
        </w:rPr>
        <w:t>预热，</w:t>
      </w:r>
      <w:r>
        <w:rPr>
          <w:rFonts w:hint="eastAsia" w:ascii="宋体" w:hAnsi="宋体" w:eastAsia="宋体" w:cs="宋体"/>
          <w:color w:val="auto"/>
          <w:sz w:val="21"/>
          <w:szCs w:val="21"/>
          <w:highlight w:val="none"/>
        </w:rPr>
        <w:t>需燃点时间应符合表12.</w:t>
      </w:r>
      <w:r>
        <w:rPr>
          <w:rFonts w:hint="eastAsia" w:ascii="宋体" w:hAnsi="宋体" w:eastAsia="宋体" w:cs="宋体"/>
          <w:color w:val="auto"/>
          <w:sz w:val="21"/>
          <w:szCs w:val="21"/>
          <w:highlight w:val="none"/>
          <w:lang w:val="en-US" w:eastAsia="zh-CN"/>
        </w:rPr>
        <w:t>1</w:t>
      </w:r>
      <w:r>
        <w:rPr>
          <w:rFonts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要求。</w:t>
      </w:r>
    </w:p>
    <w:p>
      <w:pPr>
        <w:pStyle w:val="38"/>
        <w:rPr>
          <w:rFonts w:hint="default" w:cs="Times New Roman"/>
          <w:color w:val="auto"/>
          <w:highlight w:val="none"/>
          <w:lang w:val="en-US" w:eastAsia="zh-CN"/>
        </w:rPr>
      </w:pPr>
      <w:r>
        <w:rPr>
          <w:rFonts w:hint="eastAsia" w:cs="Times New Roman"/>
          <w:color w:val="auto"/>
          <w:highlight w:val="none"/>
        </w:rPr>
        <w:t>表12.</w:t>
      </w:r>
      <w:r>
        <w:rPr>
          <w:rFonts w:hint="eastAsia" w:cs="Times New Roman"/>
          <w:color w:val="auto"/>
          <w:highlight w:val="none"/>
          <w:lang w:val="en-US" w:eastAsia="zh-CN"/>
        </w:rPr>
        <w:t>1</w:t>
      </w:r>
      <w:r>
        <w:rPr>
          <w:rFonts w:cs="Times New Roman"/>
          <w:color w:val="auto"/>
          <w:highlight w:val="none"/>
        </w:rPr>
        <w:t>.</w:t>
      </w:r>
      <w:r>
        <w:rPr>
          <w:rFonts w:hint="eastAsia" w:cs="Times New Roman"/>
          <w:color w:val="auto"/>
          <w:highlight w:val="none"/>
          <w:lang w:val="en-US" w:eastAsia="zh-CN"/>
        </w:rPr>
        <w:t>2   光源需燃点时间</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77"/>
        <w:gridCol w:w="4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3377" w:type="dxa"/>
            <w:vAlign w:val="center"/>
          </w:tcPr>
          <w:p>
            <w:pPr>
              <w:spacing w:line="276" w:lineRule="auto"/>
              <w:jc w:val="center"/>
              <w:rPr>
                <w:rFonts w:ascii="宋体" w:hAnsi="宋体" w:eastAsia="宋体" w:cs="宋体"/>
                <w:color w:val="auto"/>
                <w:sz w:val="18"/>
                <w:szCs w:val="18"/>
                <w:highlight w:val="none"/>
              </w:rPr>
            </w:pPr>
            <w:bookmarkStart w:id="261" w:name="OLE_LINK23"/>
            <w:bookmarkStart w:id="262" w:name="OLE_LINK24"/>
            <w:r>
              <w:rPr>
                <w:rFonts w:hint="eastAsia" w:ascii="宋体" w:hAnsi="宋体" w:eastAsia="宋体" w:cs="宋体"/>
                <w:color w:val="auto"/>
                <w:sz w:val="18"/>
                <w:szCs w:val="18"/>
                <w:highlight w:val="none"/>
              </w:rPr>
              <w:t>光源</w:t>
            </w:r>
          </w:p>
        </w:tc>
        <w:tc>
          <w:tcPr>
            <w:tcW w:w="4487" w:type="dxa"/>
            <w:vAlign w:val="center"/>
          </w:tcPr>
          <w:p>
            <w:pPr>
              <w:spacing w:line="276" w:lineRule="auto"/>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需燃点时间（min）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3377" w:type="dxa"/>
            <w:vAlign w:val="center"/>
          </w:tcPr>
          <w:p>
            <w:pPr>
              <w:spacing w:line="276" w:lineRule="auto"/>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LED灯</w:t>
            </w:r>
          </w:p>
        </w:tc>
        <w:tc>
          <w:tcPr>
            <w:tcW w:w="4487" w:type="dxa"/>
            <w:vAlign w:val="center"/>
          </w:tcPr>
          <w:p>
            <w:pPr>
              <w:spacing w:line="276" w:lineRule="auto"/>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30～120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3377" w:type="dxa"/>
            <w:vAlign w:val="center"/>
          </w:tcPr>
          <w:p>
            <w:pPr>
              <w:spacing w:line="276" w:lineRule="auto"/>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荧光灯</w:t>
            </w:r>
          </w:p>
        </w:tc>
        <w:tc>
          <w:tcPr>
            <w:tcW w:w="4487" w:type="dxa"/>
            <w:vAlign w:val="center"/>
          </w:tcPr>
          <w:p>
            <w:pPr>
              <w:spacing w:line="276" w:lineRule="auto"/>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3377" w:type="dxa"/>
            <w:vAlign w:val="center"/>
          </w:tcPr>
          <w:p>
            <w:pPr>
              <w:spacing w:line="276" w:lineRule="auto"/>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白炽灯</w:t>
            </w:r>
          </w:p>
        </w:tc>
        <w:tc>
          <w:tcPr>
            <w:tcW w:w="4487" w:type="dxa"/>
            <w:vAlign w:val="center"/>
          </w:tcPr>
          <w:p>
            <w:pPr>
              <w:spacing w:line="276" w:lineRule="auto"/>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3377" w:type="dxa"/>
            <w:vAlign w:val="center"/>
          </w:tcPr>
          <w:p>
            <w:pPr>
              <w:spacing w:line="276" w:lineRule="auto"/>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气体放电类光源</w:t>
            </w:r>
          </w:p>
        </w:tc>
        <w:tc>
          <w:tcPr>
            <w:tcW w:w="4487" w:type="dxa"/>
            <w:vAlign w:val="center"/>
          </w:tcPr>
          <w:p>
            <w:pPr>
              <w:spacing w:line="276" w:lineRule="auto"/>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3377" w:type="dxa"/>
            <w:vAlign w:val="center"/>
          </w:tcPr>
          <w:p>
            <w:pPr>
              <w:spacing w:line="276" w:lineRule="auto"/>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卤钨灯</w:t>
            </w:r>
          </w:p>
        </w:tc>
        <w:tc>
          <w:tcPr>
            <w:tcW w:w="4487" w:type="dxa"/>
            <w:vAlign w:val="center"/>
          </w:tcPr>
          <w:p>
            <w:pPr>
              <w:spacing w:line="276" w:lineRule="auto"/>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15</w:t>
            </w:r>
          </w:p>
        </w:tc>
      </w:tr>
      <w:bookmarkEnd w:id="261"/>
      <w:bookmarkEnd w:id="262"/>
    </w:tbl>
    <w:p>
      <w:pPr>
        <w:keepNext w:val="0"/>
        <w:keepLines w:val="0"/>
        <w:pageBreakBefore w:val="0"/>
        <w:widowControl w:val="0"/>
        <w:kinsoku/>
        <w:wordWrap/>
        <w:overflowPunct/>
        <w:topLinePunct w:val="0"/>
        <w:autoSpaceDE/>
        <w:autoSpaceDN/>
        <w:bidi w:val="0"/>
        <w:adjustRightInd/>
        <w:snapToGrid/>
        <w:spacing w:before="157" w:beforeLines="50"/>
        <w:ind w:left="0" w:hanging="420" w:hangingChars="199"/>
        <w:jc w:val="left"/>
        <w:textAlignment w:val="auto"/>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 xml:space="preserve">12.1.3  </w:t>
      </w:r>
      <w:r>
        <w:rPr>
          <w:rFonts w:hint="eastAsia" w:ascii="宋体" w:hAnsi="宋体" w:eastAsia="宋体" w:cs="宋体"/>
          <w:color w:val="auto"/>
          <w:sz w:val="21"/>
          <w:szCs w:val="21"/>
          <w:highlight w:val="none"/>
        </w:rPr>
        <w:t>选用的</w:t>
      </w:r>
      <w:r>
        <w:rPr>
          <w:rFonts w:ascii="宋体" w:hAnsi="宋体" w:eastAsia="宋体" w:cs="宋体"/>
          <w:color w:val="auto"/>
          <w:sz w:val="21"/>
          <w:szCs w:val="21"/>
          <w:highlight w:val="none"/>
        </w:rPr>
        <w:t>LED灯的电气性能应符合下列规定</w:t>
      </w:r>
      <w:r>
        <w:rPr>
          <w:rFonts w:hint="eastAsia" w:ascii="宋体" w:hAnsi="宋体" w:eastAsia="宋体" w:cs="宋体"/>
          <w:color w:val="auto"/>
          <w:sz w:val="21"/>
          <w:szCs w:val="21"/>
          <w:highlight w:val="none"/>
        </w:rPr>
        <w:t>：</w:t>
      </w:r>
    </w:p>
    <w:p>
      <w:pPr>
        <w:ind w:firstLine="422" w:firstLineChars="200"/>
        <w:jc w:val="left"/>
        <w:rPr>
          <w:rFonts w:ascii="宋体" w:hAnsi="宋体" w:eastAsia="宋体" w:cs="宋体"/>
          <w:color w:val="auto"/>
          <w:sz w:val="21"/>
          <w:szCs w:val="21"/>
          <w:highlight w:val="none"/>
        </w:rPr>
      </w:pPr>
      <w:bookmarkStart w:id="263" w:name="OLE_LINK19"/>
      <w:bookmarkStart w:id="264" w:name="OLE_LINK20"/>
      <w:r>
        <w:rPr>
          <w:rFonts w:ascii="宋体" w:hAnsi="宋体" w:eastAsia="宋体" w:cs="宋体"/>
          <w:b/>
          <w:bCs/>
          <w:color w:val="auto"/>
          <w:sz w:val="21"/>
          <w:szCs w:val="21"/>
          <w:highlight w:val="none"/>
        </w:rPr>
        <w:t>1</w:t>
      </w:r>
      <w:bookmarkEnd w:id="263"/>
      <w:bookmarkEnd w:id="264"/>
      <w:r>
        <w:rPr>
          <w:rFonts w:ascii="宋体" w:hAnsi="宋体" w:eastAsia="宋体" w:cs="宋体"/>
          <w:color w:val="auto"/>
          <w:sz w:val="21"/>
          <w:szCs w:val="21"/>
          <w:highlight w:val="none"/>
        </w:rPr>
        <w:t xml:space="preserve">  LED灯输入功率与额定值之差应符合下列规定</w:t>
      </w:r>
      <w:r>
        <w:rPr>
          <w:rFonts w:hint="eastAsia" w:ascii="宋体" w:hAnsi="宋体" w:eastAsia="宋体" w:cs="宋体"/>
          <w:color w:val="auto"/>
          <w:sz w:val="21"/>
          <w:szCs w:val="21"/>
          <w:highlight w:val="none"/>
        </w:rPr>
        <w:t>：</w:t>
      </w:r>
    </w:p>
    <w:p>
      <w:pPr>
        <w:numPr>
          <w:ilvl w:val="0"/>
          <w:numId w:val="4"/>
        </w:numPr>
        <w:ind w:left="559" w:leftChars="266" w:firstLine="0" w:firstLineChars="0"/>
        <w:jc w:val="left"/>
        <w:rPr>
          <w:rFonts w:ascii="宋体" w:hAnsi="宋体" w:eastAsia="宋体" w:cs="宋体"/>
          <w:color w:val="auto"/>
          <w:sz w:val="21"/>
          <w:szCs w:val="21"/>
          <w:highlight w:val="none"/>
        </w:rPr>
      </w:pPr>
      <w:r>
        <w:rPr>
          <w:rFonts w:ascii="宋体" w:hAnsi="宋体" w:eastAsia="宋体" w:cs="宋体"/>
          <w:color w:val="auto"/>
          <w:sz w:val="21"/>
          <w:szCs w:val="21"/>
          <w:highlight w:val="none"/>
        </w:rPr>
        <w:t>额定功率小于或等于5W时，其偏差不应大于0.5W</w:t>
      </w:r>
      <w:r>
        <w:rPr>
          <w:rFonts w:hint="eastAsia" w:ascii="宋体" w:hAnsi="宋体" w:eastAsia="宋体" w:cs="宋体"/>
          <w:color w:val="auto"/>
          <w:sz w:val="21"/>
          <w:szCs w:val="21"/>
          <w:highlight w:val="none"/>
        </w:rPr>
        <w:t>；</w:t>
      </w:r>
    </w:p>
    <w:p>
      <w:pPr>
        <w:numPr>
          <w:ilvl w:val="0"/>
          <w:numId w:val="4"/>
        </w:numPr>
        <w:ind w:left="559" w:leftChars="266" w:firstLine="0" w:firstLineChars="0"/>
        <w:jc w:val="left"/>
        <w:rPr>
          <w:rFonts w:ascii="宋体" w:hAnsi="宋体" w:eastAsia="宋体" w:cs="宋体"/>
          <w:color w:val="auto"/>
          <w:sz w:val="21"/>
          <w:szCs w:val="21"/>
          <w:highlight w:val="none"/>
        </w:rPr>
      </w:pPr>
      <w:bookmarkStart w:id="265" w:name="OLE_LINK26"/>
      <w:bookmarkStart w:id="266" w:name="OLE_LINK25"/>
      <w:r>
        <w:rPr>
          <w:rFonts w:ascii="宋体" w:hAnsi="宋体" w:eastAsia="宋体" w:cs="宋体"/>
          <w:color w:val="auto"/>
          <w:sz w:val="21"/>
          <w:szCs w:val="21"/>
          <w:highlight w:val="none"/>
        </w:rPr>
        <w:t>额定功率大于 5W 时，其偏差不应大于额定值的10%</w:t>
      </w:r>
      <w:bookmarkEnd w:id="265"/>
      <w:bookmarkEnd w:id="266"/>
      <w:r>
        <w:rPr>
          <w:rFonts w:ascii="宋体" w:hAnsi="宋体" w:eastAsia="宋体" w:cs="宋体"/>
          <w:color w:val="auto"/>
          <w:sz w:val="21"/>
          <w:szCs w:val="21"/>
          <w:highlight w:val="none"/>
        </w:rPr>
        <w:t>。</w:t>
      </w:r>
    </w:p>
    <w:p>
      <w:pPr>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ascii="宋体" w:hAnsi="宋体" w:eastAsia="宋体" w:cs="宋体"/>
          <w:b/>
          <w:bCs/>
          <w:color w:val="auto"/>
          <w:sz w:val="21"/>
          <w:szCs w:val="21"/>
          <w:highlight w:val="none"/>
        </w:rPr>
        <w:t>2</w:t>
      </w:r>
      <w:r>
        <w:rPr>
          <w:rFonts w:ascii="宋体" w:hAnsi="宋体" w:eastAsia="宋体" w:cs="宋体"/>
          <w:color w:val="auto"/>
          <w:sz w:val="21"/>
          <w:szCs w:val="21"/>
          <w:highlight w:val="none"/>
        </w:rPr>
        <w:t xml:space="preserve">  LED灯的功率因数不应低于</w:t>
      </w:r>
      <w:r>
        <w:rPr>
          <w:rFonts w:hint="eastAsia" w:ascii="宋体" w:hAnsi="宋体" w:eastAsia="宋体" w:cs="宋体"/>
          <w:color w:val="auto"/>
          <w:sz w:val="21"/>
          <w:szCs w:val="21"/>
          <w:highlight w:val="none"/>
        </w:rPr>
        <w:t>表12.</w:t>
      </w:r>
      <w:r>
        <w:rPr>
          <w:rFonts w:hint="eastAsia" w:ascii="宋体" w:hAnsi="宋体" w:eastAsia="宋体" w:cs="宋体"/>
          <w:color w:val="auto"/>
          <w:sz w:val="21"/>
          <w:szCs w:val="21"/>
          <w:highlight w:val="none"/>
          <w:lang w:val="en-US" w:eastAsia="zh-CN"/>
        </w:rPr>
        <w:t>1</w:t>
      </w:r>
      <w:r>
        <w:rPr>
          <w:rFonts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ascii="宋体" w:hAnsi="宋体" w:eastAsia="宋体" w:cs="宋体"/>
          <w:color w:val="auto"/>
          <w:sz w:val="21"/>
          <w:szCs w:val="21"/>
          <w:highlight w:val="none"/>
        </w:rPr>
        <w:t>的规定。</w:t>
      </w:r>
    </w:p>
    <w:p>
      <w:pPr>
        <w:pStyle w:val="38"/>
        <w:rPr>
          <w:rFonts w:hint="eastAsia" w:cs="Times New Roman"/>
          <w:color w:val="auto"/>
          <w:highlight w:val="none"/>
        </w:rPr>
      </w:pPr>
      <w:r>
        <w:rPr>
          <w:rFonts w:hint="eastAsia" w:cs="Times New Roman"/>
          <w:color w:val="auto"/>
          <w:highlight w:val="none"/>
        </w:rPr>
        <w:t>表12.</w:t>
      </w:r>
      <w:r>
        <w:rPr>
          <w:rFonts w:hint="eastAsia" w:cs="Times New Roman"/>
          <w:color w:val="auto"/>
          <w:highlight w:val="none"/>
          <w:lang w:val="en-US" w:eastAsia="zh-CN"/>
        </w:rPr>
        <w:t>1</w:t>
      </w:r>
      <w:r>
        <w:rPr>
          <w:rFonts w:hint="eastAsia" w:cs="Times New Roman"/>
          <w:color w:val="auto"/>
          <w:highlight w:val="none"/>
        </w:rPr>
        <w:t>.</w:t>
      </w:r>
      <w:r>
        <w:rPr>
          <w:rFonts w:hint="eastAsia" w:cs="Times New Roman"/>
          <w:color w:val="auto"/>
          <w:highlight w:val="none"/>
          <w:lang w:val="en-US" w:eastAsia="zh-CN"/>
        </w:rPr>
        <w:t xml:space="preserve">3   </w:t>
      </w:r>
      <w:r>
        <w:rPr>
          <w:rFonts w:hint="eastAsia" w:cs="Times New Roman"/>
          <w:color w:val="auto"/>
          <w:highlight w:val="none"/>
        </w:rPr>
        <w:t>LED灯的功率因数</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6"/>
        <w:gridCol w:w="2268"/>
        <w:gridCol w:w="3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74" w:type="dxa"/>
            <w:gridSpan w:val="2"/>
            <w:vAlign w:val="center"/>
          </w:tcPr>
          <w:p>
            <w:pPr>
              <w:spacing w:line="276"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额定功率</w:t>
            </w:r>
            <w:r>
              <w:rPr>
                <w:rFonts w:ascii="宋体" w:hAnsi="宋体" w:eastAsia="宋体" w:cs="宋体"/>
                <w:color w:val="auto"/>
                <w:sz w:val="21"/>
                <w:szCs w:val="21"/>
                <w:highlight w:val="none"/>
              </w:rPr>
              <w:t>(W)</w:t>
            </w:r>
          </w:p>
        </w:tc>
        <w:tc>
          <w:tcPr>
            <w:tcW w:w="3690" w:type="dxa"/>
            <w:vAlign w:val="center"/>
          </w:tcPr>
          <w:p>
            <w:pPr>
              <w:spacing w:line="276"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功率因数限值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74" w:type="dxa"/>
            <w:gridSpan w:val="2"/>
            <w:vAlign w:val="center"/>
          </w:tcPr>
          <w:p>
            <w:pPr>
              <w:spacing w:line="276"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ascii="宋体" w:hAnsi="宋体" w:eastAsia="宋体" w:cs="宋体"/>
                <w:color w:val="auto"/>
                <w:sz w:val="21"/>
                <w:szCs w:val="21"/>
                <w:highlight w:val="none"/>
              </w:rPr>
              <w:t>5</w:t>
            </w:r>
          </w:p>
        </w:tc>
        <w:tc>
          <w:tcPr>
            <w:tcW w:w="3690" w:type="dxa"/>
            <w:vAlign w:val="center"/>
          </w:tcPr>
          <w:p>
            <w:pPr>
              <w:spacing w:line="276"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r>
              <w:rPr>
                <w:rFonts w:ascii="宋体" w:hAnsi="宋体" w:eastAsia="宋体" w:cs="宋体"/>
                <w:color w:val="auto"/>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06" w:type="dxa"/>
            <w:vMerge w:val="restart"/>
            <w:vAlign w:val="center"/>
          </w:tcPr>
          <w:p>
            <w:pPr>
              <w:spacing w:line="276"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268" w:type="dxa"/>
            <w:vAlign w:val="center"/>
          </w:tcPr>
          <w:p>
            <w:pPr>
              <w:spacing w:line="276"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家居用</w:t>
            </w:r>
          </w:p>
        </w:tc>
        <w:tc>
          <w:tcPr>
            <w:tcW w:w="3690" w:type="dxa"/>
            <w:vAlign w:val="center"/>
          </w:tcPr>
          <w:p>
            <w:pPr>
              <w:spacing w:line="276"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r>
              <w:rPr>
                <w:rFonts w:ascii="宋体" w:hAnsi="宋体" w:eastAsia="宋体" w:cs="宋体"/>
                <w:color w:val="auto"/>
                <w:sz w:val="21"/>
                <w:szCs w:val="21"/>
                <w:highlight w:val="none"/>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06" w:type="dxa"/>
            <w:vMerge w:val="continue"/>
            <w:vAlign w:val="center"/>
          </w:tcPr>
          <w:p>
            <w:pPr>
              <w:spacing w:line="276" w:lineRule="auto"/>
              <w:jc w:val="center"/>
              <w:rPr>
                <w:rFonts w:ascii="宋体" w:hAnsi="宋体" w:eastAsia="宋体" w:cs="宋体"/>
                <w:color w:val="auto"/>
                <w:sz w:val="21"/>
                <w:szCs w:val="21"/>
                <w:highlight w:val="none"/>
              </w:rPr>
            </w:pPr>
          </w:p>
        </w:tc>
        <w:tc>
          <w:tcPr>
            <w:tcW w:w="2268" w:type="dxa"/>
            <w:vAlign w:val="center"/>
          </w:tcPr>
          <w:p>
            <w:pPr>
              <w:spacing w:line="276"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非家居用</w:t>
            </w:r>
          </w:p>
        </w:tc>
        <w:tc>
          <w:tcPr>
            <w:tcW w:w="3690" w:type="dxa"/>
            <w:vAlign w:val="center"/>
          </w:tcPr>
          <w:p>
            <w:pPr>
              <w:spacing w:line="276"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r>
              <w:rPr>
                <w:rFonts w:ascii="宋体" w:hAnsi="宋体" w:eastAsia="宋体" w:cs="宋体"/>
                <w:color w:val="auto"/>
                <w:sz w:val="21"/>
                <w:szCs w:val="21"/>
                <w:highlight w:val="none"/>
              </w:rPr>
              <w:t>.9</w:t>
            </w:r>
          </w:p>
        </w:tc>
      </w:tr>
    </w:tbl>
    <w:p>
      <w:pPr>
        <w:keepNext w:val="0"/>
        <w:keepLines w:val="0"/>
        <w:pageBreakBefore w:val="0"/>
        <w:widowControl w:val="0"/>
        <w:kinsoku/>
        <w:wordWrap/>
        <w:overflowPunct/>
        <w:topLinePunct w:val="0"/>
        <w:autoSpaceDE/>
        <w:autoSpaceDN/>
        <w:bidi w:val="0"/>
        <w:adjustRightInd/>
        <w:snapToGrid/>
        <w:spacing w:before="313" w:beforeLines="100"/>
        <w:textAlignment w:val="auto"/>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12.1.</w:t>
      </w:r>
      <w:bookmarkStart w:id="267" w:name="OLE_LINK36"/>
      <w:bookmarkStart w:id="268" w:name="OLE_LINK37"/>
      <w:r>
        <w:rPr>
          <w:rFonts w:hint="eastAsia" w:ascii="宋体" w:hAnsi="宋体" w:eastAsia="宋体" w:cs="宋体"/>
          <w:b/>
          <w:bCs/>
          <w:color w:val="auto"/>
          <w:sz w:val="21"/>
          <w:szCs w:val="21"/>
          <w:highlight w:val="none"/>
          <w:lang w:val="en-US" w:eastAsia="zh-CN"/>
        </w:rPr>
        <w:t xml:space="preserve">4  </w:t>
      </w:r>
      <w:r>
        <w:rPr>
          <w:rFonts w:hint="eastAsia" w:ascii="宋体" w:hAnsi="宋体" w:eastAsia="宋体" w:cs="宋体"/>
          <w:color w:val="auto"/>
          <w:sz w:val="21"/>
          <w:szCs w:val="21"/>
          <w:highlight w:val="none"/>
        </w:rPr>
        <w:t>进行现场照明测量时,应在光源预热15min后,监测现场规定点照度,其</w:t>
      </w:r>
      <w:bookmarkEnd w:id="267"/>
      <w:bookmarkEnd w:id="268"/>
      <w:r>
        <w:rPr>
          <w:rFonts w:hint="eastAsia" w:ascii="宋体" w:hAnsi="宋体" w:eastAsia="宋体" w:cs="宋体"/>
          <w:color w:val="auto"/>
          <w:sz w:val="21"/>
          <w:szCs w:val="21"/>
          <w:highlight w:val="none"/>
        </w:rPr>
        <w:t>连续1min内监测不少于6个照度值,其最大值和最小值比值不应超过1.005。</w:t>
      </w:r>
    </w:p>
    <w:p>
      <w:pPr>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 xml:space="preserve">12.1.5  </w:t>
      </w:r>
      <w:r>
        <w:rPr>
          <w:rFonts w:hint="eastAsia" w:ascii="宋体" w:hAnsi="宋体" w:eastAsia="宋体" w:cs="宋体"/>
          <w:color w:val="auto"/>
          <w:sz w:val="21"/>
          <w:szCs w:val="21"/>
          <w:highlight w:val="none"/>
        </w:rPr>
        <w:t>照明测量宜在额定电压条件下进行。测量时,应监测电源电压</w:t>
      </w:r>
      <w:r>
        <w:rPr>
          <w:rFonts w:ascii="宋体" w:hAnsi="宋体" w:eastAsia="宋体" w:cs="宋体"/>
          <w:color w:val="auto"/>
          <w:sz w:val="21"/>
          <w:szCs w:val="21"/>
          <w:highlight w:val="none"/>
        </w:rPr>
        <w:t>,</w:t>
      </w:r>
      <w:r>
        <w:rPr>
          <w:rFonts w:hint="eastAsia" w:ascii="宋体" w:hAnsi="宋体" w:eastAsia="宋体" w:cs="宋体"/>
          <w:color w:val="auto"/>
          <w:sz w:val="21"/>
          <w:szCs w:val="21"/>
          <w:highlight w:val="none"/>
        </w:rPr>
        <w:t>若实测电压偏差超过+7%、-10%的标准规定范围时,应依据实验室在额定电压下测量结果对现场测量结果做相应的修正。</w:t>
      </w:r>
    </w:p>
    <w:p>
      <w:pPr>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 xml:space="preserve">12.1.6  </w:t>
      </w:r>
      <w:r>
        <w:rPr>
          <w:rFonts w:ascii="宋体" w:hAnsi="宋体" w:eastAsia="宋体" w:cs="宋体"/>
          <w:color w:val="auto"/>
          <w:sz w:val="21"/>
          <w:szCs w:val="21"/>
          <w:highlight w:val="none"/>
        </w:rPr>
        <w:t>对具有多种控制场景的照明空间进行检测时,应对典型控制场景的照明分别进行测量。</w:t>
      </w:r>
    </w:p>
    <w:p>
      <w:pPr>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 xml:space="preserve">12.1.7  </w:t>
      </w:r>
      <w:r>
        <w:rPr>
          <w:rFonts w:hint="eastAsia" w:ascii="宋体" w:hAnsi="宋体" w:eastAsia="宋体" w:cs="宋体"/>
          <w:color w:val="auto"/>
          <w:sz w:val="21"/>
          <w:szCs w:val="21"/>
          <w:highlight w:val="none"/>
        </w:rPr>
        <w:t>室外照明测量应在设计的场地环境条件下进行测量,路面或场地宜清洁和干燥,非被测光源不应对测量结果产生显著影响。室内照明测量应在没有天然光和其他非被测光源影响下进行。</w:t>
      </w:r>
    </w:p>
    <w:p>
      <w:pPr>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 xml:space="preserve">12.1.8  </w:t>
      </w:r>
      <w:r>
        <w:rPr>
          <w:rFonts w:hint="eastAsia" w:ascii="宋体" w:hAnsi="宋体" w:eastAsia="宋体" w:cs="宋体"/>
          <w:color w:val="auto"/>
          <w:sz w:val="21"/>
          <w:szCs w:val="21"/>
          <w:highlight w:val="none"/>
        </w:rPr>
        <w:t>测量时应排除杂散光射入光接受器,并应防止各类人员和物体对光接受器造成遮挡。</w:t>
      </w:r>
    </w:p>
    <w:p>
      <w:pPr>
        <w:pStyle w:val="3"/>
        <w:jc w:val="center"/>
        <w:rPr>
          <w:rFonts w:ascii="宋体" w:hAnsi="宋体" w:eastAsia="宋体" w:cs="宋体"/>
          <w:color w:val="auto"/>
          <w:sz w:val="21"/>
          <w:szCs w:val="21"/>
          <w:highlight w:val="none"/>
        </w:rPr>
      </w:pPr>
      <w:bookmarkStart w:id="269" w:name="_Toc5782"/>
      <w:bookmarkStart w:id="270" w:name="_Toc11682"/>
      <w:bookmarkStart w:id="271" w:name="_Toc20130"/>
      <w:bookmarkStart w:id="272" w:name="_Toc23149"/>
      <w:bookmarkStart w:id="273" w:name="_Toc6636"/>
      <w:r>
        <w:rPr>
          <w:rFonts w:ascii="宋体" w:hAnsi="宋体" w:eastAsia="宋体" w:cs="宋体"/>
          <w:color w:val="auto"/>
          <w:sz w:val="21"/>
          <w:szCs w:val="21"/>
          <w:highlight w:val="none"/>
        </w:rPr>
        <w:t>1</w:t>
      </w:r>
      <w:r>
        <w:rPr>
          <w:rFonts w:hint="eastAsia" w:ascii="宋体" w:hAnsi="宋体" w:eastAsia="宋体" w:cs="宋体"/>
          <w:color w:val="auto"/>
          <w:sz w:val="21"/>
          <w:szCs w:val="21"/>
          <w:highlight w:val="none"/>
        </w:rPr>
        <w:t>2</w:t>
      </w:r>
      <w:r>
        <w:rPr>
          <w:rFonts w:ascii="宋体" w:hAnsi="宋体" w:eastAsia="宋体" w:cs="宋体"/>
          <w:color w:val="auto"/>
          <w:sz w:val="21"/>
          <w:szCs w:val="21"/>
          <w:highlight w:val="none"/>
        </w:rPr>
        <w:t>.</w:t>
      </w:r>
      <w:bookmarkStart w:id="274" w:name="OLE_LINK14"/>
      <w:bookmarkStart w:id="275" w:name="OLE_LINK13"/>
      <w:r>
        <w:rPr>
          <w:rFonts w:hint="eastAsia" w:ascii="宋体" w:hAnsi="宋体" w:eastAsia="宋体" w:cs="宋体"/>
          <w:color w:val="auto"/>
          <w:sz w:val="21"/>
          <w:szCs w:val="21"/>
          <w:highlight w:val="none"/>
          <w:lang w:val="en-US" w:eastAsia="zh-CN"/>
        </w:rPr>
        <w:t xml:space="preserve">2  </w:t>
      </w:r>
      <w:r>
        <w:rPr>
          <w:rFonts w:hint="eastAsia" w:ascii="宋体" w:hAnsi="宋体" w:eastAsia="宋体" w:cs="宋体"/>
          <w:color w:val="auto"/>
          <w:sz w:val="21"/>
          <w:szCs w:val="21"/>
          <w:highlight w:val="none"/>
        </w:rPr>
        <w:t>检测部位和检测数量</w:t>
      </w:r>
      <w:bookmarkEnd w:id="269"/>
      <w:bookmarkEnd w:id="270"/>
      <w:bookmarkEnd w:id="271"/>
      <w:bookmarkEnd w:id="272"/>
      <w:bookmarkEnd w:id="273"/>
      <w:bookmarkEnd w:id="274"/>
      <w:bookmarkEnd w:id="275"/>
    </w:p>
    <w:p>
      <w:pPr>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 xml:space="preserve">12.2.1  </w:t>
      </w:r>
      <w:r>
        <w:rPr>
          <w:rFonts w:hint="eastAsia" w:ascii="宋体" w:hAnsi="宋体" w:eastAsia="宋体" w:cs="宋体"/>
          <w:color w:val="auto"/>
          <w:sz w:val="21"/>
          <w:szCs w:val="21"/>
          <w:highlight w:val="none"/>
          <w:lang w:val="en-US" w:eastAsia="zh-CN"/>
        </w:rPr>
        <w:t>建筑物</w:t>
      </w:r>
      <w:r>
        <w:rPr>
          <w:rFonts w:hint="eastAsia" w:ascii="宋体" w:hAnsi="宋体" w:eastAsia="宋体" w:cs="宋体"/>
          <w:color w:val="auto"/>
          <w:sz w:val="21"/>
          <w:szCs w:val="21"/>
          <w:highlight w:val="none"/>
        </w:rPr>
        <w:t>设计</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有照度要求的场所</w:t>
      </w:r>
      <w:r>
        <w:rPr>
          <w:rFonts w:hint="eastAsia" w:ascii="宋体" w:hAnsi="宋体" w:eastAsia="宋体" w:cs="宋体"/>
          <w:color w:val="auto"/>
          <w:sz w:val="21"/>
          <w:szCs w:val="21"/>
          <w:highlight w:val="none"/>
          <w:lang w:val="en-US" w:eastAsia="zh-CN"/>
        </w:rPr>
        <w:t>应进行照度检测</w:t>
      </w:r>
      <w:r>
        <w:rPr>
          <w:rFonts w:hint="eastAsia" w:ascii="宋体" w:hAnsi="宋体" w:eastAsia="宋体" w:cs="宋体"/>
          <w:color w:val="auto"/>
          <w:sz w:val="21"/>
          <w:szCs w:val="21"/>
          <w:highlight w:val="none"/>
        </w:rPr>
        <w:t>。</w:t>
      </w:r>
    </w:p>
    <w:p>
      <w:pPr>
        <w:rPr>
          <w:rFonts w:eastAsia="宋体"/>
          <w:color w:val="auto"/>
          <w:sz w:val="21"/>
          <w:szCs w:val="21"/>
          <w:highlight w:val="none"/>
        </w:rPr>
      </w:pPr>
      <w:bookmarkStart w:id="276" w:name="OLE_LINK32"/>
      <w:bookmarkStart w:id="277" w:name="OLE_LINK31"/>
      <w:r>
        <w:rPr>
          <w:rFonts w:hint="eastAsia" w:ascii="宋体" w:hAnsi="宋体" w:eastAsia="宋体" w:cs="宋体"/>
          <w:b/>
          <w:bCs/>
          <w:color w:val="auto"/>
          <w:sz w:val="21"/>
          <w:szCs w:val="21"/>
          <w:highlight w:val="none"/>
          <w:lang w:val="en-US" w:eastAsia="zh-CN"/>
        </w:rPr>
        <w:t>12.2.2</w:t>
      </w:r>
      <w:bookmarkEnd w:id="276"/>
      <w:bookmarkEnd w:id="277"/>
      <w:r>
        <w:rPr>
          <w:rFonts w:hint="eastAsia" w:ascii="宋体" w:hAnsi="宋体" w:eastAsia="宋体" w:cs="宋体"/>
          <w:b/>
          <w:bCs/>
          <w:color w:val="auto"/>
          <w:sz w:val="21"/>
          <w:szCs w:val="21"/>
          <w:highlight w:val="none"/>
          <w:lang w:val="en-US" w:eastAsia="zh-CN"/>
        </w:rPr>
        <w:t xml:space="preserve">  </w:t>
      </w:r>
      <w:bookmarkStart w:id="278" w:name="OLE_LINK34"/>
      <w:bookmarkStart w:id="279" w:name="OLE_LINK33"/>
      <w:r>
        <w:rPr>
          <w:rFonts w:hint="eastAsia" w:ascii="宋体" w:hAnsi="宋体" w:eastAsia="宋体" w:cs="宋体"/>
          <w:color w:val="auto"/>
          <w:sz w:val="21"/>
          <w:szCs w:val="21"/>
          <w:highlight w:val="none"/>
          <w:lang w:val="en-US" w:eastAsia="zh-CN"/>
        </w:rPr>
        <w:t>照明照度和功率密度检测应覆盖</w:t>
      </w:r>
      <w:r>
        <w:rPr>
          <w:rFonts w:hint="eastAsia" w:ascii="宋体" w:hAnsi="宋体" w:eastAsia="宋体" w:cs="宋体"/>
          <w:color w:val="auto"/>
          <w:sz w:val="21"/>
          <w:szCs w:val="21"/>
          <w:highlight w:val="none"/>
        </w:rPr>
        <w:t>各类典型功能区域，每类</w:t>
      </w:r>
      <w:r>
        <w:rPr>
          <w:rFonts w:hint="eastAsia" w:ascii="宋体" w:hAnsi="宋体" w:eastAsia="宋体" w:cs="宋体"/>
          <w:color w:val="auto"/>
          <w:sz w:val="21"/>
          <w:szCs w:val="21"/>
          <w:highlight w:val="none"/>
          <w:lang w:val="en-US" w:eastAsia="zh-CN"/>
        </w:rPr>
        <w:t>区域</w:t>
      </w:r>
      <w:r>
        <w:rPr>
          <w:rFonts w:hint="eastAsia" w:ascii="宋体" w:hAnsi="宋体" w:eastAsia="宋体" w:cs="宋体"/>
          <w:color w:val="auto"/>
          <w:sz w:val="21"/>
          <w:szCs w:val="21"/>
          <w:highlight w:val="none"/>
        </w:rPr>
        <w:t>检查不少</w:t>
      </w:r>
      <w:bookmarkEnd w:id="278"/>
      <w:bookmarkEnd w:id="279"/>
      <w:r>
        <w:rPr>
          <w:rFonts w:hint="eastAsia" w:ascii="宋体" w:hAnsi="宋体" w:eastAsia="宋体" w:cs="宋体"/>
          <w:color w:val="auto"/>
          <w:sz w:val="21"/>
          <w:szCs w:val="21"/>
          <w:highlight w:val="none"/>
        </w:rPr>
        <w:t>于 2 处。</w:t>
      </w:r>
    </w:p>
    <w:p>
      <w:pPr>
        <w:pStyle w:val="3"/>
        <w:jc w:val="center"/>
        <w:rPr>
          <w:rFonts w:ascii="宋体" w:hAnsi="宋体" w:eastAsia="宋体" w:cs="宋体"/>
          <w:color w:val="auto"/>
          <w:sz w:val="21"/>
          <w:szCs w:val="21"/>
          <w:highlight w:val="none"/>
        </w:rPr>
      </w:pPr>
      <w:bookmarkStart w:id="280" w:name="_Toc4100"/>
      <w:bookmarkStart w:id="281" w:name="_Toc20294"/>
      <w:bookmarkStart w:id="282" w:name="_Toc9837"/>
      <w:bookmarkStart w:id="283" w:name="_Toc8897"/>
      <w:bookmarkStart w:id="284" w:name="_Toc17148"/>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val="en-US" w:eastAsia="zh-CN"/>
        </w:rPr>
        <w:t xml:space="preserve">3  </w:t>
      </w:r>
      <w:r>
        <w:rPr>
          <w:rFonts w:hint="eastAsia" w:ascii="宋体" w:hAnsi="宋体" w:eastAsia="宋体" w:cs="宋体"/>
          <w:color w:val="auto"/>
          <w:sz w:val="21"/>
          <w:szCs w:val="21"/>
          <w:highlight w:val="none"/>
        </w:rPr>
        <w:t>检测方法</w:t>
      </w:r>
      <w:bookmarkEnd w:id="280"/>
      <w:bookmarkEnd w:id="281"/>
      <w:bookmarkEnd w:id="282"/>
      <w:bookmarkEnd w:id="283"/>
      <w:bookmarkEnd w:id="284"/>
    </w:p>
    <w:p>
      <w:pP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 xml:space="preserve">12.3.1  </w:t>
      </w:r>
      <w:r>
        <w:rPr>
          <w:rFonts w:hint="eastAsia" w:ascii="宋体" w:hAnsi="宋体" w:eastAsia="宋体" w:cs="宋体"/>
          <w:color w:val="auto"/>
          <w:sz w:val="21"/>
          <w:szCs w:val="21"/>
          <w:highlight w:val="none"/>
          <w:lang w:val="en-US" w:eastAsia="zh-CN"/>
        </w:rPr>
        <w:t>照度</w:t>
      </w:r>
      <w:r>
        <w:rPr>
          <w:rFonts w:hint="eastAsia" w:ascii="宋体" w:hAnsi="宋体" w:eastAsia="宋体" w:cs="宋体"/>
          <w:color w:val="auto"/>
          <w:sz w:val="21"/>
          <w:szCs w:val="21"/>
          <w:highlight w:val="none"/>
        </w:rPr>
        <w:t>检测仪器</w:t>
      </w:r>
      <w:r>
        <w:rPr>
          <w:rFonts w:hint="eastAsia" w:ascii="宋体" w:hAnsi="宋体" w:eastAsia="宋体" w:cs="宋体"/>
          <w:color w:val="auto"/>
          <w:sz w:val="21"/>
          <w:szCs w:val="21"/>
          <w:highlight w:val="none"/>
          <w:lang w:val="en-US" w:eastAsia="zh-CN"/>
        </w:rPr>
        <w:t>应符合下列规定</w:t>
      </w:r>
      <w:r>
        <w:rPr>
          <w:rFonts w:hint="eastAsia" w:ascii="宋体" w:hAnsi="宋体" w:eastAsia="宋体" w:cs="宋体"/>
          <w:color w:val="auto"/>
          <w:sz w:val="21"/>
          <w:szCs w:val="21"/>
          <w:highlight w:val="none"/>
          <w:lang w:eastAsia="zh-CN"/>
        </w:rPr>
        <w:t>：</w:t>
      </w:r>
    </w:p>
    <w:p>
      <w:pPr>
        <w:ind w:firstLine="422" w:firstLineChars="200"/>
        <w:rPr>
          <w:rFonts w:hint="eastAsia" w:ascii="宋体" w:hAnsi="宋体" w:eastAsia="宋体" w:cs="宋体"/>
          <w:color w:val="auto"/>
          <w:sz w:val="21"/>
          <w:szCs w:val="21"/>
          <w:highlight w:val="none"/>
          <w:lang w:eastAsia="zh-CN"/>
        </w:rPr>
      </w:pPr>
      <w:r>
        <w:rPr>
          <w:rFonts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color w:val="auto"/>
          <w:sz w:val="21"/>
          <w:szCs w:val="21"/>
          <w:highlight w:val="none"/>
        </w:rPr>
        <w:t>照度测量应采用不低于一级的光照度计。照度计的分辨力不应低于待测值的1/100；照度计的检定应符合</w:t>
      </w:r>
      <w:r>
        <w:rPr>
          <w:rFonts w:hint="eastAsia" w:ascii="宋体" w:hAnsi="宋体" w:eastAsia="宋体" w:cs="宋体"/>
          <w:color w:val="auto"/>
          <w:sz w:val="21"/>
          <w:szCs w:val="21"/>
          <w:highlight w:val="none"/>
          <w:lang w:eastAsia="zh-CN"/>
        </w:rPr>
        <w:t>《光照度计检定标准》</w:t>
      </w:r>
      <w:r>
        <w:rPr>
          <w:rFonts w:hint="eastAsia" w:ascii="宋体" w:hAnsi="宋体" w:eastAsia="宋体" w:cs="宋体"/>
          <w:color w:val="auto"/>
          <w:sz w:val="21"/>
          <w:szCs w:val="21"/>
          <w:highlight w:val="none"/>
        </w:rPr>
        <w:t>JJG</w:t>
      </w:r>
      <w:r>
        <w:rPr>
          <w:rFonts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t>245的规定</w:t>
      </w:r>
      <w:r>
        <w:rPr>
          <w:rFonts w:hint="eastAsia" w:ascii="宋体" w:hAnsi="宋体" w:eastAsia="宋体" w:cs="宋体"/>
          <w:color w:val="auto"/>
          <w:sz w:val="21"/>
          <w:szCs w:val="21"/>
          <w:highlight w:val="none"/>
          <w:lang w:eastAsia="zh-CN"/>
        </w:rPr>
        <w:t>；</w:t>
      </w:r>
    </w:p>
    <w:p>
      <w:pPr>
        <w:ind w:firstLine="422" w:firstLineChars="200"/>
        <w:rPr>
          <w:rFonts w:hint="eastAsia" w:ascii="宋体" w:hAnsi="宋体" w:eastAsia="宋体" w:cs="宋体"/>
          <w:color w:val="auto"/>
          <w:sz w:val="21"/>
          <w:szCs w:val="21"/>
          <w:highlight w:val="none"/>
          <w:lang w:eastAsia="zh-CN"/>
        </w:rPr>
      </w:pPr>
      <w:r>
        <w:rPr>
          <w:rFonts w:ascii="宋体" w:hAnsi="宋体" w:eastAsia="宋体" w:cs="宋体"/>
          <w:b/>
          <w:bCs/>
          <w:color w:val="auto"/>
          <w:sz w:val="21"/>
          <w:szCs w:val="21"/>
          <w:highlight w:val="none"/>
        </w:rPr>
        <w:t xml:space="preserve">2 </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color w:val="auto"/>
          <w:sz w:val="21"/>
          <w:szCs w:val="21"/>
          <w:highlight w:val="none"/>
        </w:rPr>
        <w:t>功率计测量采用的数字功率计准确度等级不应低于1.5级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应有谐波测量功能。功率计的检定应符合</w:t>
      </w:r>
      <w:r>
        <w:rPr>
          <w:rFonts w:hint="eastAsia" w:ascii="宋体" w:hAnsi="宋体" w:eastAsia="宋体" w:cs="宋体"/>
          <w:color w:val="auto"/>
          <w:sz w:val="21"/>
          <w:szCs w:val="21"/>
          <w:highlight w:val="none"/>
          <w:lang w:eastAsia="zh-CN"/>
        </w:rPr>
        <w:t>《电流表、电压表、功率表及电阻表》</w:t>
      </w:r>
      <w:r>
        <w:rPr>
          <w:rFonts w:hint="eastAsia" w:ascii="宋体" w:hAnsi="宋体" w:eastAsia="宋体" w:cs="宋体"/>
          <w:color w:val="auto"/>
          <w:sz w:val="21"/>
          <w:szCs w:val="21"/>
          <w:highlight w:val="none"/>
        </w:rPr>
        <w:t>JJG 124的规定</w:t>
      </w:r>
      <w:r>
        <w:rPr>
          <w:rFonts w:hint="eastAsia" w:ascii="宋体" w:hAnsi="宋体" w:eastAsia="宋体" w:cs="宋体"/>
          <w:color w:val="auto"/>
          <w:sz w:val="21"/>
          <w:szCs w:val="21"/>
          <w:highlight w:val="none"/>
          <w:lang w:eastAsia="zh-CN"/>
        </w:rPr>
        <w:t>；</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    </w:t>
      </w:r>
      <w:r>
        <w:rPr>
          <w:rFonts w:ascii="宋体" w:hAnsi="宋体" w:eastAsia="宋体" w:cs="宋体"/>
          <w:b/>
          <w:bCs/>
          <w:color w:val="auto"/>
          <w:sz w:val="21"/>
          <w:szCs w:val="21"/>
          <w:highlight w:val="none"/>
        </w:rPr>
        <w:t>3</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color w:val="auto"/>
          <w:sz w:val="21"/>
          <w:szCs w:val="21"/>
          <w:highlight w:val="none"/>
        </w:rPr>
        <w:t>电压测量采用的电压仪表准确度等级不应低于1.5级。电压仪表的检定应符合</w:t>
      </w:r>
      <w:r>
        <w:rPr>
          <w:rFonts w:hint="eastAsia" w:ascii="宋体" w:hAnsi="宋体" w:eastAsia="宋体" w:cs="宋体"/>
          <w:color w:val="auto"/>
          <w:sz w:val="21"/>
          <w:szCs w:val="21"/>
          <w:highlight w:val="none"/>
          <w:lang w:eastAsia="zh-CN"/>
        </w:rPr>
        <w:t>《电流表、电压表、功率表及电阻表》</w:t>
      </w:r>
      <w:r>
        <w:rPr>
          <w:rFonts w:hint="eastAsia" w:ascii="宋体" w:hAnsi="宋体" w:eastAsia="宋体" w:cs="宋体"/>
          <w:color w:val="auto"/>
          <w:sz w:val="21"/>
          <w:szCs w:val="21"/>
          <w:highlight w:val="none"/>
        </w:rPr>
        <w:t>JJG 124的规定</w:t>
      </w:r>
      <w:r>
        <w:rPr>
          <w:rFonts w:hint="eastAsia" w:ascii="宋体" w:hAnsi="宋体" w:eastAsia="宋体" w:cs="宋体"/>
          <w:color w:val="auto"/>
          <w:sz w:val="21"/>
          <w:szCs w:val="21"/>
          <w:highlight w:val="none"/>
          <w:lang w:eastAsia="zh-CN"/>
        </w:rPr>
        <w:t>；</w:t>
      </w:r>
    </w:p>
    <w:p>
      <w:pPr>
        <w:rPr>
          <w:rFonts w:hint="eastAsia" w:ascii="宋体" w:hAnsi="宋体" w:eastAsia="宋体" w:cs="宋体"/>
          <w:color w:val="auto"/>
          <w:sz w:val="21"/>
          <w:szCs w:val="21"/>
          <w:highlight w:val="none"/>
          <w:lang w:eastAsia="zh-CN"/>
        </w:rPr>
      </w:pPr>
      <w:bookmarkStart w:id="285" w:name="OLE_LINK5"/>
      <w:r>
        <w:rPr>
          <w:rFonts w:hint="eastAsia" w:ascii="宋体" w:hAnsi="宋体" w:eastAsia="宋体" w:cs="宋体"/>
          <w:color w:val="auto"/>
          <w:sz w:val="21"/>
          <w:szCs w:val="21"/>
          <w:highlight w:val="none"/>
          <w:lang w:val="en-US" w:eastAsia="zh-CN"/>
        </w:rPr>
        <w:t xml:space="preserve">    </w:t>
      </w:r>
      <w:r>
        <w:rPr>
          <w:rFonts w:ascii="宋体" w:hAnsi="宋体" w:eastAsia="宋体" w:cs="宋体"/>
          <w:b/>
          <w:bCs/>
          <w:color w:val="auto"/>
          <w:sz w:val="21"/>
          <w:szCs w:val="21"/>
          <w:highlight w:val="none"/>
        </w:rPr>
        <w:t>4</w:t>
      </w:r>
      <w:bookmarkEnd w:id="285"/>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color w:val="auto"/>
          <w:sz w:val="21"/>
          <w:szCs w:val="21"/>
          <w:highlight w:val="none"/>
        </w:rPr>
        <w:t>电流测量采用的电流仪表准确度等级应不低于1.5级。电流仪表的检定应符合</w:t>
      </w:r>
      <w:r>
        <w:rPr>
          <w:rFonts w:hint="eastAsia" w:ascii="宋体" w:hAnsi="宋体" w:eastAsia="宋体" w:cs="宋体"/>
          <w:color w:val="auto"/>
          <w:sz w:val="21"/>
          <w:szCs w:val="21"/>
          <w:highlight w:val="none"/>
          <w:lang w:eastAsia="zh-CN"/>
        </w:rPr>
        <w:t>《电流表、电压表、功率表及电阻表》</w:t>
      </w:r>
      <w:r>
        <w:rPr>
          <w:rFonts w:hint="eastAsia" w:ascii="宋体" w:hAnsi="宋体" w:eastAsia="宋体" w:cs="宋体"/>
          <w:color w:val="auto"/>
          <w:sz w:val="21"/>
          <w:szCs w:val="21"/>
          <w:highlight w:val="none"/>
        </w:rPr>
        <w:t>JJG 124的规定</w:t>
      </w:r>
      <w:r>
        <w:rPr>
          <w:rFonts w:hint="eastAsia" w:ascii="宋体" w:hAnsi="宋体" w:eastAsia="宋体" w:cs="宋体"/>
          <w:color w:val="auto"/>
          <w:sz w:val="21"/>
          <w:szCs w:val="21"/>
          <w:highlight w:val="none"/>
          <w:lang w:eastAsia="zh-CN"/>
        </w:rPr>
        <w:t>；</w:t>
      </w:r>
    </w:p>
    <w:p>
      <w:pP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ascii="宋体" w:hAnsi="宋体" w:eastAsia="宋体" w:cs="宋体"/>
          <w:b/>
          <w:bCs/>
          <w:color w:val="auto"/>
          <w:sz w:val="21"/>
          <w:szCs w:val="21"/>
          <w:highlight w:val="none"/>
        </w:rPr>
        <w:t>5</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color w:val="auto"/>
          <w:sz w:val="21"/>
          <w:szCs w:val="21"/>
          <w:highlight w:val="none"/>
        </w:rPr>
        <w:t>钢卷尺或激光测距仪等测距仪器的示值误差绝对值不应超过1 mm。</w:t>
      </w:r>
    </w:p>
    <w:p>
      <w:pPr>
        <w:pStyle w:val="6"/>
        <w:bidi w:val="0"/>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12.3.2  </w:t>
      </w:r>
      <w:r>
        <w:rPr>
          <w:rFonts w:hint="eastAsia" w:ascii="宋体" w:hAnsi="宋体" w:eastAsia="宋体" w:cs="宋体"/>
          <w:color w:val="auto"/>
          <w:sz w:val="21"/>
          <w:szCs w:val="21"/>
          <w:highlight w:val="none"/>
        </w:rPr>
        <w:t>公共建筑、居住建筑及工业建筑照明照度检测</w:t>
      </w:r>
      <w:r>
        <w:rPr>
          <w:rFonts w:hint="eastAsia" w:ascii="宋体" w:hAnsi="宋体" w:eastAsia="宋体" w:cs="宋体"/>
          <w:color w:val="auto"/>
          <w:sz w:val="21"/>
          <w:szCs w:val="21"/>
          <w:highlight w:val="none"/>
          <w:lang w:val="en-US" w:eastAsia="zh-CN"/>
        </w:rPr>
        <w:t>应符合下列规定：</w:t>
      </w:r>
    </w:p>
    <w:p>
      <w:pPr>
        <w:ind w:firstLine="422" w:firstLineChars="200"/>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color w:val="auto"/>
          <w:sz w:val="21"/>
          <w:szCs w:val="21"/>
          <w:highlight w:val="none"/>
        </w:rPr>
        <w:t>公共建筑、居住建筑及工业建筑照明照度应按中心布点法均匀布点进行检测，在照度或光谱辐照度测量区域宜将测量区域划分成矩形网格,网格宜为正方形,测量点应为矩形网格中心点,见图12.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。其测点间距,除有另外规定,可根据测量区域的长度和宽度按表12.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确定</w:t>
      </w:r>
      <w:r>
        <w:rPr>
          <w:rFonts w:hint="eastAsia" w:ascii="宋体" w:hAnsi="宋体" w:eastAsia="宋体" w:cs="宋体"/>
          <w:color w:val="auto"/>
          <w:sz w:val="21"/>
          <w:szCs w:val="21"/>
          <w:highlight w:val="none"/>
          <w:lang w:eastAsia="zh-CN"/>
        </w:rPr>
        <w:t>；</w:t>
      </w:r>
    </w:p>
    <w:p>
      <w:pPr>
        <w:ind w:left="240"/>
        <w:jc w:val="center"/>
        <w:rPr>
          <w:color w:val="auto"/>
          <w:sz w:val="21"/>
          <w:szCs w:val="21"/>
          <w:highlight w:val="none"/>
        </w:rPr>
      </w:pPr>
      <w:r>
        <w:rPr>
          <w:color w:val="auto"/>
          <w:sz w:val="21"/>
          <w:szCs w:val="21"/>
          <w:highlight w:val="none"/>
        </w:rPr>
        <w:drawing>
          <wp:inline distT="0" distB="0" distL="0" distR="0">
            <wp:extent cx="4704715" cy="2536190"/>
            <wp:effectExtent l="0" t="0" r="6985" b="3810"/>
            <wp:docPr id="17" name="图片 17" descr="C:\Users\Administrator\Documents\WeChat Files\wxid_1446014460311\FileStorage\Temp\e2c7fb8df0382106c16d1d8e65e22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C:\Users\Administrator\Documents\WeChat Files\wxid_1446014460311\FileStorage\Temp\e2c7fb8df0382106c16d1d8e65e224f.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704715" cy="2536190"/>
                    </a:xfrm>
                    <a:prstGeom prst="rect">
                      <a:avLst/>
                    </a:prstGeom>
                    <a:noFill/>
                    <a:ln>
                      <a:noFill/>
                    </a:ln>
                  </pic:spPr>
                </pic:pic>
              </a:graphicData>
            </a:graphic>
          </wp:inline>
        </w:drawing>
      </w:r>
    </w:p>
    <w:p>
      <w:pPr>
        <w:jc w:val="center"/>
        <w:rPr>
          <w:rFonts w:hint="default" w:eastAsia="宋体"/>
          <w:color w:val="auto"/>
          <w:sz w:val="21"/>
          <w:szCs w:val="21"/>
          <w:highlight w:val="none"/>
          <w:lang w:val="en-US" w:eastAsia="zh-CN"/>
        </w:rPr>
      </w:pPr>
      <w:r>
        <w:rPr>
          <w:rFonts w:hint="eastAsia"/>
          <w:color w:val="auto"/>
          <w:sz w:val="21"/>
          <w:szCs w:val="21"/>
          <w:highlight w:val="none"/>
        </w:rPr>
        <w:t>图12.</w:t>
      </w:r>
      <w:r>
        <w:rPr>
          <w:rFonts w:hint="eastAsia"/>
          <w:color w:val="auto"/>
          <w:sz w:val="21"/>
          <w:szCs w:val="21"/>
          <w:highlight w:val="none"/>
          <w:lang w:val="en-US" w:eastAsia="zh-CN"/>
        </w:rPr>
        <w:t>3</w:t>
      </w:r>
      <w:r>
        <w:rPr>
          <w:rFonts w:hint="eastAsia"/>
          <w:color w:val="auto"/>
          <w:sz w:val="21"/>
          <w:szCs w:val="21"/>
          <w:highlight w:val="none"/>
        </w:rPr>
        <w:t>.</w:t>
      </w:r>
      <w:r>
        <w:rPr>
          <w:rFonts w:hint="eastAsia"/>
          <w:color w:val="auto"/>
          <w:sz w:val="21"/>
          <w:szCs w:val="21"/>
          <w:highlight w:val="none"/>
          <w:lang w:val="en-US" w:eastAsia="zh-CN"/>
        </w:rPr>
        <w:t>2</w:t>
      </w:r>
      <w:r>
        <w:rPr>
          <w:rFonts w:hint="eastAsia" w:ascii="宋体" w:hAnsi="宋体" w:eastAsia="宋体" w:cs="宋体"/>
          <w:color w:val="auto"/>
          <w:sz w:val="21"/>
          <w:szCs w:val="21"/>
          <w:highlight w:val="none"/>
        </w:rPr>
        <w:t>照明照度中心布点法</w:t>
      </w:r>
      <w:r>
        <w:rPr>
          <w:rFonts w:hint="eastAsia" w:ascii="宋体" w:hAnsi="宋体" w:eastAsia="宋体" w:cs="宋体"/>
          <w:color w:val="auto"/>
          <w:sz w:val="21"/>
          <w:szCs w:val="21"/>
          <w:highlight w:val="none"/>
          <w:lang w:val="en-US" w:eastAsia="zh-CN"/>
        </w:rPr>
        <w:t>测量点位置示意图</w:t>
      </w:r>
    </w:p>
    <w:p>
      <w:pPr>
        <w:ind w:left="240"/>
        <w:rPr>
          <w:color w:val="auto"/>
          <w:sz w:val="21"/>
          <w:szCs w:val="21"/>
          <w:highlight w:val="none"/>
        </w:rPr>
      </w:pPr>
      <w:r>
        <w:rPr>
          <w:rFonts w:hint="eastAsia"/>
          <w:color w:val="auto"/>
          <w:sz w:val="21"/>
          <w:szCs w:val="21"/>
          <w:highlight w:val="none"/>
          <w:lang w:val="en-US" w:eastAsia="zh-CN"/>
        </w:rPr>
        <w:t xml:space="preserve">                </w:t>
      </w:r>
      <w:r>
        <w:rPr>
          <w:rFonts w:hint="eastAsia"/>
          <w:color w:val="auto"/>
          <w:sz w:val="21"/>
          <w:szCs w:val="21"/>
          <w:highlight w:val="none"/>
        </w:rPr>
        <w:t>a</w:t>
      </w:r>
      <w:r>
        <w:rPr>
          <w:rFonts w:hint="eastAsia"/>
          <w:color w:val="auto"/>
          <w:sz w:val="21"/>
          <w:szCs w:val="21"/>
          <w:highlight w:val="none"/>
          <w:lang w:eastAsia="zh-CN"/>
        </w:rPr>
        <w:t>—</w:t>
      </w:r>
      <w:r>
        <w:rPr>
          <w:color w:val="auto"/>
          <w:sz w:val="21"/>
          <w:szCs w:val="21"/>
          <w:highlight w:val="none"/>
        </w:rPr>
        <w:t>场地长度</w:t>
      </w:r>
      <w:r>
        <w:rPr>
          <w:rFonts w:hint="eastAsia"/>
          <w:color w:val="auto"/>
          <w:sz w:val="21"/>
          <w:szCs w:val="21"/>
          <w:highlight w:val="none"/>
        </w:rPr>
        <w:t>；b</w:t>
      </w:r>
      <w:r>
        <w:rPr>
          <w:rFonts w:hint="eastAsia"/>
          <w:color w:val="auto"/>
          <w:sz w:val="21"/>
          <w:szCs w:val="21"/>
          <w:highlight w:val="none"/>
          <w:lang w:eastAsia="zh-CN"/>
        </w:rPr>
        <w:t>—</w:t>
      </w:r>
      <w:r>
        <w:rPr>
          <w:color w:val="auto"/>
          <w:sz w:val="21"/>
          <w:szCs w:val="21"/>
          <w:highlight w:val="none"/>
        </w:rPr>
        <w:t>场地宽度;    m</w:t>
      </w:r>
      <w:r>
        <w:rPr>
          <w:rFonts w:hint="eastAsia"/>
          <w:color w:val="auto"/>
          <w:sz w:val="21"/>
          <w:szCs w:val="21"/>
          <w:highlight w:val="none"/>
          <w:lang w:eastAsia="zh-CN"/>
        </w:rPr>
        <w:t>—</w:t>
      </w:r>
      <w:r>
        <w:rPr>
          <w:color w:val="auto"/>
          <w:sz w:val="21"/>
          <w:szCs w:val="21"/>
          <w:highlight w:val="none"/>
        </w:rPr>
        <w:t xml:space="preserve">长轴方向网格数量;   </w:t>
      </w:r>
      <w:r>
        <w:rPr>
          <w:rFonts w:hint="eastAsia"/>
          <w:color w:val="auto"/>
          <w:sz w:val="21"/>
          <w:szCs w:val="21"/>
          <w:highlight w:val="none"/>
        </w:rPr>
        <w:t>n</w:t>
      </w:r>
      <w:r>
        <w:rPr>
          <w:rFonts w:hint="eastAsia"/>
          <w:color w:val="auto"/>
          <w:sz w:val="21"/>
          <w:szCs w:val="21"/>
          <w:highlight w:val="none"/>
          <w:lang w:eastAsia="zh-CN"/>
        </w:rPr>
        <w:t>—</w:t>
      </w:r>
      <w:r>
        <w:rPr>
          <w:color w:val="auto"/>
          <w:sz w:val="21"/>
          <w:szCs w:val="21"/>
          <w:highlight w:val="none"/>
        </w:rPr>
        <w:t>短轴方向网格数量。</w:t>
      </w:r>
    </w:p>
    <w:p>
      <w:pPr>
        <w:pStyle w:val="38"/>
        <w:rPr>
          <w:rFonts w:cs="Times New Roman"/>
          <w:color w:val="auto"/>
          <w:highlight w:val="none"/>
        </w:rPr>
      </w:pPr>
      <w:r>
        <w:rPr>
          <w:rFonts w:hint="eastAsia" w:cs="Times New Roman"/>
          <w:color w:val="auto"/>
          <w:highlight w:val="none"/>
        </w:rPr>
        <w:t>表12.</w:t>
      </w:r>
      <w:r>
        <w:rPr>
          <w:rFonts w:hint="eastAsia" w:cs="Times New Roman"/>
          <w:color w:val="auto"/>
          <w:highlight w:val="none"/>
          <w:lang w:val="en-US" w:eastAsia="zh-CN"/>
        </w:rPr>
        <w:t>3</w:t>
      </w:r>
      <w:r>
        <w:rPr>
          <w:rFonts w:hint="eastAsia" w:cs="Times New Roman"/>
          <w:color w:val="auto"/>
          <w:highlight w:val="none"/>
        </w:rPr>
        <w:t>.</w:t>
      </w:r>
      <w:r>
        <w:rPr>
          <w:rFonts w:hint="eastAsia" w:cs="Times New Roman"/>
          <w:color w:val="auto"/>
          <w:highlight w:val="none"/>
          <w:lang w:val="en-US" w:eastAsia="zh-CN"/>
        </w:rPr>
        <w:t xml:space="preserve">2  </w:t>
      </w:r>
      <w:r>
        <w:rPr>
          <w:rFonts w:hint="eastAsia" w:cs="Times New Roman"/>
          <w:color w:val="auto"/>
          <w:highlight w:val="none"/>
        </w:rPr>
        <w:t>测量区域最大测点间距表</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261" w:type="dxa"/>
            <w:vAlign w:val="center"/>
          </w:tcPr>
          <w:p>
            <w:pPr>
              <w:jc w:val="center"/>
              <w:rPr>
                <w:color w:val="auto"/>
                <w:sz w:val="18"/>
                <w:szCs w:val="18"/>
                <w:highlight w:val="none"/>
              </w:rPr>
            </w:pPr>
            <w:r>
              <w:rPr>
                <w:rFonts w:hint="eastAsia"/>
                <w:color w:val="auto"/>
                <w:sz w:val="18"/>
                <w:szCs w:val="18"/>
                <w:highlight w:val="none"/>
              </w:rPr>
              <w:t>测量区域的场地尺寸</w:t>
            </w:r>
          </w:p>
        </w:tc>
        <w:tc>
          <w:tcPr>
            <w:tcW w:w="4261" w:type="dxa"/>
            <w:vAlign w:val="center"/>
          </w:tcPr>
          <w:p>
            <w:pPr>
              <w:jc w:val="center"/>
              <w:rPr>
                <w:color w:val="auto"/>
                <w:sz w:val="18"/>
                <w:szCs w:val="18"/>
                <w:highlight w:val="none"/>
              </w:rPr>
            </w:pPr>
            <w:r>
              <w:rPr>
                <w:rFonts w:hint="eastAsia"/>
                <w:color w:val="auto"/>
                <w:sz w:val="18"/>
                <w:szCs w:val="18"/>
                <w:highlight w:val="none"/>
              </w:rPr>
              <w:t>最大测点间距a/m或b/n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1" w:type="dxa"/>
            <w:vAlign w:val="center"/>
          </w:tcPr>
          <w:p>
            <w:pPr>
              <w:jc w:val="center"/>
              <w:rPr>
                <w:color w:val="auto"/>
                <w:sz w:val="18"/>
                <w:szCs w:val="18"/>
                <w:highlight w:val="none"/>
              </w:rPr>
            </w:pPr>
            <w:r>
              <w:rPr>
                <w:rFonts w:hint="eastAsia"/>
                <w:color w:val="auto"/>
                <w:sz w:val="18"/>
                <w:szCs w:val="18"/>
                <w:highlight w:val="none"/>
              </w:rPr>
              <w:t>场地长度a或宽度b不大于2.5m</w:t>
            </w:r>
          </w:p>
        </w:tc>
        <w:tc>
          <w:tcPr>
            <w:tcW w:w="4261" w:type="dxa"/>
            <w:vAlign w:val="center"/>
          </w:tcPr>
          <w:p>
            <w:pPr>
              <w:jc w:val="center"/>
              <w:rPr>
                <w:color w:val="auto"/>
                <w:sz w:val="18"/>
                <w:szCs w:val="18"/>
                <w:highlight w:val="none"/>
              </w:rPr>
            </w:pPr>
            <w:r>
              <w:rPr>
                <w:rFonts w:hint="eastAsia"/>
                <w:color w:val="auto"/>
                <w:sz w:val="18"/>
                <w:szCs w:val="18"/>
                <w:highlight w:val="none"/>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1" w:type="dxa"/>
            <w:vAlign w:val="center"/>
          </w:tcPr>
          <w:p>
            <w:pPr>
              <w:jc w:val="center"/>
              <w:rPr>
                <w:color w:val="auto"/>
                <w:sz w:val="18"/>
                <w:szCs w:val="18"/>
                <w:highlight w:val="none"/>
              </w:rPr>
            </w:pPr>
            <w:r>
              <w:rPr>
                <w:rFonts w:hint="eastAsia"/>
                <w:color w:val="auto"/>
                <w:sz w:val="18"/>
                <w:szCs w:val="18"/>
                <w:highlight w:val="none"/>
              </w:rPr>
              <w:t>场地长度a或宽度b大于2.5m,且不大于6m</w:t>
            </w:r>
          </w:p>
        </w:tc>
        <w:tc>
          <w:tcPr>
            <w:tcW w:w="4261" w:type="dxa"/>
            <w:vAlign w:val="center"/>
          </w:tcPr>
          <w:p>
            <w:pPr>
              <w:jc w:val="center"/>
              <w:rPr>
                <w:color w:val="auto"/>
                <w:sz w:val="18"/>
                <w:szCs w:val="18"/>
                <w:highlight w:val="none"/>
              </w:rPr>
            </w:pPr>
            <w:r>
              <w:rPr>
                <w:rFonts w:hint="eastAsia"/>
                <w:color w:val="auto"/>
                <w:sz w:val="18"/>
                <w:szCs w:val="18"/>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1" w:type="dxa"/>
            <w:vAlign w:val="center"/>
          </w:tcPr>
          <w:p>
            <w:pPr>
              <w:jc w:val="center"/>
              <w:rPr>
                <w:color w:val="auto"/>
                <w:sz w:val="18"/>
                <w:szCs w:val="18"/>
                <w:highlight w:val="none"/>
              </w:rPr>
            </w:pPr>
            <w:r>
              <w:rPr>
                <w:rFonts w:hint="eastAsia"/>
                <w:color w:val="auto"/>
                <w:sz w:val="18"/>
                <w:szCs w:val="18"/>
                <w:highlight w:val="none"/>
              </w:rPr>
              <w:t>场地长度a或宽度b大于6m</w:t>
            </w:r>
            <w:r>
              <w:rPr>
                <w:rFonts w:hint="eastAsia"/>
                <w:color w:val="auto"/>
                <w:sz w:val="18"/>
                <w:szCs w:val="18"/>
                <w:highlight w:val="none"/>
                <w:lang w:eastAsia="zh-CN"/>
              </w:rPr>
              <w:t>且</w:t>
            </w:r>
            <w:r>
              <w:rPr>
                <w:rFonts w:hint="eastAsia"/>
                <w:color w:val="auto"/>
                <w:sz w:val="18"/>
                <w:szCs w:val="18"/>
                <w:highlight w:val="none"/>
              </w:rPr>
              <w:t>不大于15m</w:t>
            </w:r>
          </w:p>
        </w:tc>
        <w:tc>
          <w:tcPr>
            <w:tcW w:w="4261" w:type="dxa"/>
            <w:vAlign w:val="center"/>
          </w:tcPr>
          <w:p>
            <w:pPr>
              <w:jc w:val="center"/>
              <w:rPr>
                <w:color w:val="auto"/>
                <w:sz w:val="18"/>
                <w:szCs w:val="18"/>
                <w:highlight w:val="none"/>
              </w:rPr>
            </w:pPr>
            <w:r>
              <w:rPr>
                <w:rFonts w:hint="eastAsia"/>
                <w:color w:val="auto"/>
                <w:sz w:val="18"/>
                <w:szCs w:val="18"/>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1" w:type="dxa"/>
            <w:vAlign w:val="center"/>
          </w:tcPr>
          <w:p>
            <w:pPr>
              <w:jc w:val="center"/>
              <w:rPr>
                <w:color w:val="auto"/>
                <w:sz w:val="18"/>
                <w:szCs w:val="18"/>
                <w:highlight w:val="none"/>
              </w:rPr>
            </w:pPr>
            <w:r>
              <w:rPr>
                <w:rFonts w:hint="eastAsia"/>
                <w:color w:val="auto"/>
                <w:sz w:val="18"/>
                <w:szCs w:val="18"/>
                <w:highlight w:val="none"/>
              </w:rPr>
              <w:t>场地长度a或宽度b大于15m</w:t>
            </w:r>
            <w:r>
              <w:rPr>
                <w:rFonts w:hint="eastAsia"/>
                <w:color w:val="auto"/>
                <w:sz w:val="18"/>
                <w:szCs w:val="18"/>
                <w:highlight w:val="none"/>
                <w:lang w:eastAsia="zh-CN"/>
              </w:rPr>
              <w:t>且</w:t>
            </w:r>
            <w:r>
              <w:rPr>
                <w:rFonts w:hint="eastAsia"/>
                <w:color w:val="auto"/>
                <w:sz w:val="18"/>
                <w:szCs w:val="18"/>
                <w:highlight w:val="none"/>
              </w:rPr>
              <w:t>不大于50m</w:t>
            </w:r>
          </w:p>
        </w:tc>
        <w:tc>
          <w:tcPr>
            <w:tcW w:w="4261" w:type="dxa"/>
            <w:vAlign w:val="center"/>
          </w:tcPr>
          <w:p>
            <w:pPr>
              <w:jc w:val="center"/>
              <w:rPr>
                <w:color w:val="auto"/>
                <w:sz w:val="18"/>
                <w:szCs w:val="18"/>
                <w:highlight w:val="none"/>
              </w:rPr>
            </w:pPr>
            <w:r>
              <w:rPr>
                <w:rFonts w:hint="eastAsia"/>
                <w:color w:val="auto"/>
                <w:sz w:val="18"/>
                <w:szCs w:val="18"/>
                <w:highlight w:val="none"/>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1" w:type="dxa"/>
            <w:vAlign w:val="center"/>
          </w:tcPr>
          <w:p>
            <w:pPr>
              <w:jc w:val="center"/>
              <w:rPr>
                <w:color w:val="auto"/>
                <w:sz w:val="18"/>
                <w:szCs w:val="18"/>
                <w:highlight w:val="none"/>
              </w:rPr>
            </w:pPr>
            <w:r>
              <w:rPr>
                <w:rFonts w:hint="eastAsia"/>
                <w:color w:val="auto"/>
                <w:sz w:val="18"/>
                <w:szCs w:val="18"/>
                <w:highlight w:val="none"/>
              </w:rPr>
              <w:t>场地长度a或宽度b大于50m</w:t>
            </w:r>
          </w:p>
        </w:tc>
        <w:tc>
          <w:tcPr>
            <w:tcW w:w="4261" w:type="dxa"/>
            <w:vAlign w:val="center"/>
          </w:tcPr>
          <w:p>
            <w:pPr>
              <w:jc w:val="center"/>
              <w:rPr>
                <w:color w:val="auto"/>
                <w:sz w:val="18"/>
                <w:szCs w:val="18"/>
                <w:highlight w:val="none"/>
              </w:rPr>
            </w:pPr>
            <w:r>
              <w:rPr>
                <w:rFonts w:hint="eastAsia"/>
                <w:color w:val="auto"/>
                <w:sz w:val="18"/>
                <w:szCs w:val="18"/>
                <w:highlight w:val="none"/>
              </w:rPr>
              <w:t>10.0</w:t>
            </w:r>
          </w:p>
        </w:tc>
      </w:tr>
    </w:tbl>
    <w:p>
      <w:pPr>
        <w:ind w:firstLine="540" w:firstLineChars="300"/>
        <w:rPr>
          <w:rFonts w:ascii="宋体" w:hAnsi="宋体" w:eastAsia="宋体" w:cs="宋体"/>
          <w:color w:val="auto"/>
          <w:sz w:val="18"/>
          <w:szCs w:val="18"/>
          <w:highlight w:val="none"/>
        </w:rPr>
      </w:pPr>
      <w:r>
        <w:rPr>
          <w:rFonts w:hint="eastAsia"/>
          <w:color w:val="auto"/>
          <w:sz w:val="18"/>
          <w:szCs w:val="18"/>
          <w:highlight w:val="none"/>
        </w:rPr>
        <w:t>注:m为场地长度方向的测点数量,n为场地宽度方向的测点数量。</w:t>
      </w:r>
    </w:p>
    <w:p>
      <w:pPr>
        <w:ind w:firstLine="422" w:firstLineChars="200"/>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color w:val="auto"/>
          <w:sz w:val="21"/>
          <w:szCs w:val="21"/>
          <w:highlight w:val="none"/>
        </w:rPr>
        <w:t>当测试项目有多个评价区域时,不同评价区域应分别设置测量网格</w:t>
      </w:r>
      <w:r>
        <w:rPr>
          <w:rFonts w:hint="eastAsia" w:ascii="宋体" w:hAnsi="宋体" w:eastAsia="宋体" w:cs="宋体"/>
          <w:color w:val="auto"/>
          <w:sz w:val="21"/>
          <w:szCs w:val="21"/>
          <w:highlight w:val="none"/>
          <w:lang w:eastAsia="zh-CN"/>
        </w:rPr>
        <w:t>；</w:t>
      </w:r>
    </w:p>
    <w:p>
      <w:pPr>
        <w:ind w:firstLine="422" w:firstLineChars="200"/>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rPr>
        <w:t>3</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color w:val="auto"/>
          <w:sz w:val="21"/>
          <w:szCs w:val="21"/>
          <w:highlight w:val="none"/>
        </w:rPr>
        <w:t>测量时在场人员应远离接收器,并应保证其上无任何阴影</w:t>
      </w:r>
      <w:r>
        <w:rPr>
          <w:rFonts w:hint="eastAsia" w:ascii="宋体" w:hAnsi="宋体" w:eastAsia="宋体" w:cs="宋体"/>
          <w:color w:val="auto"/>
          <w:sz w:val="21"/>
          <w:szCs w:val="21"/>
          <w:highlight w:val="none"/>
          <w:lang w:eastAsia="zh-CN"/>
        </w:rPr>
        <w:t>；</w:t>
      </w:r>
    </w:p>
    <w:p>
      <w:pPr>
        <w:ind w:firstLine="422" w:firstLineChars="200"/>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rPr>
        <w:t>4</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color w:val="auto"/>
          <w:sz w:val="21"/>
          <w:szCs w:val="21"/>
          <w:highlight w:val="none"/>
        </w:rPr>
        <w:t>当测量规定表面照度时,接收器应放置在规定表面上</w:t>
      </w:r>
      <w:r>
        <w:rPr>
          <w:rFonts w:hint="eastAsia" w:ascii="宋体" w:hAnsi="宋体" w:eastAsia="宋体" w:cs="宋体"/>
          <w:color w:val="auto"/>
          <w:sz w:val="21"/>
          <w:szCs w:val="21"/>
          <w:highlight w:val="none"/>
          <w:lang w:eastAsia="zh-CN"/>
        </w:rPr>
        <w:t>；</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bCs/>
          <w:color w:val="auto"/>
          <w:sz w:val="21"/>
          <w:szCs w:val="21"/>
          <w:highlight w:val="none"/>
        </w:rPr>
        <w:t>5</w:t>
      </w:r>
      <w:bookmarkStart w:id="286" w:name="OLE_LINK1"/>
      <w:bookmarkStart w:id="287" w:name="OLE_LINK3"/>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color w:val="auto"/>
          <w:sz w:val="21"/>
          <w:szCs w:val="21"/>
          <w:highlight w:val="none"/>
        </w:rPr>
        <w:t>当测量垂直照度或光谱辐照度时,应根据设计要求设置接收器高度,接受器的法线方向</w:t>
      </w:r>
      <w:bookmarkEnd w:id="286"/>
      <w:bookmarkEnd w:id="287"/>
      <w:r>
        <w:rPr>
          <w:rFonts w:hint="eastAsia" w:ascii="宋体" w:hAnsi="宋体" w:eastAsia="宋体" w:cs="宋体"/>
          <w:color w:val="auto"/>
          <w:sz w:val="21"/>
          <w:szCs w:val="21"/>
          <w:highlight w:val="none"/>
        </w:rPr>
        <w:t>应与所测试方向一致</w:t>
      </w:r>
      <w:r>
        <w:rPr>
          <w:rFonts w:hint="eastAsia" w:ascii="宋体" w:hAnsi="宋体" w:eastAsia="宋体" w:cs="宋体"/>
          <w:color w:val="auto"/>
          <w:sz w:val="21"/>
          <w:szCs w:val="21"/>
          <w:highlight w:val="none"/>
          <w:lang w:eastAsia="zh-CN"/>
        </w:rPr>
        <w:t>；</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bCs/>
          <w:color w:val="auto"/>
          <w:sz w:val="21"/>
          <w:szCs w:val="21"/>
          <w:highlight w:val="none"/>
        </w:rPr>
        <w:t>6</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color w:val="auto"/>
          <w:sz w:val="21"/>
          <w:szCs w:val="21"/>
          <w:highlight w:val="none"/>
        </w:rPr>
        <w:t>半柱面照度测量及柱面照度测量应符合</w:t>
      </w:r>
      <w:r>
        <w:rPr>
          <w:rFonts w:hint="eastAsia" w:ascii="宋体" w:hAnsi="宋体" w:eastAsia="宋体" w:cs="宋体"/>
          <w:color w:val="auto"/>
          <w:sz w:val="21"/>
          <w:szCs w:val="21"/>
          <w:highlight w:val="none"/>
          <w:lang w:eastAsia="zh-CN"/>
        </w:rPr>
        <w:t>《照明测量方法》</w:t>
      </w:r>
      <w:r>
        <w:rPr>
          <w:rFonts w:hint="eastAsia" w:ascii="宋体" w:hAnsi="宋体" w:eastAsia="宋体" w:cs="宋体"/>
          <w:color w:val="auto"/>
          <w:sz w:val="21"/>
          <w:szCs w:val="21"/>
          <w:highlight w:val="none"/>
        </w:rPr>
        <w:t>GB/T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5700的有关规定</w:t>
      </w:r>
      <w:r>
        <w:rPr>
          <w:rFonts w:hint="eastAsia" w:ascii="宋体" w:hAnsi="宋体" w:eastAsia="宋体" w:cs="宋体"/>
          <w:color w:val="auto"/>
          <w:sz w:val="21"/>
          <w:szCs w:val="21"/>
          <w:highlight w:val="none"/>
          <w:lang w:eastAsia="zh-CN"/>
        </w:rPr>
        <w:t>；</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bCs/>
          <w:color w:val="auto"/>
          <w:sz w:val="21"/>
          <w:szCs w:val="21"/>
          <w:highlight w:val="none"/>
        </w:rPr>
        <w:t>7</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color w:val="auto"/>
          <w:sz w:val="21"/>
          <w:szCs w:val="21"/>
          <w:highlight w:val="none"/>
        </w:rPr>
        <w:t>平均照度应为各测量点测量值的算术平均值</w:t>
      </w:r>
      <w:r>
        <w:rPr>
          <w:rFonts w:hint="eastAsia" w:ascii="宋体" w:hAnsi="宋体" w:eastAsia="宋体" w:cs="宋体"/>
          <w:color w:val="auto"/>
          <w:sz w:val="21"/>
          <w:szCs w:val="21"/>
          <w:highlight w:val="none"/>
          <w:lang w:eastAsia="zh-CN"/>
        </w:rPr>
        <w:t>；</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bCs/>
          <w:color w:val="auto"/>
          <w:sz w:val="21"/>
          <w:szCs w:val="21"/>
          <w:highlight w:val="none"/>
        </w:rPr>
        <w:t>8</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照</w:t>
      </w:r>
      <w:r>
        <w:rPr>
          <w:rFonts w:hint="eastAsia" w:ascii="宋体" w:hAnsi="宋体" w:eastAsia="宋体" w:cs="宋体"/>
          <w:color w:val="auto"/>
          <w:sz w:val="21"/>
          <w:szCs w:val="21"/>
          <w:highlight w:val="none"/>
        </w:rPr>
        <w:t>度均匀度可为最小照度与平均照度之比,或最小照度与最大照度之比</w:t>
      </w:r>
      <w:r>
        <w:rPr>
          <w:rFonts w:hint="eastAsia" w:ascii="宋体" w:hAnsi="宋体" w:eastAsia="宋体" w:cs="宋体"/>
          <w:color w:val="auto"/>
          <w:sz w:val="21"/>
          <w:szCs w:val="21"/>
          <w:highlight w:val="none"/>
          <w:lang w:eastAsia="zh-CN"/>
        </w:rPr>
        <w:t>；</w:t>
      </w:r>
    </w:p>
    <w:p>
      <w:pPr>
        <w:ind w:firstLine="420"/>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rPr>
        <w:t>9</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color w:val="auto"/>
          <w:sz w:val="21"/>
          <w:szCs w:val="21"/>
          <w:highlight w:val="none"/>
        </w:rPr>
        <w:t>公共建筑、居住建筑及工业建筑照明照度测点位置、高度及推荐检测间距应符合</w:t>
      </w:r>
      <w:r>
        <w:rPr>
          <w:rFonts w:hint="eastAsia" w:ascii="宋体" w:hAnsi="宋体" w:eastAsia="宋体" w:cs="宋体"/>
          <w:color w:val="auto"/>
          <w:sz w:val="21"/>
          <w:szCs w:val="21"/>
          <w:highlight w:val="none"/>
          <w:lang w:val="en-US" w:eastAsia="zh-CN"/>
        </w:rPr>
        <w:t>附录B</w:t>
      </w:r>
      <w:r>
        <w:rPr>
          <w:rFonts w:hint="eastAsia" w:ascii="宋体" w:hAnsi="宋体" w:eastAsia="宋体" w:cs="宋体"/>
          <w:color w:val="auto"/>
          <w:sz w:val="21"/>
          <w:szCs w:val="21"/>
          <w:highlight w:val="none"/>
        </w:rPr>
        <w:t>的规定</w:t>
      </w:r>
      <w:r>
        <w:rPr>
          <w:rFonts w:hint="eastAsia" w:ascii="宋体" w:hAnsi="宋体" w:eastAsia="宋体" w:cs="宋体"/>
          <w:color w:val="auto"/>
          <w:sz w:val="21"/>
          <w:szCs w:val="21"/>
          <w:highlight w:val="none"/>
          <w:lang w:eastAsia="zh-CN"/>
        </w:rPr>
        <w:t>。</w:t>
      </w:r>
    </w:p>
    <w:p>
      <w:pPr>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12.3.3  </w:t>
      </w:r>
      <w:r>
        <w:rPr>
          <w:rFonts w:hint="eastAsia" w:ascii="宋体" w:hAnsi="宋体" w:eastAsia="宋体" w:cs="宋体"/>
          <w:color w:val="auto"/>
          <w:sz w:val="21"/>
          <w:szCs w:val="21"/>
          <w:highlight w:val="none"/>
        </w:rPr>
        <w:t>体育场馆检测</w:t>
      </w:r>
      <w:r>
        <w:rPr>
          <w:rFonts w:hint="eastAsia" w:ascii="宋体" w:hAnsi="宋体" w:eastAsia="宋体" w:cs="宋体"/>
          <w:color w:val="auto"/>
          <w:sz w:val="21"/>
          <w:szCs w:val="21"/>
          <w:highlight w:val="none"/>
          <w:lang w:val="en-US" w:eastAsia="zh-CN"/>
        </w:rPr>
        <w:t>应符合下列规定：</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color w:val="auto"/>
          <w:sz w:val="21"/>
          <w:szCs w:val="21"/>
          <w:highlight w:val="none"/>
        </w:rPr>
        <w:t>室内外矩形场地和几种典型场地的照度计算和检测可按下列网格点进行。下列图中，+、ο为计算网格点，ο为检测网格点</w:t>
      </w:r>
      <w:r>
        <w:rPr>
          <w:rFonts w:hint="eastAsia" w:ascii="宋体" w:hAnsi="宋体" w:eastAsia="宋体" w:cs="宋体"/>
          <w:color w:val="auto"/>
          <w:sz w:val="21"/>
          <w:szCs w:val="21"/>
          <w:highlight w:val="none"/>
          <w:lang w:eastAsia="zh-CN"/>
        </w:rPr>
        <w:t>；</w:t>
      </w:r>
    </w:p>
    <w:p>
      <w:pPr>
        <w:ind w:firstLine="632" w:firstLineChars="300"/>
        <w:rPr>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 xml:space="preserve"> </w:t>
      </w:r>
      <w:r>
        <w:rPr>
          <w:rFonts w:hint="eastAsia"/>
          <w:color w:val="auto"/>
          <w:sz w:val="21"/>
          <w:szCs w:val="21"/>
          <w:highlight w:val="none"/>
        </w:rPr>
        <w:t>矩形场地照度计算和检测网格点可按图12.</w:t>
      </w:r>
      <w:r>
        <w:rPr>
          <w:rFonts w:hint="eastAsia"/>
          <w:color w:val="auto"/>
          <w:sz w:val="21"/>
          <w:szCs w:val="21"/>
          <w:highlight w:val="none"/>
          <w:lang w:val="en-US" w:eastAsia="zh-CN"/>
        </w:rPr>
        <w:t>3</w:t>
      </w:r>
      <w:r>
        <w:rPr>
          <w:rFonts w:hint="eastAsia"/>
          <w:color w:val="auto"/>
          <w:sz w:val="21"/>
          <w:szCs w:val="21"/>
          <w:highlight w:val="none"/>
        </w:rPr>
        <w:t>.</w:t>
      </w:r>
      <w:r>
        <w:rPr>
          <w:rFonts w:hint="eastAsia"/>
          <w:color w:val="auto"/>
          <w:sz w:val="21"/>
          <w:szCs w:val="21"/>
          <w:highlight w:val="none"/>
          <w:lang w:val="en-US" w:eastAsia="zh-CN"/>
        </w:rPr>
        <w:t>3</w:t>
      </w:r>
      <w:r>
        <w:rPr>
          <w:rFonts w:hint="eastAsia"/>
          <w:color w:val="auto"/>
          <w:sz w:val="21"/>
          <w:szCs w:val="21"/>
          <w:highlight w:val="none"/>
        </w:rPr>
        <w:t>-1确定。</w:t>
      </w:r>
    </w:p>
    <w:p>
      <w:pPr>
        <w:jc w:val="center"/>
        <w:rPr>
          <w:color w:val="auto"/>
          <w:sz w:val="21"/>
          <w:szCs w:val="21"/>
          <w:highlight w:val="none"/>
        </w:rPr>
      </w:pPr>
      <w:r>
        <w:rPr>
          <w:color w:val="auto"/>
          <w:sz w:val="21"/>
          <w:szCs w:val="21"/>
          <w:highlight w:val="none"/>
        </w:rPr>
        <w:drawing>
          <wp:inline distT="0" distB="0" distL="0" distR="0">
            <wp:extent cx="3497580" cy="3002280"/>
            <wp:effectExtent l="0" t="0" r="7620" b="7620"/>
            <wp:docPr id="985344611" name="图片 11" descr="c9a09f443a74d11902d0adb906a2c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344611" name="图片 11" descr="c9a09f443a74d11902d0adb906a2c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497580" cy="3002280"/>
                    </a:xfrm>
                    <a:prstGeom prst="rect">
                      <a:avLst/>
                    </a:prstGeom>
                    <a:noFill/>
                    <a:ln>
                      <a:noFill/>
                    </a:ln>
                  </pic:spPr>
                </pic:pic>
              </a:graphicData>
            </a:graphic>
          </wp:inline>
        </w:drawing>
      </w:r>
    </w:p>
    <w:p>
      <w:pPr>
        <w:ind w:firstLine="840" w:firstLineChars="400"/>
        <w:jc w:val="center"/>
        <w:rPr>
          <w:color w:val="auto"/>
          <w:sz w:val="21"/>
          <w:szCs w:val="21"/>
          <w:highlight w:val="none"/>
        </w:rPr>
      </w:pPr>
      <w:r>
        <w:rPr>
          <w:rFonts w:hint="eastAsia"/>
          <w:color w:val="auto"/>
          <w:sz w:val="21"/>
          <w:szCs w:val="21"/>
          <w:highlight w:val="none"/>
        </w:rPr>
        <w:t>图12.</w:t>
      </w:r>
      <w:r>
        <w:rPr>
          <w:rFonts w:hint="eastAsia"/>
          <w:color w:val="auto"/>
          <w:sz w:val="21"/>
          <w:szCs w:val="21"/>
          <w:highlight w:val="none"/>
          <w:lang w:val="en-US" w:eastAsia="zh-CN"/>
        </w:rPr>
        <w:t>3</w:t>
      </w:r>
      <w:r>
        <w:rPr>
          <w:rFonts w:hint="eastAsia"/>
          <w:color w:val="auto"/>
          <w:sz w:val="21"/>
          <w:szCs w:val="21"/>
          <w:highlight w:val="none"/>
        </w:rPr>
        <w:t>.</w:t>
      </w:r>
      <w:r>
        <w:rPr>
          <w:rFonts w:hint="eastAsia"/>
          <w:color w:val="auto"/>
          <w:sz w:val="21"/>
          <w:szCs w:val="21"/>
          <w:highlight w:val="none"/>
          <w:lang w:val="en-US" w:eastAsia="zh-CN"/>
        </w:rPr>
        <w:t>3</w:t>
      </w:r>
      <w:r>
        <w:rPr>
          <w:rFonts w:hint="eastAsia"/>
          <w:color w:val="auto"/>
          <w:sz w:val="21"/>
          <w:szCs w:val="21"/>
          <w:highlight w:val="none"/>
        </w:rPr>
        <w:t>-1</w:t>
      </w:r>
      <w:r>
        <w:rPr>
          <w:rFonts w:hint="eastAsia"/>
          <w:color w:val="auto"/>
          <w:sz w:val="21"/>
          <w:szCs w:val="21"/>
          <w:highlight w:val="none"/>
          <w:lang w:val="en-US" w:eastAsia="zh-CN"/>
        </w:rPr>
        <w:t xml:space="preserve">  </w:t>
      </w:r>
      <w:r>
        <w:rPr>
          <w:rFonts w:hint="eastAsia"/>
          <w:color w:val="auto"/>
          <w:sz w:val="21"/>
          <w:szCs w:val="21"/>
          <w:highlight w:val="none"/>
        </w:rPr>
        <w:t xml:space="preserve"> 矩形场地照度计算</w:t>
      </w:r>
      <w:r>
        <w:rPr>
          <w:rFonts w:hint="eastAsia"/>
          <w:color w:val="auto"/>
          <w:sz w:val="21"/>
          <w:szCs w:val="21"/>
          <w:highlight w:val="none"/>
          <w:lang w:val="en-US" w:eastAsia="zh-CN"/>
        </w:rPr>
        <w:t>网格</w:t>
      </w:r>
      <w:r>
        <w:rPr>
          <w:rFonts w:hint="eastAsia"/>
          <w:color w:val="auto"/>
          <w:sz w:val="21"/>
          <w:szCs w:val="21"/>
          <w:highlight w:val="none"/>
        </w:rPr>
        <w:t>和检测网格点布置图</w:t>
      </w:r>
    </w:p>
    <w:p>
      <w:pPr>
        <w:ind w:firstLine="840" w:firstLineChars="400"/>
        <w:jc w:val="center"/>
        <w:rPr>
          <w:rFonts w:ascii="Lucida Handwriting" w:hAnsi="Lucida Handwriting" w:cs="Lucida Handwriting"/>
          <w:color w:val="auto"/>
          <w:sz w:val="21"/>
          <w:szCs w:val="21"/>
          <w:highlight w:val="none"/>
        </w:rPr>
      </w:pPr>
      <w:r>
        <w:rPr>
          <w:rFonts w:ascii="Lucida Handwriting" w:hAnsi="Lucida Handwriting" w:cs="Lucida Handwriting"/>
          <w:color w:val="auto"/>
          <w:sz w:val="21"/>
          <w:szCs w:val="21"/>
          <w:highlight w:val="none"/>
        </w:rPr>
        <w:t>L</w:t>
      </w:r>
      <w:r>
        <w:rPr>
          <w:rFonts w:hint="eastAsia" w:ascii="Lucida Handwriting" w:hAnsi="Lucida Handwriting" w:cs="Lucida Handwriting"/>
          <w:color w:val="auto"/>
          <w:sz w:val="21"/>
          <w:szCs w:val="21"/>
          <w:highlight w:val="none"/>
        </w:rPr>
        <w:t>—场地长度；</w:t>
      </w:r>
      <w:r>
        <w:rPr>
          <w:rFonts w:hint="eastAsia" w:ascii="宋体" w:hAnsi="宋体" w:cs="宋体"/>
          <w:color w:val="auto"/>
          <w:sz w:val="21"/>
          <w:szCs w:val="21"/>
          <w:highlight w:val="none"/>
        </w:rPr>
        <w:t>d</w:t>
      </w:r>
      <w:r>
        <w:rPr>
          <w:rFonts w:ascii="Lucida Handwriting" w:hAnsi="Lucida Handwriting" w:cs="Lucida Handwriting"/>
          <w:color w:val="auto"/>
          <w:sz w:val="21"/>
          <w:szCs w:val="21"/>
          <w:highlight w:val="none"/>
          <w:vertAlign w:val="subscript"/>
        </w:rPr>
        <w:t>L</w:t>
      </w:r>
      <w:r>
        <w:rPr>
          <w:rFonts w:hint="eastAsia" w:ascii="Lucida Handwriting" w:hAnsi="Lucida Handwriting" w:cs="Lucida Handwriting"/>
          <w:color w:val="auto"/>
          <w:sz w:val="21"/>
          <w:szCs w:val="21"/>
          <w:highlight w:val="none"/>
        </w:rPr>
        <w:t>—计算网格纵向间距；</w:t>
      </w:r>
      <w:r>
        <w:rPr>
          <w:rFonts w:hint="eastAsia" w:ascii="宋体" w:hAnsi="宋体" w:eastAsia="宋体" w:cs="宋体"/>
          <w:color w:val="auto"/>
          <w:sz w:val="21"/>
          <w:szCs w:val="21"/>
          <w:highlight w:val="none"/>
        </w:rPr>
        <w:t>p</w:t>
      </w:r>
      <w:r>
        <w:rPr>
          <w:rFonts w:hint="eastAsia" w:ascii="Lucida Handwriting" w:hAnsi="Lucida Handwriting" w:cs="Lucida Handwriting"/>
          <w:color w:val="auto"/>
          <w:sz w:val="21"/>
          <w:szCs w:val="21"/>
          <w:highlight w:val="none"/>
        </w:rPr>
        <w:t>—计算网格纵向点数；</w:t>
      </w:r>
    </w:p>
    <w:p>
      <w:pPr>
        <w:ind w:firstLine="840" w:firstLineChars="400"/>
        <w:jc w:val="center"/>
        <w:rPr>
          <w:rFonts w:ascii="Lucida Handwriting" w:hAnsi="Lucida Handwriting" w:cs="Lucida Handwriting"/>
          <w:color w:val="auto"/>
          <w:sz w:val="21"/>
          <w:szCs w:val="21"/>
          <w:highlight w:val="none"/>
        </w:rPr>
      </w:pPr>
      <w:r>
        <w:rPr>
          <w:rFonts w:ascii="Lucida Handwriting" w:hAnsi="Lucida Handwriting" w:eastAsia="宋体" w:cs="Lucida Handwriting"/>
          <w:color w:val="auto"/>
          <w:sz w:val="21"/>
          <w:szCs w:val="21"/>
          <w:highlight w:val="none"/>
        </w:rPr>
        <w:t>w</w:t>
      </w:r>
      <w:r>
        <w:rPr>
          <w:rFonts w:hint="eastAsia" w:ascii="Lucida Handwriting" w:hAnsi="Lucida Handwriting" w:cs="Lucida Handwriting"/>
          <w:color w:val="auto"/>
          <w:sz w:val="21"/>
          <w:szCs w:val="21"/>
          <w:highlight w:val="none"/>
        </w:rPr>
        <w:t>—场地宽度；</w:t>
      </w:r>
      <w:r>
        <w:rPr>
          <w:rFonts w:hint="eastAsia" w:ascii="宋体" w:hAnsi="宋体" w:eastAsia="宋体" w:cs="宋体"/>
          <w:color w:val="auto"/>
          <w:sz w:val="21"/>
          <w:szCs w:val="21"/>
          <w:highlight w:val="none"/>
        </w:rPr>
        <w:t>d</w:t>
      </w:r>
      <w:r>
        <w:rPr>
          <w:rFonts w:ascii="Lucida Handwriting" w:hAnsi="Lucida Handwriting" w:cs="Lucida Handwriting"/>
          <w:color w:val="auto"/>
          <w:sz w:val="21"/>
          <w:szCs w:val="21"/>
          <w:highlight w:val="none"/>
          <w:vertAlign w:val="subscript"/>
        </w:rPr>
        <w:t>w</w:t>
      </w:r>
      <w:r>
        <w:rPr>
          <w:rFonts w:hint="eastAsia" w:ascii="Lucida Handwriting" w:hAnsi="Lucida Handwriting" w:cs="Lucida Handwriting"/>
          <w:color w:val="auto"/>
          <w:sz w:val="21"/>
          <w:szCs w:val="21"/>
          <w:highlight w:val="none"/>
        </w:rPr>
        <w:t>—计算网格横向间距；</w:t>
      </w:r>
      <w:r>
        <w:rPr>
          <w:rFonts w:hint="eastAsia" w:ascii="宋体" w:hAnsi="宋体" w:eastAsia="宋体" w:cs="宋体"/>
          <w:color w:val="auto"/>
          <w:sz w:val="21"/>
          <w:szCs w:val="21"/>
          <w:highlight w:val="none"/>
        </w:rPr>
        <w:t>q</w:t>
      </w:r>
      <w:r>
        <w:rPr>
          <w:rFonts w:hint="eastAsia" w:ascii="Lucida Handwriting" w:hAnsi="Lucida Handwriting" w:cs="Lucida Handwriting"/>
          <w:color w:val="auto"/>
          <w:sz w:val="21"/>
          <w:szCs w:val="21"/>
          <w:highlight w:val="none"/>
        </w:rPr>
        <w:t>—计算网格横向点数；</w:t>
      </w:r>
    </w:p>
    <w:p>
      <w:pPr>
        <w:keepNext w:val="0"/>
        <w:keepLines w:val="0"/>
        <w:pageBreakBefore w:val="0"/>
        <w:widowControl w:val="0"/>
        <w:kinsoku/>
        <w:wordWrap/>
        <w:overflowPunct/>
        <w:topLinePunct w:val="0"/>
        <w:autoSpaceDE/>
        <w:autoSpaceDN/>
        <w:bidi w:val="0"/>
        <w:adjustRightInd/>
        <w:snapToGrid/>
        <w:spacing w:before="313" w:beforeLines="100"/>
        <w:ind w:firstLine="630" w:firstLineChars="300"/>
        <w:textAlignment w:val="auto"/>
        <w:rPr>
          <w:color w:val="auto"/>
          <w:sz w:val="21"/>
          <w:szCs w:val="21"/>
          <w:highlight w:val="none"/>
        </w:rPr>
      </w:pPr>
      <w:r>
        <w:rPr>
          <w:rFonts w:hint="eastAsia" w:ascii="宋体" w:hAnsi="宋体" w:eastAsia="宋体" w:cs="宋体"/>
          <w:b w:val="0"/>
          <w:bCs w:val="0"/>
          <w:color w:val="auto"/>
          <w:sz w:val="21"/>
          <w:szCs w:val="21"/>
          <w:highlight w:val="none"/>
          <w:lang w:val="en-US" w:eastAsia="zh-CN"/>
        </w:rPr>
        <w:t>a</w:t>
      </w:r>
      <w:r>
        <w:rPr>
          <w:rFonts w:hint="eastAsia" w:ascii="宋体" w:hAnsi="宋体" w:eastAsia="宋体" w:cs="宋体"/>
          <w:b w:val="0"/>
          <w:bCs w:val="0"/>
          <w:color w:val="auto"/>
          <w:sz w:val="21"/>
          <w:szCs w:val="21"/>
          <w:highlight w:val="none"/>
        </w:rPr>
        <w:t>）</w:t>
      </w:r>
      <w:r>
        <w:rPr>
          <w:rFonts w:hint="eastAsia" w:ascii="Lucida Handwriting" w:hAnsi="Lucida Handwriting" w:cs="Lucida Handwriting"/>
          <w:color w:val="auto"/>
          <w:sz w:val="21"/>
          <w:szCs w:val="21"/>
          <w:highlight w:val="none"/>
        </w:rPr>
        <w:t>计算网格点从中心点</w:t>
      </w:r>
      <w:r>
        <w:rPr>
          <w:rFonts w:hint="eastAsia" w:ascii="宋体" w:hAnsi="宋体" w:eastAsia="宋体" w:cs="宋体"/>
          <w:color w:val="auto"/>
          <w:sz w:val="21"/>
          <w:szCs w:val="21"/>
          <w:highlight w:val="none"/>
        </w:rPr>
        <w:t>C</w:t>
      </w:r>
      <w:r>
        <w:rPr>
          <w:rFonts w:hint="eastAsia" w:ascii="宋体" w:hAnsi="宋体" w:cs="宋体"/>
          <w:color w:val="auto"/>
          <w:sz w:val="21"/>
          <w:szCs w:val="21"/>
          <w:highlight w:val="none"/>
        </w:rPr>
        <w:t>开始确定；检测网格点从角点A开始确定；p、q均为奇整数</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满足（q-1）×d</w:t>
      </w:r>
      <w:r>
        <w:rPr>
          <w:rFonts w:ascii="Lucida Handwriting" w:hAnsi="Lucida Handwriting" w:cs="Lucida Handwriting"/>
          <w:color w:val="auto"/>
          <w:sz w:val="21"/>
          <w:szCs w:val="21"/>
          <w:highlight w:val="none"/>
          <w:vertAlign w:val="subscript"/>
        </w:rPr>
        <w:t>L</w:t>
      </w:r>
      <w:r>
        <w:rPr>
          <w:rFonts w:hint="eastAsia" w:ascii="Lucida Handwriting" w:hAnsi="Lucida Handwriting" w:cs="Lucida Handwriting"/>
          <w:color w:val="auto"/>
          <w:sz w:val="21"/>
          <w:szCs w:val="21"/>
          <w:highlight w:val="none"/>
        </w:rPr>
        <w:t>≤</w:t>
      </w:r>
      <w:r>
        <w:rPr>
          <w:rFonts w:ascii="Lucida Handwriting" w:hAnsi="Lucida Handwriting" w:cs="Lucida Handwriting"/>
          <w:color w:val="auto"/>
          <w:sz w:val="21"/>
          <w:szCs w:val="21"/>
          <w:highlight w:val="none"/>
        </w:rPr>
        <w:t>L</w:t>
      </w:r>
      <w:r>
        <w:rPr>
          <w:rFonts w:hint="eastAsia" w:ascii="Lucida Handwriting" w:hAnsi="Lucida Handwriting" w:cs="Lucida Handwriting"/>
          <w:color w:val="auto"/>
          <w:sz w:val="21"/>
          <w:szCs w:val="21"/>
          <w:highlight w:val="none"/>
        </w:rPr>
        <w:t>≤</w:t>
      </w:r>
      <w:r>
        <w:rPr>
          <w:rFonts w:hint="eastAsia" w:ascii="宋体" w:hAnsi="宋体" w:cs="宋体"/>
          <w:color w:val="auto"/>
          <w:sz w:val="21"/>
          <w:szCs w:val="21"/>
          <w:highlight w:val="none"/>
        </w:rPr>
        <w:t>q×d</w:t>
      </w:r>
      <w:r>
        <w:rPr>
          <w:rFonts w:ascii="Lucida Handwriting" w:hAnsi="Lucida Handwriting" w:cs="Lucida Handwriting"/>
          <w:color w:val="auto"/>
          <w:sz w:val="21"/>
          <w:szCs w:val="21"/>
          <w:highlight w:val="none"/>
          <w:vertAlign w:val="subscript"/>
        </w:rPr>
        <w:t>L</w:t>
      </w:r>
      <w:r>
        <w:rPr>
          <w:rFonts w:hint="eastAsia" w:ascii="Lucida Handwriting" w:hAnsi="Lucida Handwriting" w:cs="Lucida Handwriting"/>
          <w:color w:val="auto"/>
          <w:sz w:val="21"/>
          <w:szCs w:val="21"/>
          <w:highlight w:val="none"/>
        </w:rPr>
        <w:t>且</w:t>
      </w:r>
      <w:r>
        <w:rPr>
          <w:rFonts w:hint="eastAsia" w:ascii="宋体" w:hAnsi="宋体" w:cs="宋体"/>
          <w:color w:val="auto"/>
          <w:sz w:val="21"/>
          <w:szCs w:val="21"/>
          <w:highlight w:val="none"/>
        </w:rPr>
        <w:t>（p-1）×d</w:t>
      </w:r>
      <w:r>
        <w:rPr>
          <w:rFonts w:hint="eastAsia" w:ascii="Lucida Handwriting" w:hAnsi="Lucida Handwriting" w:cs="Lucida Handwriting"/>
          <w:color w:val="auto"/>
          <w:sz w:val="21"/>
          <w:szCs w:val="21"/>
          <w:highlight w:val="none"/>
          <w:vertAlign w:val="subscript"/>
        </w:rPr>
        <w:t>w</w:t>
      </w:r>
      <w:r>
        <w:rPr>
          <w:rFonts w:hint="eastAsia" w:ascii="Lucida Handwriting" w:hAnsi="Lucida Handwriting" w:cs="Lucida Handwriting"/>
          <w:color w:val="auto"/>
          <w:sz w:val="21"/>
          <w:szCs w:val="21"/>
          <w:highlight w:val="none"/>
        </w:rPr>
        <w:t>≤w≤</w:t>
      </w:r>
      <w:r>
        <w:rPr>
          <w:rFonts w:hint="eastAsia" w:ascii="宋体" w:hAnsi="宋体" w:cs="宋体"/>
          <w:color w:val="auto"/>
          <w:sz w:val="21"/>
          <w:szCs w:val="21"/>
          <w:highlight w:val="none"/>
        </w:rPr>
        <w:t>p×d</w:t>
      </w:r>
      <w:r>
        <w:rPr>
          <w:rFonts w:hint="eastAsia" w:ascii="Lucida Handwriting" w:hAnsi="Lucida Handwriting" w:cs="Lucida Handwriting"/>
          <w:color w:val="auto"/>
          <w:sz w:val="21"/>
          <w:szCs w:val="21"/>
          <w:highlight w:val="none"/>
          <w:vertAlign w:val="subscript"/>
        </w:rPr>
        <w:t>w</w:t>
      </w:r>
    </w:p>
    <w:p>
      <w:pPr>
        <w:ind w:firstLine="630" w:firstLineChars="300"/>
        <w:rPr>
          <w:rFonts w:hint="eastAsia" w:eastAsiaTheme="minorEastAsia"/>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b</w:t>
      </w:r>
      <w:r>
        <w:rPr>
          <w:rFonts w:hint="eastAsia"/>
          <w:b w:val="0"/>
          <w:bCs w:val="0"/>
          <w:color w:val="auto"/>
          <w:sz w:val="21"/>
          <w:szCs w:val="21"/>
          <w:highlight w:val="none"/>
        </w:rPr>
        <w:t>）</w:t>
      </w:r>
      <w:r>
        <w:rPr>
          <w:rFonts w:hint="eastAsia"/>
          <w:color w:val="auto"/>
          <w:sz w:val="21"/>
          <w:szCs w:val="21"/>
          <w:highlight w:val="none"/>
        </w:rPr>
        <w:t>d</w:t>
      </w:r>
      <w:r>
        <w:rPr>
          <w:rFonts w:ascii="Lucida Handwriting" w:hAnsi="Lucida Handwriting" w:cs="Lucida Handwriting"/>
          <w:color w:val="auto"/>
          <w:sz w:val="21"/>
          <w:szCs w:val="21"/>
          <w:highlight w:val="none"/>
          <w:vertAlign w:val="subscript"/>
        </w:rPr>
        <w:t>l</w:t>
      </w:r>
      <w:r>
        <w:rPr>
          <w:rFonts w:hint="eastAsia"/>
          <w:color w:val="auto"/>
          <w:sz w:val="21"/>
          <w:szCs w:val="21"/>
          <w:highlight w:val="none"/>
        </w:rPr>
        <w:t>、d</w:t>
      </w:r>
      <w:r>
        <w:rPr>
          <w:rFonts w:hint="eastAsia"/>
          <w:color w:val="auto"/>
          <w:sz w:val="21"/>
          <w:szCs w:val="21"/>
          <w:highlight w:val="none"/>
          <w:vertAlign w:val="subscript"/>
        </w:rPr>
        <w:t>w</w:t>
      </w:r>
      <w:r>
        <w:rPr>
          <w:rFonts w:hint="eastAsia"/>
          <w:color w:val="auto"/>
          <w:sz w:val="21"/>
          <w:szCs w:val="21"/>
          <w:highlight w:val="none"/>
        </w:rPr>
        <w:t>可按下列方法确定</w:t>
      </w:r>
      <w:r>
        <w:rPr>
          <w:rFonts w:hint="eastAsia"/>
          <w:color w:val="auto"/>
          <w:sz w:val="21"/>
          <w:szCs w:val="21"/>
          <w:highlight w:val="none"/>
          <w:lang w:eastAsia="zh-CN"/>
        </w:rPr>
        <w:t>：</w:t>
      </w:r>
    </w:p>
    <w:p>
      <w:pPr>
        <w:ind w:firstLine="630" w:firstLineChars="300"/>
        <w:rPr>
          <w:rFonts w:ascii="宋体" w:hAnsi="宋体" w:cs="宋体"/>
          <w:color w:val="auto"/>
          <w:sz w:val="21"/>
          <w:szCs w:val="21"/>
          <w:highlight w:val="none"/>
        </w:rPr>
      </w:pPr>
      <w:r>
        <w:rPr>
          <w:rFonts w:hint="eastAsia"/>
          <w:color w:val="auto"/>
          <w:sz w:val="21"/>
          <w:szCs w:val="21"/>
          <w:highlight w:val="none"/>
        </w:rPr>
        <w:t>当</w:t>
      </w:r>
      <w:r>
        <w:rPr>
          <w:rFonts w:ascii="Lucida Handwriting" w:hAnsi="Lucida Handwriting" w:cs="Lucida Handwriting"/>
          <w:color w:val="auto"/>
          <w:sz w:val="21"/>
          <w:szCs w:val="21"/>
          <w:highlight w:val="none"/>
        </w:rPr>
        <w:t>l</w:t>
      </w:r>
      <w:r>
        <w:rPr>
          <w:rFonts w:hint="eastAsia" w:ascii="Lucida Handwriting" w:hAnsi="Lucida Handwriting" w:cs="Lucida Handwriting"/>
          <w:color w:val="auto"/>
          <w:sz w:val="21"/>
          <w:szCs w:val="21"/>
          <w:highlight w:val="none"/>
        </w:rPr>
        <w:t>、</w:t>
      </w:r>
      <w:r>
        <w:rPr>
          <w:rFonts w:hint="eastAsia" w:ascii="宋体" w:hAnsi="宋体" w:eastAsia="宋体" w:cs="宋体"/>
          <w:color w:val="auto"/>
          <w:sz w:val="21"/>
          <w:szCs w:val="21"/>
          <w:highlight w:val="none"/>
        </w:rPr>
        <w:t>w</w:t>
      </w:r>
      <w:r>
        <w:rPr>
          <w:rFonts w:hint="eastAsia" w:ascii="宋体" w:hAnsi="宋体" w:cs="宋体"/>
          <w:color w:val="auto"/>
          <w:sz w:val="21"/>
          <w:szCs w:val="21"/>
          <w:highlight w:val="none"/>
        </w:rPr>
        <w:t>不大于10m时，计算网格应为1m；</w:t>
      </w:r>
    </w:p>
    <w:p>
      <w:pPr>
        <w:ind w:firstLine="630" w:firstLineChars="300"/>
        <w:rPr>
          <w:rFonts w:ascii="宋体" w:hAnsi="宋体" w:cs="宋体"/>
          <w:color w:val="auto"/>
          <w:sz w:val="21"/>
          <w:szCs w:val="21"/>
          <w:highlight w:val="none"/>
        </w:rPr>
      </w:pPr>
      <w:r>
        <w:rPr>
          <w:rFonts w:hint="eastAsia"/>
          <w:color w:val="auto"/>
          <w:sz w:val="21"/>
          <w:szCs w:val="21"/>
          <w:highlight w:val="none"/>
        </w:rPr>
        <w:t>当</w:t>
      </w:r>
      <w:r>
        <w:rPr>
          <w:rFonts w:ascii="Lucida Handwriting" w:hAnsi="Lucida Handwriting" w:cs="Lucida Handwriting"/>
          <w:color w:val="auto"/>
          <w:sz w:val="21"/>
          <w:szCs w:val="21"/>
          <w:highlight w:val="none"/>
        </w:rPr>
        <w:t>l</w:t>
      </w:r>
      <w:r>
        <w:rPr>
          <w:rFonts w:hint="eastAsia" w:ascii="Lucida Handwriting" w:hAnsi="Lucida Handwriting" w:cs="Lucida Handwriting"/>
          <w:color w:val="auto"/>
          <w:sz w:val="21"/>
          <w:szCs w:val="21"/>
          <w:highlight w:val="none"/>
        </w:rPr>
        <w:t>、</w:t>
      </w:r>
      <w:r>
        <w:rPr>
          <w:rFonts w:hint="eastAsia" w:ascii="宋体" w:hAnsi="宋体" w:eastAsia="宋体" w:cs="宋体"/>
          <w:color w:val="auto"/>
          <w:sz w:val="21"/>
          <w:szCs w:val="21"/>
          <w:highlight w:val="none"/>
        </w:rPr>
        <w:t>w</w:t>
      </w:r>
      <w:r>
        <w:rPr>
          <w:rFonts w:hint="eastAsia" w:ascii="宋体" w:hAnsi="宋体" w:cs="宋体"/>
          <w:color w:val="auto"/>
          <w:sz w:val="21"/>
          <w:szCs w:val="21"/>
          <w:highlight w:val="none"/>
        </w:rPr>
        <w:t>大于10m且不大于50m时，计算网格应为2m；</w:t>
      </w:r>
    </w:p>
    <w:p>
      <w:pPr>
        <w:ind w:firstLine="630" w:firstLineChars="300"/>
        <w:rPr>
          <w:rFonts w:ascii="宋体" w:hAnsi="宋体" w:cs="宋体"/>
          <w:color w:val="auto"/>
          <w:sz w:val="21"/>
          <w:szCs w:val="21"/>
          <w:highlight w:val="none"/>
        </w:rPr>
      </w:pPr>
      <w:r>
        <w:rPr>
          <w:rFonts w:hint="eastAsia" w:ascii="宋体" w:hAnsi="宋体" w:cs="宋体"/>
          <w:color w:val="auto"/>
          <w:sz w:val="21"/>
          <w:szCs w:val="21"/>
          <w:highlight w:val="none"/>
        </w:rPr>
        <w:t>当</w:t>
      </w:r>
      <w:r>
        <w:rPr>
          <w:rFonts w:ascii="Lucida Handwriting" w:hAnsi="Lucida Handwriting" w:cs="Lucida Handwriting"/>
          <w:color w:val="auto"/>
          <w:sz w:val="21"/>
          <w:szCs w:val="21"/>
          <w:highlight w:val="none"/>
        </w:rPr>
        <w:t>l</w:t>
      </w:r>
      <w:r>
        <w:rPr>
          <w:rFonts w:hint="eastAsia" w:ascii="Lucida Handwriting" w:hAnsi="Lucida Handwriting" w:cs="Lucida Handwriting"/>
          <w:color w:val="auto"/>
          <w:sz w:val="21"/>
          <w:szCs w:val="21"/>
          <w:highlight w:val="none"/>
        </w:rPr>
        <w:t>、</w:t>
      </w:r>
      <w:r>
        <w:rPr>
          <w:rFonts w:hint="eastAsia" w:ascii="宋体" w:hAnsi="宋体" w:eastAsia="宋体" w:cs="宋体"/>
          <w:color w:val="auto"/>
          <w:sz w:val="21"/>
          <w:szCs w:val="21"/>
          <w:highlight w:val="none"/>
        </w:rPr>
        <w:t>w</w:t>
      </w:r>
      <w:r>
        <w:rPr>
          <w:rFonts w:hint="eastAsia" w:ascii="宋体" w:hAnsi="宋体" w:cs="宋体"/>
          <w:color w:val="auto"/>
          <w:sz w:val="21"/>
          <w:szCs w:val="21"/>
          <w:highlight w:val="none"/>
        </w:rPr>
        <w:t>大于50m时，计算网格应为5m。</w:t>
      </w:r>
    </w:p>
    <w:p>
      <w:pPr>
        <w:numPr>
          <w:ilvl w:val="0"/>
          <w:numId w:val="0"/>
        </w:numPr>
        <w:ind w:firstLine="630" w:firstLineChars="300"/>
        <w:rPr>
          <w:color w:val="auto"/>
          <w:sz w:val="21"/>
          <w:szCs w:val="21"/>
          <w:highlight w:val="none"/>
        </w:rPr>
      </w:pPr>
      <w:r>
        <w:rPr>
          <w:rFonts w:hint="eastAsia" w:ascii="宋体" w:hAnsi="宋体" w:eastAsia="宋体" w:cs="宋体"/>
          <w:b w:val="0"/>
          <w:bCs w:val="0"/>
          <w:color w:val="auto"/>
          <w:sz w:val="21"/>
          <w:szCs w:val="21"/>
          <w:highlight w:val="none"/>
          <w:lang w:val="en-US" w:eastAsia="zh-CN"/>
        </w:rPr>
        <w:t>c）</w:t>
      </w:r>
      <w:r>
        <w:rPr>
          <w:rFonts w:hint="eastAsia"/>
          <w:color w:val="auto"/>
          <w:sz w:val="21"/>
          <w:szCs w:val="21"/>
          <w:highlight w:val="none"/>
        </w:rPr>
        <w:t>检测网格点间距宜为计算网格点间距的2倍。</w:t>
      </w:r>
    </w:p>
    <w:p>
      <w:pPr>
        <w:ind w:firstLine="632" w:firstLineChars="300"/>
        <w:rPr>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val="en-US" w:eastAsia="zh-CN"/>
        </w:rPr>
        <w:t xml:space="preserve"> </w:t>
      </w:r>
      <w:r>
        <w:rPr>
          <w:rFonts w:hint="eastAsia"/>
          <w:color w:val="auto"/>
          <w:sz w:val="21"/>
          <w:szCs w:val="21"/>
          <w:highlight w:val="none"/>
        </w:rPr>
        <w:t>田径场场地照度检测网格点可按图12.</w:t>
      </w:r>
      <w:r>
        <w:rPr>
          <w:rFonts w:hint="eastAsia"/>
          <w:color w:val="auto"/>
          <w:sz w:val="21"/>
          <w:szCs w:val="21"/>
          <w:highlight w:val="none"/>
          <w:lang w:val="en-US" w:eastAsia="zh-CN"/>
        </w:rPr>
        <w:t>3</w:t>
      </w:r>
      <w:r>
        <w:rPr>
          <w:rFonts w:hint="eastAsia"/>
          <w:color w:val="auto"/>
          <w:sz w:val="21"/>
          <w:szCs w:val="21"/>
          <w:highlight w:val="none"/>
        </w:rPr>
        <w:t>.</w:t>
      </w:r>
      <w:r>
        <w:rPr>
          <w:rFonts w:hint="eastAsia"/>
          <w:color w:val="auto"/>
          <w:sz w:val="21"/>
          <w:szCs w:val="21"/>
          <w:highlight w:val="none"/>
          <w:lang w:val="en-US" w:eastAsia="zh-CN"/>
        </w:rPr>
        <w:t>3</w:t>
      </w:r>
      <w:r>
        <w:rPr>
          <w:rFonts w:hint="eastAsia"/>
          <w:color w:val="auto"/>
          <w:sz w:val="21"/>
          <w:szCs w:val="21"/>
          <w:highlight w:val="none"/>
        </w:rPr>
        <w:t>-2确定。</w:t>
      </w:r>
    </w:p>
    <w:p>
      <w:pPr>
        <w:ind w:firstLine="210" w:firstLineChars="100"/>
        <w:jc w:val="center"/>
        <w:rPr>
          <w:color w:val="auto"/>
          <w:sz w:val="21"/>
          <w:szCs w:val="21"/>
          <w:highlight w:val="none"/>
        </w:rPr>
      </w:pPr>
      <w:r>
        <w:rPr>
          <w:rFonts w:hint="eastAsia"/>
          <w:color w:val="auto"/>
          <w:sz w:val="21"/>
          <w:szCs w:val="21"/>
          <w:highlight w:val="none"/>
        </w:rPr>
        <w:drawing>
          <wp:inline distT="0" distB="0" distL="0" distR="0">
            <wp:extent cx="3543300" cy="1760220"/>
            <wp:effectExtent l="0" t="0" r="0" b="5080"/>
            <wp:docPr id="1093520812" name="图片 10" descr="0bf2b1dc17216b4fffbd2422ce17c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520812" name="图片 10" descr="0bf2b1dc17216b4fffbd2422ce17c9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543300" cy="1760220"/>
                    </a:xfrm>
                    <a:prstGeom prst="rect">
                      <a:avLst/>
                    </a:prstGeom>
                    <a:noFill/>
                    <a:ln>
                      <a:noFill/>
                    </a:ln>
                  </pic:spPr>
                </pic:pic>
              </a:graphicData>
            </a:graphic>
          </wp:inline>
        </w:drawing>
      </w:r>
    </w:p>
    <w:p>
      <w:pPr>
        <w:ind w:firstLine="630" w:firstLineChars="300"/>
        <w:jc w:val="center"/>
        <w:rPr>
          <w:color w:val="auto"/>
          <w:sz w:val="21"/>
          <w:szCs w:val="21"/>
          <w:highlight w:val="none"/>
        </w:rPr>
      </w:pPr>
      <w:r>
        <w:rPr>
          <w:rFonts w:hint="eastAsia"/>
          <w:color w:val="auto"/>
          <w:sz w:val="21"/>
          <w:szCs w:val="21"/>
          <w:highlight w:val="none"/>
        </w:rPr>
        <w:t>图12.</w:t>
      </w:r>
      <w:r>
        <w:rPr>
          <w:rFonts w:hint="eastAsia"/>
          <w:color w:val="auto"/>
          <w:sz w:val="21"/>
          <w:szCs w:val="21"/>
          <w:highlight w:val="none"/>
          <w:lang w:val="en-US" w:eastAsia="zh-CN"/>
        </w:rPr>
        <w:t>3</w:t>
      </w:r>
      <w:r>
        <w:rPr>
          <w:rFonts w:hint="eastAsia"/>
          <w:color w:val="auto"/>
          <w:sz w:val="21"/>
          <w:szCs w:val="21"/>
          <w:highlight w:val="none"/>
        </w:rPr>
        <w:t>.</w:t>
      </w:r>
      <w:r>
        <w:rPr>
          <w:rFonts w:hint="eastAsia"/>
          <w:color w:val="auto"/>
          <w:sz w:val="21"/>
          <w:szCs w:val="21"/>
          <w:highlight w:val="none"/>
          <w:lang w:val="en-US" w:eastAsia="zh-CN"/>
        </w:rPr>
        <w:t>3</w:t>
      </w:r>
      <w:r>
        <w:rPr>
          <w:rFonts w:hint="eastAsia"/>
          <w:color w:val="auto"/>
          <w:sz w:val="21"/>
          <w:szCs w:val="21"/>
          <w:highlight w:val="none"/>
        </w:rPr>
        <w:t xml:space="preserve">-2 </w:t>
      </w:r>
      <w:r>
        <w:rPr>
          <w:rFonts w:hint="eastAsia"/>
          <w:color w:val="auto"/>
          <w:sz w:val="21"/>
          <w:szCs w:val="21"/>
          <w:highlight w:val="none"/>
          <w:lang w:val="en-US" w:eastAsia="zh-CN"/>
        </w:rPr>
        <w:t xml:space="preserve">  </w:t>
      </w:r>
      <w:r>
        <w:rPr>
          <w:rFonts w:hint="eastAsia"/>
          <w:color w:val="auto"/>
          <w:sz w:val="21"/>
          <w:szCs w:val="21"/>
          <w:highlight w:val="none"/>
        </w:rPr>
        <w:t>田径场场地照度检测网格点布置图（对称布置）</w:t>
      </w:r>
    </w:p>
    <w:p>
      <w:pPr>
        <w:ind w:firstLine="630" w:firstLineChars="3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1—全场</w:t>
      </w:r>
      <w:r>
        <w:rPr>
          <w:rFonts w:hint="eastAsia" w:ascii="宋体" w:hAnsi="宋体" w:cs="宋体"/>
          <w:color w:val="auto"/>
          <w:sz w:val="21"/>
          <w:szCs w:val="21"/>
          <w:highlight w:val="none"/>
        </w:rPr>
        <w:t>检测</w:t>
      </w:r>
      <w:r>
        <w:rPr>
          <w:rFonts w:hint="eastAsia" w:ascii="宋体" w:hAnsi="宋体" w:eastAsia="宋体" w:cs="宋体"/>
          <w:color w:val="auto"/>
          <w:sz w:val="21"/>
          <w:szCs w:val="21"/>
          <w:highlight w:val="none"/>
        </w:rPr>
        <w:t>点（田赛+径赛）布置图；2—径赛</w:t>
      </w:r>
      <w:r>
        <w:rPr>
          <w:rFonts w:hint="eastAsia" w:ascii="宋体" w:hAnsi="宋体" w:cs="宋体"/>
          <w:color w:val="auto"/>
          <w:sz w:val="21"/>
          <w:szCs w:val="21"/>
          <w:highlight w:val="none"/>
        </w:rPr>
        <w:t>检测</w:t>
      </w:r>
      <w:r>
        <w:rPr>
          <w:rFonts w:hint="eastAsia" w:ascii="宋体" w:hAnsi="宋体" w:eastAsia="宋体" w:cs="宋体"/>
          <w:color w:val="auto"/>
          <w:sz w:val="21"/>
          <w:szCs w:val="21"/>
          <w:highlight w:val="none"/>
        </w:rPr>
        <w:t>点布置图；3—</w:t>
      </w:r>
      <w:r>
        <w:rPr>
          <w:rFonts w:hint="eastAsia" w:ascii="宋体" w:hAnsi="宋体" w:cs="宋体"/>
          <w:color w:val="auto"/>
          <w:sz w:val="21"/>
          <w:szCs w:val="21"/>
          <w:highlight w:val="none"/>
        </w:rPr>
        <w:t>100m跑道终点线位置</w:t>
      </w:r>
    </w:p>
    <w:p>
      <w:pPr>
        <w:rPr>
          <w:color w:val="auto"/>
          <w:sz w:val="21"/>
          <w:szCs w:val="21"/>
          <w:highlight w:val="none"/>
        </w:rPr>
      </w:pPr>
    </w:p>
    <w:p>
      <w:pPr>
        <w:numPr>
          <w:ilvl w:val="0"/>
          <w:numId w:val="0"/>
        </w:numPr>
        <w:ind w:firstLine="632" w:firstLineChars="300"/>
        <w:rPr>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color w:val="auto"/>
          <w:sz w:val="21"/>
          <w:szCs w:val="21"/>
          <w:highlight w:val="none"/>
          <w:lang w:val="en-US" w:eastAsia="zh-CN"/>
        </w:rPr>
        <w:t xml:space="preserve">  </w:t>
      </w:r>
      <w:r>
        <w:rPr>
          <w:rFonts w:hint="eastAsia"/>
          <w:color w:val="auto"/>
          <w:sz w:val="21"/>
          <w:szCs w:val="21"/>
          <w:highlight w:val="none"/>
        </w:rPr>
        <w:t>专用足球（橄榄球）场场地照度检测网格点可按图12.</w:t>
      </w:r>
      <w:r>
        <w:rPr>
          <w:rFonts w:hint="eastAsia"/>
          <w:color w:val="auto"/>
          <w:sz w:val="21"/>
          <w:szCs w:val="21"/>
          <w:highlight w:val="none"/>
          <w:lang w:val="en-US" w:eastAsia="zh-CN"/>
        </w:rPr>
        <w:t>3</w:t>
      </w:r>
      <w:r>
        <w:rPr>
          <w:rFonts w:hint="eastAsia"/>
          <w:color w:val="auto"/>
          <w:sz w:val="21"/>
          <w:szCs w:val="21"/>
          <w:highlight w:val="none"/>
        </w:rPr>
        <w:t>.</w:t>
      </w:r>
      <w:r>
        <w:rPr>
          <w:rFonts w:hint="eastAsia"/>
          <w:color w:val="auto"/>
          <w:sz w:val="21"/>
          <w:szCs w:val="21"/>
          <w:highlight w:val="none"/>
          <w:lang w:val="en-US" w:eastAsia="zh-CN"/>
        </w:rPr>
        <w:t>3</w:t>
      </w:r>
      <w:r>
        <w:rPr>
          <w:rFonts w:hint="eastAsia"/>
          <w:color w:val="auto"/>
          <w:sz w:val="21"/>
          <w:szCs w:val="21"/>
          <w:highlight w:val="none"/>
        </w:rPr>
        <w:t>-3确定。</w:t>
      </w:r>
    </w:p>
    <w:p>
      <w:pPr>
        <w:jc w:val="center"/>
        <w:rPr>
          <w:color w:val="auto"/>
          <w:sz w:val="21"/>
          <w:szCs w:val="21"/>
          <w:highlight w:val="none"/>
        </w:rPr>
      </w:pPr>
      <w:r>
        <w:rPr>
          <w:color w:val="auto"/>
          <w:sz w:val="21"/>
          <w:szCs w:val="21"/>
          <w:highlight w:val="none"/>
        </w:rPr>
        <w:drawing>
          <wp:inline distT="0" distB="0" distL="0" distR="0">
            <wp:extent cx="2179320" cy="1615440"/>
            <wp:effectExtent l="0" t="0" r="5080" b="10160"/>
            <wp:docPr id="1704910152" name="图片 9" descr="856df9278fc03d848b9db8d64d980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910152" name="图片 9" descr="856df9278fc03d848b9db8d64d9802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179320" cy="1615440"/>
                    </a:xfrm>
                    <a:prstGeom prst="rect">
                      <a:avLst/>
                    </a:prstGeom>
                    <a:noFill/>
                    <a:ln>
                      <a:noFill/>
                    </a:ln>
                  </pic:spPr>
                </pic:pic>
              </a:graphicData>
            </a:graphic>
          </wp:inline>
        </w:drawing>
      </w:r>
    </w:p>
    <w:p>
      <w:pPr>
        <w:jc w:val="center"/>
        <w:rPr>
          <w:rFonts w:hint="eastAsia"/>
          <w:color w:val="auto"/>
          <w:sz w:val="21"/>
          <w:szCs w:val="21"/>
          <w:highlight w:val="none"/>
        </w:rPr>
      </w:pPr>
      <w:r>
        <w:rPr>
          <w:rFonts w:hint="eastAsia"/>
          <w:color w:val="auto"/>
          <w:sz w:val="21"/>
          <w:szCs w:val="21"/>
          <w:highlight w:val="none"/>
        </w:rPr>
        <w:t>图12.</w:t>
      </w:r>
      <w:r>
        <w:rPr>
          <w:rFonts w:hint="eastAsia"/>
          <w:color w:val="auto"/>
          <w:sz w:val="21"/>
          <w:szCs w:val="21"/>
          <w:highlight w:val="none"/>
          <w:lang w:val="en-US" w:eastAsia="zh-CN"/>
        </w:rPr>
        <w:t>3</w:t>
      </w:r>
      <w:r>
        <w:rPr>
          <w:rFonts w:hint="eastAsia"/>
          <w:color w:val="auto"/>
          <w:sz w:val="21"/>
          <w:szCs w:val="21"/>
          <w:highlight w:val="none"/>
        </w:rPr>
        <w:t>.</w:t>
      </w:r>
      <w:r>
        <w:rPr>
          <w:rFonts w:hint="eastAsia"/>
          <w:color w:val="auto"/>
          <w:sz w:val="21"/>
          <w:szCs w:val="21"/>
          <w:highlight w:val="none"/>
          <w:lang w:val="en-US" w:eastAsia="zh-CN"/>
        </w:rPr>
        <w:t>3</w:t>
      </w:r>
      <w:r>
        <w:rPr>
          <w:rFonts w:hint="eastAsia"/>
          <w:color w:val="auto"/>
          <w:sz w:val="21"/>
          <w:szCs w:val="21"/>
          <w:highlight w:val="none"/>
        </w:rPr>
        <w:t xml:space="preserve">-3 </w:t>
      </w:r>
      <w:r>
        <w:rPr>
          <w:rFonts w:hint="eastAsia"/>
          <w:color w:val="auto"/>
          <w:sz w:val="21"/>
          <w:szCs w:val="21"/>
          <w:highlight w:val="none"/>
          <w:lang w:val="en-US" w:eastAsia="zh-CN"/>
        </w:rPr>
        <w:t xml:space="preserve"> </w:t>
      </w:r>
      <w:r>
        <w:rPr>
          <w:rFonts w:hint="eastAsia"/>
          <w:color w:val="auto"/>
          <w:sz w:val="21"/>
          <w:szCs w:val="21"/>
          <w:highlight w:val="none"/>
        </w:rPr>
        <w:t>专用足球（橄榄球）场场地照度检测网格点布置图；</w:t>
      </w:r>
    </w:p>
    <w:p>
      <w:pPr>
        <w:ind w:firstLine="420" w:firstLineChars="200"/>
        <w:jc w:val="center"/>
        <w:rPr>
          <w:rFonts w:ascii="宋体" w:hAnsi="宋体" w:cs="宋体"/>
          <w:color w:val="auto"/>
          <w:sz w:val="21"/>
          <w:szCs w:val="21"/>
          <w:highlight w:val="none"/>
        </w:rPr>
      </w:pPr>
      <w:r>
        <w:rPr>
          <w:rFonts w:hint="eastAsia"/>
          <w:color w:val="auto"/>
          <w:sz w:val="21"/>
          <w:szCs w:val="21"/>
          <w:highlight w:val="none"/>
        </w:rPr>
        <w:t>C</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rPr>
        <w:t>场地中心点</w:t>
      </w:r>
    </w:p>
    <w:p>
      <w:pPr>
        <w:rPr>
          <w:rFonts w:ascii="宋体" w:hAnsi="宋体" w:cs="宋体"/>
          <w:color w:val="auto"/>
          <w:sz w:val="21"/>
          <w:szCs w:val="21"/>
          <w:highlight w:val="none"/>
        </w:rPr>
      </w:pPr>
    </w:p>
    <w:p>
      <w:pPr>
        <w:numPr>
          <w:ilvl w:val="0"/>
          <w:numId w:val="0"/>
        </w:numPr>
        <w:ind w:firstLine="632" w:firstLineChars="300"/>
        <w:rPr>
          <w:color w:val="auto"/>
          <w:sz w:val="21"/>
          <w:szCs w:val="21"/>
          <w:highlight w:val="none"/>
        </w:rPr>
      </w:pPr>
      <w:r>
        <w:rPr>
          <w:rFonts w:hint="eastAsia" w:ascii="宋体" w:hAnsi="宋体" w:eastAsia="宋体" w:cs="宋体"/>
          <w:b/>
          <w:bCs/>
          <w:color w:val="auto"/>
          <w:sz w:val="21"/>
          <w:szCs w:val="21"/>
          <w:highlight w:val="none"/>
          <w:lang w:val="en-US" w:eastAsia="zh-CN"/>
        </w:rPr>
        <w:t xml:space="preserve">4） </w:t>
      </w:r>
      <w:r>
        <w:rPr>
          <w:rFonts w:hint="eastAsia"/>
          <w:color w:val="auto"/>
          <w:sz w:val="21"/>
          <w:szCs w:val="21"/>
          <w:highlight w:val="none"/>
        </w:rPr>
        <w:t>游泳和跳水场场地照度检测网格点可按图12.</w:t>
      </w:r>
      <w:r>
        <w:rPr>
          <w:rFonts w:hint="eastAsia"/>
          <w:color w:val="auto"/>
          <w:sz w:val="21"/>
          <w:szCs w:val="21"/>
          <w:highlight w:val="none"/>
          <w:lang w:val="en-US" w:eastAsia="zh-CN"/>
        </w:rPr>
        <w:t>3</w:t>
      </w:r>
      <w:r>
        <w:rPr>
          <w:rFonts w:hint="eastAsia"/>
          <w:color w:val="auto"/>
          <w:sz w:val="21"/>
          <w:szCs w:val="21"/>
          <w:highlight w:val="none"/>
        </w:rPr>
        <w:t>.</w:t>
      </w:r>
      <w:r>
        <w:rPr>
          <w:rFonts w:hint="eastAsia"/>
          <w:color w:val="auto"/>
          <w:sz w:val="21"/>
          <w:szCs w:val="21"/>
          <w:highlight w:val="none"/>
          <w:lang w:val="en-US" w:eastAsia="zh-CN"/>
        </w:rPr>
        <w:t>3</w:t>
      </w:r>
      <w:r>
        <w:rPr>
          <w:rFonts w:hint="eastAsia"/>
          <w:color w:val="auto"/>
          <w:sz w:val="21"/>
          <w:szCs w:val="21"/>
          <w:highlight w:val="none"/>
        </w:rPr>
        <w:t>-4确定。</w:t>
      </w:r>
    </w:p>
    <w:p>
      <w:pPr>
        <w:jc w:val="center"/>
        <w:rPr>
          <w:color w:val="auto"/>
          <w:sz w:val="21"/>
          <w:szCs w:val="21"/>
          <w:highlight w:val="none"/>
        </w:rPr>
      </w:pPr>
      <w:r>
        <w:rPr>
          <w:color w:val="auto"/>
          <w:sz w:val="21"/>
          <w:szCs w:val="21"/>
          <w:highlight w:val="none"/>
        </w:rPr>
        <w:drawing>
          <wp:inline distT="0" distB="0" distL="0" distR="0">
            <wp:extent cx="3566160" cy="1463040"/>
            <wp:effectExtent l="0" t="0" r="2540" b="10160"/>
            <wp:docPr id="2180202" name="图片 8" descr="b86b5f3aa2751dd80eebcb84be885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0202" name="图片 8" descr="b86b5f3aa2751dd80eebcb84be8852b"/>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566160" cy="1463040"/>
                    </a:xfrm>
                    <a:prstGeom prst="rect">
                      <a:avLst/>
                    </a:prstGeom>
                    <a:noFill/>
                    <a:ln>
                      <a:noFill/>
                    </a:ln>
                    <a:effectLst/>
                  </pic:spPr>
                </pic:pic>
              </a:graphicData>
            </a:graphic>
          </wp:inline>
        </w:drawing>
      </w:r>
    </w:p>
    <w:p>
      <w:pPr>
        <w:ind w:left="0" w:leftChars="0" w:firstLine="0" w:firstLineChars="0"/>
        <w:jc w:val="center"/>
        <w:rPr>
          <w:color w:val="auto"/>
          <w:sz w:val="21"/>
          <w:szCs w:val="21"/>
          <w:highlight w:val="none"/>
        </w:rPr>
      </w:pPr>
      <w:r>
        <w:rPr>
          <w:rFonts w:hint="eastAsia"/>
          <w:color w:val="auto"/>
          <w:sz w:val="21"/>
          <w:szCs w:val="21"/>
          <w:highlight w:val="none"/>
        </w:rPr>
        <w:t>图12.</w:t>
      </w:r>
      <w:r>
        <w:rPr>
          <w:rFonts w:hint="eastAsia"/>
          <w:color w:val="auto"/>
          <w:sz w:val="21"/>
          <w:szCs w:val="21"/>
          <w:highlight w:val="none"/>
          <w:lang w:val="en-US" w:eastAsia="zh-CN"/>
        </w:rPr>
        <w:t>3</w:t>
      </w:r>
      <w:r>
        <w:rPr>
          <w:rFonts w:hint="eastAsia"/>
          <w:color w:val="auto"/>
          <w:sz w:val="21"/>
          <w:szCs w:val="21"/>
          <w:highlight w:val="none"/>
        </w:rPr>
        <w:t>.</w:t>
      </w:r>
      <w:r>
        <w:rPr>
          <w:rFonts w:hint="eastAsia"/>
          <w:color w:val="auto"/>
          <w:sz w:val="21"/>
          <w:szCs w:val="21"/>
          <w:highlight w:val="none"/>
          <w:lang w:val="en-US" w:eastAsia="zh-CN"/>
        </w:rPr>
        <w:t>3</w:t>
      </w:r>
      <w:r>
        <w:rPr>
          <w:rFonts w:hint="eastAsia"/>
          <w:color w:val="auto"/>
          <w:sz w:val="21"/>
          <w:szCs w:val="21"/>
          <w:highlight w:val="none"/>
        </w:rPr>
        <w:t>-4</w:t>
      </w:r>
      <w:r>
        <w:rPr>
          <w:rFonts w:hint="eastAsia"/>
          <w:color w:val="auto"/>
          <w:sz w:val="21"/>
          <w:szCs w:val="21"/>
          <w:highlight w:val="none"/>
          <w:lang w:val="en-US" w:eastAsia="zh-CN"/>
        </w:rPr>
        <w:t xml:space="preserve">  </w:t>
      </w:r>
      <w:r>
        <w:rPr>
          <w:rFonts w:hint="eastAsia"/>
          <w:color w:val="auto"/>
          <w:sz w:val="21"/>
          <w:szCs w:val="21"/>
          <w:highlight w:val="none"/>
        </w:rPr>
        <w:t xml:space="preserve"> 游泳和跳水场场地照度检测网格点布置图</w:t>
      </w:r>
    </w:p>
    <w:p>
      <w:pPr>
        <w:rPr>
          <w:color w:val="auto"/>
          <w:sz w:val="21"/>
          <w:szCs w:val="21"/>
          <w:highlight w:val="none"/>
        </w:rPr>
      </w:pPr>
    </w:p>
    <w:p>
      <w:pPr>
        <w:numPr>
          <w:ilvl w:val="0"/>
          <w:numId w:val="0"/>
        </w:numPr>
        <w:ind w:firstLine="632" w:firstLineChars="300"/>
        <w:rPr>
          <w:color w:val="auto"/>
          <w:sz w:val="21"/>
          <w:szCs w:val="21"/>
          <w:highlight w:val="none"/>
        </w:rPr>
      </w:pPr>
      <w:r>
        <w:rPr>
          <w:rFonts w:hint="eastAsia" w:ascii="宋体" w:hAnsi="宋体" w:eastAsia="宋体" w:cs="宋体"/>
          <w:b/>
          <w:bCs/>
          <w:color w:val="auto"/>
          <w:sz w:val="21"/>
          <w:szCs w:val="21"/>
          <w:highlight w:val="none"/>
          <w:lang w:val="en-US" w:eastAsia="zh-CN"/>
        </w:rPr>
        <w:t xml:space="preserve">5） </w:t>
      </w:r>
      <w:r>
        <w:rPr>
          <w:rFonts w:hint="eastAsia"/>
          <w:color w:val="auto"/>
          <w:sz w:val="21"/>
          <w:szCs w:val="21"/>
          <w:highlight w:val="none"/>
        </w:rPr>
        <w:t>速度滑冰场场地照度检测网格点可按图12.</w:t>
      </w:r>
      <w:r>
        <w:rPr>
          <w:rFonts w:hint="eastAsia"/>
          <w:color w:val="auto"/>
          <w:sz w:val="21"/>
          <w:szCs w:val="21"/>
          <w:highlight w:val="none"/>
          <w:lang w:val="en-US" w:eastAsia="zh-CN"/>
        </w:rPr>
        <w:t>3</w:t>
      </w:r>
      <w:r>
        <w:rPr>
          <w:rFonts w:hint="eastAsia"/>
          <w:color w:val="auto"/>
          <w:sz w:val="21"/>
          <w:szCs w:val="21"/>
          <w:highlight w:val="none"/>
        </w:rPr>
        <w:t>.</w:t>
      </w:r>
      <w:r>
        <w:rPr>
          <w:rFonts w:hint="eastAsia"/>
          <w:color w:val="auto"/>
          <w:sz w:val="21"/>
          <w:szCs w:val="21"/>
          <w:highlight w:val="none"/>
          <w:lang w:val="en-US" w:eastAsia="zh-CN"/>
        </w:rPr>
        <w:t>3</w:t>
      </w:r>
      <w:r>
        <w:rPr>
          <w:rFonts w:hint="eastAsia"/>
          <w:color w:val="auto"/>
          <w:sz w:val="21"/>
          <w:szCs w:val="21"/>
          <w:highlight w:val="none"/>
        </w:rPr>
        <w:t>-5确定。</w:t>
      </w:r>
    </w:p>
    <w:p>
      <w:pPr>
        <w:jc w:val="center"/>
        <w:rPr>
          <w:color w:val="auto"/>
          <w:sz w:val="21"/>
          <w:szCs w:val="21"/>
          <w:highlight w:val="none"/>
        </w:rPr>
      </w:pPr>
      <w:r>
        <w:rPr>
          <w:color w:val="auto"/>
          <w:sz w:val="21"/>
          <w:szCs w:val="21"/>
          <w:highlight w:val="none"/>
        </w:rPr>
        <w:drawing>
          <wp:inline distT="0" distB="0" distL="0" distR="0">
            <wp:extent cx="4206240" cy="2125980"/>
            <wp:effectExtent l="0" t="0" r="10160" b="7620"/>
            <wp:docPr id="211890604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906045" name="图片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206240" cy="2125980"/>
                    </a:xfrm>
                    <a:prstGeom prst="rect">
                      <a:avLst/>
                    </a:prstGeom>
                    <a:noFill/>
                    <a:ln>
                      <a:noFill/>
                    </a:ln>
                    <a:effectLst/>
                  </pic:spPr>
                </pic:pic>
              </a:graphicData>
            </a:graphic>
          </wp:inline>
        </w:drawing>
      </w:r>
    </w:p>
    <w:p>
      <w:pPr>
        <w:ind w:left="1707" w:leftChars="0" w:hanging="1707" w:hangingChars="81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图</w:t>
      </w:r>
      <w:r>
        <w:rPr>
          <w:rFonts w:hint="eastAsia" w:eastAsia="宋体"/>
          <w:color w:val="auto"/>
          <w:sz w:val="21"/>
          <w:szCs w:val="21"/>
          <w:highlight w:val="none"/>
        </w:rPr>
        <w:t>12.</w:t>
      </w:r>
      <w:r>
        <w:rPr>
          <w:rFonts w:hint="eastAsia" w:eastAsia="宋体"/>
          <w:color w:val="auto"/>
          <w:sz w:val="21"/>
          <w:szCs w:val="21"/>
          <w:highlight w:val="none"/>
          <w:lang w:val="en-US" w:eastAsia="zh-CN"/>
        </w:rPr>
        <w:t>3</w:t>
      </w:r>
      <w:r>
        <w:rPr>
          <w:rFonts w:hint="eastAsia"/>
          <w:color w:val="auto"/>
          <w:sz w:val="21"/>
          <w:szCs w:val="21"/>
          <w:highlight w:val="none"/>
        </w:rPr>
        <w:t>.</w:t>
      </w:r>
      <w:r>
        <w:rPr>
          <w:rFonts w:hint="eastAsia"/>
          <w:color w:val="auto"/>
          <w:sz w:val="21"/>
          <w:szCs w:val="21"/>
          <w:highlight w:val="none"/>
          <w:lang w:val="en-US" w:eastAsia="zh-CN"/>
        </w:rPr>
        <w:t>3</w:t>
      </w:r>
      <w:r>
        <w:rPr>
          <w:rFonts w:hint="eastAsia"/>
          <w:color w:val="auto"/>
          <w:sz w:val="21"/>
          <w:szCs w:val="21"/>
          <w:highlight w:val="none"/>
        </w:rPr>
        <w:t xml:space="preserve">-5 </w:t>
      </w:r>
      <w:r>
        <w:rPr>
          <w:rFonts w:hint="eastAsia"/>
          <w:color w:val="auto"/>
          <w:sz w:val="21"/>
          <w:szCs w:val="21"/>
          <w:highlight w:val="none"/>
          <w:lang w:val="en-US" w:eastAsia="zh-CN"/>
        </w:rPr>
        <w:t xml:space="preserve">  </w:t>
      </w:r>
      <w:r>
        <w:rPr>
          <w:rFonts w:hint="eastAsia" w:ascii="宋体" w:hAnsi="宋体" w:eastAsia="宋体" w:cs="宋体"/>
          <w:color w:val="auto"/>
          <w:sz w:val="21"/>
          <w:szCs w:val="21"/>
          <w:highlight w:val="none"/>
        </w:rPr>
        <w:t>速度滑冰场场地的照度</w:t>
      </w:r>
      <w:r>
        <w:rPr>
          <w:rFonts w:hint="eastAsia" w:ascii="宋体" w:hAnsi="宋体" w:cs="宋体"/>
          <w:color w:val="auto"/>
          <w:sz w:val="21"/>
          <w:szCs w:val="21"/>
          <w:highlight w:val="none"/>
        </w:rPr>
        <w:t>检测</w:t>
      </w:r>
      <w:r>
        <w:rPr>
          <w:rFonts w:hint="eastAsia" w:ascii="宋体" w:hAnsi="宋体" w:eastAsia="宋体" w:cs="宋体"/>
          <w:color w:val="auto"/>
          <w:sz w:val="21"/>
          <w:szCs w:val="21"/>
          <w:highlight w:val="none"/>
        </w:rPr>
        <w:t>网格点布置图（400m跑道，对称布置）</w:t>
      </w:r>
    </w:p>
    <w:p>
      <w:pPr>
        <w:ind w:firstLine="420" w:firstLineChars="20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rPr>
        <w:t>赛道检测点布置图，2</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rPr>
        <w:t>内场检测点布置图</w:t>
      </w:r>
    </w:p>
    <w:p>
      <w:pPr>
        <w:rPr>
          <w:color w:val="auto"/>
          <w:sz w:val="21"/>
          <w:szCs w:val="21"/>
          <w:highlight w:val="none"/>
        </w:rPr>
      </w:pPr>
    </w:p>
    <w:p>
      <w:pPr>
        <w:ind w:firstLine="632" w:firstLineChars="300"/>
        <w:rPr>
          <w:color w:val="auto"/>
          <w:sz w:val="21"/>
          <w:szCs w:val="21"/>
          <w:highlight w:val="none"/>
        </w:rPr>
      </w:pPr>
      <w:r>
        <w:rPr>
          <w:rFonts w:hint="eastAsia" w:ascii="宋体" w:hAnsi="宋体" w:eastAsia="宋体" w:cs="宋体"/>
          <w:b/>
          <w:bCs/>
          <w:color w:val="auto"/>
          <w:sz w:val="21"/>
          <w:szCs w:val="21"/>
          <w:highlight w:val="none"/>
          <w:lang w:val="en-US" w:eastAsia="zh-CN"/>
        </w:rPr>
        <w:t xml:space="preserve">6） </w:t>
      </w:r>
      <w:r>
        <w:rPr>
          <w:rFonts w:hint="eastAsia"/>
          <w:color w:val="auto"/>
          <w:sz w:val="21"/>
          <w:szCs w:val="21"/>
          <w:highlight w:val="none"/>
        </w:rPr>
        <w:t>场地自行车场场地照度检测网格点可按图12.</w:t>
      </w:r>
      <w:r>
        <w:rPr>
          <w:rFonts w:hint="eastAsia"/>
          <w:color w:val="auto"/>
          <w:sz w:val="21"/>
          <w:szCs w:val="21"/>
          <w:highlight w:val="none"/>
          <w:lang w:val="en-US" w:eastAsia="zh-CN"/>
        </w:rPr>
        <w:t>3</w:t>
      </w:r>
      <w:r>
        <w:rPr>
          <w:rFonts w:hint="eastAsia"/>
          <w:color w:val="auto"/>
          <w:sz w:val="21"/>
          <w:szCs w:val="21"/>
          <w:highlight w:val="none"/>
        </w:rPr>
        <w:t>.</w:t>
      </w:r>
      <w:r>
        <w:rPr>
          <w:rFonts w:hint="eastAsia"/>
          <w:color w:val="auto"/>
          <w:sz w:val="21"/>
          <w:szCs w:val="21"/>
          <w:highlight w:val="none"/>
          <w:lang w:val="en-US" w:eastAsia="zh-CN"/>
        </w:rPr>
        <w:t>3</w:t>
      </w:r>
      <w:r>
        <w:rPr>
          <w:rFonts w:hint="eastAsia"/>
          <w:color w:val="auto"/>
          <w:sz w:val="21"/>
          <w:szCs w:val="21"/>
          <w:highlight w:val="none"/>
        </w:rPr>
        <w:t>-6确定。</w:t>
      </w:r>
    </w:p>
    <w:p>
      <w:pPr>
        <w:jc w:val="center"/>
        <w:rPr>
          <w:color w:val="auto"/>
          <w:sz w:val="21"/>
          <w:szCs w:val="21"/>
          <w:highlight w:val="none"/>
        </w:rPr>
      </w:pPr>
      <w:r>
        <w:rPr>
          <w:rFonts w:hint="eastAsia"/>
          <w:color w:val="auto"/>
          <w:sz w:val="21"/>
          <w:szCs w:val="21"/>
          <w:highlight w:val="none"/>
        </w:rPr>
        <w:drawing>
          <wp:inline distT="0" distB="0" distL="0" distR="0">
            <wp:extent cx="3413760" cy="1996440"/>
            <wp:effectExtent l="0" t="0" r="2540" b="10160"/>
            <wp:docPr id="1081754648" name="图片 6" descr="00d8619431d1865b3bef04e4dc58b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754648" name="图片 6" descr="00d8619431d1865b3bef04e4dc58b6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413760" cy="1996440"/>
                    </a:xfrm>
                    <a:prstGeom prst="rect">
                      <a:avLst/>
                    </a:prstGeom>
                    <a:noFill/>
                    <a:ln>
                      <a:noFill/>
                    </a:ln>
                  </pic:spPr>
                </pic:pic>
              </a:graphicData>
            </a:graphic>
          </wp:inline>
        </w:drawing>
      </w:r>
    </w:p>
    <w:p>
      <w:pPr>
        <w:ind w:left="0" w:leftChars="0" w:firstLine="0" w:firstLineChars="0"/>
        <w:jc w:val="center"/>
        <w:rPr>
          <w:color w:val="auto"/>
          <w:sz w:val="21"/>
          <w:szCs w:val="21"/>
          <w:highlight w:val="none"/>
        </w:rPr>
      </w:pPr>
      <w:r>
        <w:rPr>
          <w:rFonts w:hint="eastAsia"/>
          <w:color w:val="auto"/>
          <w:sz w:val="21"/>
          <w:szCs w:val="21"/>
          <w:highlight w:val="none"/>
        </w:rPr>
        <w:t>图12.</w:t>
      </w:r>
      <w:r>
        <w:rPr>
          <w:rFonts w:hint="eastAsia"/>
          <w:color w:val="auto"/>
          <w:sz w:val="21"/>
          <w:szCs w:val="21"/>
          <w:highlight w:val="none"/>
          <w:lang w:val="en-US" w:eastAsia="zh-CN"/>
        </w:rPr>
        <w:t>3</w:t>
      </w:r>
      <w:r>
        <w:rPr>
          <w:rFonts w:hint="eastAsia"/>
          <w:color w:val="auto"/>
          <w:sz w:val="21"/>
          <w:szCs w:val="21"/>
          <w:highlight w:val="none"/>
        </w:rPr>
        <w:t>.</w:t>
      </w:r>
      <w:r>
        <w:rPr>
          <w:rFonts w:hint="eastAsia"/>
          <w:color w:val="auto"/>
          <w:sz w:val="21"/>
          <w:szCs w:val="21"/>
          <w:highlight w:val="none"/>
          <w:lang w:val="en-US" w:eastAsia="zh-CN"/>
        </w:rPr>
        <w:t>3</w:t>
      </w:r>
      <w:r>
        <w:rPr>
          <w:rFonts w:hint="eastAsia"/>
          <w:color w:val="auto"/>
          <w:sz w:val="21"/>
          <w:szCs w:val="21"/>
          <w:highlight w:val="none"/>
        </w:rPr>
        <w:t>-6</w:t>
      </w:r>
      <w:r>
        <w:rPr>
          <w:rFonts w:hint="eastAsia"/>
          <w:color w:val="auto"/>
          <w:sz w:val="21"/>
          <w:szCs w:val="21"/>
          <w:highlight w:val="none"/>
          <w:lang w:val="en-US" w:eastAsia="zh-CN"/>
        </w:rPr>
        <w:t xml:space="preserve">  </w:t>
      </w:r>
      <w:r>
        <w:rPr>
          <w:rFonts w:hint="eastAsia"/>
          <w:color w:val="auto"/>
          <w:sz w:val="21"/>
          <w:szCs w:val="21"/>
          <w:highlight w:val="none"/>
        </w:rPr>
        <w:t>场地自行车场场地照度检测网格点布置图</w:t>
      </w:r>
    </w:p>
    <w:p>
      <w:pPr>
        <w:ind w:left="0" w:leftChars="0" w:firstLine="420" w:firstLineChars="200"/>
        <w:jc w:val="center"/>
        <w:rPr>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rPr>
        <w:t>比赛车道；2</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rPr>
        <w:t>安全车道；3</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rPr>
        <w:t>内场水平面</w:t>
      </w:r>
    </w:p>
    <w:p>
      <w:pPr>
        <w:rPr>
          <w:color w:val="auto"/>
          <w:sz w:val="21"/>
          <w:szCs w:val="21"/>
          <w:highlight w:val="none"/>
        </w:rPr>
      </w:pPr>
    </w:p>
    <w:p>
      <w:pPr>
        <w:ind w:firstLine="632" w:firstLineChars="300"/>
        <w:rPr>
          <w:color w:val="auto"/>
          <w:sz w:val="21"/>
          <w:szCs w:val="21"/>
          <w:highlight w:val="none"/>
        </w:rPr>
      </w:pPr>
      <w:r>
        <w:rPr>
          <w:rFonts w:hint="eastAsia" w:ascii="宋体" w:hAnsi="宋体" w:eastAsia="宋体" w:cs="宋体"/>
          <w:b/>
          <w:bCs/>
          <w:color w:val="auto"/>
          <w:sz w:val="21"/>
          <w:szCs w:val="21"/>
          <w:highlight w:val="none"/>
          <w:lang w:val="en-US" w:eastAsia="zh-CN"/>
        </w:rPr>
        <w:t xml:space="preserve">7） </w:t>
      </w:r>
      <w:r>
        <w:rPr>
          <w:rFonts w:hint="eastAsia"/>
          <w:color w:val="auto"/>
          <w:sz w:val="21"/>
          <w:szCs w:val="21"/>
          <w:highlight w:val="none"/>
        </w:rPr>
        <w:t>棒球场场地照度检测网格点可按图12.</w:t>
      </w:r>
      <w:r>
        <w:rPr>
          <w:rFonts w:hint="eastAsia"/>
          <w:color w:val="auto"/>
          <w:sz w:val="21"/>
          <w:szCs w:val="21"/>
          <w:highlight w:val="none"/>
          <w:lang w:val="en-US" w:eastAsia="zh-CN"/>
        </w:rPr>
        <w:t>3</w:t>
      </w:r>
      <w:r>
        <w:rPr>
          <w:rFonts w:hint="eastAsia"/>
          <w:color w:val="auto"/>
          <w:sz w:val="21"/>
          <w:szCs w:val="21"/>
          <w:highlight w:val="none"/>
        </w:rPr>
        <w:t>.</w:t>
      </w:r>
      <w:r>
        <w:rPr>
          <w:rFonts w:hint="eastAsia"/>
          <w:color w:val="auto"/>
          <w:sz w:val="21"/>
          <w:szCs w:val="21"/>
          <w:highlight w:val="none"/>
          <w:lang w:val="en-US" w:eastAsia="zh-CN"/>
        </w:rPr>
        <w:t>3</w:t>
      </w:r>
      <w:r>
        <w:rPr>
          <w:rFonts w:hint="eastAsia"/>
          <w:color w:val="auto"/>
          <w:sz w:val="21"/>
          <w:szCs w:val="21"/>
          <w:highlight w:val="none"/>
        </w:rPr>
        <w:t>-7确定。</w:t>
      </w:r>
    </w:p>
    <w:p>
      <w:pPr>
        <w:jc w:val="center"/>
        <w:rPr>
          <w:color w:val="auto"/>
          <w:sz w:val="21"/>
          <w:szCs w:val="21"/>
          <w:highlight w:val="none"/>
        </w:rPr>
      </w:pPr>
      <w:r>
        <w:rPr>
          <w:rFonts w:hint="eastAsia"/>
          <w:color w:val="auto"/>
          <w:sz w:val="21"/>
          <w:szCs w:val="21"/>
          <w:highlight w:val="none"/>
        </w:rPr>
        <w:drawing>
          <wp:inline distT="0" distB="0" distL="0" distR="0">
            <wp:extent cx="2524125" cy="2926080"/>
            <wp:effectExtent l="0" t="0" r="3175" b="7620"/>
            <wp:docPr id="698702059" name="图片 5" descr="632535f1b6ba72c3701addc32556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702059" name="图片 5" descr="632535f1b6ba72c3701addc3255652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24125" cy="2926080"/>
                    </a:xfrm>
                    <a:prstGeom prst="rect">
                      <a:avLst/>
                    </a:prstGeom>
                    <a:noFill/>
                    <a:ln>
                      <a:noFill/>
                    </a:ln>
                  </pic:spPr>
                </pic:pic>
              </a:graphicData>
            </a:graphic>
          </wp:inline>
        </w:drawing>
      </w:r>
    </w:p>
    <w:p>
      <w:pPr>
        <w:ind w:left="0" w:leftChars="0" w:firstLine="0" w:firstLineChars="0"/>
        <w:jc w:val="center"/>
        <w:rPr>
          <w:color w:val="auto"/>
          <w:sz w:val="21"/>
          <w:szCs w:val="21"/>
          <w:highlight w:val="none"/>
        </w:rPr>
      </w:pPr>
      <w:r>
        <w:rPr>
          <w:rFonts w:hint="eastAsia"/>
          <w:color w:val="auto"/>
          <w:sz w:val="21"/>
          <w:szCs w:val="21"/>
          <w:highlight w:val="none"/>
        </w:rPr>
        <w:t>图12.</w:t>
      </w:r>
      <w:r>
        <w:rPr>
          <w:rFonts w:hint="eastAsia"/>
          <w:color w:val="auto"/>
          <w:sz w:val="21"/>
          <w:szCs w:val="21"/>
          <w:highlight w:val="none"/>
          <w:lang w:val="en-US" w:eastAsia="zh-CN"/>
        </w:rPr>
        <w:t>3</w:t>
      </w:r>
      <w:r>
        <w:rPr>
          <w:rFonts w:hint="eastAsia"/>
          <w:color w:val="auto"/>
          <w:sz w:val="21"/>
          <w:szCs w:val="21"/>
          <w:highlight w:val="none"/>
        </w:rPr>
        <w:t>.</w:t>
      </w:r>
      <w:r>
        <w:rPr>
          <w:rFonts w:hint="eastAsia"/>
          <w:color w:val="auto"/>
          <w:sz w:val="21"/>
          <w:szCs w:val="21"/>
          <w:highlight w:val="none"/>
          <w:lang w:val="en-US" w:eastAsia="zh-CN"/>
        </w:rPr>
        <w:t>3</w:t>
      </w:r>
      <w:r>
        <w:rPr>
          <w:rFonts w:hint="eastAsia"/>
          <w:color w:val="auto"/>
          <w:sz w:val="21"/>
          <w:szCs w:val="21"/>
          <w:highlight w:val="none"/>
        </w:rPr>
        <w:t xml:space="preserve">-7 </w:t>
      </w:r>
      <w:r>
        <w:rPr>
          <w:rFonts w:hint="eastAsia"/>
          <w:color w:val="auto"/>
          <w:sz w:val="21"/>
          <w:szCs w:val="21"/>
          <w:highlight w:val="none"/>
          <w:lang w:val="en-US" w:eastAsia="zh-CN"/>
        </w:rPr>
        <w:t xml:space="preserve">  </w:t>
      </w:r>
      <w:r>
        <w:rPr>
          <w:rFonts w:hint="eastAsia"/>
          <w:color w:val="auto"/>
          <w:sz w:val="21"/>
          <w:szCs w:val="21"/>
          <w:highlight w:val="none"/>
        </w:rPr>
        <w:t>棒球场场地照度检测网格点布置图</w:t>
      </w:r>
    </w:p>
    <w:p>
      <w:pPr>
        <w:ind w:firstLine="420" w:firstLineChars="200"/>
        <w:jc w:val="center"/>
        <w:rPr>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rPr>
        <w:t>内场网格；2</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rPr>
        <w:t>边界；3</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rPr>
        <w:t>警告线；4</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rPr>
        <w:t>围栏</w:t>
      </w:r>
    </w:p>
    <w:p>
      <w:pPr>
        <w:rPr>
          <w:color w:val="auto"/>
          <w:sz w:val="21"/>
          <w:szCs w:val="21"/>
          <w:highlight w:val="none"/>
        </w:rPr>
      </w:pPr>
    </w:p>
    <w:p>
      <w:pPr>
        <w:ind w:firstLine="632" w:firstLineChars="300"/>
        <w:rPr>
          <w:color w:val="auto"/>
          <w:sz w:val="21"/>
          <w:szCs w:val="21"/>
          <w:highlight w:val="none"/>
        </w:rPr>
      </w:pP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 xml:space="preserve"> </w:t>
      </w:r>
      <w:r>
        <w:rPr>
          <w:rFonts w:hint="eastAsia"/>
          <w:color w:val="auto"/>
          <w:sz w:val="21"/>
          <w:szCs w:val="21"/>
          <w:highlight w:val="none"/>
        </w:rPr>
        <w:t>垒球场场地照度检测网格点可按图12.</w:t>
      </w:r>
      <w:r>
        <w:rPr>
          <w:rFonts w:hint="eastAsia"/>
          <w:color w:val="auto"/>
          <w:sz w:val="21"/>
          <w:szCs w:val="21"/>
          <w:highlight w:val="none"/>
          <w:lang w:val="en-US" w:eastAsia="zh-CN"/>
        </w:rPr>
        <w:t>3</w:t>
      </w:r>
      <w:r>
        <w:rPr>
          <w:rFonts w:hint="eastAsia"/>
          <w:color w:val="auto"/>
          <w:sz w:val="21"/>
          <w:szCs w:val="21"/>
          <w:highlight w:val="none"/>
        </w:rPr>
        <w:t>.</w:t>
      </w:r>
      <w:r>
        <w:rPr>
          <w:rFonts w:hint="eastAsia"/>
          <w:color w:val="auto"/>
          <w:sz w:val="21"/>
          <w:szCs w:val="21"/>
          <w:highlight w:val="none"/>
          <w:lang w:val="en-US" w:eastAsia="zh-CN"/>
        </w:rPr>
        <w:t>3</w:t>
      </w:r>
      <w:r>
        <w:rPr>
          <w:rFonts w:hint="eastAsia"/>
          <w:color w:val="auto"/>
          <w:sz w:val="21"/>
          <w:szCs w:val="21"/>
          <w:highlight w:val="none"/>
        </w:rPr>
        <w:t>-8确定。</w:t>
      </w:r>
    </w:p>
    <w:p>
      <w:pPr>
        <w:jc w:val="center"/>
        <w:rPr>
          <w:color w:val="auto"/>
          <w:sz w:val="21"/>
          <w:szCs w:val="21"/>
          <w:highlight w:val="none"/>
        </w:rPr>
      </w:pPr>
      <w:r>
        <w:rPr>
          <w:color w:val="auto"/>
          <w:sz w:val="21"/>
          <w:szCs w:val="21"/>
          <w:highlight w:val="none"/>
        </w:rPr>
        <w:drawing>
          <wp:inline distT="0" distB="0" distL="0" distR="0">
            <wp:extent cx="2598420" cy="3009900"/>
            <wp:effectExtent l="0" t="0" r="5080" b="0"/>
            <wp:docPr id="845170536" name="图片 4" descr="632535f1b6ba72c3701addc32556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170536" name="图片 4" descr="632535f1b6ba72c3701addc3255652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98420" cy="3009900"/>
                    </a:xfrm>
                    <a:prstGeom prst="rect">
                      <a:avLst/>
                    </a:prstGeom>
                    <a:noFill/>
                    <a:ln>
                      <a:noFill/>
                    </a:ln>
                  </pic:spPr>
                </pic:pic>
              </a:graphicData>
            </a:graphic>
          </wp:inline>
        </w:drawing>
      </w:r>
    </w:p>
    <w:p>
      <w:pPr>
        <w:ind w:left="0" w:leftChars="0" w:firstLine="0" w:firstLineChars="0"/>
        <w:jc w:val="center"/>
        <w:rPr>
          <w:rFonts w:hint="eastAsia"/>
          <w:color w:val="auto"/>
          <w:sz w:val="21"/>
          <w:szCs w:val="21"/>
          <w:highlight w:val="none"/>
        </w:rPr>
      </w:pPr>
      <w:r>
        <w:rPr>
          <w:rFonts w:hint="eastAsia"/>
          <w:color w:val="auto"/>
          <w:sz w:val="21"/>
          <w:szCs w:val="21"/>
          <w:highlight w:val="none"/>
        </w:rPr>
        <w:t>图12.</w:t>
      </w:r>
      <w:r>
        <w:rPr>
          <w:rFonts w:hint="eastAsia"/>
          <w:color w:val="auto"/>
          <w:sz w:val="21"/>
          <w:szCs w:val="21"/>
          <w:highlight w:val="none"/>
          <w:lang w:val="en-US" w:eastAsia="zh-CN"/>
        </w:rPr>
        <w:t>3</w:t>
      </w:r>
      <w:r>
        <w:rPr>
          <w:rFonts w:hint="eastAsia"/>
          <w:color w:val="auto"/>
          <w:sz w:val="21"/>
          <w:szCs w:val="21"/>
          <w:highlight w:val="none"/>
        </w:rPr>
        <w:t>.</w:t>
      </w:r>
      <w:r>
        <w:rPr>
          <w:rFonts w:hint="eastAsia"/>
          <w:color w:val="auto"/>
          <w:sz w:val="21"/>
          <w:szCs w:val="21"/>
          <w:highlight w:val="none"/>
          <w:lang w:val="en-US" w:eastAsia="zh-CN"/>
        </w:rPr>
        <w:t>3</w:t>
      </w:r>
      <w:r>
        <w:rPr>
          <w:rFonts w:hint="eastAsia"/>
          <w:color w:val="auto"/>
          <w:sz w:val="21"/>
          <w:szCs w:val="21"/>
          <w:highlight w:val="none"/>
        </w:rPr>
        <w:t xml:space="preserve">-8 </w:t>
      </w:r>
      <w:r>
        <w:rPr>
          <w:rFonts w:hint="eastAsia"/>
          <w:color w:val="auto"/>
          <w:sz w:val="21"/>
          <w:szCs w:val="21"/>
          <w:highlight w:val="none"/>
          <w:lang w:val="en-US" w:eastAsia="zh-CN"/>
        </w:rPr>
        <w:t xml:space="preserve">  </w:t>
      </w:r>
      <w:r>
        <w:rPr>
          <w:rFonts w:hint="eastAsia"/>
          <w:color w:val="auto"/>
          <w:sz w:val="21"/>
          <w:szCs w:val="21"/>
          <w:highlight w:val="none"/>
        </w:rPr>
        <w:t>垒球场场地照度检测网格点布置图</w:t>
      </w:r>
    </w:p>
    <w:p>
      <w:pPr>
        <w:ind w:firstLine="420" w:firstLineChars="200"/>
        <w:jc w:val="center"/>
        <w:rPr>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rPr>
        <w:t>内场网格</w:t>
      </w:r>
    </w:p>
    <w:p>
      <w:pPr>
        <w:rPr>
          <w:color w:val="auto"/>
          <w:sz w:val="21"/>
          <w:szCs w:val="21"/>
          <w:highlight w:val="none"/>
        </w:rPr>
      </w:pPr>
    </w:p>
    <w:p>
      <w:pPr>
        <w:ind w:firstLine="422" w:firstLineChars="20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水平照度和垂直照度应按中心点法（图12.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）进行检测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应符合下列规定：</w:t>
      </w:r>
    </w:p>
    <w:p>
      <w:pPr>
        <w:numPr>
          <w:ilvl w:val="0"/>
          <w:numId w:val="5"/>
        </w:numPr>
        <w:ind w:firstLine="630" w:firstLineChars="3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检测点应布置在每个网格的中心点上。</w:t>
      </w:r>
    </w:p>
    <w:p>
      <w:pPr>
        <w:numPr>
          <w:ilvl w:val="0"/>
          <w:numId w:val="5"/>
        </w:numPr>
        <w:ind w:left="1058" w:leftChars="300" w:hanging="428" w:hangingChars="204"/>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检测水平照度时，光电接收器应平放在场地上方的水平面上，检测时在场人员必须远离光电接收器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应保证其上无任何阴影。</w:t>
      </w:r>
    </w:p>
    <w:p>
      <w:pPr>
        <w:numPr>
          <w:ilvl w:val="0"/>
          <w:numId w:val="5"/>
        </w:numPr>
        <w:ind w:left="1058" w:leftChars="300" w:hanging="428" w:hangingChars="204"/>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检测主摄像机垂直照度时（图12.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-9），光电接收面的法线方向应对准摄像机镜头的光轴，检测高度可取1.5m。检测辅摄像机垂直照度时（图12.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-10），可在网格上检测与四条边线平行的垂直面上的照度，检测高度可取1m。检测时应排除对光电接收器的任何遮挡。</w:t>
      </w:r>
    </w:p>
    <w:p>
      <w:pPr>
        <w:jc w:val="center"/>
        <w:rPr>
          <w:color w:val="auto"/>
          <w:sz w:val="21"/>
          <w:szCs w:val="21"/>
          <w:highlight w:val="none"/>
        </w:rPr>
      </w:pPr>
      <w:r>
        <w:rPr>
          <w:rFonts w:hint="eastAsia"/>
          <w:color w:val="auto"/>
          <w:sz w:val="21"/>
          <w:szCs w:val="21"/>
          <w:highlight w:val="none"/>
        </w:rPr>
        <w:drawing>
          <wp:inline distT="0" distB="0" distL="0" distR="0">
            <wp:extent cx="2628900" cy="1813560"/>
            <wp:effectExtent l="0" t="0" r="0" b="2540"/>
            <wp:docPr id="1636217569" name="图片 3" descr="735553fbd793fdff66ece85bf8934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17569" name="图片 3" descr="735553fbd793fdff66ece85bf8934d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628900" cy="1813560"/>
                    </a:xfrm>
                    <a:prstGeom prst="rect">
                      <a:avLst/>
                    </a:prstGeom>
                    <a:noFill/>
                    <a:ln>
                      <a:noFill/>
                    </a:ln>
                  </pic:spPr>
                </pic:pic>
              </a:graphicData>
            </a:graphic>
          </wp:inline>
        </w:drawing>
      </w:r>
    </w:p>
    <w:p>
      <w:pPr>
        <w:jc w:val="center"/>
        <w:rPr>
          <w:color w:val="auto"/>
          <w:sz w:val="21"/>
          <w:szCs w:val="21"/>
          <w:highlight w:val="none"/>
        </w:rPr>
      </w:pPr>
      <w:r>
        <w:rPr>
          <w:rFonts w:hint="eastAsia"/>
          <w:color w:val="auto"/>
          <w:sz w:val="21"/>
          <w:szCs w:val="21"/>
          <w:highlight w:val="none"/>
        </w:rPr>
        <w:t>图12.</w:t>
      </w:r>
      <w:r>
        <w:rPr>
          <w:rFonts w:hint="eastAsia"/>
          <w:color w:val="auto"/>
          <w:sz w:val="21"/>
          <w:szCs w:val="21"/>
          <w:highlight w:val="none"/>
          <w:lang w:val="en-US" w:eastAsia="zh-CN"/>
        </w:rPr>
        <w:t>3</w:t>
      </w:r>
      <w:r>
        <w:rPr>
          <w:color w:val="auto"/>
          <w:sz w:val="21"/>
          <w:szCs w:val="21"/>
          <w:highlight w:val="none"/>
        </w:rPr>
        <w:t>.</w:t>
      </w:r>
      <w:r>
        <w:rPr>
          <w:rFonts w:hint="eastAsia"/>
          <w:color w:val="auto"/>
          <w:sz w:val="21"/>
          <w:szCs w:val="21"/>
          <w:highlight w:val="none"/>
          <w:lang w:val="en-US" w:eastAsia="zh-CN"/>
        </w:rPr>
        <w:t>3</w:t>
      </w:r>
      <w:r>
        <w:rPr>
          <w:color w:val="auto"/>
          <w:sz w:val="21"/>
          <w:szCs w:val="21"/>
          <w:highlight w:val="none"/>
        </w:rPr>
        <w:t xml:space="preserve">-9 </w:t>
      </w:r>
      <w:r>
        <w:rPr>
          <w:rFonts w:hint="eastAsia"/>
          <w:color w:val="auto"/>
          <w:sz w:val="21"/>
          <w:szCs w:val="21"/>
          <w:highlight w:val="none"/>
          <w:lang w:val="en-US" w:eastAsia="zh-CN"/>
        </w:rPr>
        <w:t xml:space="preserve">  </w:t>
      </w:r>
      <w:r>
        <w:rPr>
          <w:rFonts w:hint="eastAsia"/>
          <w:color w:val="auto"/>
          <w:sz w:val="21"/>
          <w:szCs w:val="21"/>
          <w:highlight w:val="none"/>
        </w:rPr>
        <w:t>主摄像机垂直照度检测示意图</w:t>
      </w:r>
    </w:p>
    <w:p>
      <w:pPr>
        <w:jc w:val="center"/>
        <w:rPr>
          <w:color w:val="auto"/>
          <w:sz w:val="21"/>
          <w:szCs w:val="21"/>
          <w:highlight w:val="none"/>
        </w:rPr>
      </w:pPr>
      <w:r>
        <w:rPr>
          <w:rFonts w:hint="eastAsia"/>
          <w:color w:val="auto"/>
          <w:sz w:val="21"/>
          <w:szCs w:val="21"/>
          <w:highlight w:val="none"/>
        </w:rPr>
        <w:drawing>
          <wp:inline distT="0" distB="0" distL="0" distR="0">
            <wp:extent cx="2407920" cy="1851660"/>
            <wp:effectExtent l="0" t="0" r="5080" b="2540"/>
            <wp:docPr id="396778946" name="图片 2" descr="8aac7b380aa12cf027f27e38b25ac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778946" name="图片 2" descr="8aac7b380aa12cf027f27e38b25ac2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407920" cy="1851660"/>
                    </a:xfrm>
                    <a:prstGeom prst="rect">
                      <a:avLst/>
                    </a:prstGeom>
                    <a:noFill/>
                    <a:ln>
                      <a:noFill/>
                    </a:ln>
                    <a:effectLst/>
                  </pic:spPr>
                </pic:pic>
              </a:graphicData>
            </a:graphic>
          </wp:inline>
        </w:drawing>
      </w:r>
    </w:p>
    <w:p>
      <w:pPr>
        <w:rPr>
          <w:color w:val="auto"/>
          <w:sz w:val="21"/>
          <w:szCs w:val="21"/>
          <w:highlight w:val="none"/>
        </w:rPr>
      </w:pPr>
    </w:p>
    <w:p>
      <w:pPr>
        <w:jc w:val="center"/>
        <w:rPr>
          <w:color w:val="auto"/>
          <w:sz w:val="21"/>
          <w:szCs w:val="21"/>
          <w:highlight w:val="none"/>
        </w:rPr>
      </w:pPr>
      <w:r>
        <w:rPr>
          <w:rFonts w:hint="eastAsia"/>
          <w:color w:val="auto"/>
          <w:sz w:val="21"/>
          <w:szCs w:val="21"/>
          <w:highlight w:val="none"/>
        </w:rPr>
        <w:t>图12.</w:t>
      </w:r>
      <w:r>
        <w:rPr>
          <w:rFonts w:hint="eastAsia"/>
          <w:color w:val="auto"/>
          <w:sz w:val="21"/>
          <w:szCs w:val="21"/>
          <w:highlight w:val="none"/>
          <w:lang w:val="en-US" w:eastAsia="zh-CN"/>
        </w:rPr>
        <w:t>3</w:t>
      </w:r>
      <w:r>
        <w:rPr>
          <w:color w:val="auto"/>
          <w:sz w:val="21"/>
          <w:szCs w:val="21"/>
          <w:highlight w:val="none"/>
        </w:rPr>
        <w:t>.</w:t>
      </w:r>
      <w:r>
        <w:rPr>
          <w:rFonts w:hint="eastAsia"/>
          <w:color w:val="auto"/>
          <w:sz w:val="21"/>
          <w:szCs w:val="21"/>
          <w:highlight w:val="none"/>
          <w:lang w:val="en-US" w:eastAsia="zh-CN"/>
        </w:rPr>
        <w:t>3</w:t>
      </w:r>
      <w:r>
        <w:rPr>
          <w:color w:val="auto"/>
          <w:sz w:val="21"/>
          <w:szCs w:val="21"/>
          <w:highlight w:val="none"/>
        </w:rPr>
        <w:t xml:space="preserve">-10 </w:t>
      </w:r>
      <w:r>
        <w:rPr>
          <w:rFonts w:hint="eastAsia"/>
          <w:color w:val="auto"/>
          <w:sz w:val="21"/>
          <w:szCs w:val="21"/>
          <w:highlight w:val="none"/>
          <w:lang w:val="en-US" w:eastAsia="zh-CN"/>
        </w:rPr>
        <w:t xml:space="preserve">  </w:t>
      </w:r>
      <w:r>
        <w:rPr>
          <w:rFonts w:hint="eastAsia"/>
          <w:color w:val="auto"/>
          <w:sz w:val="21"/>
          <w:szCs w:val="21"/>
          <w:highlight w:val="none"/>
        </w:rPr>
        <w:t>辅摄像机垂直照度检测示意图</w:t>
      </w:r>
    </w:p>
    <w:p>
      <w:pPr>
        <w:ind w:firstLine="422" w:firstLineChars="20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3</w:t>
      </w:r>
      <w:r>
        <w:rPr>
          <w:rFonts w:hint="eastAsia" w:ascii="宋体" w:hAnsi="宋体" w:eastAsia="宋体" w:cs="宋体"/>
          <w:color w:val="auto"/>
          <w:sz w:val="21"/>
          <w:szCs w:val="21"/>
          <w:highlight w:val="none"/>
        </w:rPr>
        <w:t>照度应在规定的比赛场地上进行检测，照明装置轴线对称或完全对称布置的场地，可只测1/2或1/4场地。照度计算和检测网格可按</w:t>
      </w:r>
      <w:r>
        <w:rPr>
          <w:rFonts w:hint="eastAsia" w:ascii="宋体" w:hAnsi="宋体" w:eastAsia="宋体" w:cs="宋体"/>
          <w:color w:val="auto"/>
          <w:sz w:val="21"/>
          <w:szCs w:val="21"/>
          <w:highlight w:val="none"/>
          <w:lang w:val="en-US" w:eastAsia="zh-CN"/>
        </w:rPr>
        <w:t>附录B</w:t>
      </w:r>
      <w:r>
        <w:rPr>
          <w:rFonts w:hint="eastAsia" w:ascii="宋体" w:hAnsi="宋体" w:eastAsia="宋体" w:cs="宋体"/>
          <w:color w:val="auto"/>
          <w:sz w:val="21"/>
          <w:szCs w:val="21"/>
          <w:highlight w:val="none"/>
        </w:rPr>
        <w:t>的规定确定。</w:t>
      </w:r>
    </w:p>
    <w:p>
      <w:pPr>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 xml:space="preserve">12.3.4  </w:t>
      </w:r>
      <w:r>
        <w:rPr>
          <w:rFonts w:hint="eastAsia" w:ascii="宋体" w:hAnsi="宋体" w:eastAsia="宋体" w:cs="宋体"/>
          <w:color w:val="auto"/>
          <w:sz w:val="21"/>
          <w:szCs w:val="21"/>
          <w:highlight w:val="none"/>
        </w:rPr>
        <w:t>功率密度值检测方</w:t>
      </w:r>
      <w:r>
        <w:rPr>
          <w:rFonts w:hint="eastAsia" w:ascii="宋体" w:hAnsi="宋体" w:eastAsia="宋体" w:cs="宋体"/>
          <w:color w:val="auto"/>
          <w:sz w:val="21"/>
          <w:szCs w:val="21"/>
          <w:highlight w:val="none"/>
          <w:lang w:val="en-US" w:eastAsia="zh-CN"/>
        </w:rPr>
        <w:t>应符合下列规定：</w:t>
      </w:r>
    </w:p>
    <w:p>
      <w:pPr>
        <w:ind w:firstLine="422" w:firstLineChars="200"/>
        <w:rPr>
          <w:rFonts w:ascii="宋体" w:hAnsi="宋体" w:eastAsia="宋体" w:cs="宋体"/>
          <w:color w:val="auto"/>
          <w:sz w:val="21"/>
          <w:szCs w:val="21"/>
          <w:highlight w:val="none"/>
        </w:rPr>
      </w:pPr>
      <w:r>
        <w:rPr>
          <w:rFonts w:ascii="宋体" w:hAnsi="宋体" w:eastAsia="宋体" w:cs="宋体"/>
          <w:b/>
          <w:bCs/>
          <w:color w:val="auto"/>
          <w:sz w:val="21"/>
          <w:szCs w:val="21"/>
          <w:highlight w:val="none"/>
        </w:rPr>
        <w:t xml:space="preserve">1 </w:t>
      </w:r>
      <w:r>
        <w:rPr>
          <w:rFonts w:hint="eastAsia" w:ascii="宋体" w:hAnsi="宋体" w:eastAsia="宋体" w:cs="宋体"/>
          <w:b/>
          <w:bCs/>
          <w:color w:val="auto"/>
          <w:sz w:val="21"/>
          <w:szCs w:val="21"/>
          <w:highlight w:val="none"/>
          <w:lang w:val="en-US" w:eastAsia="zh-CN"/>
        </w:rPr>
        <w:t xml:space="preserve"> </w:t>
      </w:r>
      <w:r>
        <w:rPr>
          <w:rFonts w:ascii="宋体" w:hAnsi="宋体" w:eastAsia="宋体" w:cs="宋体"/>
          <w:color w:val="auto"/>
          <w:sz w:val="21"/>
          <w:szCs w:val="21"/>
          <w:highlight w:val="none"/>
        </w:rPr>
        <w:t>照明总功率或电能量的测量</w:t>
      </w:r>
      <w:r>
        <w:rPr>
          <w:rFonts w:hint="eastAsia" w:ascii="宋体" w:hAnsi="宋体" w:eastAsia="宋体" w:cs="宋体"/>
          <w:color w:val="auto"/>
          <w:sz w:val="21"/>
          <w:szCs w:val="21"/>
          <w:highlight w:val="none"/>
        </w:rPr>
        <w:t>检测</w:t>
      </w:r>
      <w:r>
        <w:rPr>
          <w:rFonts w:hint="eastAsia" w:ascii="宋体" w:hAnsi="宋体" w:eastAsia="宋体" w:cs="宋体"/>
          <w:color w:val="auto"/>
          <w:sz w:val="21"/>
          <w:szCs w:val="21"/>
          <w:highlight w:val="none"/>
          <w:lang w:val="en-US" w:eastAsia="zh-CN"/>
        </w:rPr>
        <w:t>应符合下列规定：</w:t>
      </w:r>
    </w:p>
    <w:p>
      <w:pPr>
        <w:numPr>
          <w:ilvl w:val="0"/>
          <w:numId w:val="6"/>
        </w:numPr>
        <w:ind w:firstLine="630" w:firstLineChars="3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供电回路中混有其他用电设备时</w:t>
      </w:r>
      <w:r>
        <w:rPr>
          <w:rFonts w:ascii="宋体" w:hAnsi="宋体" w:eastAsia="宋体" w:cs="宋体"/>
          <w:color w:val="auto"/>
          <w:sz w:val="21"/>
          <w:szCs w:val="21"/>
          <w:highlight w:val="none"/>
        </w:rPr>
        <w:t>,测量时应断开其他用电设备</w:t>
      </w:r>
      <w:r>
        <w:rPr>
          <w:rFonts w:hint="eastAsia" w:ascii="宋体" w:hAnsi="宋体" w:eastAsia="宋体" w:cs="宋体"/>
          <w:color w:val="auto"/>
          <w:sz w:val="21"/>
          <w:szCs w:val="21"/>
          <w:highlight w:val="none"/>
        </w:rPr>
        <w:t>；</w:t>
      </w:r>
    </w:p>
    <w:p>
      <w:pPr>
        <w:numPr>
          <w:ilvl w:val="0"/>
          <w:numId w:val="6"/>
        </w:numPr>
        <w:ind w:left="0" w:leftChars="0" w:firstLine="630" w:firstLineChars="300"/>
        <w:rPr>
          <w:rFonts w:hint="eastAsia" w:ascii="宋体" w:hAnsi="宋体" w:eastAsia="宋体" w:cs="宋体"/>
          <w:color w:val="auto"/>
          <w:sz w:val="21"/>
          <w:szCs w:val="21"/>
          <w:highlight w:val="none"/>
        </w:rPr>
      </w:pPr>
      <w:r>
        <w:rPr>
          <w:rFonts w:ascii="宋体" w:hAnsi="宋体" w:eastAsia="宋体" w:cs="宋体"/>
          <w:color w:val="auto"/>
          <w:sz w:val="21"/>
          <w:szCs w:val="21"/>
          <w:highlight w:val="none"/>
        </w:rPr>
        <w:t>当供电回路为多个房间或场所的照明系统供电时,各房间或场所照明系统的功率或电能量可根据其照明安装功率占线路总安装功率的比重,乘以回路的功率或电能量得到</w:t>
      </w:r>
      <w:r>
        <w:rPr>
          <w:rFonts w:hint="eastAsia" w:ascii="宋体" w:hAnsi="宋体" w:eastAsia="宋体" w:cs="宋体"/>
          <w:color w:val="auto"/>
          <w:sz w:val="21"/>
          <w:szCs w:val="21"/>
          <w:highlight w:val="none"/>
        </w:rPr>
        <w:t>；</w:t>
      </w:r>
    </w:p>
    <w:p>
      <w:pPr>
        <w:numPr>
          <w:ilvl w:val="0"/>
          <w:numId w:val="6"/>
        </w:numPr>
        <w:ind w:left="0" w:leftChars="0" w:firstLine="630" w:firstLineChars="300"/>
        <w:rPr>
          <w:rFonts w:ascii="宋体" w:hAnsi="宋体" w:eastAsia="宋体" w:cs="宋体"/>
          <w:color w:val="auto"/>
          <w:sz w:val="21"/>
          <w:szCs w:val="21"/>
          <w:highlight w:val="none"/>
        </w:rPr>
      </w:pPr>
      <w:r>
        <w:rPr>
          <w:rFonts w:ascii="宋体" w:hAnsi="宋体" w:eastAsia="宋体" w:cs="宋体"/>
          <w:color w:val="auto"/>
          <w:sz w:val="21"/>
          <w:szCs w:val="21"/>
          <w:highlight w:val="none"/>
        </w:rPr>
        <w:t>在上述测量方式无法实现时,可采用单灯法逐一测试房间或场所内单个或一组的灯具功率,再累加计算房间或场所的照明总功率或电能量。</w:t>
      </w:r>
    </w:p>
    <w:p>
      <w:pPr>
        <w:ind w:firstLine="422" w:firstLineChars="200"/>
        <w:rPr>
          <w:rFonts w:ascii="宋体" w:hAnsi="宋体" w:eastAsia="宋体" w:cs="宋体"/>
          <w:color w:val="auto"/>
          <w:sz w:val="21"/>
          <w:szCs w:val="21"/>
          <w:highlight w:val="none"/>
        </w:rPr>
      </w:pPr>
      <w:r>
        <w:rPr>
          <w:rFonts w:ascii="宋体" w:hAnsi="宋体" w:eastAsia="宋体" w:cs="宋体"/>
          <w:b/>
          <w:bCs/>
          <w:color w:val="auto"/>
          <w:sz w:val="21"/>
          <w:szCs w:val="21"/>
          <w:highlight w:val="none"/>
        </w:rPr>
        <w:t>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照明现场的电参数测量应包括</w:t>
      </w:r>
      <w:r>
        <w:rPr>
          <w:rFonts w:ascii="宋体" w:hAnsi="宋体" w:eastAsia="宋体" w:cs="宋体"/>
          <w:color w:val="auto"/>
          <w:sz w:val="21"/>
          <w:szCs w:val="21"/>
          <w:highlight w:val="none"/>
        </w:rPr>
        <w:t>:</w:t>
      </w:r>
    </w:p>
    <w:p>
      <w:pPr>
        <w:numPr>
          <w:ilvl w:val="0"/>
          <w:numId w:val="7"/>
        </w:numPr>
        <w:ind w:firstLine="630" w:firstLineChars="300"/>
        <w:rPr>
          <w:rFonts w:ascii="宋体" w:hAnsi="宋体" w:eastAsia="宋体" w:cs="宋体"/>
          <w:color w:val="auto"/>
          <w:sz w:val="21"/>
          <w:szCs w:val="21"/>
          <w:highlight w:val="none"/>
        </w:rPr>
      </w:pPr>
      <w:r>
        <w:rPr>
          <w:rFonts w:ascii="宋体" w:hAnsi="宋体" w:eastAsia="宋体" w:cs="宋体"/>
          <w:color w:val="auto"/>
          <w:sz w:val="21"/>
          <w:szCs w:val="21"/>
          <w:highlight w:val="none"/>
        </w:rPr>
        <w:t>单个照明灯具的电气参数,如工作电压及电流、输入功率、功率因数、谐波含量等</w:t>
      </w:r>
      <w:r>
        <w:rPr>
          <w:rFonts w:hint="eastAsia" w:ascii="宋体" w:hAnsi="宋体" w:eastAsia="宋体" w:cs="宋体"/>
          <w:color w:val="auto"/>
          <w:sz w:val="21"/>
          <w:szCs w:val="21"/>
          <w:highlight w:val="none"/>
        </w:rPr>
        <w:t>；</w:t>
      </w:r>
    </w:p>
    <w:p>
      <w:pPr>
        <w:numPr>
          <w:ilvl w:val="0"/>
          <w:numId w:val="7"/>
        </w:numPr>
        <w:ind w:left="1058" w:leftChars="300" w:hanging="428" w:hangingChars="204"/>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照明系统的电气参数</w:t>
      </w:r>
      <w:r>
        <w:rPr>
          <w:rFonts w:ascii="宋体" w:hAnsi="宋体" w:eastAsia="宋体" w:cs="宋体"/>
          <w:color w:val="auto"/>
          <w:sz w:val="21"/>
          <w:szCs w:val="21"/>
          <w:highlight w:val="none"/>
        </w:rPr>
        <w:t>,如电源电压、工作电流、线路压降、系统功率、功率因数、谐波含量等。</w:t>
      </w:r>
    </w:p>
    <w:p>
      <w:pPr>
        <w:ind w:firstLine="422" w:firstLineChars="200"/>
        <w:rPr>
          <w:rFonts w:hint="eastAsia" w:ascii="宋体" w:hAnsi="宋体" w:eastAsia="宋体" w:cs="宋体"/>
          <w:color w:val="auto"/>
          <w:sz w:val="21"/>
          <w:szCs w:val="21"/>
          <w:highlight w:val="none"/>
          <w:lang w:eastAsia="zh-CN"/>
        </w:rPr>
      </w:pPr>
      <w:r>
        <w:rPr>
          <w:rFonts w:ascii="宋体" w:hAnsi="宋体" w:eastAsia="宋体" w:cs="宋体"/>
          <w:b/>
          <w:bCs/>
          <w:color w:val="auto"/>
          <w:sz w:val="21"/>
          <w:szCs w:val="21"/>
          <w:highlight w:val="none"/>
        </w:rPr>
        <w:t>3</w:t>
      </w:r>
      <w:r>
        <w:rPr>
          <w:rFonts w:hint="eastAsia" w:ascii="宋体" w:hAnsi="宋体" w:eastAsia="宋体" w:cs="宋体"/>
          <w:color w:val="auto"/>
          <w:sz w:val="21"/>
          <w:szCs w:val="21"/>
          <w:highlight w:val="none"/>
          <w:lang w:val="en-US" w:eastAsia="zh-CN"/>
        </w:rPr>
        <w:t xml:space="preserve">  </w:t>
      </w:r>
      <w:r>
        <w:rPr>
          <w:rFonts w:ascii="宋体" w:hAnsi="宋体" w:eastAsia="宋体" w:cs="宋体"/>
          <w:color w:val="auto"/>
          <w:sz w:val="21"/>
          <w:szCs w:val="21"/>
          <w:highlight w:val="none"/>
        </w:rPr>
        <w:t>测量宜采用有记忆功能的数字式电气测量仪表</w:t>
      </w:r>
      <w:r>
        <w:rPr>
          <w:rFonts w:hint="eastAsia" w:ascii="宋体" w:hAnsi="宋体" w:eastAsia="宋体" w:cs="宋体"/>
          <w:color w:val="auto"/>
          <w:sz w:val="21"/>
          <w:szCs w:val="21"/>
          <w:highlight w:val="none"/>
        </w:rPr>
        <w:t>。</w:t>
      </w:r>
      <w:r>
        <w:rPr>
          <w:rFonts w:ascii="宋体" w:hAnsi="宋体" w:eastAsia="宋体" w:cs="宋体"/>
          <w:color w:val="auto"/>
          <w:sz w:val="21"/>
          <w:szCs w:val="21"/>
          <w:highlight w:val="none"/>
        </w:rPr>
        <w:t>单个照明灯具电参数的测量应采用量程适宜、功能满足要求的单相电气测量仪表</w:t>
      </w:r>
      <w:r>
        <w:rPr>
          <w:rFonts w:hint="eastAsia" w:ascii="宋体" w:hAnsi="宋体" w:eastAsia="宋体" w:cs="宋体"/>
          <w:color w:val="auto"/>
          <w:sz w:val="21"/>
          <w:szCs w:val="21"/>
          <w:highlight w:val="none"/>
          <w:lang w:eastAsia="zh-CN"/>
        </w:rPr>
        <w:t>；</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    </w:t>
      </w:r>
      <w:r>
        <w:rPr>
          <w:rFonts w:ascii="宋体" w:hAnsi="宋体" w:eastAsia="宋体" w:cs="宋体"/>
          <w:b/>
          <w:bCs/>
          <w:color w:val="auto"/>
          <w:sz w:val="21"/>
          <w:szCs w:val="21"/>
          <w:highlight w:val="none"/>
        </w:rPr>
        <w:t>4</w:t>
      </w:r>
      <w:r>
        <w:rPr>
          <w:rFonts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ascii="宋体" w:hAnsi="宋体" w:eastAsia="宋体" w:cs="宋体"/>
          <w:color w:val="auto"/>
          <w:sz w:val="21"/>
          <w:szCs w:val="21"/>
          <w:highlight w:val="none"/>
        </w:rPr>
        <w:t>照明系统的电参数的测量宜采用量程适宜、功能满足要求的三相测量仪表;也可采用单相电气测量仪表分别测量,再用分别测量数值计算出总的数值,作为照明系统电气参数数据</w:t>
      </w:r>
      <w:r>
        <w:rPr>
          <w:rFonts w:hint="eastAsia" w:ascii="宋体" w:hAnsi="宋体" w:eastAsia="宋体" w:cs="宋体"/>
          <w:color w:val="auto"/>
          <w:sz w:val="21"/>
          <w:szCs w:val="21"/>
          <w:highlight w:val="none"/>
          <w:lang w:eastAsia="zh-CN"/>
        </w:rPr>
        <w:t>；</w:t>
      </w:r>
    </w:p>
    <w:p>
      <w:pP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ascii="宋体" w:hAnsi="宋体" w:eastAsia="宋体" w:cs="宋体"/>
          <w:b/>
          <w:bCs/>
          <w:color w:val="auto"/>
          <w:sz w:val="21"/>
          <w:szCs w:val="21"/>
          <w:highlight w:val="none"/>
        </w:rPr>
        <w:t>5</w:t>
      </w:r>
      <w:r>
        <w:rPr>
          <w:rFonts w:hint="eastAsia" w:ascii="宋体" w:hAnsi="宋体" w:eastAsia="宋体" w:cs="宋体"/>
          <w:color w:val="auto"/>
          <w:sz w:val="21"/>
          <w:szCs w:val="21"/>
          <w:highlight w:val="none"/>
          <w:lang w:val="en-US" w:eastAsia="zh-CN"/>
        </w:rPr>
        <w:t xml:space="preserve">  </w:t>
      </w:r>
      <w:r>
        <w:rPr>
          <w:rFonts w:ascii="宋体" w:hAnsi="宋体" w:eastAsia="宋体" w:cs="宋体"/>
          <w:color w:val="auto"/>
          <w:sz w:val="21"/>
          <w:szCs w:val="21"/>
          <w:highlight w:val="none"/>
        </w:rPr>
        <w:t>当需要测量智能照明控制系统待机功耗时,应在照明控制系统设置为待机模式后5min进行监测,时间不应少于 10 min,采样间隔不应超过1s,当连续10 min内的功率变化</w:t>
      </w:r>
      <w:r>
        <w:rPr>
          <w:rFonts w:hint="eastAsia" w:ascii="宋体" w:hAnsi="宋体" w:eastAsia="宋体" w:cs="宋体"/>
          <w:color w:val="auto"/>
          <w:sz w:val="21"/>
          <w:szCs w:val="21"/>
          <w:highlight w:val="none"/>
        </w:rPr>
        <w:t>不超过</w:t>
      </w:r>
      <w:r>
        <w:rPr>
          <w:rFonts w:ascii="宋体" w:hAnsi="宋体" w:eastAsia="宋体" w:cs="宋体"/>
          <w:color w:val="auto"/>
          <w:sz w:val="21"/>
          <w:szCs w:val="21"/>
          <w:highlight w:val="none"/>
        </w:rPr>
        <w:t xml:space="preserve"> 1.7mW,或期间监测功率平均值的1%时,再连续监测不少于10min的平均功率即为被测照明系统的待机功率。</w:t>
      </w:r>
      <w:r>
        <w:rPr>
          <w:rFonts w:hint="eastAsia" w:ascii="宋体" w:hAnsi="宋体" w:eastAsia="宋体" w:cs="宋体"/>
          <w:color w:val="auto"/>
          <w:sz w:val="21"/>
          <w:szCs w:val="21"/>
          <w:highlight w:val="none"/>
          <w:lang w:val="en-US" w:eastAsia="zh-CN"/>
        </w:rPr>
        <w:t xml:space="preserve">   </w:t>
      </w:r>
    </w:p>
    <w:p>
      <w:pPr>
        <w:pStyle w:val="3"/>
        <w:jc w:val="center"/>
        <w:rPr>
          <w:rFonts w:ascii="宋体" w:hAnsi="宋体" w:eastAsia="宋体" w:cs="宋体"/>
          <w:color w:val="auto"/>
          <w:sz w:val="21"/>
          <w:szCs w:val="21"/>
          <w:highlight w:val="none"/>
        </w:rPr>
      </w:pPr>
      <w:bookmarkStart w:id="288" w:name="_Toc16057"/>
      <w:bookmarkStart w:id="289" w:name="_Toc8732"/>
      <w:bookmarkStart w:id="290" w:name="_Toc5203"/>
      <w:bookmarkStart w:id="291" w:name="_Toc2374"/>
      <w:bookmarkStart w:id="292" w:name="_Toc14771"/>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val="en-US" w:eastAsia="zh-CN"/>
        </w:rPr>
        <w:t xml:space="preserve">4  </w:t>
      </w:r>
      <w:r>
        <w:rPr>
          <w:rFonts w:hint="eastAsia" w:ascii="宋体" w:hAnsi="宋体" w:eastAsia="宋体" w:cs="宋体"/>
          <w:color w:val="auto"/>
          <w:sz w:val="21"/>
          <w:szCs w:val="21"/>
          <w:highlight w:val="none"/>
        </w:rPr>
        <w:t>检测结果</w:t>
      </w:r>
      <w:bookmarkEnd w:id="288"/>
      <w:r>
        <w:rPr>
          <w:rFonts w:hint="eastAsia" w:ascii="宋体" w:hAnsi="宋体" w:eastAsia="宋体" w:cs="宋体"/>
          <w:color w:val="auto"/>
          <w:sz w:val="21"/>
          <w:szCs w:val="21"/>
          <w:highlight w:val="none"/>
          <w:lang w:val="en-US" w:eastAsia="zh-CN"/>
        </w:rPr>
        <w:t>的评价</w:t>
      </w:r>
      <w:bookmarkEnd w:id="289"/>
      <w:bookmarkEnd w:id="290"/>
      <w:bookmarkEnd w:id="291"/>
      <w:bookmarkEnd w:id="292"/>
    </w:p>
    <w:p>
      <w:pPr>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 xml:space="preserve">12.4.1  </w:t>
      </w:r>
      <w:r>
        <w:rPr>
          <w:rFonts w:hint="eastAsia" w:ascii="宋体" w:hAnsi="宋体" w:eastAsia="宋体" w:cs="宋体"/>
          <w:color w:val="auto"/>
          <w:sz w:val="21"/>
          <w:szCs w:val="21"/>
          <w:highlight w:val="none"/>
        </w:rPr>
        <w:t>公共建筑、居住建筑及工业建筑平均照度</w:t>
      </w:r>
      <w:r>
        <w:rPr>
          <w:rFonts w:hint="eastAsia" w:ascii="宋体" w:hAnsi="宋体" w:eastAsia="宋体" w:cs="宋体"/>
          <w:color w:val="auto"/>
          <w:sz w:val="21"/>
          <w:szCs w:val="21"/>
          <w:highlight w:val="none"/>
          <w:lang w:val="en-US" w:eastAsia="zh-CN"/>
        </w:rPr>
        <w:t>应按下式计算</w:t>
      </w:r>
      <w:r>
        <w:rPr>
          <w:rFonts w:hint="eastAsia" w:ascii="宋体" w:hAnsi="宋体" w:eastAsia="宋体" w:cs="宋体"/>
          <w:color w:val="auto"/>
          <w:sz w:val="21"/>
          <w:szCs w:val="21"/>
          <w:highlight w:val="none"/>
        </w:rPr>
        <w:t>：</w:t>
      </w:r>
    </w:p>
    <w:p>
      <w:pPr>
        <w:jc w:val="right"/>
        <w:rPr>
          <w:rFonts w:hint="default" w:eastAsiaTheme="minorEastAsia"/>
          <w:color w:val="auto"/>
          <w:sz w:val="21"/>
          <w:szCs w:val="21"/>
          <w:highlight w:val="none"/>
          <w:lang w:val="en-US" w:eastAsia="zh-CN"/>
        </w:rPr>
      </w:pPr>
      <w:r>
        <w:rPr>
          <w:rFonts w:hint="eastAsia"/>
          <w:color w:val="auto"/>
          <w:sz w:val="21"/>
          <w:szCs w:val="21"/>
          <w:highlight w:val="none"/>
          <w:lang w:val="en-US" w:eastAsia="zh-CN"/>
        </w:rPr>
        <w:t xml:space="preserve">                                        </w:t>
      </w:r>
      <w:r>
        <w:rPr>
          <w:color w:val="auto"/>
          <w:sz w:val="21"/>
          <w:szCs w:val="21"/>
          <w:highlight w:val="none"/>
        </w:rPr>
        <w:drawing>
          <wp:inline distT="0" distB="0" distL="114300" distR="114300">
            <wp:extent cx="1150620" cy="434340"/>
            <wp:effectExtent l="0" t="0" r="5080" b="0"/>
            <wp:docPr id="6" name="图片 3"/>
            <wp:cNvGraphicFramePr/>
            <a:graphic xmlns:a="http://schemas.openxmlformats.org/drawingml/2006/main">
              <a:graphicData uri="http://schemas.openxmlformats.org/drawingml/2006/picture">
                <pic:pic xmlns:pic="http://schemas.openxmlformats.org/drawingml/2006/picture">
                  <pic:nvPicPr>
                    <pic:cNvPr id="6" name="图片 3"/>
                    <pic:cNvPicPr/>
                  </pic:nvPicPr>
                  <pic:blipFill>
                    <a:blip r:embed="rId21"/>
                    <a:stretch>
                      <a:fillRect/>
                    </a:stretch>
                  </pic:blipFill>
                  <pic:spPr>
                    <a:xfrm>
                      <a:off x="0" y="0"/>
                      <a:ext cx="1150620" cy="434340"/>
                    </a:xfrm>
                    <a:prstGeom prst="rect">
                      <a:avLst/>
                    </a:prstGeom>
                    <a:noFill/>
                    <a:ln>
                      <a:noFill/>
                    </a:ln>
                  </pic:spPr>
                </pic:pic>
              </a:graphicData>
            </a:graphic>
          </wp:inline>
        </w:drawing>
      </w:r>
      <w:r>
        <w:rPr>
          <w:rFonts w:hint="eastAsia"/>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（12.4.1）</w:t>
      </w:r>
    </w:p>
    <w:p>
      <w:pPr>
        <w:rPr>
          <w:color w:val="auto"/>
          <w:sz w:val="21"/>
          <w:szCs w:val="21"/>
          <w:highlight w:val="none"/>
        </w:rPr>
      </w:pPr>
      <w:r>
        <w:rPr>
          <w:rFonts w:hint="eastAsia"/>
          <w:color w:val="auto"/>
          <w:sz w:val="21"/>
          <w:szCs w:val="21"/>
          <w:highlight w:val="none"/>
        </w:rPr>
        <w:t>式中： E</w:t>
      </w:r>
      <w:r>
        <w:rPr>
          <w:rFonts w:hint="eastAsia"/>
          <w:color w:val="auto"/>
          <w:sz w:val="21"/>
          <w:szCs w:val="21"/>
          <w:highlight w:val="none"/>
          <w:vertAlign w:val="subscript"/>
        </w:rPr>
        <w:t>av</w:t>
      </w:r>
      <w:r>
        <w:rPr>
          <w:rFonts w:hint="eastAsia"/>
          <w:color w:val="auto"/>
          <w:sz w:val="21"/>
          <w:szCs w:val="21"/>
          <w:highlight w:val="none"/>
        </w:rPr>
        <w:t xml:space="preserve">——平均照度，单位为勒克斯（Lx）； </w:t>
      </w:r>
    </w:p>
    <w:p>
      <w:pPr>
        <w:ind w:firstLine="630" w:firstLineChars="300"/>
        <w:rPr>
          <w:color w:val="auto"/>
          <w:sz w:val="21"/>
          <w:szCs w:val="21"/>
          <w:highlight w:val="none"/>
        </w:rPr>
      </w:pPr>
      <w:r>
        <w:rPr>
          <w:rFonts w:hint="eastAsia"/>
          <w:color w:val="auto"/>
          <w:sz w:val="21"/>
          <w:szCs w:val="21"/>
          <w:highlight w:val="none"/>
        </w:rPr>
        <w:t>E</w:t>
      </w:r>
      <w:r>
        <w:rPr>
          <w:rFonts w:hint="eastAsia"/>
          <w:color w:val="auto"/>
          <w:sz w:val="21"/>
          <w:szCs w:val="21"/>
          <w:highlight w:val="none"/>
          <w:vertAlign w:val="subscript"/>
        </w:rPr>
        <w:t>i</w:t>
      </w:r>
      <w:r>
        <w:rPr>
          <w:rFonts w:hint="eastAsia"/>
          <w:color w:val="auto"/>
          <w:sz w:val="21"/>
          <w:szCs w:val="21"/>
          <w:highlight w:val="none"/>
        </w:rPr>
        <w:t xml:space="preserve">——在第i个测点上的照度，单位为勒克斯（Lx）； </w:t>
      </w:r>
    </w:p>
    <w:p>
      <w:pPr>
        <w:ind w:left="480"/>
        <w:rPr>
          <w:color w:val="auto"/>
          <w:sz w:val="21"/>
          <w:szCs w:val="21"/>
          <w:highlight w:val="none"/>
        </w:rPr>
      </w:pPr>
      <w:r>
        <w:rPr>
          <w:rFonts w:hint="eastAsia"/>
          <w:color w:val="auto"/>
          <w:sz w:val="21"/>
          <w:szCs w:val="21"/>
          <w:highlight w:val="none"/>
        </w:rPr>
        <w:t xml:space="preserve">  </w:t>
      </w:r>
      <w:r>
        <w:rPr>
          <w:rFonts w:hint="eastAsia" w:ascii="宋体" w:hAnsi="宋体" w:eastAsia="宋体" w:cs="宋体"/>
          <w:color w:val="auto"/>
          <w:sz w:val="21"/>
          <w:szCs w:val="21"/>
          <w:highlight w:val="none"/>
        </w:rPr>
        <w:t>M</w:t>
      </w:r>
      <w:r>
        <w:rPr>
          <w:rFonts w:hint="eastAsia"/>
          <w:color w:val="auto"/>
          <w:sz w:val="21"/>
          <w:szCs w:val="21"/>
          <w:highlight w:val="none"/>
        </w:rPr>
        <w:t>——纵向测点数；</w:t>
      </w:r>
    </w:p>
    <w:p>
      <w:pPr>
        <w:ind w:left="480"/>
        <w:rPr>
          <w:color w:val="auto"/>
          <w:sz w:val="21"/>
          <w:szCs w:val="21"/>
          <w:highlight w:val="none"/>
        </w:rPr>
      </w:pPr>
      <w:r>
        <w:rPr>
          <w:rFonts w:hint="eastAsia"/>
          <w:color w:val="auto"/>
          <w:sz w:val="21"/>
          <w:szCs w:val="21"/>
          <w:highlight w:val="none"/>
        </w:rPr>
        <w:t xml:space="preserve">  </w:t>
      </w:r>
      <w:r>
        <w:rPr>
          <w:rFonts w:hint="eastAsia" w:ascii="宋体" w:hAnsi="宋体" w:eastAsia="宋体" w:cs="宋体"/>
          <w:color w:val="auto"/>
          <w:sz w:val="21"/>
          <w:szCs w:val="21"/>
          <w:highlight w:val="none"/>
        </w:rPr>
        <w:t>N</w:t>
      </w:r>
      <w:r>
        <w:rPr>
          <w:rFonts w:hint="eastAsia"/>
          <w:color w:val="auto"/>
          <w:sz w:val="21"/>
          <w:szCs w:val="21"/>
          <w:highlight w:val="none"/>
        </w:rPr>
        <w:t>——横向测点数；</w:t>
      </w:r>
    </w:p>
    <w:p>
      <w:pPr>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 xml:space="preserve">12.4.2  </w:t>
      </w:r>
      <w:r>
        <w:rPr>
          <w:rFonts w:hint="eastAsia" w:ascii="宋体" w:hAnsi="宋体" w:eastAsia="宋体" w:cs="宋体"/>
          <w:color w:val="auto"/>
          <w:sz w:val="21"/>
          <w:szCs w:val="21"/>
          <w:highlight w:val="none"/>
        </w:rPr>
        <w:t>公共建筑、居住建筑及工业建筑照度均匀度</w:t>
      </w:r>
      <w:r>
        <w:rPr>
          <w:rFonts w:hint="eastAsia" w:ascii="宋体" w:hAnsi="宋体" w:eastAsia="宋体" w:cs="宋体"/>
          <w:color w:val="auto"/>
          <w:sz w:val="21"/>
          <w:szCs w:val="21"/>
          <w:highlight w:val="none"/>
          <w:lang w:val="en-US" w:eastAsia="zh-CN"/>
        </w:rPr>
        <w:t>应按下式计算</w:t>
      </w:r>
      <w:r>
        <w:rPr>
          <w:rFonts w:hint="eastAsia" w:ascii="宋体" w:hAnsi="宋体" w:eastAsia="宋体" w:cs="宋体"/>
          <w:color w:val="auto"/>
          <w:sz w:val="21"/>
          <w:szCs w:val="21"/>
          <w:highlight w:val="none"/>
        </w:rPr>
        <w:t>：</w:t>
      </w:r>
    </w:p>
    <w:p>
      <w:pPr>
        <w:tabs>
          <w:tab w:val="left" w:pos="2730"/>
        </w:tabs>
        <w:jc w:val="right"/>
        <w:rPr>
          <w:rFonts w:hint="default"/>
          <w:color w:val="auto"/>
          <w:sz w:val="21"/>
          <w:szCs w:val="21"/>
          <w:highlight w:val="none"/>
          <w:lang w:val="en-US" w:eastAsia="zh-CN"/>
        </w:rPr>
      </w:pPr>
      <w:r>
        <w:rPr>
          <w:rFonts w:hint="eastAsia" w:ascii="宋体" w:hAnsi="宋体" w:eastAsia="宋体" w:cs="宋体"/>
          <w:b/>
          <w:bCs/>
          <w:color w:val="auto"/>
          <w:sz w:val="21"/>
          <w:szCs w:val="21"/>
          <w:highlight w:val="none"/>
        </w:rPr>
        <w:t>U</w:t>
      </w:r>
      <w:r>
        <w:rPr>
          <w:rFonts w:hint="eastAsia" w:ascii="宋体" w:hAnsi="宋体" w:eastAsia="宋体" w:cs="宋体"/>
          <w:b/>
          <w:bCs/>
          <w:color w:val="auto"/>
          <w:sz w:val="21"/>
          <w:szCs w:val="21"/>
          <w:highlight w:val="none"/>
          <w:vertAlign w:val="subscript"/>
        </w:rPr>
        <w:t>0</w:t>
      </w:r>
      <w:r>
        <w:rPr>
          <w:rFonts w:hint="eastAsia" w:ascii="宋体" w:hAnsi="宋体" w:eastAsia="宋体" w:cs="宋体"/>
          <w:b/>
          <w:bCs/>
          <w:color w:val="auto"/>
          <w:sz w:val="21"/>
          <w:szCs w:val="21"/>
          <w:highlight w:val="none"/>
        </w:rPr>
        <w:t xml:space="preserve"> =E</w:t>
      </w:r>
      <w:r>
        <w:rPr>
          <w:rFonts w:hint="eastAsia" w:ascii="宋体" w:hAnsi="宋体" w:eastAsia="宋体" w:cs="宋体"/>
          <w:b/>
          <w:bCs/>
          <w:color w:val="auto"/>
          <w:sz w:val="21"/>
          <w:szCs w:val="21"/>
          <w:highlight w:val="none"/>
          <w:vertAlign w:val="subscript"/>
        </w:rPr>
        <w:t>min</w:t>
      </w:r>
      <w:r>
        <w:rPr>
          <w:rFonts w:hint="eastAsia" w:ascii="宋体" w:hAnsi="宋体" w:eastAsia="宋体" w:cs="宋体"/>
          <w:b/>
          <w:bCs/>
          <w:color w:val="auto"/>
          <w:sz w:val="21"/>
          <w:szCs w:val="21"/>
          <w:highlight w:val="none"/>
        </w:rPr>
        <w:t xml:space="preserve"> /E</w:t>
      </w:r>
      <w:r>
        <w:rPr>
          <w:rFonts w:hint="eastAsia" w:ascii="宋体" w:hAnsi="宋体" w:eastAsia="宋体" w:cs="宋体"/>
          <w:b/>
          <w:bCs/>
          <w:color w:val="auto"/>
          <w:sz w:val="21"/>
          <w:szCs w:val="21"/>
          <w:highlight w:val="none"/>
          <w:vertAlign w:val="subscript"/>
        </w:rPr>
        <w:t>av</w:t>
      </w:r>
      <w:r>
        <w:rPr>
          <w:rFonts w:hint="eastAsia" w:ascii="宋体" w:hAnsi="宋体" w:eastAsia="宋体" w:cs="宋体"/>
          <w:b/>
          <w:bCs/>
          <w:color w:val="auto"/>
          <w:sz w:val="21"/>
          <w:szCs w:val="21"/>
          <w:highlight w:val="none"/>
          <w:vertAlign w:val="subscript"/>
          <w:lang w:val="en-US" w:eastAsia="zh-CN"/>
        </w:rPr>
        <w:t xml:space="preserve">                                                                   </w:t>
      </w:r>
      <w:r>
        <w:rPr>
          <w:rFonts w:hint="eastAsia" w:ascii="宋体" w:hAnsi="宋体" w:eastAsia="宋体" w:cs="宋体"/>
          <w:color w:val="auto"/>
          <w:sz w:val="21"/>
          <w:szCs w:val="21"/>
          <w:highlight w:val="none"/>
          <w:lang w:val="en-US" w:eastAsia="zh-CN"/>
        </w:rPr>
        <w:t>（12.4.2）</w:t>
      </w:r>
    </w:p>
    <w:p>
      <w:pPr>
        <w:rPr>
          <w:color w:val="auto"/>
          <w:sz w:val="21"/>
          <w:szCs w:val="21"/>
          <w:highlight w:val="none"/>
        </w:rPr>
      </w:pPr>
      <w:r>
        <w:rPr>
          <w:rFonts w:hint="eastAsia"/>
          <w:color w:val="auto"/>
          <w:sz w:val="21"/>
          <w:szCs w:val="21"/>
          <w:highlight w:val="none"/>
        </w:rPr>
        <w:t>式中：U</w:t>
      </w:r>
      <w:r>
        <w:rPr>
          <w:rFonts w:hint="eastAsia"/>
          <w:color w:val="auto"/>
          <w:sz w:val="21"/>
          <w:szCs w:val="21"/>
          <w:highlight w:val="none"/>
          <w:vertAlign w:val="subscript"/>
        </w:rPr>
        <w:t>0</w:t>
      </w:r>
      <w:r>
        <w:rPr>
          <w:rFonts w:hint="eastAsia"/>
          <w:color w:val="auto"/>
          <w:sz w:val="21"/>
          <w:szCs w:val="21"/>
          <w:highlight w:val="none"/>
        </w:rPr>
        <w:t>——照度均匀度；</w:t>
      </w:r>
    </w:p>
    <w:p>
      <w:pPr>
        <w:ind w:left="480" w:firstLine="210" w:firstLineChars="100"/>
        <w:rPr>
          <w:color w:val="auto"/>
          <w:sz w:val="21"/>
          <w:szCs w:val="21"/>
          <w:highlight w:val="none"/>
        </w:rPr>
      </w:pPr>
      <w:r>
        <w:rPr>
          <w:rFonts w:hint="eastAsia"/>
          <w:color w:val="auto"/>
          <w:sz w:val="21"/>
          <w:szCs w:val="21"/>
          <w:highlight w:val="none"/>
        </w:rPr>
        <w:t>E</w:t>
      </w:r>
      <w:r>
        <w:rPr>
          <w:rFonts w:hint="eastAsia"/>
          <w:color w:val="auto"/>
          <w:sz w:val="21"/>
          <w:szCs w:val="21"/>
          <w:highlight w:val="none"/>
          <w:vertAlign w:val="subscript"/>
        </w:rPr>
        <w:t>min</w:t>
      </w:r>
      <w:r>
        <w:rPr>
          <w:rFonts w:hint="eastAsia"/>
          <w:color w:val="auto"/>
          <w:sz w:val="21"/>
          <w:szCs w:val="21"/>
          <w:highlight w:val="none"/>
        </w:rPr>
        <w:t>——最小照度，单位为勒克斯（lx）；</w:t>
      </w:r>
    </w:p>
    <w:p>
      <w:pPr>
        <w:ind w:left="480" w:firstLine="210" w:firstLineChars="100"/>
        <w:rPr>
          <w:color w:val="auto"/>
          <w:sz w:val="21"/>
          <w:szCs w:val="21"/>
          <w:highlight w:val="none"/>
        </w:rPr>
      </w:pPr>
      <w:r>
        <w:rPr>
          <w:rFonts w:hint="eastAsia"/>
          <w:color w:val="auto"/>
          <w:sz w:val="21"/>
          <w:szCs w:val="21"/>
          <w:highlight w:val="none"/>
        </w:rPr>
        <w:t>E</w:t>
      </w:r>
      <w:r>
        <w:rPr>
          <w:rFonts w:hint="eastAsia"/>
          <w:color w:val="auto"/>
          <w:sz w:val="21"/>
          <w:szCs w:val="21"/>
          <w:highlight w:val="none"/>
          <w:vertAlign w:val="subscript"/>
        </w:rPr>
        <w:t>av</w:t>
      </w:r>
      <w:r>
        <w:rPr>
          <w:rFonts w:hint="eastAsia"/>
          <w:color w:val="auto"/>
          <w:sz w:val="21"/>
          <w:szCs w:val="21"/>
          <w:highlight w:val="none"/>
        </w:rPr>
        <w:t>——平均照度，单位为勒克斯（lx）。</w:t>
      </w:r>
    </w:p>
    <w:p>
      <w:pPr>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 xml:space="preserve">12.4.3  </w:t>
      </w:r>
      <w:r>
        <w:rPr>
          <w:rFonts w:hint="eastAsia" w:ascii="宋体" w:hAnsi="宋体" w:eastAsia="宋体" w:cs="宋体"/>
          <w:color w:val="auto"/>
          <w:sz w:val="21"/>
          <w:szCs w:val="21"/>
          <w:highlight w:val="none"/>
        </w:rPr>
        <w:t>体育场馆平均照度</w:t>
      </w:r>
      <w:r>
        <w:rPr>
          <w:rFonts w:hint="eastAsia" w:ascii="宋体" w:hAnsi="宋体" w:eastAsia="宋体" w:cs="宋体"/>
          <w:color w:val="auto"/>
          <w:sz w:val="21"/>
          <w:szCs w:val="21"/>
          <w:highlight w:val="none"/>
          <w:lang w:val="en-US" w:eastAsia="zh-CN"/>
        </w:rPr>
        <w:t>应按下式计算</w:t>
      </w:r>
      <w:r>
        <w:rPr>
          <w:rFonts w:hint="eastAsia" w:ascii="宋体" w:hAnsi="宋体" w:eastAsia="宋体" w:cs="宋体"/>
          <w:color w:val="auto"/>
          <w:sz w:val="21"/>
          <w:szCs w:val="21"/>
          <w:highlight w:val="none"/>
        </w:rPr>
        <w:t>：</w:t>
      </w:r>
    </w:p>
    <w:p>
      <w:pPr>
        <w:jc w:val="right"/>
        <w:rPr>
          <w:rFonts w:hint="eastAsia" w:eastAsiaTheme="minorEastAsia"/>
          <w:color w:val="auto"/>
          <w:sz w:val="21"/>
          <w:szCs w:val="21"/>
          <w:highlight w:val="none"/>
          <w:lang w:val="en-US" w:eastAsia="zh-CN"/>
        </w:rPr>
      </w:pPr>
      <w:r>
        <w:rPr>
          <w:color w:val="auto"/>
          <w:sz w:val="21"/>
          <w:szCs w:val="21"/>
          <w:highlight w:val="none"/>
        </w:rPr>
        <w:drawing>
          <wp:inline distT="0" distB="0" distL="0" distR="0">
            <wp:extent cx="990600" cy="434340"/>
            <wp:effectExtent l="0" t="0" r="0" b="10160"/>
            <wp:docPr id="8410077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007742" name="图片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990600" cy="434340"/>
                    </a:xfrm>
                    <a:prstGeom prst="rect">
                      <a:avLst/>
                    </a:prstGeom>
                    <a:noFill/>
                    <a:ln>
                      <a:noFill/>
                    </a:ln>
                    <a:effectLst/>
                  </pic:spPr>
                </pic:pic>
              </a:graphicData>
            </a:graphic>
          </wp:inline>
        </w:drawing>
      </w:r>
      <w:r>
        <w:rPr>
          <w:rFonts w:hint="eastAsia"/>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（12.4.3）</w:t>
      </w:r>
    </w:p>
    <w:p>
      <w:pPr>
        <w:rPr>
          <w:color w:val="auto"/>
          <w:sz w:val="21"/>
          <w:szCs w:val="21"/>
          <w:highlight w:val="none"/>
        </w:rPr>
      </w:pPr>
      <w:r>
        <w:rPr>
          <w:rFonts w:hint="eastAsia"/>
          <w:color w:val="auto"/>
          <w:sz w:val="21"/>
          <w:szCs w:val="21"/>
          <w:highlight w:val="none"/>
        </w:rPr>
        <w:t>式中：E</w:t>
      </w:r>
      <w:r>
        <w:rPr>
          <w:rFonts w:hint="eastAsia"/>
          <w:color w:val="auto"/>
          <w:sz w:val="21"/>
          <w:szCs w:val="21"/>
          <w:highlight w:val="none"/>
          <w:vertAlign w:val="subscript"/>
        </w:rPr>
        <w:t>ave</w:t>
      </w:r>
      <w:r>
        <w:rPr>
          <w:rFonts w:hint="eastAsia"/>
          <w:color w:val="auto"/>
          <w:sz w:val="21"/>
          <w:szCs w:val="21"/>
          <w:highlight w:val="none"/>
        </w:rPr>
        <w:t>——平均照度，单位为勒克斯（lx）；</w:t>
      </w:r>
    </w:p>
    <w:p>
      <w:pPr>
        <w:ind w:firstLine="630" w:firstLineChars="300"/>
        <w:rPr>
          <w:color w:val="auto"/>
          <w:sz w:val="21"/>
          <w:szCs w:val="21"/>
          <w:highlight w:val="none"/>
        </w:rPr>
      </w:pPr>
      <w:r>
        <w:rPr>
          <w:rFonts w:hint="eastAsia"/>
          <w:color w:val="auto"/>
          <w:sz w:val="21"/>
          <w:szCs w:val="21"/>
          <w:highlight w:val="none"/>
        </w:rPr>
        <w:t>E</w:t>
      </w:r>
      <w:r>
        <w:rPr>
          <w:rFonts w:hint="eastAsia"/>
          <w:color w:val="auto"/>
          <w:sz w:val="21"/>
          <w:szCs w:val="21"/>
          <w:highlight w:val="none"/>
          <w:vertAlign w:val="subscript"/>
        </w:rPr>
        <w:t>i</w:t>
      </w:r>
      <w:r>
        <w:rPr>
          <w:rFonts w:hint="eastAsia"/>
          <w:color w:val="auto"/>
          <w:sz w:val="21"/>
          <w:szCs w:val="21"/>
          <w:highlight w:val="none"/>
        </w:rPr>
        <w:t>——在第i个测点上的照度，单位为勒克斯（Lx）；</w:t>
      </w:r>
    </w:p>
    <w:p>
      <w:pPr>
        <w:ind w:firstLine="210" w:firstLineChars="100"/>
        <w:rPr>
          <w:color w:val="auto"/>
          <w:sz w:val="21"/>
          <w:szCs w:val="21"/>
          <w:highlight w:val="none"/>
        </w:rPr>
      </w:pPr>
      <w:r>
        <w:rPr>
          <w:rFonts w:hint="eastAsia"/>
          <w:color w:val="auto"/>
          <w:sz w:val="21"/>
          <w:szCs w:val="21"/>
          <w:highlight w:val="none"/>
        </w:rPr>
        <w:t xml:space="preserve">  </w:t>
      </w:r>
      <w:r>
        <w:rPr>
          <w:color w:val="auto"/>
          <w:sz w:val="21"/>
          <w:szCs w:val="21"/>
          <w:highlight w:val="none"/>
        </w:rPr>
        <w:t xml:space="preserve">   </w:t>
      </w:r>
      <w:r>
        <w:rPr>
          <w:rFonts w:hint="eastAsia"/>
          <w:color w:val="auto"/>
          <w:sz w:val="21"/>
          <w:szCs w:val="21"/>
          <w:highlight w:val="none"/>
        </w:rPr>
        <w:t xml:space="preserve">  n——总的网格点数。                         </w:t>
      </w:r>
    </w:p>
    <w:p>
      <w:pPr>
        <w:ind w:firstLine="210" w:firstLineChars="100"/>
        <w:rPr>
          <w:color w:val="auto"/>
          <w:sz w:val="21"/>
          <w:szCs w:val="21"/>
          <w:highlight w:val="none"/>
        </w:rPr>
      </w:pPr>
    </w:p>
    <w:p>
      <w:pPr>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 xml:space="preserve">12.4.4  </w:t>
      </w:r>
      <w:r>
        <w:rPr>
          <w:rFonts w:hint="eastAsia" w:ascii="宋体" w:hAnsi="宋体" w:eastAsia="宋体" w:cs="宋体"/>
          <w:color w:val="auto"/>
          <w:sz w:val="21"/>
          <w:szCs w:val="21"/>
          <w:highlight w:val="none"/>
        </w:rPr>
        <w:t>体育场馆照度均匀度</w:t>
      </w:r>
      <w:r>
        <w:rPr>
          <w:rFonts w:hint="eastAsia" w:ascii="宋体" w:hAnsi="宋体" w:eastAsia="宋体" w:cs="宋体"/>
          <w:color w:val="auto"/>
          <w:sz w:val="21"/>
          <w:szCs w:val="21"/>
          <w:highlight w:val="none"/>
          <w:lang w:val="en-US" w:eastAsia="zh-CN"/>
        </w:rPr>
        <w:t>应按下列公式计算</w:t>
      </w:r>
      <w:r>
        <w:rPr>
          <w:rFonts w:hint="eastAsia" w:ascii="宋体" w:hAnsi="宋体" w:eastAsia="宋体" w:cs="宋体"/>
          <w:color w:val="auto"/>
          <w:sz w:val="21"/>
          <w:szCs w:val="21"/>
          <w:highlight w:val="none"/>
        </w:rPr>
        <w:t>：</w:t>
      </w:r>
    </w:p>
    <w:p>
      <w:pPr>
        <w:tabs>
          <w:tab w:val="left" w:pos="2730"/>
        </w:tabs>
        <w:jc w:val="right"/>
        <w:rPr>
          <w:rFonts w:hint="default" w:ascii="宋体" w:hAnsi="宋体" w:cs="宋体" w:eastAsiaTheme="minorEastAsia"/>
          <w:b/>
          <w:bCs/>
          <w:color w:val="auto"/>
          <w:sz w:val="21"/>
          <w:szCs w:val="21"/>
          <w:highlight w:val="none"/>
          <w:vertAlign w:val="subscript"/>
          <w:lang w:val="en-US" w:eastAsia="zh-CN"/>
        </w:rPr>
      </w:pPr>
      <w:r>
        <w:rPr>
          <w:rFonts w:hint="eastAsia" w:ascii="宋体" w:hAnsi="宋体" w:eastAsia="宋体" w:cs="宋体"/>
          <w:b/>
          <w:bCs/>
          <w:color w:val="auto"/>
          <w:sz w:val="21"/>
          <w:szCs w:val="21"/>
          <w:highlight w:val="none"/>
        </w:rPr>
        <w:t>U</w:t>
      </w:r>
      <w:r>
        <w:rPr>
          <w:rFonts w:ascii="宋体" w:hAnsi="宋体" w:cs="宋体"/>
          <w:b/>
          <w:bCs/>
          <w:color w:val="auto"/>
          <w:sz w:val="21"/>
          <w:szCs w:val="21"/>
          <w:highlight w:val="none"/>
          <w:vertAlign w:val="subscript"/>
        </w:rPr>
        <w:t>1</w:t>
      </w:r>
      <w:r>
        <w:rPr>
          <w:rFonts w:hint="eastAsia" w:ascii="宋体" w:hAnsi="宋体" w:eastAsia="宋体" w:cs="宋体"/>
          <w:b/>
          <w:bCs/>
          <w:color w:val="auto"/>
          <w:sz w:val="21"/>
          <w:szCs w:val="21"/>
          <w:highlight w:val="none"/>
        </w:rPr>
        <w:t xml:space="preserve"> =E</w:t>
      </w:r>
      <w:r>
        <w:rPr>
          <w:rFonts w:hint="eastAsia" w:ascii="宋体" w:hAnsi="宋体" w:eastAsia="宋体" w:cs="宋体"/>
          <w:b/>
          <w:bCs/>
          <w:color w:val="auto"/>
          <w:sz w:val="21"/>
          <w:szCs w:val="21"/>
          <w:highlight w:val="none"/>
          <w:vertAlign w:val="subscript"/>
        </w:rPr>
        <w:t>min</w:t>
      </w:r>
      <w:r>
        <w:rPr>
          <w:rFonts w:hint="eastAsia" w:ascii="宋体" w:hAnsi="宋体" w:eastAsia="宋体" w:cs="宋体"/>
          <w:b/>
          <w:bCs/>
          <w:color w:val="auto"/>
          <w:sz w:val="21"/>
          <w:szCs w:val="21"/>
          <w:highlight w:val="none"/>
        </w:rPr>
        <w:t xml:space="preserve"> /E</w:t>
      </w:r>
      <w:r>
        <w:rPr>
          <w:rFonts w:ascii="宋体" w:hAnsi="宋体" w:cs="宋体"/>
          <w:b/>
          <w:bCs/>
          <w:color w:val="auto"/>
          <w:sz w:val="21"/>
          <w:szCs w:val="21"/>
          <w:highlight w:val="none"/>
          <w:vertAlign w:val="subscript"/>
        </w:rPr>
        <w:t>max</w:t>
      </w:r>
      <w:r>
        <w:rPr>
          <w:rFonts w:hint="eastAsia" w:ascii="宋体" w:hAnsi="宋体" w:cs="宋体"/>
          <w:b/>
          <w:bCs/>
          <w:color w:val="auto"/>
          <w:sz w:val="21"/>
          <w:szCs w:val="21"/>
          <w:highlight w:val="none"/>
          <w:vertAlign w:val="subscript"/>
          <w:lang w:val="en-US" w:eastAsia="zh-CN"/>
        </w:rPr>
        <w:t xml:space="preserve">                                                            </w:t>
      </w:r>
      <w:r>
        <w:rPr>
          <w:rFonts w:hint="eastAsia" w:ascii="宋体" w:hAnsi="宋体" w:eastAsia="宋体" w:cs="宋体"/>
          <w:color w:val="auto"/>
          <w:sz w:val="21"/>
          <w:szCs w:val="21"/>
          <w:highlight w:val="none"/>
          <w:lang w:val="en-US" w:eastAsia="zh-CN"/>
        </w:rPr>
        <w:t>（12.4.4-1）</w:t>
      </w:r>
    </w:p>
    <w:p>
      <w:pPr>
        <w:tabs>
          <w:tab w:val="left" w:pos="2730"/>
        </w:tabs>
        <w:jc w:val="right"/>
        <w:rPr>
          <w:rFonts w:hint="default" w:eastAsiaTheme="minorEastAsia"/>
          <w:color w:val="auto"/>
          <w:sz w:val="21"/>
          <w:szCs w:val="21"/>
          <w:highlight w:val="none"/>
          <w:lang w:val="en-US" w:eastAsia="zh-CN"/>
        </w:rPr>
      </w:pPr>
      <w:r>
        <w:rPr>
          <w:rFonts w:hint="eastAsia" w:ascii="宋体" w:hAnsi="宋体" w:eastAsia="宋体" w:cs="宋体"/>
          <w:b/>
          <w:bCs/>
          <w:color w:val="auto"/>
          <w:sz w:val="21"/>
          <w:szCs w:val="21"/>
          <w:highlight w:val="none"/>
        </w:rPr>
        <w:t>U</w:t>
      </w:r>
      <w:r>
        <w:rPr>
          <w:rFonts w:ascii="宋体" w:hAnsi="宋体" w:cs="宋体"/>
          <w:b/>
          <w:bCs/>
          <w:color w:val="auto"/>
          <w:sz w:val="21"/>
          <w:szCs w:val="21"/>
          <w:highlight w:val="none"/>
          <w:vertAlign w:val="subscript"/>
        </w:rPr>
        <w:t>2</w:t>
      </w:r>
      <w:r>
        <w:rPr>
          <w:rFonts w:hint="eastAsia" w:ascii="宋体" w:hAnsi="宋体" w:eastAsia="宋体" w:cs="宋体"/>
          <w:b/>
          <w:bCs/>
          <w:color w:val="auto"/>
          <w:sz w:val="21"/>
          <w:szCs w:val="21"/>
          <w:highlight w:val="none"/>
        </w:rPr>
        <w:t xml:space="preserve"> =E</w:t>
      </w:r>
      <w:r>
        <w:rPr>
          <w:rFonts w:hint="eastAsia" w:ascii="宋体" w:hAnsi="宋体" w:eastAsia="宋体" w:cs="宋体"/>
          <w:b/>
          <w:bCs/>
          <w:color w:val="auto"/>
          <w:sz w:val="21"/>
          <w:szCs w:val="21"/>
          <w:highlight w:val="none"/>
          <w:vertAlign w:val="subscript"/>
        </w:rPr>
        <w:t>min</w:t>
      </w:r>
      <w:r>
        <w:rPr>
          <w:rFonts w:hint="eastAsia" w:ascii="宋体" w:hAnsi="宋体" w:eastAsia="宋体" w:cs="宋体"/>
          <w:b/>
          <w:bCs/>
          <w:color w:val="auto"/>
          <w:sz w:val="21"/>
          <w:szCs w:val="21"/>
          <w:highlight w:val="none"/>
        </w:rPr>
        <w:t xml:space="preserve"> /E</w:t>
      </w:r>
      <w:r>
        <w:rPr>
          <w:rFonts w:hint="eastAsia" w:ascii="宋体" w:hAnsi="宋体" w:eastAsia="宋体" w:cs="宋体"/>
          <w:b/>
          <w:bCs/>
          <w:color w:val="auto"/>
          <w:sz w:val="21"/>
          <w:szCs w:val="21"/>
          <w:highlight w:val="none"/>
          <w:vertAlign w:val="subscript"/>
        </w:rPr>
        <w:t>av</w:t>
      </w:r>
      <w:r>
        <w:rPr>
          <w:rFonts w:ascii="宋体" w:hAnsi="宋体" w:cs="宋体"/>
          <w:b/>
          <w:bCs/>
          <w:color w:val="auto"/>
          <w:sz w:val="21"/>
          <w:szCs w:val="21"/>
          <w:highlight w:val="none"/>
          <w:vertAlign w:val="subscript"/>
        </w:rPr>
        <w:t>e</w:t>
      </w:r>
      <w:r>
        <w:rPr>
          <w:rFonts w:hint="eastAsia" w:ascii="宋体" w:hAnsi="宋体" w:cs="宋体"/>
          <w:b/>
          <w:bCs/>
          <w:color w:val="auto"/>
          <w:sz w:val="21"/>
          <w:szCs w:val="21"/>
          <w:highlight w:val="none"/>
          <w:vertAlign w:val="subscript"/>
          <w:lang w:val="en-US" w:eastAsia="zh-CN"/>
        </w:rPr>
        <w:t xml:space="preserve">                                                            </w:t>
      </w:r>
      <w:r>
        <w:rPr>
          <w:rFonts w:hint="eastAsia" w:ascii="宋体" w:hAnsi="宋体" w:eastAsia="宋体" w:cs="宋体"/>
          <w:color w:val="auto"/>
          <w:sz w:val="21"/>
          <w:szCs w:val="21"/>
          <w:highlight w:val="none"/>
          <w:lang w:val="en-US" w:eastAsia="zh-CN"/>
        </w:rPr>
        <w:t>（12.4.4-2）</w:t>
      </w:r>
    </w:p>
    <w:p>
      <w:pPr>
        <w:rPr>
          <w:color w:val="auto"/>
          <w:sz w:val="21"/>
          <w:szCs w:val="21"/>
          <w:highlight w:val="none"/>
        </w:rPr>
      </w:pPr>
      <w:r>
        <w:rPr>
          <w:rFonts w:hint="eastAsia"/>
          <w:color w:val="auto"/>
          <w:sz w:val="21"/>
          <w:szCs w:val="21"/>
          <w:highlight w:val="none"/>
        </w:rPr>
        <w:t>式中：U</w:t>
      </w:r>
      <w:r>
        <w:rPr>
          <w:color w:val="auto"/>
          <w:sz w:val="21"/>
          <w:szCs w:val="21"/>
          <w:highlight w:val="none"/>
          <w:vertAlign w:val="subscript"/>
        </w:rPr>
        <w:t>1</w:t>
      </w:r>
      <w:r>
        <w:rPr>
          <w:rFonts w:hint="eastAsia"/>
          <w:color w:val="auto"/>
          <w:sz w:val="21"/>
          <w:szCs w:val="21"/>
          <w:highlight w:val="none"/>
        </w:rPr>
        <w:t>、U</w:t>
      </w:r>
      <w:r>
        <w:rPr>
          <w:rFonts w:hint="eastAsia"/>
          <w:color w:val="auto"/>
          <w:sz w:val="21"/>
          <w:szCs w:val="21"/>
          <w:highlight w:val="none"/>
          <w:vertAlign w:val="subscript"/>
        </w:rPr>
        <w:t>2</w:t>
      </w:r>
      <w:r>
        <w:rPr>
          <w:rFonts w:hint="eastAsia"/>
          <w:color w:val="auto"/>
          <w:sz w:val="21"/>
          <w:szCs w:val="21"/>
          <w:highlight w:val="none"/>
        </w:rPr>
        <w:t>——照度均匀度；</w:t>
      </w:r>
    </w:p>
    <w:p>
      <w:pPr>
        <w:ind w:left="480" w:firstLine="210" w:firstLineChars="100"/>
        <w:rPr>
          <w:color w:val="auto"/>
          <w:sz w:val="21"/>
          <w:szCs w:val="21"/>
          <w:highlight w:val="none"/>
        </w:rPr>
      </w:pPr>
      <w:r>
        <w:rPr>
          <w:rFonts w:hint="eastAsia"/>
          <w:color w:val="auto"/>
          <w:sz w:val="21"/>
          <w:szCs w:val="21"/>
          <w:highlight w:val="none"/>
        </w:rPr>
        <w:t>E</w:t>
      </w:r>
      <w:r>
        <w:rPr>
          <w:rFonts w:hint="eastAsia"/>
          <w:color w:val="auto"/>
          <w:sz w:val="21"/>
          <w:szCs w:val="21"/>
          <w:highlight w:val="none"/>
          <w:vertAlign w:val="subscript"/>
        </w:rPr>
        <w:t>min</w:t>
      </w:r>
      <w:r>
        <w:rPr>
          <w:rFonts w:hint="eastAsia"/>
          <w:color w:val="auto"/>
          <w:sz w:val="21"/>
          <w:szCs w:val="21"/>
          <w:highlight w:val="none"/>
        </w:rPr>
        <w:t>——规定表面上的最小照度，单位为勒克斯（lx）；</w:t>
      </w:r>
    </w:p>
    <w:p>
      <w:pPr>
        <w:ind w:left="480" w:firstLine="210" w:firstLineChars="100"/>
        <w:rPr>
          <w:color w:val="auto"/>
          <w:sz w:val="21"/>
          <w:szCs w:val="21"/>
          <w:highlight w:val="none"/>
        </w:rPr>
      </w:pPr>
      <w:r>
        <w:rPr>
          <w:rFonts w:hint="eastAsia"/>
          <w:color w:val="auto"/>
          <w:sz w:val="21"/>
          <w:szCs w:val="21"/>
          <w:highlight w:val="none"/>
        </w:rPr>
        <w:t>E</w:t>
      </w:r>
      <w:r>
        <w:rPr>
          <w:rFonts w:hint="eastAsia"/>
          <w:color w:val="auto"/>
          <w:sz w:val="21"/>
          <w:szCs w:val="21"/>
          <w:highlight w:val="none"/>
          <w:vertAlign w:val="subscript"/>
        </w:rPr>
        <w:t>max</w:t>
      </w:r>
      <w:r>
        <w:rPr>
          <w:rFonts w:hint="eastAsia"/>
          <w:color w:val="auto"/>
          <w:sz w:val="21"/>
          <w:szCs w:val="21"/>
          <w:highlight w:val="none"/>
        </w:rPr>
        <w:t>——规定表面上的最大照度，单位为勒克斯（lx）；</w:t>
      </w:r>
    </w:p>
    <w:p>
      <w:pPr>
        <w:ind w:left="480" w:firstLine="210" w:firstLineChars="100"/>
        <w:rPr>
          <w:color w:val="auto"/>
          <w:sz w:val="21"/>
          <w:szCs w:val="21"/>
          <w:highlight w:val="none"/>
        </w:rPr>
      </w:pPr>
      <w:r>
        <w:rPr>
          <w:rFonts w:hint="eastAsia"/>
          <w:color w:val="auto"/>
          <w:sz w:val="21"/>
          <w:szCs w:val="21"/>
          <w:highlight w:val="none"/>
        </w:rPr>
        <w:t>E</w:t>
      </w:r>
      <w:r>
        <w:rPr>
          <w:rFonts w:hint="eastAsia"/>
          <w:color w:val="auto"/>
          <w:sz w:val="21"/>
          <w:szCs w:val="21"/>
          <w:highlight w:val="none"/>
          <w:vertAlign w:val="subscript"/>
        </w:rPr>
        <w:t>ave</w:t>
      </w:r>
      <w:r>
        <w:rPr>
          <w:rFonts w:hint="eastAsia"/>
          <w:color w:val="auto"/>
          <w:sz w:val="21"/>
          <w:szCs w:val="21"/>
          <w:highlight w:val="none"/>
        </w:rPr>
        <w:t>——规定表面上的平均照度，单位为勒克斯（lx）。</w:t>
      </w:r>
    </w:p>
    <w:p>
      <w:pPr>
        <w:ind w:firstLine="210" w:firstLineChars="100"/>
        <w:rPr>
          <w:color w:val="auto"/>
          <w:sz w:val="21"/>
          <w:szCs w:val="21"/>
          <w:highlight w:val="none"/>
        </w:rPr>
      </w:pPr>
    </w:p>
    <w:p>
      <w:pPr>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 xml:space="preserve">12.4.5  </w:t>
      </w:r>
      <w:r>
        <w:rPr>
          <w:rFonts w:hint="eastAsia" w:ascii="宋体" w:hAnsi="宋体" w:eastAsia="宋体" w:cs="宋体"/>
          <w:color w:val="auto"/>
          <w:sz w:val="21"/>
          <w:szCs w:val="21"/>
          <w:highlight w:val="none"/>
        </w:rPr>
        <w:t>照明照度及照度均匀度检测结果应符合《建筑照明设计标准》GB 50034、《体育场馆照明设计及检测标准》JGJ 153、照度及照度均匀度设计值中规定的相关要求。</w:t>
      </w:r>
    </w:p>
    <w:p>
      <w:pPr>
        <w:rPr>
          <w:rFonts w:ascii="宋体" w:hAnsi="宋体" w:eastAsia="宋体" w:cs="宋体"/>
          <w:color w:val="auto"/>
          <w:sz w:val="21"/>
          <w:szCs w:val="21"/>
          <w:highlight w:val="none"/>
        </w:rPr>
      </w:pPr>
    </w:p>
    <w:p>
      <w:pPr>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 xml:space="preserve">12.4.6  </w:t>
      </w:r>
      <w:r>
        <w:rPr>
          <w:rFonts w:hint="eastAsia" w:ascii="宋体" w:hAnsi="宋体" w:eastAsia="宋体" w:cs="宋体"/>
          <w:color w:val="auto"/>
          <w:sz w:val="21"/>
          <w:szCs w:val="21"/>
          <w:highlight w:val="none"/>
        </w:rPr>
        <w:t>照明功率密度</w:t>
      </w:r>
      <w:r>
        <w:rPr>
          <w:rFonts w:hint="eastAsia" w:ascii="宋体" w:hAnsi="宋体" w:eastAsia="宋体" w:cs="宋体"/>
          <w:color w:val="auto"/>
          <w:sz w:val="21"/>
          <w:szCs w:val="21"/>
          <w:highlight w:val="none"/>
          <w:lang w:val="en-US" w:eastAsia="zh-CN"/>
        </w:rPr>
        <w:t>应按下式计算</w:t>
      </w:r>
      <w:r>
        <w:rPr>
          <w:rFonts w:hint="eastAsia" w:ascii="宋体" w:hAnsi="宋体" w:eastAsia="宋体" w:cs="宋体"/>
          <w:color w:val="auto"/>
          <w:sz w:val="21"/>
          <w:szCs w:val="21"/>
          <w:highlight w:val="none"/>
        </w:rPr>
        <w:t>：</w:t>
      </w:r>
    </w:p>
    <w:p>
      <w:pPr>
        <w:ind w:left="0" w:leftChars="0" w:firstLine="0" w:firstLineChars="0"/>
        <w:jc w:val="righ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object>
          <v:shape id="_x0000_i1026" o:spt="75" type="#_x0000_t75" style="height:33.95pt;width:72pt;" o:ole="t" filled="f" o:preferrelative="t" stroked="f" coordsize="21600,21600">
            <v:path/>
            <v:fill on="f" focussize="0,0"/>
            <v:stroke on="f" joinstyle="miter"/>
            <v:imagedata r:id="rId24" o:title=""/>
            <o:lock v:ext="edit" aspectratio="t"/>
            <w10:wrap type="none"/>
            <w10:anchorlock/>
          </v:shape>
          <o:OLEObject Type="Embed" ProgID="Equation.3" ShapeID="_x0000_i1026" DrawAspect="Content" ObjectID="_1468075726" r:id="rId23">
            <o:LockedField>false</o:LockedField>
          </o:OLEObject>
        </w:objec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（12.4.6-1）</w:t>
      </w:r>
    </w:p>
    <w:p>
      <w:pPr>
        <w:rPr>
          <w:color w:val="auto"/>
          <w:sz w:val="21"/>
          <w:szCs w:val="21"/>
          <w:highlight w:val="none"/>
        </w:rPr>
      </w:pPr>
      <w:r>
        <w:rPr>
          <w:rFonts w:hint="eastAsia"/>
          <w:color w:val="auto"/>
          <w:sz w:val="21"/>
          <w:szCs w:val="21"/>
          <w:highlight w:val="none"/>
        </w:rPr>
        <w:t>式中：LPD——照明功率密度，单位为瓦特每平方米(W/m²);</w:t>
      </w:r>
    </w:p>
    <w:p>
      <w:pPr>
        <w:ind w:left="480" w:firstLine="210" w:firstLineChars="100"/>
        <w:rPr>
          <w:color w:val="auto"/>
          <w:sz w:val="21"/>
          <w:szCs w:val="21"/>
          <w:highlight w:val="none"/>
        </w:rPr>
      </w:pPr>
      <w:r>
        <w:rPr>
          <w:rFonts w:hint="eastAsia"/>
          <w:color w:val="auto"/>
          <w:sz w:val="21"/>
          <w:szCs w:val="21"/>
          <w:highlight w:val="none"/>
        </w:rPr>
        <w:t>P</w:t>
      </w:r>
      <w:r>
        <w:rPr>
          <w:rFonts w:hint="eastAsia"/>
          <w:color w:val="auto"/>
          <w:sz w:val="21"/>
          <w:szCs w:val="21"/>
          <w:highlight w:val="none"/>
          <w:vertAlign w:val="subscript"/>
        </w:rPr>
        <w:t xml:space="preserve">i </w:t>
      </w:r>
      <w:r>
        <w:rPr>
          <w:rFonts w:hint="eastAsia"/>
          <w:color w:val="auto"/>
          <w:sz w:val="21"/>
          <w:szCs w:val="21"/>
          <w:highlight w:val="none"/>
        </w:rPr>
        <w:t>——被测量照明场所中的第i单个照明灯具的输入功率，单位为瓦特(W);</w:t>
      </w:r>
    </w:p>
    <w:p>
      <w:pPr>
        <w:ind w:left="480" w:firstLine="210" w:firstLineChars="100"/>
        <w:rPr>
          <w:color w:val="auto"/>
          <w:sz w:val="21"/>
          <w:szCs w:val="21"/>
          <w:highlight w:val="none"/>
        </w:rPr>
      </w:pPr>
      <w:r>
        <w:rPr>
          <w:rFonts w:hint="eastAsia"/>
          <w:color w:val="auto"/>
          <w:sz w:val="21"/>
          <w:szCs w:val="21"/>
          <w:highlight w:val="none"/>
        </w:rPr>
        <w:t>S ——被测量照明场所的面积，单位为平方米(m²);</w:t>
      </w:r>
    </w:p>
    <w:p>
      <w:pPr>
        <w:ind w:left="480" w:firstLine="210" w:firstLineChars="100"/>
        <w:rPr>
          <w:color w:val="auto"/>
          <w:sz w:val="21"/>
          <w:szCs w:val="21"/>
          <w:highlight w:val="none"/>
        </w:rPr>
      </w:pPr>
      <w:r>
        <w:rPr>
          <w:rFonts w:hint="eastAsia"/>
          <w:color w:val="auto"/>
          <w:sz w:val="21"/>
          <w:szCs w:val="21"/>
          <w:highlight w:val="none"/>
        </w:rPr>
        <w:t>k ——电压修正系数，</w:t>
      </w:r>
      <w:r>
        <w:rPr>
          <w:color w:val="auto"/>
          <w:sz w:val="21"/>
          <w:szCs w:val="21"/>
          <w:highlight w:val="none"/>
        </w:rPr>
        <w:t xml:space="preserve"> </w:t>
      </w:r>
    </w:p>
    <w:p>
      <w:pPr>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当灯具工作电压与额定电压偏离超过5%时，应对灯具输入功率进行电压修正，对于使用白炽灯和使用电感镇流器的气体放电灯的灯具，其电压修正系数可按</w:t>
      </w:r>
      <w:r>
        <w:rPr>
          <w:rFonts w:hint="eastAsia" w:ascii="宋体" w:hAnsi="宋体" w:eastAsia="宋体" w:cs="宋体"/>
          <w:color w:val="auto"/>
          <w:sz w:val="21"/>
          <w:szCs w:val="21"/>
          <w:highlight w:val="none"/>
          <w:lang w:eastAsia="zh-CN"/>
        </w:rPr>
        <w:t>下式</w:t>
      </w:r>
      <w:r>
        <w:rPr>
          <w:rFonts w:hint="eastAsia" w:ascii="宋体" w:hAnsi="宋体" w:eastAsia="宋体" w:cs="宋体"/>
          <w:color w:val="auto"/>
          <w:sz w:val="21"/>
          <w:szCs w:val="21"/>
          <w:highlight w:val="none"/>
        </w:rPr>
        <w:t>计算确定：</w:t>
      </w:r>
    </w:p>
    <w:p>
      <w:pPr>
        <w:ind w:left="0" w:leftChars="0" w:firstLine="0" w:firstLineChars="0"/>
        <w:jc w:val="righ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object>
          <v:shape id="_x0000_i1027" o:spt="75" type="#_x0000_t75" style="height:36pt;width:38.7pt;" o:ole="t" filled="f" o:preferrelative="t" stroked="f" coordsize="21600,21600">
            <v:path/>
            <v:fill on="f" focussize="0,0"/>
            <v:stroke on="f" joinstyle="miter"/>
            <v:imagedata r:id="rId26" o:title=""/>
            <o:lock v:ext="edit" aspectratio="t"/>
            <w10:wrap type="none"/>
            <w10:anchorlock/>
          </v:shape>
          <o:OLEObject Type="Embed" ProgID="Equation.3" ShapeID="_x0000_i1027" DrawAspect="Content" ObjectID="_1468075727" r:id="rId25">
            <o:LockedField>false</o:LockedField>
          </o:OLEObject>
        </w:objec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（12.4.6-2）</w:t>
      </w:r>
    </w:p>
    <w:p>
      <w:pPr>
        <w:rPr>
          <w:color w:val="auto"/>
          <w:sz w:val="21"/>
          <w:szCs w:val="21"/>
          <w:highlight w:val="none"/>
        </w:rPr>
      </w:pPr>
      <w:r>
        <w:rPr>
          <w:rFonts w:hint="eastAsia"/>
          <w:color w:val="auto"/>
          <w:sz w:val="21"/>
          <w:szCs w:val="21"/>
          <w:highlight w:val="none"/>
        </w:rPr>
        <w:t>式中：U</w:t>
      </w:r>
      <w:r>
        <w:rPr>
          <w:rFonts w:hint="eastAsia"/>
          <w:color w:val="auto"/>
          <w:sz w:val="21"/>
          <w:szCs w:val="21"/>
          <w:highlight w:val="none"/>
          <w:vertAlign w:val="subscript"/>
        </w:rPr>
        <w:t>0</w:t>
      </w:r>
      <w:r>
        <w:rPr>
          <w:rFonts w:hint="eastAsia"/>
          <w:color w:val="auto"/>
          <w:sz w:val="21"/>
          <w:szCs w:val="21"/>
          <w:highlight w:val="none"/>
        </w:rPr>
        <w:t>——额定工作电压，单位为伏特(V);</w:t>
      </w:r>
    </w:p>
    <w:p>
      <w:pPr>
        <w:ind w:left="480" w:firstLine="210" w:firstLineChars="100"/>
        <w:rPr>
          <w:color w:val="auto"/>
          <w:sz w:val="21"/>
          <w:szCs w:val="21"/>
          <w:highlight w:val="none"/>
        </w:rPr>
      </w:pPr>
      <w:r>
        <w:rPr>
          <w:rFonts w:hint="eastAsia"/>
          <w:color w:val="auto"/>
          <w:sz w:val="21"/>
          <w:szCs w:val="21"/>
          <w:highlight w:val="none"/>
        </w:rPr>
        <w:t>U</w:t>
      </w:r>
      <w:r>
        <w:rPr>
          <w:rFonts w:hint="eastAsia"/>
          <w:color w:val="auto"/>
          <w:sz w:val="21"/>
          <w:szCs w:val="21"/>
          <w:highlight w:val="none"/>
          <w:vertAlign w:val="subscript"/>
        </w:rPr>
        <w:t>t</w:t>
      </w:r>
      <w:r>
        <w:rPr>
          <w:rFonts w:hint="eastAsia"/>
          <w:color w:val="auto"/>
          <w:sz w:val="21"/>
          <w:szCs w:val="21"/>
          <w:highlight w:val="none"/>
        </w:rPr>
        <w:t>——实测电压，单位为伏特(V)。</w:t>
      </w:r>
    </w:p>
    <w:p>
      <w:pPr>
        <w:ind w:left="480" w:firstLine="210" w:firstLineChars="100"/>
        <w:rPr>
          <w:color w:val="auto"/>
          <w:sz w:val="21"/>
          <w:szCs w:val="21"/>
          <w:highlight w:val="none"/>
        </w:rPr>
      </w:pPr>
    </w:p>
    <w:p>
      <w:pPr>
        <w:rPr>
          <w:color w:val="auto"/>
          <w:sz w:val="21"/>
          <w:szCs w:val="21"/>
          <w:highlight w:val="none"/>
        </w:rPr>
      </w:pPr>
      <w:r>
        <w:rPr>
          <w:rFonts w:hint="eastAsia" w:ascii="宋体" w:hAnsi="宋体" w:eastAsia="宋体" w:cs="宋体"/>
          <w:b/>
          <w:bCs/>
          <w:color w:val="auto"/>
          <w:sz w:val="21"/>
          <w:szCs w:val="21"/>
          <w:highlight w:val="none"/>
          <w:lang w:val="en-US" w:eastAsia="zh-CN"/>
        </w:rPr>
        <w:t xml:space="preserve">12.4.7  </w:t>
      </w:r>
      <w:r>
        <w:rPr>
          <w:rFonts w:ascii="宋体" w:hAnsi="宋体" w:eastAsia="宋体" w:cs="宋体"/>
          <w:color w:val="auto"/>
          <w:sz w:val="21"/>
          <w:szCs w:val="21"/>
          <w:highlight w:val="none"/>
        </w:rPr>
        <w:t>功率密度值的合格指标与判定方法应符合下列规定:检测工况下，功率密度值不应大于设计文件的规定，当设计文件无明确规定时，不应大于现行国家标准《建筑照明设计标准》GB 50034规定的标准值。</w:t>
      </w:r>
    </w:p>
    <w:p>
      <w:pPr>
        <w:pStyle w:val="2"/>
        <w:jc w:val="center"/>
        <w:rPr>
          <w:rFonts w:ascii="宋体" w:hAnsi="宋体" w:eastAsia="宋体" w:cs="宋体"/>
          <w:color w:val="auto"/>
          <w:sz w:val="21"/>
          <w:szCs w:val="21"/>
          <w:highlight w:val="none"/>
          <w:lang w:val="en-US" w:eastAsia="zh-CN"/>
        </w:rPr>
      </w:pPr>
      <w:r>
        <w:rPr>
          <w:color w:val="auto"/>
          <w:sz w:val="21"/>
          <w:szCs w:val="21"/>
          <w:highlight w:val="none"/>
        </w:rPr>
        <w:br w:type="page"/>
      </w:r>
      <w:bookmarkStart w:id="293" w:name="_Toc18718"/>
      <w:bookmarkStart w:id="294" w:name="_Toc16232"/>
      <w:bookmarkStart w:id="295" w:name="_Toc13004"/>
      <w:bookmarkStart w:id="296" w:name="_Toc14222"/>
      <w:bookmarkStart w:id="297" w:name="_Toc31714"/>
      <w:r>
        <w:rPr>
          <w:rFonts w:hint="eastAsia" w:ascii="Times New Roman" w:hAnsi="Times New Roman" w:eastAsia="宋体" w:cs="Times New Roman"/>
          <w:b/>
          <w:bCs/>
          <w:color w:val="auto"/>
          <w:kern w:val="44"/>
          <w:sz w:val="28"/>
          <w:szCs w:val="44"/>
          <w:highlight w:val="none"/>
          <w:lang w:val="en-US" w:eastAsia="zh-CN" w:bidi="ar-SA"/>
        </w:rPr>
        <w:t>13  电源质量检测</w:t>
      </w:r>
      <w:bookmarkEnd w:id="293"/>
      <w:bookmarkEnd w:id="294"/>
      <w:bookmarkEnd w:id="295"/>
      <w:bookmarkEnd w:id="296"/>
      <w:bookmarkEnd w:id="297"/>
      <w:r>
        <w:rPr>
          <w:rFonts w:ascii="Times New Roman" w:hAnsi="Times New Roman" w:eastAsia="宋体" w:cs="Times New Roman"/>
          <w:b/>
          <w:bCs/>
          <w:color w:val="auto"/>
          <w:kern w:val="44"/>
          <w:sz w:val="28"/>
          <w:szCs w:val="44"/>
          <w:highlight w:val="none"/>
          <w:lang w:val="en-US" w:eastAsia="zh-CN" w:bidi="ar-SA"/>
        </w:rPr>
        <w:t xml:space="preserve"> </w:t>
      </w:r>
    </w:p>
    <w:p>
      <w:pPr>
        <w:pStyle w:val="3"/>
        <w:jc w:val="center"/>
        <w:rPr>
          <w:rFonts w:ascii="宋体" w:hAnsi="宋体" w:eastAsia="宋体" w:cs="宋体"/>
          <w:color w:val="auto"/>
          <w:sz w:val="21"/>
          <w:szCs w:val="21"/>
          <w:highlight w:val="none"/>
        </w:rPr>
      </w:pPr>
      <w:bookmarkStart w:id="298" w:name="_Toc5058"/>
      <w:bookmarkStart w:id="299" w:name="_Toc17707"/>
      <w:bookmarkStart w:id="300" w:name="_Toc16398"/>
      <w:bookmarkStart w:id="301" w:name="_Toc17288"/>
      <w:bookmarkStart w:id="302" w:name="_Toc15767"/>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lang w:val="en-US" w:eastAsia="zh-CN"/>
        </w:rPr>
        <w:t xml:space="preserve">1  </w:t>
      </w:r>
      <w:r>
        <w:rPr>
          <w:rFonts w:hint="eastAsia" w:ascii="宋体" w:hAnsi="宋体" w:eastAsia="宋体" w:cs="宋体"/>
          <w:color w:val="auto"/>
          <w:sz w:val="21"/>
          <w:szCs w:val="21"/>
          <w:highlight w:val="none"/>
        </w:rPr>
        <w:t>一般规定</w:t>
      </w:r>
      <w:bookmarkEnd w:id="298"/>
      <w:bookmarkEnd w:id="299"/>
      <w:bookmarkEnd w:id="300"/>
      <w:bookmarkEnd w:id="301"/>
      <w:bookmarkEnd w:id="302"/>
    </w:p>
    <w:p>
      <w:pPr>
        <w:widowControl/>
        <w:jc w:val="left"/>
        <w:rPr>
          <w:rFonts w:ascii="CIDFont" w:hAnsi="CIDFont" w:eastAsia="CIDFont" w:cs="CIDFont"/>
          <w:color w:val="auto"/>
          <w:kern w:val="0"/>
          <w:sz w:val="21"/>
          <w:szCs w:val="21"/>
          <w:highlight w:val="none"/>
          <w:lang w:bidi="ar"/>
        </w:rPr>
      </w:pPr>
      <w:r>
        <w:rPr>
          <w:rFonts w:hint="eastAsia" w:ascii="宋体" w:hAnsi="宋体" w:eastAsia="宋体" w:cs="宋体"/>
          <w:b/>
          <w:bCs/>
          <w:color w:val="auto"/>
          <w:sz w:val="21"/>
          <w:szCs w:val="21"/>
          <w:highlight w:val="none"/>
          <w:lang w:val="en-US" w:eastAsia="zh-CN"/>
        </w:rPr>
        <w:t>13.1.1</w:t>
      </w:r>
      <w:r>
        <w:rPr>
          <w:rFonts w:ascii="CIDFont" w:hAnsi="CIDFont" w:eastAsia="CIDFont" w:cs="CIDFont"/>
          <w:color w:val="auto"/>
          <w:kern w:val="0"/>
          <w:sz w:val="21"/>
          <w:szCs w:val="21"/>
          <w:highlight w:val="none"/>
          <w:lang w:bidi="ar"/>
        </w:rPr>
        <w:t xml:space="preserve"> </w:t>
      </w:r>
      <w:r>
        <w:rPr>
          <w:rFonts w:hint="eastAsia" w:ascii="CIDFont" w:hAnsi="CIDFont" w:eastAsia="宋体" w:cs="CIDFont"/>
          <w:color w:val="auto"/>
          <w:kern w:val="0"/>
          <w:sz w:val="21"/>
          <w:szCs w:val="21"/>
          <w:highlight w:val="none"/>
          <w:lang w:val="en-US" w:eastAsia="zh-CN" w:bidi="ar"/>
        </w:rPr>
        <w:t xml:space="preserve"> </w:t>
      </w:r>
      <w:r>
        <w:rPr>
          <w:rFonts w:ascii="CIDFont" w:hAnsi="CIDFont" w:eastAsia="CIDFont" w:cs="CIDFont"/>
          <w:color w:val="auto"/>
          <w:kern w:val="0"/>
          <w:sz w:val="21"/>
          <w:szCs w:val="21"/>
          <w:highlight w:val="none"/>
          <w:lang w:bidi="ar"/>
        </w:rPr>
        <w:t>检测时应确保不影响用电安全，确保可能受到</w:t>
      </w:r>
      <w:r>
        <w:rPr>
          <w:rFonts w:hint="eastAsia" w:ascii="CIDFont" w:hAnsi="CIDFont" w:eastAsia="宋体" w:cs="CIDFont"/>
          <w:color w:val="auto"/>
          <w:kern w:val="0"/>
          <w:sz w:val="21"/>
          <w:szCs w:val="21"/>
          <w:highlight w:val="none"/>
          <w:lang w:val="en-US" w:eastAsia="zh-CN" w:bidi="ar"/>
        </w:rPr>
        <w:t>检测</w:t>
      </w:r>
      <w:r>
        <w:rPr>
          <w:rFonts w:ascii="CIDFont" w:hAnsi="CIDFont" w:eastAsia="CIDFont" w:cs="CIDFont"/>
          <w:color w:val="auto"/>
          <w:kern w:val="0"/>
          <w:sz w:val="21"/>
          <w:szCs w:val="21"/>
          <w:highlight w:val="none"/>
          <w:lang w:bidi="ar"/>
        </w:rPr>
        <w:t>影响的用电设备能够断电。</w:t>
      </w:r>
    </w:p>
    <w:p>
      <w:pPr>
        <w:widowControl/>
        <w:jc w:val="left"/>
        <w:rPr>
          <w:rFonts w:ascii="宋体" w:hAnsi="宋体" w:eastAsia="宋体" w:cs="宋体"/>
          <w:color w:val="auto"/>
          <w:kern w:val="0"/>
          <w:sz w:val="21"/>
          <w:szCs w:val="21"/>
          <w:highlight w:val="none"/>
          <w:lang w:bidi="ar"/>
        </w:rPr>
      </w:pPr>
      <w:r>
        <w:rPr>
          <w:rFonts w:hint="eastAsia" w:ascii="宋体" w:hAnsi="宋体" w:eastAsia="宋体" w:cs="宋体"/>
          <w:b/>
          <w:bCs/>
          <w:color w:val="auto"/>
          <w:sz w:val="21"/>
          <w:szCs w:val="21"/>
          <w:highlight w:val="none"/>
          <w:lang w:val="en-US" w:eastAsia="zh-CN"/>
        </w:rPr>
        <w:t xml:space="preserve">13.1.2  </w:t>
      </w:r>
      <w:r>
        <w:rPr>
          <w:rFonts w:hint="eastAsia" w:ascii="宋体" w:hAnsi="宋体" w:eastAsia="宋体" w:cs="宋体"/>
          <w:color w:val="auto"/>
          <w:kern w:val="0"/>
          <w:sz w:val="21"/>
          <w:szCs w:val="21"/>
          <w:highlight w:val="none"/>
          <w:lang w:bidi="ar"/>
        </w:rPr>
        <w:t>检测时要确保满足双人双岗值班制度，做好检测场所防护措施。</w:t>
      </w:r>
    </w:p>
    <w:p>
      <w:pPr>
        <w:pStyle w:val="3"/>
        <w:jc w:val="center"/>
        <w:rPr>
          <w:rFonts w:hint="eastAsia" w:ascii="宋体" w:hAnsi="宋体" w:eastAsia="宋体" w:cs="宋体"/>
          <w:color w:val="auto"/>
          <w:sz w:val="21"/>
          <w:szCs w:val="21"/>
          <w:highlight w:val="none"/>
          <w:lang w:val="en-US" w:eastAsia="zh-CN"/>
        </w:rPr>
      </w:pPr>
      <w:bookmarkStart w:id="303" w:name="_Toc16387"/>
      <w:bookmarkStart w:id="304" w:name="_Toc13322"/>
      <w:bookmarkStart w:id="305" w:name="_Toc28291"/>
      <w:bookmarkStart w:id="306" w:name="_Toc31575"/>
      <w:bookmarkStart w:id="307" w:name="_Toc7405"/>
      <w:r>
        <w:rPr>
          <w:rFonts w:hint="eastAsia" w:ascii="宋体" w:hAnsi="宋体" w:eastAsia="宋体" w:cs="宋体"/>
          <w:color w:val="auto"/>
          <w:sz w:val="21"/>
          <w:szCs w:val="21"/>
          <w:highlight w:val="none"/>
          <w:lang w:val="en-US" w:eastAsia="zh-CN"/>
        </w:rPr>
        <w:t>13.2  检测部位和检测数量</w:t>
      </w:r>
      <w:bookmarkEnd w:id="303"/>
      <w:bookmarkEnd w:id="304"/>
      <w:bookmarkEnd w:id="305"/>
      <w:bookmarkEnd w:id="306"/>
      <w:bookmarkEnd w:id="307"/>
    </w:p>
    <w:p>
      <w:pPr>
        <w:keepNext w:val="0"/>
        <w:keepLines w:val="0"/>
        <w:widowControl/>
        <w:suppressLineNumbers w:val="0"/>
        <w:ind w:left="0" w:leftChars="0" w:firstLine="0" w:firstLineChars="0"/>
        <w:jc w:val="left"/>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b/>
          <w:bCs/>
          <w:color w:val="auto"/>
          <w:sz w:val="21"/>
          <w:szCs w:val="21"/>
          <w:highlight w:val="none"/>
          <w:lang w:val="en-US" w:eastAsia="zh-CN"/>
        </w:rPr>
        <w:t xml:space="preserve">13.2.1  </w:t>
      </w:r>
      <w:r>
        <w:rPr>
          <w:rFonts w:hint="eastAsia" w:ascii="宋体" w:hAnsi="宋体" w:eastAsia="宋体" w:cs="宋体"/>
          <w:color w:val="auto"/>
          <w:kern w:val="0"/>
          <w:sz w:val="21"/>
          <w:szCs w:val="21"/>
          <w:highlight w:val="none"/>
          <w:lang w:val="en-US" w:eastAsia="zh-CN" w:bidi="ar"/>
        </w:rPr>
        <w:t>电源质量检测应包括受电端和电气线路末端。</w:t>
      </w:r>
    </w:p>
    <w:p>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sz w:val="21"/>
          <w:szCs w:val="21"/>
          <w:highlight w:val="none"/>
          <w:lang w:val="en-US" w:eastAsia="zh-CN"/>
        </w:rPr>
        <w:t xml:space="preserve">13.2.2  </w:t>
      </w:r>
      <w:r>
        <w:rPr>
          <w:rFonts w:hint="eastAsia" w:ascii="宋体" w:hAnsi="宋体" w:eastAsia="宋体" w:cs="宋体"/>
          <w:color w:val="auto"/>
          <w:kern w:val="0"/>
          <w:sz w:val="21"/>
          <w:szCs w:val="21"/>
          <w:highlight w:val="none"/>
          <w:lang w:val="en-US" w:eastAsia="zh-CN" w:bidi="ar"/>
        </w:rPr>
        <w:t>受电端电源质量应全数检测，电气线路末端电源质量检测的最小抽样数量应符合表13.2.2规定。</w:t>
      </w:r>
    </w:p>
    <w:p>
      <w:pPr>
        <w:pStyle w:val="38"/>
        <w:rPr>
          <w:rFonts w:hint="default" w:cs="Times New Roman"/>
          <w:color w:val="auto"/>
          <w:highlight w:val="none"/>
          <w:lang w:val="en-US" w:eastAsia="zh-CN"/>
        </w:rPr>
      </w:pPr>
      <w:r>
        <w:rPr>
          <w:rFonts w:hint="eastAsia" w:cs="Times New Roman"/>
          <w:color w:val="auto"/>
          <w:highlight w:val="none"/>
          <w:lang w:val="en-US" w:eastAsia="zh-CN"/>
        </w:rPr>
        <w:t xml:space="preserve">表 13.2.2  </w:t>
      </w:r>
      <w:r>
        <w:rPr>
          <w:rFonts w:hint="default" w:cs="Times New Roman"/>
          <w:color w:val="auto"/>
          <w:highlight w:val="none"/>
          <w:lang w:val="en-US" w:eastAsia="zh-CN"/>
        </w:rPr>
        <w:t>检验批最小抽样数量</w:t>
      </w:r>
    </w:p>
    <w:tbl>
      <w:tblPr>
        <w:tblStyle w:val="12"/>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0"/>
        <w:gridCol w:w="1830"/>
        <w:gridCol w:w="240"/>
        <w:gridCol w:w="2070"/>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70" w:type="dxa"/>
            <w:vAlign w:val="center"/>
          </w:tcPr>
          <w:p>
            <w:pPr>
              <w:jc w:val="center"/>
              <w:rPr>
                <w:rFonts w:hint="default"/>
                <w:color w:val="auto"/>
                <w:sz w:val="18"/>
                <w:szCs w:val="18"/>
                <w:highlight w:val="none"/>
                <w:vertAlign w:val="baseline"/>
                <w:lang w:val="en-US" w:eastAsia="zh-CN"/>
              </w:rPr>
            </w:pPr>
            <w:r>
              <w:rPr>
                <w:rFonts w:hint="default"/>
                <w:color w:val="auto"/>
                <w:sz w:val="18"/>
                <w:szCs w:val="18"/>
                <w:highlight w:val="none"/>
                <w:lang w:val="en-US" w:eastAsia="zh-CN"/>
              </w:rPr>
              <w:t>检验批的容量</w:t>
            </w:r>
          </w:p>
        </w:tc>
        <w:tc>
          <w:tcPr>
            <w:tcW w:w="1830" w:type="dxa"/>
            <w:vAlign w:val="center"/>
          </w:tcPr>
          <w:p>
            <w:pPr>
              <w:jc w:val="center"/>
              <w:rPr>
                <w:rFonts w:hint="default"/>
                <w:color w:val="auto"/>
                <w:sz w:val="18"/>
                <w:szCs w:val="18"/>
                <w:highlight w:val="none"/>
                <w:vertAlign w:val="baseline"/>
                <w:lang w:val="en-US" w:eastAsia="zh-CN"/>
              </w:rPr>
            </w:pPr>
            <w:r>
              <w:rPr>
                <w:rFonts w:hint="default"/>
                <w:color w:val="auto"/>
                <w:sz w:val="18"/>
                <w:szCs w:val="18"/>
                <w:highlight w:val="none"/>
                <w:lang w:val="en-US" w:eastAsia="zh-CN"/>
              </w:rPr>
              <w:t>最小抽样数量</w:t>
            </w:r>
          </w:p>
        </w:tc>
        <w:tc>
          <w:tcPr>
            <w:tcW w:w="240" w:type="dxa"/>
            <w:vMerge w:val="restart"/>
            <w:vAlign w:val="center"/>
          </w:tcPr>
          <w:p>
            <w:pPr>
              <w:jc w:val="center"/>
              <w:rPr>
                <w:rFonts w:hint="default"/>
                <w:color w:val="auto"/>
                <w:sz w:val="18"/>
                <w:szCs w:val="18"/>
                <w:highlight w:val="none"/>
                <w:vertAlign w:val="baseline"/>
                <w:lang w:val="en-US" w:eastAsia="zh-CN"/>
              </w:rPr>
            </w:pPr>
          </w:p>
        </w:tc>
        <w:tc>
          <w:tcPr>
            <w:tcW w:w="2070" w:type="dxa"/>
            <w:vAlign w:val="center"/>
          </w:tcPr>
          <w:p>
            <w:pPr>
              <w:jc w:val="center"/>
              <w:rPr>
                <w:rFonts w:hint="default"/>
                <w:color w:val="auto"/>
                <w:sz w:val="18"/>
                <w:szCs w:val="18"/>
                <w:highlight w:val="none"/>
                <w:vertAlign w:val="baseline"/>
                <w:lang w:val="en-US" w:eastAsia="zh-CN"/>
              </w:rPr>
            </w:pPr>
            <w:r>
              <w:rPr>
                <w:rFonts w:hint="default"/>
                <w:color w:val="auto"/>
                <w:sz w:val="18"/>
                <w:szCs w:val="18"/>
                <w:highlight w:val="none"/>
                <w:lang w:val="en-US" w:eastAsia="zh-CN"/>
              </w:rPr>
              <w:t>检验批的容量</w:t>
            </w:r>
          </w:p>
        </w:tc>
        <w:tc>
          <w:tcPr>
            <w:tcW w:w="2070" w:type="dxa"/>
            <w:vAlign w:val="center"/>
          </w:tcPr>
          <w:p>
            <w:pPr>
              <w:jc w:val="center"/>
              <w:rPr>
                <w:rFonts w:hint="default"/>
                <w:color w:val="auto"/>
                <w:sz w:val="18"/>
                <w:szCs w:val="18"/>
                <w:highlight w:val="none"/>
                <w:vertAlign w:val="baseline"/>
                <w:lang w:val="en-US" w:eastAsia="zh-CN"/>
              </w:rPr>
            </w:pPr>
            <w:r>
              <w:rPr>
                <w:rFonts w:hint="default"/>
                <w:color w:val="auto"/>
                <w:sz w:val="18"/>
                <w:szCs w:val="18"/>
                <w:highlight w:val="none"/>
                <w:lang w:val="en-US" w:eastAsia="zh-CN"/>
              </w:rPr>
              <w:t>最小抽样数量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70" w:type="dxa"/>
            <w:vAlign w:val="center"/>
          </w:tcPr>
          <w:p>
            <w:pPr>
              <w:jc w:val="center"/>
              <w:rPr>
                <w:rFonts w:hint="default"/>
                <w:color w:val="auto"/>
                <w:sz w:val="18"/>
                <w:szCs w:val="18"/>
                <w:highlight w:val="none"/>
                <w:vertAlign w:val="baseline"/>
                <w:lang w:val="en-US" w:eastAsia="zh-CN"/>
              </w:rPr>
            </w:pPr>
            <w:r>
              <w:rPr>
                <w:rFonts w:hint="default"/>
                <w:color w:val="auto"/>
                <w:sz w:val="18"/>
                <w:szCs w:val="18"/>
                <w:highlight w:val="none"/>
                <w:lang w:val="en-US" w:eastAsia="zh-CN"/>
              </w:rPr>
              <w:t>2~15</w:t>
            </w:r>
          </w:p>
        </w:tc>
        <w:tc>
          <w:tcPr>
            <w:tcW w:w="1830" w:type="dxa"/>
            <w:vAlign w:val="center"/>
          </w:tcPr>
          <w:p>
            <w:pPr>
              <w:jc w:val="center"/>
              <w:rPr>
                <w:rFonts w:hint="default"/>
                <w:color w:val="auto"/>
                <w:sz w:val="18"/>
                <w:szCs w:val="18"/>
                <w:highlight w:val="none"/>
                <w:vertAlign w:val="baseline"/>
                <w:lang w:val="en-US" w:eastAsia="zh-CN"/>
              </w:rPr>
            </w:pPr>
            <w:r>
              <w:rPr>
                <w:rFonts w:hint="eastAsia"/>
                <w:color w:val="auto"/>
                <w:sz w:val="18"/>
                <w:szCs w:val="18"/>
                <w:highlight w:val="none"/>
                <w:vertAlign w:val="baseline"/>
                <w:lang w:val="en-US" w:eastAsia="zh-CN"/>
              </w:rPr>
              <w:t>2</w:t>
            </w:r>
          </w:p>
        </w:tc>
        <w:tc>
          <w:tcPr>
            <w:tcW w:w="240" w:type="dxa"/>
            <w:vMerge w:val="continue"/>
            <w:vAlign w:val="center"/>
          </w:tcPr>
          <w:p>
            <w:pPr>
              <w:jc w:val="center"/>
              <w:rPr>
                <w:rFonts w:hint="default"/>
                <w:color w:val="auto"/>
                <w:sz w:val="18"/>
                <w:szCs w:val="18"/>
                <w:highlight w:val="none"/>
                <w:vertAlign w:val="baseline"/>
                <w:lang w:val="en-US" w:eastAsia="zh-CN"/>
              </w:rPr>
            </w:pPr>
          </w:p>
        </w:tc>
        <w:tc>
          <w:tcPr>
            <w:tcW w:w="2070" w:type="dxa"/>
            <w:vAlign w:val="center"/>
          </w:tcPr>
          <w:p>
            <w:pPr>
              <w:jc w:val="center"/>
              <w:rPr>
                <w:rFonts w:hint="default"/>
                <w:color w:val="auto"/>
                <w:sz w:val="18"/>
                <w:szCs w:val="18"/>
                <w:highlight w:val="none"/>
                <w:vertAlign w:val="baseline"/>
                <w:lang w:val="en-US" w:eastAsia="zh-CN"/>
              </w:rPr>
            </w:pPr>
            <w:r>
              <w:rPr>
                <w:rFonts w:hint="default"/>
                <w:color w:val="auto"/>
                <w:sz w:val="18"/>
                <w:szCs w:val="18"/>
                <w:highlight w:val="none"/>
                <w:lang w:val="en-US" w:eastAsia="zh-CN"/>
              </w:rPr>
              <w:t>151~280</w:t>
            </w:r>
          </w:p>
        </w:tc>
        <w:tc>
          <w:tcPr>
            <w:tcW w:w="2070" w:type="dxa"/>
            <w:vAlign w:val="center"/>
          </w:tcPr>
          <w:p>
            <w:pPr>
              <w:jc w:val="center"/>
              <w:rPr>
                <w:rFonts w:hint="default"/>
                <w:color w:val="auto"/>
                <w:sz w:val="18"/>
                <w:szCs w:val="18"/>
                <w:highlight w:val="none"/>
                <w:vertAlign w:val="baseline"/>
                <w:lang w:val="en-US" w:eastAsia="zh-CN"/>
              </w:rPr>
            </w:pPr>
            <w:r>
              <w:rPr>
                <w:rFonts w:hint="eastAsia"/>
                <w:color w:val="auto"/>
                <w:sz w:val="18"/>
                <w:szCs w:val="18"/>
                <w:highlight w:val="none"/>
                <w:vertAlign w:val="baseline"/>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70" w:type="dxa"/>
            <w:vAlign w:val="center"/>
          </w:tcPr>
          <w:p>
            <w:pPr>
              <w:jc w:val="center"/>
              <w:rPr>
                <w:rFonts w:hint="default"/>
                <w:color w:val="auto"/>
                <w:sz w:val="18"/>
                <w:szCs w:val="18"/>
                <w:highlight w:val="none"/>
                <w:vertAlign w:val="baseline"/>
                <w:lang w:val="en-US" w:eastAsia="zh-CN"/>
              </w:rPr>
            </w:pPr>
            <w:r>
              <w:rPr>
                <w:rFonts w:hint="default"/>
                <w:color w:val="auto"/>
                <w:sz w:val="18"/>
                <w:szCs w:val="18"/>
                <w:highlight w:val="none"/>
                <w:lang w:val="en-US" w:eastAsia="zh-CN"/>
              </w:rPr>
              <w:t>16-25</w:t>
            </w:r>
          </w:p>
        </w:tc>
        <w:tc>
          <w:tcPr>
            <w:tcW w:w="1830" w:type="dxa"/>
            <w:vAlign w:val="center"/>
          </w:tcPr>
          <w:p>
            <w:pPr>
              <w:jc w:val="center"/>
              <w:rPr>
                <w:rFonts w:hint="default"/>
                <w:color w:val="auto"/>
                <w:sz w:val="18"/>
                <w:szCs w:val="18"/>
                <w:highlight w:val="none"/>
                <w:vertAlign w:val="baseline"/>
                <w:lang w:val="en-US" w:eastAsia="zh-CN"/>
              </w:rPr>
            </w:pPr>
            <w:r>
              <w:rPr>
                <w:rFonts w:hint="eastAsia"/>
                <w:color w:val="auto"/>
                <w:sz w:val="18"/>
                <w:szCs w:val="18"/>
                <w:highlight w:val="none"/>
                <w:vertAlign w:val="baseline"/>
                <w:lang w:val="en-US" w:eastAsia="zh-CN"/>
              </w:rPr>
              <w:t>3</w:t>
            </w:r>
          </w:p>
        </w:tc>
        <w:tc>
          <w:tcPr>
            <w:tcW w:w="240" w:type="dxa"/>
            <w:vMerge w:val="continue"/>
            <w:vAlign w:val="center"/>
          </w:tcPr>
          <w:p>
            <w:pPr>
              <w:jc w:val="center"/>
              <w:rPr>
                <w:rFonts w:hint="default"/>
                <w:color w:val="auto"/>
                <w:sz w:val="18"/>
                <w:szCs w:val="18"/>
                <w:highlight w:val="none"/>
                <w:vertAlign w:val="baseline"/>
                <w:lang w:val="en-US" w:eastAsia="zh-CN"/>
              </w:rPr>
            </w:pPr>
          </w:p>
        </w:tc>
        <w:tc>
          <w:tcPr>
            <w:tcW w:w="2070" w:type="dxa"/>
            <w:vAlign w:val="center"/>
          </w:tcPr>
          <w:p>
            <w:pPr>
              <w:jc w:val="center"/>
              <w:rPr>
                <w:rFonts w:hint="default"/>
                <w:color w:val="auto"/>
                <w:sz w:val="18"/>
                <w:szCs w:val="18"/>
                <w:highlight w:val="none"/>
                <w:vertAlign w:val="baseline"/>
                <w:lang w:val="en-US" w:eastAsia="zh-CN"/>
              </w:rPr>
            </w:pPr>
            <w:r>
              <w:rPr>
                <w:rFonts w:hint="default"/>
                <w:color w:val="auto"/>
                <w:sz w:val="18"/>
                <w:szCs w:val="18"/>
                <w:highlight w:val="none"/>
                <w:lang w:val="en-US" w:eastAsia="zh-CN"/>
              </w:rPr>
              <w:t>281-500</w:t>
            </w:r>
          </w:p>
        </w:tc>
        <w:tc>
          <w:tcPr>
            <w:tcW w:w="2070" w:type="dxa"/>
            <w:vAlign w:val="center"/>
          </w:tcPr>
          <w:p>
            <w:pPr>
              <w:jc w:val="center"/>
              <w:rPr>
                <w:rFonts w:hint="default"/>
                <w:color w:val="auto"/>
                <w:sz w:val="18"/>
                <w:szCs w:val="18"/>
                <w:highlight w:val="none"/>
                <w:vertAlign w:val="baseline"/>
                <w:lang w:val="en-US" w:eastAsia="zh-CN"/>
              </w:rPr>
            </w:pPr>
            <w:r>
              <w:rPr>
                <w:rFonts w:hint="eastAsia"/>
                <w:color w:val="auto"/>
                <w:sz w:val="18"/>
                <w:szCs w:val="18"/>
                <w:highlight w:val="none"/>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70" w:type="dxa"/>
            <w:vAlign w:val="center"/>
          </w:tcPr>
          <w:p>
            <w:pPr>
              <w:jc w:val="center"/>
              <w:rPr>
                <w:rFonts w:hint="default"/>
                <w:color w:val="auto"/>
                <w:sz w:val="18"/>
                <w:szCs w:val="18"/>
                <w:highlight w:val="none"/>
                <w:vertAlign w:val="baseline"/>
                <w:lang w:val="en-US" w:eastAsia="zh-CN"/>
              </w:rPr>
            </w:pPr>
            <w:r>
              <w:rPr>
                <w:rFonts w:hint="default"/>
                <w:color w:val="auto"/>
                <w:sz w:val="18"/>
                <w:szCs w:val="18"/>
                <w:highlight w:val="none"/>
                <w:lang w:val="en-US" w:eastAsia="zh-CN"/>
              </w:rPr>
              <w:t>26~90</w:t>
            </w:r>
          </w:p>
        </w:tc>
        <w:tc>
          <w:tcPr>
            <w:tcW w:w="1830" w:type="dxa"/>
            <w:vAlign w:val="center"/>
          </w:tcPr>
          <w:p>
            <w:pPr>
              <w:jc w:val="center"/>
              <w:rPr>
                <w:rFonts w:hint="default"/>
                <w:color w:val="auto"/>
                <w:sz w:val="18"/>
                <w:szCs w:val="18"/>
                <w:highlight w:val="none"/>
                <w:vertAlign w:val="baseline"/>
                <w:lang w:val="en-US" w:eastAsia="zh-CN"/>
              </w:rPr>
            </w:pPr>
            <w:r>
              <w:rPr>
                <w:rFonts w:hint="eastAsia"/>
                <w:color w:val="auto"/>
                <w:sz w:val="18"/>
                <w:szCs w:val="18"/>
                <w:highlight w:val="none"/>
                <w:vertAlign w:val="baseline"/>
                <w:lang w:val="en-US" w:eastAsia="zh-CN"/>
              </w:rPr>
              <w:t>5</w:t>
            </w:r>
          </w:p>
        </w:tc>
        <w:tc>
          <w:tcPr>
            <w:tcW w:w="240" w:type="dxa"/>
            <w:vMerge w:val="continue"/>
            <w:vAlign w:val="center"/>
          </w:tcPr>
          <w:p>
            <w:pPr>
              <w:jc w:val="center"/>
              <w:rPr>
                <w:rFonts w:hint="default"/>
                <w:color w:val="auto"/>
                <w:sz w:val="18"/>
                <w:szCs w:val="18"/>
                <w:highlight w:val="none"/>
                <w:vertAlign w:val="baseline"/>
                <w:lang w:val="en-US" w:eastAsia="zh-CN"/>
              </w:rPr>
            </w:pPr>
          </w:p>
        </w:tc>
        <w:tc>
          <w:tcPr>
            <w:tcW w:w="2070" w:type="dxa"/>
            <w:vAlign w:val="center"/>
          </w:tcPr>
          <w:p>
            <w:pPr>
              <w:jc w:val="center"/>
              <w:rPr>
                <w:rFonts w:hint="default"/>
                <w:color w:val="auto"/>
                <w:sz w:val="18"/>
                <w:szCs w:val="18"/>
                <w:highlight w:val="none"/>
                <w:vertAlign w:val="baseline"/>
                <w:lang w:val="en-US" w:eastAsia="zh-CN"/>
              </w:rPr>
            </w:pPr>
            <w:r>
              <w:rPr>
                <w:rFonts w:hint="default"/>
                <w:color w:val="auto"/>
                <w:sz w:val="18"/>
                <w:szCs w:val="18"/>
                <w:highlight w:val="none"/>
                <w:lang w:val="en-US" w:eastAsia="zh-CN"/>
              </w:rPr>
              <w:t>501~1200</w:t>
            </w:r>
          </w:p>
        </w:tc>
        <w:tc>
          <w:tcPr>
            <w:tcW w:w="2070" w:type="dxa"/>
            <w:vAlign w:val="center"/>
          </w:tcPr>
          <w:p>
            <w:pPr>
              <w:jc w:val="center"/>
              <w:rPr>
                <w:rFonts w:hint="default"/>
                <w:color w:val="auto"/>
                <w:sz w:val="18"/>
                <w:szCs w:val="18"/>
                <w:highlight w:val="none"/>
                <w:vertAlign w:val="baseline"/>
                <w:lang w:val="en-US" w:eastAsia="zh-CN"/>
              </w:rPr>
            </w:pPr>
            <w:r>
              <w:rPr>
                <w:rFonts w:hint="eastAsia"/>
                <w:color w:val="auto"/>
                <w:sz w:val="18"/>
                <w:szCs w:val="18"/>
                <w:highlight w:val="none"/>
                <w:vertAlign w:val="baseline"/>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70" w:type="dxa"/>
            <w:vAlign w:val="center"/>
          </w:tcPr>
          <w:p>
            <w:pPr>
              <w:jc w:val="center"/>
              <w:rPr>
                <w:rFonts w:hint="default"/>
                <w:color w:val="auto"/>
                <w:sz w:val="18"/>
                <w:szCs w:val="18"/>
                <w:highlight w:val="none"/>
                <w:vertAlign w:val="baseline"/>
                <w:lang w:val="en-US" w:eastAsia="zh-CN"/>
              </w:rPr>
            </w:pPr>
            <w:r>
              <w:rPr>
                <w:rFonts w:hint="default"/>
                <w:color w:val="auto"/>
                <w:sz w:val="18"/>
                <w:szCs w:val="18"/>
                <w:highlight w:val="none"/>
                <w:lang w:val="en-US" w:eastAsia="zh-CN"/>
              </w:rPr>
              <w:t>91~150</w:t>
            </w:r>
          </w:p>
        </w:tc>
        <w:tc>
          <w:tcPr>
            <w:tcW w:w="1830" w:type="dxa"/>
            <w:vAlign w:val="center"/>
          </w:tcPr>
          <w:p>
            <w:pPr>
              <w:jc w:val="center"/>
              <w:rPr>
                <w:rFonts w:hint="default"/>
                <w:color w:val="auto"/>
                <w:sz w:val="18"/>
                <w:szCs w:val="18"/>
                <w:highlight w:val="none"/>
                <w:vertAlign w:val="baseline"/>
                <w:lang w:val="en-US" w:eastAsia="zh-CN"/>
              </w:rPr>
            </w:pPr>
            <w:r>
              <w:rPr>
                <w:rFonts w:hint="eastAsia"/>
                <w:color w:val="auto"/>
                <w:sz w:val="18"/>
                <w:szCs w:val="18"/>
                <w:highlight w:val="none"/>
                <w:vertAlign w:val="baseline"/>
                <w:lang w:val="en-US" w:eastAsia="zh-CN"/>
              </w:rPr>
              <w:t>8</w:t>
            </w:r>
          </w:p>
        </w:tc>
        <w:tc>
          <w:tcPr>
            <w:tcW w:w="240" w:type="dxa"/>
            <w:vMerge w:val="continue"/>
            <w:vAlign w:val="center"/>
          </w:tcPr>
          <w:p>
            <w:pPr>
              <w:jc w:val="center"/>
              <w:rPr>
                <w:rFonts w:hint="default"/>
                <w:color w:val="auto"/>
                <w:sz w:val="18"/>
                <w:szCs w:val="18"/>
                <w:highlight w:val="none"/>
                <w:vertAlign w:val="baseline"/>
                <w:lang w:val="en-US" w:eastAsia="zh-CN"/>
              </w:rPr>
            </w:pPr>
          </w:p>
        </w:tc>
        <w:tc>
          <w:tcPr>
            <w:tcW w:w="2070" w:type="dxa"/>
            <w:vAlign w:val="center"/>
          </w:tcPr>
          <w:p>
            <w:pPr>
              <w:jc w:val="center"/>
              <w:rPr>
                <w:rFonts w:hint="default"/>
                <w:color w:val="auto"/>
                <w:sz w:val="18"/>
                <w:szCs w:val="18"/>
                <w:highlight w:val="none"/>
                <w:vertAlign w:val="baseline"/>
                <w:lang w:val="en-US" w:eastAsia="zh-CN"/>
              </w:rPr>
            </w:pPr>
            <w:r>
              <w:rPr>
                <w:rFonts w:hint="default"/>
                <w:color w:val="auto"/>
                <w:sz w:val="18"/>
                <w:szCs w:val="18"/>
                <w:highlight w:val="none"/>
                <w:lang w:val="en-US" w:eastAsia="zh-CN"/>
              </w:rPr>
              <w:t>1201-3200</w:t>
            </w:r>
          </w:p>
        </w:tc>
        <w:tc>
          <w:tcPr>
            <w:tcW w:w="2070" w:type="dxa"/>
            <w:vAlign w:val="center"/>
          </w:tcPr>
          <w:p>
            <w:pPr>
              <w:jc w:val="center"/>
              <w:rPr>
                <w:rFonts w:hint="default"/>
                <w:color w:val="auto"/>
                <w:sz w:val="18"/>
                <w:szCs w:val="18"/>
                <w:highlight w:val="none"/>
                <w:vertAlign w:val="baseline"/>
                <w:lang w:val="en-US" w:eastAsia="zh-CN"/>
              </w:rPr>
            </w:pPr>
            <w:r>
              <w:rPr>
                <w:rFonts w:hint="eastAsia"/>
                <w:color w:val="auto"/>
                <w:sz w:val="18"/>
                <w:szCs w:val="18"/>
                <w:highlight w:val="none"/>
                <w:vertAlign w:val="baseline"/>
                <w:lang w:val="en-US" w:eastAsia="zh-CN"/>
              </w:rPr>
              <w:t>50</w:t>
            </w:r>
          </w:p>
        </w:tc>
      </w:tr>
    </w:tbl>
    <w:p>
      <w:pPr>
        <w:pStyle w:val="3"/>
        <w:jc w:val="center"/>
        <w:rPr>
          <w:rFonts w:ascii="宋体" w:hAnsi="宋体" w:eastAsia="宋体" w:cs="宋体"/>
          <w:color w:val="auto"/>
          <w:sz w:val="21"/>
          <w:szCs w:val="21"/>
          <w:highlight w:val="none"/>
        </w:rPr>
      </w:pPr>
      <w:bookmarkStart w:id="308" w:name="_Toc13454"/>
      <w:bookmarkStart w:id="309" w:name="_Toc5320"/>
      <w:bookmarkStart w:id="310" w:name="_Toc8208"/>
      <w:bookmarkStart w:id="311" w:name="_Toc30021"/>
      <w:bookmarkStart w:id="312" w:name="_Toc8283"/>
      <w:r>
        <w:rPr>
          <w:rFonts w:hint="eastAsia" w:ascii="宋体" w:hAnsi="宋体" w:eastAsia="宋体" w:cs="宋体"/>
          <w:color w:val="auto"/>
          <w:sz w:val="21"/>
          <w:szCs w:val="21"/>
          <w:highlight w:val="none"/>
        </w:rPr>
        <w:t xml:space="preserve">13.3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检测方法</w:t>
      </w:r>
      <w:bookmarkEnd w:id="308"/>
      <w:bookmarkEnd w:id="309"/>
      <w:bookmarkEnd w:id="310"/>
      <w:bookmarkEnd w:id="311"/>
      <w:bookmarkEnd w:id="312"/>
    </w:p>
    <w:p>
      <w:pPr>
        <w:widowControl/>
        <w:rPr>
          <w:rFonts w:ascii="宋体" w:hAnsi="宋体" w:eastAsia="宋体" w:cs="宋体"/>
          <w:color w:val="auto"/>
          <w:kern w:val="0"/>
          <w:sz w:val="21"/>
          <w:szCs w:val="21"/>
          <w:highlight w:val="none"/>
          <w:lang w:bidi="ar"/>
        </w:rPr>
      </w:pPr>
      <w:r>
        <w:rPr>
          <w:rFonts w:hint="eastAsia" w:ascii="宋体" w:hAnsi="宋体" w:eastAsia="宋体" w:cs="宋体"/>
          <w:b/>
          <w:bCs/>
          <w:color w:val="auto"/>
          <w:sz w:val="21"/>
          <w:szCs w:val="21"/>
          <w:highlight w:val="none"/>
          <w:lang w:val="en-US" w:eastAsia="zh-CN"/>
        </w:rPr>
        <w:t xml:space="preserve">13.3.1  </w:t>
      </w:r>
      <w:r>
        <w:rPr>
          <w:rFonts w:hint="eastAsia" w:ascii="宋体" w:hAnsi="宋体" w:eastAsia="宋体" w:cs="宋体"/>
          <w:color w:val="auto"/>
          <w:kern w:val="0"/>
          <w:sz w:val="21"/>
          <w:szCs w:val="21"/>
          <w:highlight w:val="none"/>
          <w:lang w:val="en-US" w:eastAsia="zh-CN" w:bidi="ar"/>
        </w:rPr>
        <w:t>电源质量检测仪器可采用</w:t>
      </w:r>
      <w:r>
        <w:rPr>
          <w:rFonts w:hint="eastAsia" w:ascii="宋体" w:hAnsi="宋体" w:eastAsia="宋体" w:cs="宋体"/>
          <w:color w:val="auto"/>
          <w:kern w:val="0"/>
          <w:sz w:val="21"/>
          <w:szCs w:val="21"/>
          <w:highlight w:val="none"/>
          <w:lang w:bidi="ar"/>
        </w:rPr>
        <w:t>三相电能质量分析仪，</w:t>
      </w:r>
      <w:r>
        <w:rPr>
          <w:rFonts w:hint="eastAsia" w:ascii="宋体" w:hAnsi="宋体" w:eastAsia="宋体" w:cs="宋体"/>
          <w:color w:val="auto"/>
          <w:kern w:val="0"/>
          <w:sz w:val="21"/>
          <w:szCs w:val="21"/>
          <w:highlight w:val="none"/>
          <w:lang w:val="en-US" w:eastAsia="zh-CN" w:bidi="ar"/>
        </w:rPr>
        <w:t>电源质量检测仪器的</w:t>
      </w:r>
      <w:r>
        <w:rPr>
          <w:rFonts w:hint="eastAsia" w:ascii="宋体" w:hAnsi="宋体" w:eastAsia="宋体" w:cs="宋体"/>
          <w:color w:val="auto"/>
          <w:kern w:val="0"/>
          <w:sz w:val="21"/>
          <w:szCs w:val="21"/>
          <w:highlight w:val="none"/>
          <w:lang w:bidi="ar"/>
        </w:rPr>
        <w:t>电压测量误差不超过±0.2%。应采用</w:t>
      </w:r>
      <w:r>
        <w:rPr>
          <w:rFonts w:ascii="宋体" w:hAnsi="宋体" w:eastAsia="宋体" w:cs="宋体"/>
          <w:color w:val="auto"/>
          <w:kern w:val="0"/>
          <w:sz w:val="21"/>
          <w:szCs w:val="21"/>
          <w:highlight w:val="none"/>
          <w:lang w:bidi="ar"/>
        </w:rPr>
        <w:t>A级或B级的仪器</w:t>
      </w:r>
      <w:r>
        <w:rPr>
          <w:rFonts w:hint="eastAsia" w:ascii="宋体" w:hAnsi="宋体" w:eastAsia="宋体" w:cs="宋体"/>
          <w:color w:val="auto"/>
          <w:kern w:val="0"/>
          <w:sz w:val="21"/>
          <w:szCs w:val="21"/>
          <w:highlight w:val="none"/>
          <w:lang w:bidi="ar"/>
        </w:rPr>
        <w:t>并</w:t>
      </w:r>
      <w:r>
        <w:rPr>
          <w:rFonts w:ascii="宋体" w:hAnsi="宋体" w:eastAsia="宋体" w:cs="宋体"/>
          <w:color w:val="auto"/>
          <w:kern w:val="0"/>
          <w:sz w:val="21"/>
          <w:szCs w:val="21"/>
          <w:highlight w:val="none"/>
          <w:lang w:bidi="ar"/>
        </w:rPr>
        <w:t>配</w:t>
      </w:r>
      <w:r>
        <w:rPr>
          <w:rFonts w:hint="eastAsia" w:ascii="宋体" w:hAnsi="宋体" w:eastAsia="宋体" w:cs="宋体"/>
          <w:color w:val="auto"/>
          <w:kern w:val="0"/>
          <w:sz w:val="21"/>
          <w:szCs w:val="21"/>
          <w:highlight w:val="none"/>
          <w:lang w:bidi="ar"/>
        </w:rPr>
        <w:t>置</w:t>
      </w:r>
      <w:r>
        <w:rPr>
          <w:rFonts w:ascii="宋体" w:hAnsi="宋体" w:eastAsia="宋体" w:cs="宋体"/>
          <w:color w:val="auto"/>
          <w:kern w:val="0"/>
          <w:sz w:val="21"/>
          <w:szCs w:val="21"/>
          <w:highlight w:val="none"/>
          <w:lang w:bidi="ar"/>
        </w:rPr>
        <w:t>不小于0.5级的互感器进行测量</w:t>
      </w:r>
      <w:r>
        <w:rPr>
          <w:rFonts w:hint="eastAsia" w:ascii="宋体" w:hAnsi="宋体" w:eastAsia="宋体" w:cs="宋体"/>
          <w:color w:val="auto"/>
          <w:kern w:val="0"/>
          <w:sz w:val="21"/>
          <w:szCs w:val="21"/>
          <w:highlight w:val="none"/>
          <w:lang w:eastAsia="zh-CN" w:bidi="ar"/>
        </w:rPr>
        <w:t>。</w:t>
      </w:r>
    </w:p>
    <w:p>
      <w:pPr>
        <w:widowControl/>
        <w:rPr>
          <w:rFonts w:ascii="宋体" w:hAnsi="宋体" w:eastAsia="宋体" w:cs="宋体"/>
          <w:color w:val="auto"/>
          <w:kern w:val="0"/>
          <w:sz w:val="21"/>
          <w:szCs w:val="21"/>
          <w:highlight w:val="none"/>
          <w:lang w:bidi="ar"/>
        </w:rPr>
      </w:pPr>
      <w:r>
        <w:rPr>
          <w:rFonts w:hint="eastAsia" w:ascii="宋体" w:hAnsi="宋体" w:eastAsia="宋体" w:cs="宋体"/>
          <w:b/>
          <w:bCs/>
          <w:color w:val="auto"/>
          <w:kern w:val="0"/>
          <w:sz w:val="21"/>
          <w:szCs w:val="21"/>
          <w:highlight w:val="none"/>
          <w:lang w:val="en-US" w:eastAsia="zh-CN" w:bidi="ar"/>
        </w:rPr>
        <w:t>13.3.2</w:t>
      </w:r>
      <w:r>
        <w:rPr>
          <w:rFonts w:hint="eastAsia" w:ascii="宋体" w:hAnsi="宋体" w:eastAsia="宋体" w:cs="宋体"/>
          <w:color w:val="auto"/>
          <w:kern w:val="0"/>
          <w:sz w:val="21"/>
          <w:szCs w:val="21"/>
          <w:highlight w:val="none"/>
          <w:lang w:val="en-US" w:eastAsia="zh-CN" w:bidi="ar"/>
        </w:rPr>
        <w:t xml:space="preserve">  电源质量检测应</w:t>
      </w:r>
      <w:r>
        <w:rPr>
          <w:rFonts w:hint="eastAsia" w:ascii="宋体" w:hAnsi="宋体" w:eastAsia="宋体" w:cs="宋体"/>
          <w:color w:val="auto"/>
          <w:kern w:val="0"/>
          <w:sz w:val="21"/>
          <w:szCs w:val="21"/>
          <w:highlight w:val="none"/>
          <w:lang w:bidi="ar"/>
        </w:rPr>
        <w:t>在用电负荷率大于20%的配电回路且应在负载正常使用的情况下</w:t>
      </w:r>
      <w:r>
        <w:rPr>
          <w:rFonts w:hint="eastAsia" w:ascii="宋体" w:hAnsi="宋体" w:eastAsia="宋体" w:cs="宋体"/>
          <w:color w:val="auto"/>
          <w:kern w:val="0"/>
          <w:sz w:val="21"/>
          <w:szCs w:val="21"/>
          <w:highlight w:val="none"/>
          <w:lang w:val="en-US" w:eastAsia="zh-CN" w:bidi="ar"/>
        </w:rPr>
        <w:t>进行</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对于室内插座等装置使用带负载模拟的仪表进行测试。</w:t>
      </w:r>
    </w:p>
    <w:p>
      <w:pPr>
        <w:rPr>
          <w:rFonts w:hint="eastAsia" w:ascii="宋体" w:hAnsi="宋体" w:eastAsia="宋体" w:cs="宋体"/>
          <w:color w:val="auto"/>
          <w:kern w:val="0"/>
          <w:sz w:val="21"/>
          <w:szCs w:val="21"/>
          <w:highlight w:val="none"/>
          <w:lang w:bidi="ar"/>
        </w:rPr>
      </w:pPr>
      <w:r>
        <w:rPr>
          <w:rFonts w:hint="eastAsia" w:ascii="宋体" w:hAnsi="宋体" w:eastAsia="宋体" w:cs="宋体"/>
          <w:b/>
          <w:bCs/>
          <w:color w:val="auto"/>
          <w:kern w:val="0"/>
          <w:sz w:val="21"/>
          <w:szCs w:val="21"/>
          <w:highlight w:val="none"/>
          <w:lang w:val="en-US" w:eastAsia="zh-CN" w:bidi="ar"/>
        </w:rPr>
        <w:t>13.3.3</w:t>
      </w:r>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bidi="ar"/>
        </w:rPr>
        <w:t>受电端电压允许偏差检测</w:t>
      </w:r>
      <w:r>
        <w:rPr>
          <w:rFonts w:hint="eastAsia" w:ascii="宋体" w:hAnsi="宋体" w:eastAsia="宋体" w:cs="宋体"/>
          <w:color w:val="auto"/>
          <w:kern w:val="0"/>
          <w:sz w:val="21"/>
          <w:szCs w:val="21"/>
          <w:highlight w:val="none"/>
          <w:lang w:val="en-US" w:eastAsia="zh-CN" w:bidi="ar"/>
        </w:rPr>
        <w:t>应符合下列规定</w:t>
      </w:r>
      <w:r>
        <w:rPr>
          <w:rFonts w:hint="eastAsia" w:ascii="宋体" w:hAnsi="宋体" w:eastAsia="宋体" w:cs="宋体"/>
          <w:color w:val="auto"/>
          <w:kern w:val="0"/>
          <w:sz w:val="21"/>
          <w:szCs w:val="21"/>
          <w:highlight w:val="none"/>
          <w:lang w:bidi="ar"/>
        </w:rPr>
        <w:t>：</w:t>
      </w:r>
    </w:p>
    <w:p>
      <w:pPr>
        <w:ind w:firstLine="422" w:firstLineChars="20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bidi="ar"/>
        </w:rPr>
        <w:t>在已安装的变频、照明和不间断电源等可产生谐波的用电设备均可投入</w:t>
      </w:r>
      <w:r>
        <w:rPr>
          <w:rFonts w:hint="eastAsia" w:ascii="宋体" w:hAnsi="宋体" w:eastAsia="宋体" w:cs="宋体"/>
          <w:color w:val="auto"/>
          <w:kern w:val="0"/>
          <w:sz w:val="21"/>
          <w:szCs w:val="21"/>
          <w:highlight w:val="none"/>
          <w:lang w:val="en-US" w:eastAsia="zh-CN" w:bidi="ar"/>
        </w:rPr>
        <w:t>使用</w:t>
      </w:r>
      <w:r>
        <w:rPr>
          <w:rFonts w:hint="eastAsia" w:ascii="宋体" w:hAnsi="宋体" w:eastAsia="宋体" w:cs="宋体"/>
          <w:color w:val="auto"/>
          <w:kern w:val="0"/>
          <w:sz w:val="21"/>
          <w:szCs w:val="21"/>
          <w:highlight w:val="none"/>
          <w:lang w:bidi="ar"/>
        </w:rPr>
        <w:t>的情况下</w:t>
      </w:r>
      <w:r>
        <w:rPr>
          <w:rFonts w:hint="eastAsia" w:ascii="宋体" w:hAnsi="宋体" w:eastAsia="宋体" w:cs="宋体"/>
          <w:color w:val="auto"/>
          <w:kern w:val="0"/>
          <w:sz w:val="21"/>
          <w:szCs w:val="21"/>
          <w:highlight w:val="none"/>
          <w:lang w:val="en-US" w:eastAsia="zh-CN" w:bidi="ar"/>
        </w:rPr>
        <w:t>进行测量；</w:t>
      </w:r>
    </w:p>
    <w:p>
      <w:pPr>
        <w:ind w:firstLine="422" w:firstLineChars="200"/>
        <w:rPr>
          <w:rFonts w:hint="eastAsia" w:ascii="宋体" w:hAnsi="宋体" w:eastAsia="宋体" w:cs="宋体"/>
          <w:color w:val="auto"/>
          <w:kern w:val="0"/>
          <w:sz w:val="21"/>
          <w:szCs w:val="21"/>
          <w:highlight w:val="none"/>
          <w:lang w:eastAsia="zh-CN" w:bidi="ar"/>
        </w:rPr>
      </w:pPr>
      <w:r>
        <w:rPr>
          <w:rFonts w:hint="eastAsia" w:ascii="宋体" w:hAnsi="宋体" w:eastAsia="宋体" w:cs="宋体"/>
          <w:b/>
          <w:bCs/>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bidi="ar"/>
        </w:rPr>
        <w:t>在变压器的低压侧测量</w:t>
      </w:r>
      <w:r>
        <w:rPr>
          <w:rFonts w:hint="eastAsia" w:ascii="宋体" w:hAnsi="宋体" w:eastAsia="宋体" w:cs="宋体"/>
          <w:color w:val="auto"/>
          <w:kern w:val="0"/>
          <w:sz w:val="21"/>
          <w:szCs w:val="21"/>
          <w:highlight w:val="none"/>
          <w:lang w:eastAsia="zh-CN" w:bidi="ar"/>
        </w:rPr>
        <w:t>；</w:t>
      </w:r>
    </w:p>
    <w:p>
      <w:pPr>
        <w:ind w:firstLine="422" w:firstLineChars="20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bidi="ar"/>
        </w:rPr>
        <w:t>获得电压有效值的基本测量时间窗口应为10周波</w:t>
      </w:r>
      <w:r>
        <w:rPr>
          <w:rFonts w:hint="eastAsia" w:ascii="宋体" w:hAnsi="宋体" w:eastAsia="宋体" w:cs="宋体"/>
          <w:color w:val="auto"/>
          <w:kern w:val="0"/>
          <w:sz w:val="21"/>
          <w:szCs w:val="21"/>
          <w:highlight w:val="none"/>
          <w:lang w:eastAsia="zh-CN" w:bidi="ar"/>
        </w:rPr>
        <w:t>且</w:t>
      </w:r>
      <w:r>
        <w:rPr>
          <w:rFonts w:hint="eastAsia" w:ascii="宋体" w:hAnsi="宋体" w:eastAsia="宋体" w:cs="宋体"/>
          <w:color w:val="auto"/>
          <w:kern w:val="0"/>
          <w:sz w:val="21"/>
          <w:szCs w:val="21"/>
          <w:highlight w:val="none"/>
          <w:lang w:bidi="ar"/>
        </w:rPr>
        <w:t>每个测量时间窗口应与紧邻的测量时间窗口接近而不重叠，连续测量并计算电压有效值的平均值</w:t>
      </w:r>
      <w:r>
        <w:rPr>
          <w:rFonts w:hint="eastAsia" w:ascii="宋体" w:hAnsi="宋体" w:eastAsia="宋体" w:cs="宋体"/>
          <w:color w:val="auto"/>
          <w:kern w:val="0"/>
          <w:sz w:val="21"/>
          <w:szCs w:val="21"/>
          <w:highlight w:val="none"/>
          <w:lang w:eastAsia="zh-CN" w:bidi="ar"/>
        </w:rPr>
        <w:t>；</w:t>
      </w:r>
    </w:p>
    <w:p>
      <w:pPr>
        <w:ind w:firstLine="422" w:firstLineChars="200"/>
        <w:rPr>
          <w:rFonts w:ascii="宋体" w:hAnsi="宋体" w:eastAsia="宋体" w:cs="宋体"/>
          <w:color w:val="auto"/>
          <w:kern w:val="0"/>
          <w:sz w:val="21"/>
          <w:szCs w:val="21"/>
          <w:highlight w:val="none"/>
          <w:lang w:bidi="ar"/>
        </w:rPr>
      </w:pPr>
      <w:r>
        <w:rPr>
          <w:rFonts w:hint="eastAsia" w:ascii="宋体" w:hAnsi="宋体" w:eastAsia="宋体" w:cs="宋体"/>
          <w:b/>
          <w:bCs/>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bidi="ar"/>
        </w:rPr>
        <w:t>供电电压偏差值</w:t>
      </w:r>
      <w:r>
        <w:rPr>
          <w:rFonts w:hint="eastAsia" w:ascii="宋体" w:hAnsi="宋体" w:eastAsia="宋体" w:cs="宋体"/>
          <w:color w:val="auto"/>
          <w:kern w:val="0"/>
          <w:sz w:val="21"/>
          <w:szCs w:val="21"/>
          <w:highlight w:val="none"/>
          <w:lang w:val="en-US" w:eastAsia="zh-CN" w:bidi="ar"/>
        </w:rPr>
        <w:t>应按下式</w:t>
      </w:r>
      <w:r>
        <w:rPr>
          <w:rFonts w:hint="eastAsia" w:ascii="宋体" w:hAnsi="宋体" w:eastAsia="宋体" w:cs="宋体"/>
          <w:color w:val="auto"/>
          <w:kern w:val="0"/>
          <w:sz w:val="21"/>
          <w:szCs w:val="21"/>
          <w:highlight w:val="none"/>
          <w:lang w:bidi="ar"/>
        </w:rPr>
        <w:t>计算:</w:t>
      </w:r>
    </w:p>
    <w:p>
      <w:pPr>
        <w:jc w:val="right"/>
        <w:rPr>
          <w:rFonts w:ascii="宋体" w:hAnsi="宋体" w:eastAsia="宋体" w:cs="宋体"/>
          <w:color w:val="auto"/>
          <w:kern w:val="0"/>
          <w:sz w:val="21"/>
          <w:szCs w:val="21"/>
          <w:highlight w:val="none"/>
          <w:lang w:bidi="ar"/>
        </w:rPr>
      </w:pPr>
      <w:r>
        <w:rPr>
          <w:rFonts w:hint="eastAsia" w:ascii="宋体" w:hAnsi="宋体" w:eastAsia="宋体" w:cs="宋体"/>
          <w:color w:val="auto"/>
          <w:kern w:val="0"/>
          <w:position w:val="-26"/>
          <w:sz w:val="21"/>
          <w:szCs w:val="21"/>
          <w:highlight w:val="none"/>
          <w:lang w:bidi="ar"/>
        </w:rPr>
        <w:object>
          <v:shape id="_x0000_i1028" o:spt="75" type="#_x0000_t75" style="height:30.65pt;width:245.4pt;" o:ole="t" filled="f" o:preferrelative="t" stroked="f" coordsize="21600,21600">
            <v:path/>
            <v:fill on="f" focussize="0,0"/>
            <v:stroke on="f"/>
            <v:imagedata r:id="rId28" o:title=""/>
            <o:lock v:ext="edit" aspectratio="t"/>
            <w10:wrap type="none"/>
            <w10:anchorlock/>
          </v:shape>
          <o:OLEObject Type="Embed" ProgID="Equation.KSEE3" ShapeID="_x0000_i1028" DrawAspect="Content" ObjectID="_1468075728" r:id="rId27">
            <o:LockedField>false</o:LockedField>
          </o:OLEObject>
        </w:object>
      </w:r>
      <w:r>
        <w:rPr>
          <w:rFonts w:hint="eastAsia" w:ascii="宋体" w:hAnsi="宋体" w:eastAsia="宋体" w:cs="宋体"/>
          <w:color w:val="auto"/>
          <w:kern w:val="0"/>
          <w:position w:val="-26"/>
          <w:sz w:val="21"/>
          <w:szCs w:val="21"/>
          <w:highlight w:val="none"/>
          <w:lang w:bidi="ar"/>
        </w:rPr>
        <w:t xml:space="preserve">      </w:t>
      </w:r>
      <w:r>
        <w:rPr>
          <w:rFonts w:hint="eastAsia" w:ascii="宋体" w:hAnsi="宋体" w:eastAsia="宋体" w:cs="宋体"/>
          <w:color w:val="auto"/>
          <w:kern w:val="0"/>
          <w:position w:val="-26"/>
          <w:sz w:val="21"/>
          <w:szCs w:val="21"/>
          <w:highlight w:val="none"/>
          <w:lang w:val="en-US" w:eastAsia="zh-CN" w:bidi="ar"/>
        </w:rPr>
        <w:t xml:space="preserve">       </w:t>
      </w:r>
      <w:r>
        <w:rPr>
          <w:rFonts w:hint="eastAsia" w:ascii="宋体" w:hAnsi="宋体" w:eastAsia="宋体" w:cs="宋体"/>
          <w:color w:val="auto"/>
          <w:sz w:val="21"/>
          <w:szCs w:val="21"/>
          <w:highlight w:val="none"/>
          <w:lang w:val="en-US" w:eastAsia="zh-CN"/>
        </w:rPr>
        <w:t>（13.3.1）</w:t>
      </w:r>
    </w:p>
    <w:p>
      <w:pPr>
        <w:ind w:firstLine="422" w:firstLineChars="200"/>
        <w:rPr>
          <w:rFonts w:ascii="宋体" w:hAnsi="宋体" w:eastAsia="宋体" w:cs="宋体"/>
          <w:color w:val="auto"/>
          <w:kern w:val="0"/>
          <w:sz w:val="21"/>
          <w:szCs w:val="21"/>
          <w:highlight w:val="none"/>
          <w:lang w:bidi="ar"/>
        </w:rPr>
      </w:pPr>
      <w:r>
        <w:rPr>
          <w:rFonts w:hint="eastAsia" w:ascii="宋体" w:hAnsi="宋体" w:eastAsia="宋体" w:cs="宋体"/>
          <w:b/>
          <w:bCs/>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bidi="ar"/>
        </w:rPr>
        <w:t>仪器记录周期宜为3s(150周期)，测量时间宜为24h。</w:t>
      </w:r>
    </w:p>
    <w:p>
      <w:pPr>
        <w:rPr>
          <w:rFonts w:ascii="宋体" w:hAnsi="宋体" w:eastAsia="宋体" w:cs="宋体"/>
          <w:color w:val="auto"/>
          <w:kern w:val="0"/>
          <w:sz w:val="21"/>
          <w:szCs w:val="21"/>
          <w:highlight w:val="none"/>
          <w:lang w:bidi="ar"/>
        </w:rPr>
      </w:pPr>
      <w:r>
        <w:rPr>
          <w:rFonts w:hint="eastAsia" w:ascii="宋体" w:hAnsi="宋体" w:eastAsia="宋体" w:cs="宋体"/>
          <w:b/>
          <w:bCs/>
          <w:color w:val="auto"/>
          <w:kern w:val="0"/>
          <w:sz w:val="21"/>
          <w:szCs w:val="21"/>
          <w:highlight w:val="none"/>
          <w:lang w:val="en-US" w:eastAsia="zh-CN" w:bidi="ar"/>
        </w:rPr>
        <w:t>13.3.4</w:t>
      </w:r>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bidi="ar"/>
        </w:rPr>
        <w:t>功率因素检测</w:t>
      </w:r>
      <w:r>
        <w:rPr>
          <w:rFonts w:hint="eastAsia" w:ascii="宋体" w:hAnsi="宋体" w:eastAsia="宋体" w:cs="宋体"/>
          <w:color w:val="auto"/>
          <w:kern w:val="0"/>
          <w:sz w:val="21"/>
          <w:szCs w:val="21"/>
          <w:highlight w:val="none"/>
          <w:lang w:val="en-US" w:eastAsia="zh-CN" w:bidi="ar"/>
        </w:rPr>
        <w:t>应符合下列规定</w:t>
      </w:r>
      <w:r>
        <w:rPr>
          <w:rFonts w:hint="eastAsia" w:ascii="宋体" w:hAnsi="宋体" w:eastAsia="宋体" w:cs="宋体"/>
          <w:color w:val="auto"/>
          <w:kern w:val="0"/>
          <w:sz w:val="21"/>
          <w:szCs w:val="21"/>
          <w:highlight w:val="none"/>
          <w:lang w:bidi="ar"/>
        </w:rPr>
        <w:t>：</w:t>
      </w:r>
    </w:p>
    <w:p>
      <w:pPr>
        <w:numPr>
          <w:ilvl w:val="0"/>
          <w:numId w:val="0"/>
        </w:numPr>
        <w:ind w:firstLine="422" w:firstLineChars="200"/>
        <w:rPr>
          <w:rFonts w:hint="eastAsia" w:ascii="宋体" w:hAnsi="宋体" w:eastAsia="宋体" w:cs="宋体"/>
          <w:color w:val="auto"/>
          <w:kern w:val="0"/>
          <w:sz w:val="21"/>
          <w:szCs w:val="21"/>
          <w:highlight w:val="none"/>
          <w:lang w:eastAsia="zh-CN" w:bidi="ar"/>
        </w:rPr>
      </w:pPr>
      <w:r>
        <w:rPr>
          <w:rFonts w:hint="eastAsia" w:ascii="宋体" w:hAnsi="宋体" w:eastAsia="宋体" w:cs="宋体"/>
          <w:b/>
          <w:bCs/>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 xml:space="preserve">  </w:t>
      </w:r>
      <w:r>
        <w:rPr>
          <w:rFonts w:ascii="宋体" w:hAnsi="宋体" w:eastAsia="宋体" w:cs="宋体"/>
          <w:color w:val="auto"/>
          <w:kern w:val="0"/>
          <w:sz w:val="21"/>
          <w:szCs w:val="21"/>
          <w:highlight w:val="none"/>
          <w:lang w:bidi="ar"/>
        </w:rPr>
        <w:t>检测前读取补偿后功率因数表读数</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读值</w:t>
      </w:r>
      <w:r>
        <w:rPr>
          <w:rFonts w:ascii="宋体" w:hAnsi="宋体" w:eastAsia="宋体" w:cs="宋体"/>
          <w:color w:val="auto"/>
          <w:kern w:val="0"/>
          <w:sz w:val="21"/>
          <w:szCs w:val="21"/>
          <w:highlight w:val="none"/>
          <w:lang w:bidi="ar"/>
        </w:rPr>
        <w:t>时间间隔宜为1min</w:t>
      </w:r>
      <w:r>
        <w:rPr>
          <w:rFonts w:hint="eastAsia" w:ascii="宋体" w:hAnsi="宋体" w:eastAsia="宋体" w:cs="宋体"/>
          <w:color w:val="auto"/>
          <w:kern w:val="0"/>
          <w:sz w:val="21"/>
          <w:szCs w:val="21"/>
          <w:highlight w:val="none"/>
          <w:lang w:eastAsia="zh-CN" w:bidi="ar"/>
        </w:rPr>
        <w:t>，</w:t>
      </w:r>
      <w:r>
        <w:rPr>
          <w:rFonts w:ascii="宋体" w:hAnsi="宋体" w:eastAsia="宋体" w:cs="宋体"/>
          <w:color w:val="auto"/>
          <w:kern w:val="0"/>
          <w:sz w:val="21"/>
          <w:szCs w:val="21"/>
          <w:highlight w:val="none"/>
          <w:lang w:bidi="ar"/>
        </w:rPr>
        <w:t>读取10次取平均值</w:t>
      </w:r>
      <w:r>
        <w:rPr>
          <w:rFonts w:hint="eastAsia" w:ascii="宋体" w:hAnsi="宋体" w:eastAsia="宋体" w:cs="宋体"/>
          <w:color w:val="auto"/>
          <w:kern w:val="0"/>
          <w:sz w:val="21"/>
          <w:szCs w:val="21"/>
          <w:highlight w:val="none"/>
          <w:lang w:eastAsia="zh-CN" w:bidi="ar"/>
        </w:rPr>
        <w:t>，</w:t>
      </w:r>
      <w:r>
        <w:rPr>
          <w:rFonts w:ascii="宋体" w:hAnsi="宋体" w:eastAsia="宋体" w:cs="宋体"/>
          <w:color w:val="auto"/>
          <w:kern w:val="0"/>
          <w:sz w:val="21"/>
          <w:szCs w:val="21"/>
          <w:highlight w:val="none"/>
          <w:lang w:bidi="ar"/>
        </w:rPr>
        <w:t>对补偿后功率因数进行初</w:t>
      </w:r>
      <w:r>
        <w:rPr>
          <w:rFonts w:hint="eastAsia" w:ascii="宋体" w:hAnsi="宋体" w:eastAsia="宋体" w:cs="宋体"/>
          <w:color w:val="auto"/>
          <w:kern w:val="0"/>
          <w:sz w:val="21"/>
          <w:szCs w:val="21"/>
          <w:highlight w:val="none"/>
          <w:lang w:bidi="ar"/>
        </w:rPr>
        <w:t>步判</w:t>
      </w:r>
      <w:r>
        <w:rPr>
          <w:rFonts w:ascii="宋体" w:hAnsi="宋体" w:eastAsia="宋体" w:cs="宋体"/>
          <w:color w:val="auto"/>
          <w:kern w:val="0"/>
          <w:sz w:val="21"/>
          <w:szCs w:val="21"/>
          <w:highlight w:val="none"/>
          <w:lang w:bidi="ar"/>
        </w:rPr>
        <w:t>定</w:t>
      </w:r>
      <w:r>
        <w:rPr>
          <w:rFonts w:hint="eastAsia" w:ascii="宋体" w:hAnsi="宋体" w:eastAsia="宋体" w:cs="宋体"/>
          <w:color w:val="auto"/>
          <w:kern w:val="0"/>
          <w:sz w:val="21"/>
          <w:szCs w:val="21"/>
          <w:highlight w:val="none"/>
          <w:lang w:eastAsia="zh-CN" w:bidi="ar"/>
        </w:rPr>
        <w:t>；</w:t>
      </w:r>
    </w:p>
    <w:p>
      <w:pPr>
        <w:numPr>
          <w:ilvl w:val="0"/>
          <w:numId w:val="0"/>
        </w:numPr>
        <w:ind w:firstLine="422" w:firstLineChars="20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 xml:space="preserve">  </w:t>
      </w:r>
      <w:r>
        <w:rPr>
          <w:rFonts w:ascii="宋体" w:hAnsi="宋体" w:eastAsia="宋体" w:cs="宋体"/>
          <w:color w:val="auto"/>
          <w:kern w:val="0"/>
          <w:sz w:val="21"/>
          <w:szCs w:val="21"/>
          <w:highlight w:val="none"/>
          <w:lang w:bidi="ar"/>
        </w:rPr>
        <w:t>对初步判定为不合格的回路</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功率因素</w:t>
      </w:r>
      <w:r>
        <w:rPr>
          <w:rFonts w:hint="eastAsia" w:ascii="宋体" w:hAnsi="宋体" w:eastAsia="宋体" w:cs="宋体"/>
          <w:color w:val="auto"/>
          <w:kern w:val="0"/>
          <w:sz w:val="21"/>
          <w:szCs w:val="21"/>
          <w:highlight w:val="none"/>
          <w:lang w:bidi="ar"/>
        </w:rPr>
        <w:t>应</w:t>
      </w:r>
      <w:r>
        <w:rPr>
          <w:rFonts w:ascii="宋体" w:hAnsi="宋体" w:eastAsia="宋体" w:cs="宋体"/>
          <w:color w:val="auto"/>
          <w:kern w:val="0"/>
          <w:sz w:val="21"/>
          <w:szCs w:val="21"/>
          <w:highlight w:val="none"/>
          <w:lang w:bidi="ar"/>
        </w:rPr>
        <w:t>采用</w:t>
      </w:r>
      <w:r>
        <w:rPr>
          <w:rFonts w:hint="eastAsia" w:ascii="宋体" w:hAnsi="宋体" w:eastAsia="宋体" w:cs="宋体"/>
          <w:color w:val="auto"/>
          <w:kern w:val="0"/>
          <w:sz w:val="21"/>
          <w:szCs w:val="21"/>
          <w:highlight w:val="none"/>
          <w:lang w:val="en-US" w:eastAsia="zh-CN" w:bidi="ar"/>
        </w:rPr>
        <w:t>能够</w:t>
      </w:r>
      <w:r>
        <w:rPr>
          <w:rFonts w:hint="eastAsia" w:ascii="宋体" w:hAnsi="宋体" w:eastAsia="宋体" w:cs="宋体"/>
          <w:color w:val="auto"/>
          <w:kern w:val="0"/>
          <w:sz w:val="21"/>
          <w:szCs w:val="21"/>
          <w:highlight w:val="none"/>
          <w:lang w:bidi="ar"/>
        </w:rPr>
        <w:t>直接测量</w:t>
      </w:r>
      <w:r>
        <w:rPr>
          <w:rFonts w:hint="eastAsia" w:ascii="宋体" w:hAnsi="宋体" w:eastAsia="宋体" w:cs="宋体"/>
          <w:color w:val="auto"/>
          <w:kern w:val="0"/>
          <w:sz w:val="21"/>
          <w:szCs w:val="21"/>
          <w:highlight w:val="none"/>
          <w:lang w:val="en-US" w:eastAsia="zh-CN" w:bidi="ar"/>
        </w:rPr>
        <w:t>功率因素</w:t>
      </w:r>
      <w:r>
        <w:rPr>
          <w:rFonts w:ascii="宋体" w:hAnsi="宋体" w:eastAsia="宋体" w:cs="宋体"/>
          <w:color w:val="auto"/>
          <w:kern w:val="0"/>
          <w:sz w:val="21"/>
          <w:szCs w:val="21"/>
          <w:highlight w:val="none"/>
          <w:lang w:bidi="ar"/>
        </w:rPr>
        <w:t>的</w:t>
      </w:r>
      <w:r>
        <w:rPr>
          <w:rFonts w:hint="eastAsia" w:ascii="宋体" w:hAnsi="宋体" w:eastAsia="宋体" w:cs="宋体"/>
          <w:color w:val="auto"/>
          <w:kern w:val="0"/>
          <w:sz w:val="21"/>
          <w:szCs w:val="21"/>
          <w:highlight w:val="none"/>
          <w:lang w:val="en-US" w:eastAsia="zh-CN" w:bidi="ar"/>
        </w:rPr>
        <w:t>仪表进行测量；</w:t>
      </w:r>
    </w:p>
    <w:p>
      <w:pPr>
        <w:numPr>
          <w:ilvl w:val="0"/>
          <w:numId w:val="0"/>
        </w:numPr>
        <w:ind w:firstLine="422" w:firstLineChars="200"/>
        <w:rPr>
          <w:rFonts w:hint="eastAsia" w:ascii="宋体" w:hAnsi="宋体" w:eastAsia="宋体" w:cs="宋体"/>
          <w:color w:val="auto"/>
          <w:kern w:val="0"/>
          <w:sz w:val="21"/>
          <w:szCs w:val="21"/>
          <w:highlight w:val="none"/>
          <w:lang w:eastAsia="zh-CN" w:bidi="ar"/>
        </w:rPr>
      </w:pPr>
      <w:r>
        <w:rPr>
          <w:rFonts w:hint="eastAsia" w:ascii="宋体" w:hAnsi="宋体" w:eastAsia="宋体" w:cs="宋体"/>
          <w:b/>
          <w:bCs/>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 xml:space="preserve">  </w:t>
      </w:r>
      <w:r>
        <w:rPr>
          <w:rFonts w:ascii="宋体" w:hAnsi="宋体" w:eastAsia="宋体" w:cs="宋体"/>
          <w:color w:val="auto"/>
          <w:kern w:val="0"/>
          <w:sz w:val="21"/>
          <w:szCs w:val="21"/>
          <w:highlight w:val="none"/>
          <w:lang w:bidi="ar"/>
        </w:rPr>
        <w:t>在</w:t>
      </w:r>
      <w:r>
        <w:rPr>
          <w:rFonts w:hint="eastAsia" w:ascii="宋体" w:hAnsi="宋体" w:eastAsia="宋体" w:cs="宋体"/>
          <w:color w:val="auto"/>
          <w:kern w:val="0"/>
          <w:sz w:val="21"/>
          <w:szCs w:val="21"/>
          <w:highlight w:val="none"/>
          <w:lang w:bidi="ar"/>
        </w:rPr>
        <w:t>变压</w:t>
      </w:r>
      <w:r>
        <w:rPr>
          <w:rFonts w:ascii="宋体" w:hAnsi="宋体" w:eastAsia="宋体" w:cs="宋体"/>
          <w:color w:val="auto"/>
          <w:kern w:val="0"/>
          <w:sz w:val="21"/>
          <w:szCs w:val="21"/>
          <w:highlight w:val="none"/>
          <w:lang w:bidi="ar"/>
        </w:rPr>
        <w:t>器出线</w:t>
      </w:r>
      <w:r>
        <w:rPr>
          <w:rFonts w:hint="eastAsia" w:ascii="宋体" w:hAnsi="宋体" w:eastAsia="宋体" w:cs="宋体"/>
          <w:color w:val="auto"/>
          <w:kern w:val="0"/>
          <w:sz w:val="21"/>
          <w:szCs w:val="21"/>
          <w:highlight w:val="none"/>
          <w:lang w:bidi="ar"/>
        </w:rPr>
        <w:t>回路进行测量</w:t>
      </w:r>
      <w:r>
        <w:rPr>
          <w:rFonts w:hint="eastAsia" w:ascii="宋体" w:hAnsi="宋体" w:eastAsia="宋体" w:cs="宋体"/>
          <w:color w:val="auto"/>
          <w:kern w:val="0"/>
          <w:sz w:val="21"/>
          <w:szCs w:val="21"/>
          <w:highlight w:val="none"/>
          <w:lang w:eastAsia="zh-CN" w:bidi="ar"/>
        </w:rPr>
        <w:t>；</w:t>
      </w:r>
    </w:p>
    <w:p>
      <w:pPr>
        <w:numPr>
          <w:ilvl w:val="0"/>
          <w:numId w:val="0"/>
        </w:numPr>
        <w:ind w:firstLine="422" w:firstLineChars="200"/>
        <w:rPr>
          <w:rFonts w:hint="eastAsia" w:ascii="宋体" w:hAnsi="宋体" w:eastAsia="宋体" w:cs="宋体"/>
          <w:color w:val="auto"/>
          <w:kern w:val="0"/>
          <w:sz w:val="21"/>
          <w:szCs w:val="21"/>
          <w:highlight w:val="none"/>
          <w:lang w:eastAsia="zh-CN" w:bidi="ar"/>
        </w:rPr>
      </w:pPr>
      <w:r>
        <w:rPr>
          <w:rFonts w:hint="eastAsia" w:ascii="宋体" w:hAnsi="宋体" w:eastAsia="宋体" w:cs="宋体"/>
          <w:b/>
          <w:bCs/>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bidi="ar"/>
        </w:rPr>
        <w:t>测量</w:t>
      </w:r>
      <w:r>
        <w:rPr>
          <w:rFonts w:ascii="宋体" w:hAnsi="宋体" w:eastAsia="宋体" w:cs="宋体"/>
          <w:color w:val="auto"/>
          <w:kern w:val="0"/>
          <w:sz w:val="21"/>
          <w:szCs w:val="21"/>
          <w:highlight w:val="none"/>
          <w:lang w:bidi="ar"/>
        </w:rPr>
        <w:t>时间间隔</w:t>
      </w:r>
      <w:r>
        <w:rPr>
          <w:rFonts w:hint="eastAsia" w:ascii="宋体" w:hAnsi="宋体" w:eastAsia="宋体" w:cs="宋体"/>
          <w:color w:val="auto"/>
          <w:kern w:val="0"/>
          <w:sz w:val="21"/>
          <w:szCs w:val="21"/>
          <w:highlight w:val="none"/>
          <w:lang w:bidi="ar"/>
        </w:rPr>
        <w:t>宜</w:t>
      </w:r>
      <w:r>
        <w:rPr>
          <w:rFonts w:ascii="宋体" w:hAnsi="宋体" w:eastAsia="宋体" w:cs="宋体"/>
          <w:color w:val="auto"/>
          <w:kern w:val="0"/>
          <w:sz w:val="21"/>
          <w:szCs w:val="21"/>
          <w:highlight w:val="none"/>
          <w:lang w:bidi="ar"/>
        </w:rPr>
        <w:t>为3s(150周期)</w:t>
      </w:r>
      <w:r>
        <w:rPr>
          <w:rFonts w:hint="eastAsia" w:ascii="宋体" w:hAnsi="宋体" w:eastAsia="宋体" w:cs="宋体"/>
          <w:color w:val="auto"/>
          <w:kern w:val="0"/>
          <w:sz w:val="21"/>
          <w:szCs w:val="21"/>
          <w:highlight w:val="none"/>
          <w:lang w:eastAsia="zh-CN" w:bidi="ar"/>
        </w:rPr>
        <w:t>，</w:t>
      </w:r>
      <w:r>
        <w:rPr>
          <w:rFonts w:ascii="宋体" w:hAnsi="宋体" w:eastAsia="宋体" w:cs="宋体"/>
          <w:color w:val="auto"/>
          <w:kern w:val="0"/>
          <w:sz w:val="21"/>
          <w:szCs w:val="21"/>
          <w:highlight w:val="none"/>
          <w:lang w:bidi="ar"/>
        </w:rPr>
        <w:t>测</w:t>
      </w:r>
      <w:r>
        <w:rPr>
          <w:rFonts w:hint="eastAsia" w:ascii="宋体" w:hAnsi="宋体" w:eastAsia="宋体" w:cs="宋体"/>
          <w:color w:val="auto"/>
          <w:kern w:val="0"/>
          <w:sz w:val="21"/>
          <w:szCs w:val="21"/>
          <w:highlight w:val="none"/>
          <w:lang w:val="en-US" w:eastAsia="zh-CN" w:bidi="ar"/>
        </w:rPr>
        <w:t>量时间</w:t>
      </w:r>
      <w:r>
        <w:rPr>
          <w:rFonts w:hint="eastAsia" w:ascii="宋体" w:hAnsi="宋体" w:eastAsia="宋体" w:cs="宋体"/>
          <w:color w:val="auto"/>
          <w:kern w:val="0"/>
          <w:sz w:val="21"/>
          <w:szCs w:val="21"/>
          <w:highlight w:val="none"/>
          <w:lang w:bidi="ar"/>
        </w:rPr>
        <w:t>宜</w:t>
      </w:r>
      <w:r>
        <w:rPr>
          <w:rFonts w:ascii="宋体" w:hAnsi="宋体" w:eastAsia="宋体" w:cs="宋体"/>
          <w:color w:val="auto"/>
          <w:kern w:val="0"/>
          <w:sz w:val="21"/>
          <w:szCs w:val="21"/>
          <w:highlight w:val="none"/>
          <w:lang w:bidi="ar"/>
        </w:rPr>
        <w:t>为24h</w:t>
      </w:r>
      <w:r>
        <w:rPr>
          <w:rFonts w:hint="eastAsia" w:ascii="宋体" w:hAnsi="宋体" w:eastAsia="宋体" w:cs="宋体"/>
          <w:color w:val="auto"/>
          <w:kern w:val="0"/>
          <w:sz w:val="21"/>
          <w:szCs w:val="21"/>
          <w:highlight w:val="none"/>
          <w:lang w:eastAsia="zh-CN" w:bidi="ar"/>
        </w:rPr>
        <w:t>；</w:t>
      </w:r>
    </w:p>
    <w:p>
      <w:pPr>
        <w:numPr>
          <w:ilvl w:val="0"/>
          <w:numId w:val="0"/>
        </w:numPr>
        <w:ind w:firstLine="422" w:firstLineChars="20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en-US" w:eastAsia="zh-CN" w:bidi="ar"/>
        </w:rPr>
        <w:t xml:space="preserve">  </w:t>
      </w:r>
      <w:r>
        <w:rPr>
          <w:rFonts w:ascii="宋体" w:hAnsi="宋体" w:eastAsia="宋体" w:cs="宋体"/>
          <w:color w:val="auto"/>
          <w:kern w:val="0"/>
          <w:sz w:val="21"/>
          <w:szCs w:val="21"/>
          <w:highlight w:val="none"/>
          <w:lang w:bidi="ar"/>
        </w:rPr>
        <w:t>功率因数测量宜与谐波测</w:t>
      </w:r>
      <w:r>
        <w:rPr>
          <w:rFonts w:hint="eastAsia" w:ascii="宋体" w:hAnsi="宋体" w:eastAsia="宋体" w:cs="宋体"/>
          <w:color w:val="auto"/>
          <w:kern w:val="0"/>
          <w:sz w:val="21"/>
          <w:szCs w:val="21"/>
          <w:highlight w:val="none"/>
          <w:lang w:bidi="ar"/>
        </w:rPr>
        <w:t>量</w:t>
      </w:r>
      <w:r>
        <w:rPr>
          <w:rFonts w:ascii="宋体" w:hAnsi="宋体" w:eastAsia="宋体" w:cs="宋体"/>
          <w:color w:val="auto"/>
          <w:kern w:val="0"/>
          <w:sz w:val="21"/>
          <w:szCs w:val="21"/>
          <w:highlight w:val="none"/>
          <w:lang w:bidi="ar"/>
        </w:rPr>
        <w:t>同时进行</w:t>
      </w:r>
      <w:r>
        <w:rPr>
          <w:rFonts w:hint="eastAsia" w:ascii="宋体" w:hAnsi="宋体" w:eastAsia="宋体" w:cs="宋体"/>
          <w:color w:val="auto"/>
          <w:kern w:val="0"/>
          <w:sz w:val="21"/>
          <w:szCs w:val="21"/>
          <w:highlight w:val="none"/>
          <w:lang w:eastAsia="zh-CN" w:bidi="ar"/>
        </w:rPr>
        <w:t>。</w:t>
      </w:r>
    </w:p>
    <w:p>
      <w:pPr>
        <w:rPr>
          <w:rFonts w:hint="eastAsia" w:ascii="宋体" w:hAnsi="宋体" w:eastAsia="宋体" w:cs="宋体"/>
          <w:color w:val="auto"/>
          <w:kern w:val="0"/>
          <w:sz w:val="21"/>
          <w:szCs w:val="21"/>
          <w:highlight w:val="none"/>
          <w:lang w:bidi="ar"/>
        </w:rPr>
      </w:pPr>
      <w:r>
        <w:rPr>
          <w:rFonts w:hint="eastAsia" w:ascii="宋体" w:hAnsi="宋体" w:eastAsia="宋体" w:cs="宋体"/>
          <w:b/>
          <w:bCs/>
          <w:color w:val="auto"/>
          <w:kern w:val="0"/>
          <w:sz w:val="21"/>
          <w:szCs w:val="21"/>
          <w:highlight w:val="none"/>
          <w:lang w:val="en-US" w:eastAsia="zh-CN" w:bidi="ar"/>
        </w:rPr>
        <w:t>13.3.5</w:t>
      </w:r>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bidi="ar"/>
        </w:rPr>
        <w:t>谐波电压与谐波电流检测</w:t>
      </w:r>
      <w:r>
        <w:rPr>
          <w:rFonts w:hint="eastAsia" w:ascii="宋体" w:hAnsi="宋体" w:eastAsia="宋体" w:cs="宋体"/>
          <w:color w:val="auto"/>
          <w:kern w:val="0"/>
          <w:sz w:val="21"/>
          <w:szCs w:val="21"/>
          <w:highlight w:val="none"/>
          <w:lang w:val="en-US" w:eastAsia="zh-CN" w:bidi="ar"/>
        </w:rPr>
        <w:t>应符合下列规定</w:t>
      </w:r>
      <w:r>
        <w:rPr>
          <w:rFonts w:hint="eastAsia" w:ascii="宋体" w:hAnsi="宋体" w:eastAsia="宋体" w:cs="宋体"/>
          <w:color w:val="auto"/>
          <w:kern w:val="0"/>
          <w:sz w:val="21"/>
          <w:szCs w:val="21"/>
          <w:highlight w:val="none"/>
          <w:lang w:bidi="ar"/>
        </w:rPr>
        <w:t>：</w:t>
      </w:r>
    </w:p>
    <w:p>
      <w:pPr>
        <w:ind w:firstLine="422" w:firstLineChars="20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bidi="ar"/>
        </w:rPr>
        <w:t>在已安装的变频、照明和不间断电源等可产生谐波的用电设备均可投入</w:t>
      </w:r>
      <w:r>
        <w:rPr>
          <w:rFonts w:hint="eastAsia" w:ascii="宋体" w:hAnsi="宋体" w:eastAsia="宋体" w:cs="宋体"/>
          <w:color w:val="auto"/>
          <w:kern w:val="0"/>
          <w:sz w:val="21"/>
          <w:szCs w:val="21"/>
          <w:highlight w:val="none"/>
          <w:lang w:val="en-US" w:eastAsia="zh-CN" w:bidi="ar"/>
        </w:rPr>
        <w:t>使用</w:t>
      </w:r>
      <w:r>
        <w:rPr>
          <w:rFonts w:hint="eastAsia" w:ascii="宋体" w:hAnsi="宋体" w:eastAsia="宋体" w:cs="宋体"/>
          <w:color w:val="auto"/>
          <w:kern w:val="0"/>
          <w:sz w:val="21"/>
          <w:szCs w:val="21"/>
          <w:highlight w:val="none"/>
          <w:lang w:bidi="ar"/>
        </w:rPr>
        <w:t>的情况下</w:t>
      </w:r>
      <w:r>
        <w:rPr>
          <w:rFonts w:hint="eastAsia" w:ascii="宋体" w:hAnsi="宋体" w:eastAsia="宋体" w:cs="宋体"/>
          <w:color w:val="auto"/>
          <w:kern w:val="0"/>
          <w:sz w:val="21"/>
          <w:szCs w:val="21"/>
          <w:highlight w:val="none"/>
          <w:lang w:val="en-US" w:eastAsia="zh-CN" w:bidi="ar"/>
        </w:rPr>
        <w:t>进行测量；</w:t>
      </w:r>
    </w:p>
    <w:p>
      <w:pPr>
        <w:ind w:firstLine="422" w:firstLineChars="200"/>
        <w:rPr>
          <w:rFonts w:hint="eastAsia" w:ascii="宋体" w:hAnsi="宋体" w:eastAsia="宋体" w:cs="宋体"/>
          <w:color w:val="auto"/>
          <w:kern w:val="0"/>
          <w:sz w:val="21"/>
          <w:szCs w:val="21"/>
          <w:highlight w:val="none"/>
          <w:lang w:eastAsia="zh-CN" w:bidi="ar"/>
        </w:rPr>
      </w:pPr>
      <w:r>
        <w:rPr>
          <w:rFonts w:hint="eastAsia" w:ascii="宋体" w:hAnsi="宋体" w:eastAsia="宋体" w:cs="宋体"/>
          <w:b/>
          <w:bCs/>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bidi="ar"/>
        </w:rPr>
        <w:t>在变压器的低压侧测量</w:t>
      </w:r>
      <w:r>
        <w:rPr>
          <w:rFonts w:hint="eastAsia" w:ascii="宋体" w:hAnsi="宋体" w:eastAsia="宋体" w:cs="宋体"/>
          <w:color w:val="auto"/>
          <w:kern w:val="0"/>
          <w:sz w:val="21"/>
          <w:szCs w:val="21"/>
          <w:highlight w:val="none"/>
          <w:lang w:eastAsia="zh-CN" w:bidi="ar"/>
        </w:rPr>
        <w:t>；</w:t>
      </w:r>
    </w:p>
    <w:p>
      <w:pPr>
        <w:ind w:firstLine="422" w:firstLineChars="200"/>
        <w:rPr>
          <w:rFonts w:hint="eastAsia" w:ascii="宋体" w:hAnsi="宋体" w:eastAsia="宋体" w:cs="宋体"/>
          <w:color w:val="auto"/>
          <w:kern w:val="0"/>
          <w:sz w:val="21"/>
          <w:szCs w:val="21"/>
          <w:highlight w:val="none"/>
          <w:lang w:eastAsia="zh-CN" w:bidi="ar"/>
        </w:rPr>
      </w:pPr>
      <w:r>
        <w:rPr>
          <w:rFonts w:hint="eastAsia" w:ascii="宋体" w:hAnsi="宋体" w:eastAsia="宋体" w:cs="宋体"/>
          <w:b/>
          <w:bCs/>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bidi="ar"/>
        </w:rPr>
        <w:t>仪器记录周期宜为3s(150周期)，测量时间宜为24h</w:t>
      </w:r>
      <w:r>
        <w:rPr>
          <w:rFonts w:hint="eastAsia" w:ascii="宋体" w:hAnsi="宋体" w:eastAsia="宋体" w:cs="宋体"/>
          <w:color w:val="auto"/>
          <w:kern w:val="0"/>
          <w:sz w:val="21"/>
          <w:szCs w:val="21"/>
          <w:highlight w:val="none"/>
          <w:lang w:eastAsia="zh-CN" w:bidi="ar"/>
        </w:rPr>
        <w:t>；</w:t>
      </w:r>
    </w:p>
    <w:p>
      <w:pPr>
        <w:ind w:firstLine="422" w:firstLineChars="200"/>
        <w:rPr>
          <w:rFonts w:hint="eastAsia" w:ascii="宋体" w:hAnsi="宋体" w:eastAsia="宋体" w:cs="宋体"/>
          <w:color w:val="auto"/>
          <w:kern w:val="0"/>
          <w:sz w:val="21"/>
          <w:szCs w:val="21"/>
          <w:highlight w:val="none"/>
          <w:lang w:bidi="ar"/>
        </w:rPr>
      </w:pPr>
      <w:r>
        <w:rPr>
          <w:rFonts w:hint="eastAsia" w:ascii="宋体" w:hAnsi="宋体" w:eastAsia="宋体" w:cs="宋体"/>
          <w:b/>
          <w:bCs/>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bidi="ar"/>
        </w:rPr>
        <w:t>谐波电压(或电流)测量应选择在电网正常供电时可能出现的最小运行方式</w:t>
      </w:r>
      <w:r>
        <w:rPr>
          <w:rFonts w:hint="eastAsia" w:ascii="宋体" w:hAnsi="宋体" w:eastAsia="宋体" w:cs="宋体"/>
          <w:color w:val="auto"/>
          <w:kern w:val="0"/>
          <w:sz w:val="21"/>
          <w:szCs w:val="21"/>
          <w:highlight w:val="none"/>
          <w:lang w:eastAsia="zh-CN" w:bidi="ar"/>
        </w:rPr>
        <w:t>且</w:t>
      </w:r>
      <w:r>
        <w:rPr>
          <w:rFonts w:hint="eastAsia" w:ascii="宋体" w:hAnsi="宋体" w:eastAsia="宋体" w:cs="宋体"/>
          <w:color w:val="auto"/>
          <w:kern w:val="0"/>
          <w:sz w:val="21"/>
          <w:szCs w:val="21"/>
          <w:highlight w:val="none"/>
          <w:lang w:bidi="ar"/>
        </w:rPr>
        <w:t>应在谐波源工作周期中产生的谐波量大的时段内进行。</w:t>
      </w:r>
    </w:p>
    <w:p>
      <w:pP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13.3.6</w:t>
      </w:r>
      <w:r>
        <w:rPr>
          <w:rFonts w:hint="eastAsia" w:ascii="宋体" w:hAnsi="宋体" w:eastAsia="宋体" w:cs="宋体"/>
          <w:color w:val="auto"/>
          <w:kern w:val="0"/>
          <w:sz w:val="21"/>
          <w:szCs w:val="21"/>
          <w:highlight w:val="none"/>
          <w:lang w:val="en-US" w:eastAsia="zh-CN" w:bidi="ar"/>
        </w:rPr>
        <w:t xml:space="preserve">  </w:t>
      </w:r>
      <w:r>
        <w:rPr>
          <w:rFonts w:ascii="宋体" w:hAnsi="宋体" w:eastAsia="宋体" w:cs="宋体"/>
          <w:color w:val="auto"/>
          <w:kern w:val="0"/>
          <w:sz w:val="21"/>
          <w:szCs w:val="21"/>
          <w:highlight w:val="none"/>
          <w:lang w:bidi="ar"/>
        </w:rPr>
        <w:t>当对测</w:t>
      </w:r>
      <w:r>
        <w:rPr>
          <w:rFonts w:hint="eastAsia" w:ascii="宋体" w:hAnsi="宋体" w:eastAsia="宋体" w:cs="宋体"/>
          <w:color w:val="auto"/>
          <w:kern w:val="0"/>
          <w:sz w:val="21"/>
          <w:szCs w:val="21"/>
          <w:highlight w:val="none"/>
          <w:lang w:bidi="ar"/>
        </w:rPr>
        <w:t>量</w:t>
      </w:r>
      <w:r>
        <w:rPr>
          <w:rFonts w:ascii="宋体" w:hAnsi="宋体" w:eastAsia="宋体" w:cs="宋体"/>
          <w:color w:val="auto"/>
          <w:kern w:val="0"/>
          <w:sz w:val="21"/>
          <w:szCs w:val="21"/>
          <w:highlight w:val="none"/>
          <w:lang w:bidi="ar"/>
        </w:rPr>
        <w:t>结果有异议时，应采用A级测量仪器进行复检。</w:t>
      </w:r>
    </w:p>
    <w:p>
      <w:pPr>
        <w:pStyle w:val="3"/>
        <w:jc w:val="center"/>
        <w:rPr>
          <w:rFonts w:ascii="宋体" w:hAnsi="宋体" w:eastAsia="宋体" w:cs="宋体"/>
          <w:color w:val="auto"/>
          <w:sz w:val="21"/>
          <w:szCs w:val="21"/>
          <w:highlight w:val="none"/>
        </w:rPr>
      </w:pPr>
      <w:bookmarkStart w:id="313" w:name="_Toc1169"/>
      <w:bookmarkStart w:id="314" w:name="_Toc9252"/>
      <w:bookmarkStart w:id="315" w:name="_Toc28955"/>
      <w:bookmarkStart w:id="316" w:name="_Toc20163"/>
      <w:bookmarkStart w:id="317" w:name="_Toc27297"/>
      <w:r>
        <w:rPr>
          <w:rFonts w:hint="eastAsia" w:ascii="宋体" w:hAnsi="宋体" w:eastAsia="宋体" w:cs="宋体"/>
          <w:color w:val="auto"/>
          <w:sz w:val="21"/>
          <w:szCs w:val="21"/>
          <w:highlight w:val="none"/>
        </w:rPr>
        <w:t xml:space="preserve">13.4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检测结果</w:t>
      </w:r>
      <w:bookmarkEnd w:id="313"/>
      <w:r>
        <w:rPr>
          <w:rFonts w:hint="eastAsia" w:ascii="宋体" w:hAnsi="宋体" w:eastAsia="宋体" w:cs="宋体"/>
          <w:color w:val="auto"/>
          <w:sz w:val="21"/>
          <w:szCs w:val="21"/>
          <w:highlight w:val="none"/>
          <w:lang w:val="en-US" w:eastAsia="zh-CN"/>
        </w:rPr>
        <w:t>的评价</w:t>
      </w:r>
      <w:bookmarkEnd w:id="314"/>
      <w:bookmarkEnd w:id="315"/>
      <w:bookmarkEnd w:id="316"/>
      <w:bookmarkEnd w:id="317"/>
    </w:p>
    <w:p>
      <w:pPr>
        <w:rPr>
          <w:rFonts w:ascii="宋体" w:hAnsi="宋体" w:eastAsia="宋体" w:cs="宋体"/>
          <w:color w:val="auto"/>
          <w:kern w:val="0"/>
          <w:sz w:val="21"/>
          <w:szCs w:val="21"/>
          <w:highlight w:val="none"/>
          <w:lang w:bidi="ar"/>
        </w:rPr>
      </w:pPr>
      <w:r>
        <w:rPr>
          <w:rFonts w:hint="eastAsia" w:ascii="宋体" w:hAnsi="宋体" w:eastAsia="宋体" w:cs="宋体"/>
          <w:b/>
          <w:bCs/>
          <w:color w:val="auto"/>
          <w:sz w:val="21"/>
          <w:szCs w:val="21"/>
          <w:highlight w:val="none"/>
          <w:lang w:val="en-US" w:eastAsia="zh-CN"/>
        </w:rPr>
        <w:t xml:space="preserve">13.4.1  </w:t>
      </w:r>
      <w:r>
        <w:rPr>
          <w:rFonts w:hint="eastAsia" w:ascii="宋体" w:hAnsi="宋体" w:eastAsia="宋体" w:cs="宋体"/>
          <w:color w:val="auto"/>
          <w:kern w:val="0"/>
          <w:sz w:val="21"/>
          <w:szCs w:val="21"/>
          <w:highlight w:val="none"/>
          <w:lang w:bidi="ar"/>
        </w:rPr>
        <w:t>受电端电压允许偏差限值</w:t>
      </w:r>
      <w:r>
        <w:rPr>
          <w:rFonts w:hint="eastAsia" w:ascii="宋体" w:hAnsi="宋体" w:eastAsia="宋体" w:cs="宋体"/>
          <w:color w:val="auto"/>
          <w:kern w:val="0"/>
          <w:sz w:val="21"/>
          <w:szCs w:val="21"/>
          <w:highlight w:val="none"/>
          <w:lang w:val="en-US" w:eastAsia="zh-CN" w:bidi="ar"/>
        </w:rPr>
        <w:t>应符合下列规定</w:t>
      </w:r>
      <w:r>
        <w:rPr>
          <w:rFonts w:hint="eastAsia" w:ascii="宋体" w:hAnsi="宋体" w:eastAsia="宋体" w:cs="宋体"/>
          <w:color w:val="auto"/>
          <w:kern w:val="0"/>
          <w:sz w:val="21"/>
          <w:szCs w:val="21"/>
          <w:highlight w:val="none"/>
          <w:lang w:bidi="ar"/>
        </w:rPr>
        <w:t>：</w:t>
      </w:r>
    </w:p>
    <w:p>
      <w:pPr>
        <w:ind w:firstLine="422" w:firstLineChars="200"/>
        <w:rPr>
          <w:rFonts w:hint="eastAsia" w:ascii="宋体" w:hAnsi="宋体" w:eastAsia="宋体" w:cs="宋体"/>
          <w:color w:val="auto"/>
          <w:kern w:val="0"/>
          <w:sz w:val="21"/>
          <w:szCs w:val="21"/>
          <w:highlight w:val="none"/>
          <w:lang w:eastAsia="zh-CN" w:bidi="ar"/>
        </w:rPr>
      </w:pPr>
      <w:r>
        <w:rPr>
          <w:rFonts w:hint="eastAsia" w:ascii="宋体" w:hAnsi="宋体" w:eastAsia="宋体" w:cs="宋体"/>
          <w:b/>
          <w:bCs/>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bidi="ar"/>
        </w:rPr>
        <w:t>三相380V供电电压允许偏差为标称电压的±7%;单相220V供电为标称电压的-10%～+7%</w:t>
      </w:r>
      <w:r>
        <w:rPr>
          <w:rFonts w:hint="eastAsia" w:ascii="宋体" w:hAnsi="宋体" w:eastAsia="宋体" w:cs="宋体"/>
          <w:color w:val="auto"/>
          <w:kern w:val="0"/>
          <w:sz w:val="21"/>
          <w:szCs w:val="21"/>
          <w:highlight w:val="none"/>
          <w:lang w:eastAsia="zh-CN" w:bidi="ar"/>
        </w:rPr>
        <w:t>；</w:t>
      </w:r>
    </w:p>
    <w:p>
      <w:pPr>
        <w:ind w:firstLine="422" w:firstLineChars="200"/>
        <w:rPr>
          <w:rFonts w:ascii="宋体" w:hAnsi="宋体" w:eastAsia="宋体" w:cs="宋体"/>
          <w:color w:val="auto"/>
          <w:kern w:val="0"/>
          <w:sz w:val="21"/>
          <w:szCs w:val="21"/>
          <w:highlight w:val="none"/>
          <w:lang w:bidi="ar"/>
        </w:rPr>
      </w:pPr>
      <w:r>
        <w:rPr>
          <w:rFonts w:hint="eastAsia" w:ascii="宋体" w:hAnsi="宋体" w:eastAsia="宋体" w:cs="宋体"/>
          <w:b/>
          <w:bCs/>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bidi="ar"/>
        </w:rPr>
        <w:t>正常运行情况下，用电设备端子处额定电压的允许偏差</w:t>
      </w:r>
      <w:r>
        <w:rPr>
          <w:rFonts w:hint="eastAsia" w:ascii="宋体" w:hAnsi="宋体" w:eastAsia="宋体" w:cs="宋体"/>
          <w:color w:val="auto"/>
          <w:kern w:val="0"/>
          <w:sz w:val="21"/>
          <w:szCs w:val="21"/>
          <w:highlight w:val="none"/>
          <w:lang w:val="en-US" w:eastAsia="zh-CN" w:bidi="ar"/>
        </w:rPr>
        <w:t>应符合下列规定：</w:t>
      </w:r>
      <w:r>
        <w:rPr>
          <w:rFonts w:hint="eastAsia" w:ascii="宋体" w:hAnsi="宋体" w:eastAsia="宋体" w:cs="宋体"/>
          <w:color w:val="auto"/>
          <w:kern w:val="0"/>
          <w:sz w:val="21"/>
          <w:szCs w:val="21"/>
          <w:highlight w:val="none"/>
          <w:lang w:bidi="ar"/>
        </w:rPr>
        <w:t>室内照明为±5%，一般用途电动机为±5%，电梯电动机为±7%，其他无特殊规定设备为±5%。</w:t>
      </w:r>
    </w:p>
    <w:p>
      <w:pPr>
        <w:rPr>
          <w:rFonts w:ascii="宋体" w:hAnsi="宋体" w:eastAsia="宋体" w:cs="宋体"/>
          <w:color w:val="auto"/>
          <w:kern w:val="0"/>
          <w:sz w:val="21"/>
          <w:szCs w:val="21"/>
          <w:highlight w:val="none"/>
          <w:lang w:bidi="ar"/>
        </w:rPr>
      </w:pPr>
      <w:r>
        <w:rPr>
          <w:rFonts w:hint="eastAsia" w:ascii="宋体" w:hAnsi="宋体" w:eastAsia="宋体" w:cs="宋体"/>
          <w:b/>
          <w:bCs/>
          <w:color w:val="auto"/>
          <w:sz w:val="21"/>
          <w:szCs w:val="21"/>
          <w:highlight w:val="none"/>
          <w:lang w:val="en-US" w:eastAsia="zh-CN"/>
        </w:rPr>
        <w:t xml:space="preserve">13.4.2  </w:t>
      </w:r>
      <w:r>
        <w:rPr>
          <w:rFonts w:hint="eastAsia" w:ascii="宋体" w:hAnsi="宋体" w:eastAsia="宋体" w:cs="宋体"/>
          <w:color w:val="auto"/>
          <w:kern w:val="0"/>
          <w:sz w:val="21"/>
          <w:szCs w:val="21"/>
          <w:highlight w:val="none"/>
          <w:lang w:bidi="ar"/>
        </w:rPr>
        <w:t>1</w:t>
      </w:r>
      <w:r>
        <w:rPr>
          <w:rFonts w:hint="eastAsia" w:ascii="宋体" w:hAnsi="宋体" w:eastAsia="宋体" w:cs="宋体"/>
          <w:color w:val="auto"/>
          <w:kern w:val="0"/>
          <w:sz w:val="21"/>
          <w:szCs w:val="21"/>
          <w:highlight w:val="none"/>
          <w:lang w:val="en-US" w:eastAsia="zh-CN" w:bidi="ar"/>
        </w:rPr>
        <w:t>000</w:t>
      </w:r>
      <w:r>
        <w:rPr>
          <w:rFonts w:hint="eastAsia" w:ascii="宋体" w:hAnsi="宋体" w:eastAsia="宋体" w:cs="宋体"/>
          <w:color w:val="auto"/>
          <w:kern w:val="0"/>
          <w:sz w:val="21"/>
          <w:szCs w:val="21"/>
          <w:highlight w:val="none"/>
          <w:lang w:bidi="ar"/>
        </w:rPr>
        <w:t>V及以下配电变压器低压侧功率因数应不低于0.9。</w:t>
      </w:r>
    </w:p>
    <w:p>
      <w:pPr>
        <w:rPr>
          <w:rFonts w:hint="eastAsia" w:ascii="宋体" w:hAnsi="宋体" w:eastAsia="宋体" w:cs="宋体"/>
          <w:color w:val="auto"/>
          <w:kern w:val="0"/>
          <w:sz w:val="21"/>
          <w:szCs w:val="21"/>
          <w:highlight w:val="none"/>
          <w:lang w:eastAsia="zh-CN" w:bidi="ar"/>
        </w:rPr>
      </w:pPr>
      <w:r>
        <w:rPr>
          <w:rFonts w:hint="eastAsia" w:ascii="宋体" w:hAnsi="宋体" w:eastAsia="宋体" w:cs="宋体"/>
          <w:b/>
          <w:bCs/>
          <w:color w:val="auto"/>
          <w:sz w:val="21"/>
          <w:szCs w:val="21"/>
          <w:highlight w:val="none"/>
          <w:lang w:val="en-US" w:eastAsia="zh-CN"/>
        </w:rPr>
        <w:t>13.4.3</w:t>
      </w:r>
      <w:r>
        <w:rPr>
          <w:rFonts w:hint="eastAsia" w:ascii="宋体" w:hAnsi="宋体" w:eastAsia="宋体" w:cs="宋体"/>
          <w:color w:val="auto"/>
          <w:kern w:val="0"/>
          <w:sz w:val="21"/>
          <w:szCs w:val="21"/>
          <w:highlight w:val="none"/>
          <w:lang w:bidi="ar"/>
        </w:rPr>
        <w:t xml:space="preserve"> </w:t>
      </w:r>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bidi="ar"/>
        </w:rPr>
        <w:t>380V的电网标称电压谐波限值</w:t>
      </w:r>
      <w:r>
        <w:rPr>
          <w:rFonts w:hint="eastAsia" w:ascii="宋体" w:hAnsi="宋体" w:eastAsia="宋体" w:cs="宋体"/>
          <w:color w:val="auto"/>
          <w:kern w:val="0"/>
          <w:sz w:val="21"/>
          <w:szCs w:val="21"/>
          <w:highlight w:val="none"/>
          <w:lang w:val="en-US" w:eastAsia="zh-CN" w:bidi="ar"/>
        </w:rPr>
        <w:t>应符合下列规定</w:t>
      </w:r>
      <w:r>
        <w:rPr>
          <w:rFonts w:hint="eastAsia" w:ascii="宋体" w:hAnsi="宋体" w:eastAsia="宋体" w:cs="宋体"/>
          <w:color w:val="auto"/>
          <w:kern w:val="0"/>
          <w:sz w:val="21"/>
          <w:szCs w:val="21"/>
          <w:highlight w:val="none"/>
          <w:lang w:bidi="ar"/>
        </w:rPr>
        <w:t>:电压谐波总畸变率(THDu)为5%，奇次(1次～25次)谐波含有率为4%，偶次(2次～24次)谐波含有率为2%</w:t>
      </w:r>
      <w:r>
        <w:rPr>
          <w:rFonts w:hint="eastAsia" w:ascii="宋体" w:hAnsi="宋体" w:eastAsia="宋体" w:cs="宋体"/>
          <w:color w:val="auto"/>
          <w:kern w:val="0"/>
          <w:sz w:val="21"/>
          <w:szCs w:val="21"/>
          <w:highlight w:val="none"/>
          <w:lang w:eastAsia="zh-CN" w:bidi="ar"/>
        </w:rPr>
        <w:t>。</w:t>
      </w:r>
    </w:p>
    <w:p>
      <w:pPr>
        <w:rPr>
          <w:rFonts w:hint="eastAsia" w:ascii="宋体" w:hAnsi="宋体" w:eastAsia="宋体" w:cs="宋体"/>
          <w:color w:val="auto"/>
          <w:kern w:val="0"/>
          <w:sz w:val="21"/>
          <w:szCs w:val="21"/>
          <w:highlight w:val="none"/>
          <w:lang w:bidi="ar"/>
        </w:rPr>
      </w:pPr>
      <w:r>
        <w:rPr>
          <w:rFonts w:hint="eastAsia" w:ascii="宋体" w:hAnsi="宋体" w:eastAsia="宋体" w:cs="宋体"/>
          <w:b/>
          <w:bCs/>
          <w:color w:val="auto"/>
          <w:kern w:val="0"/>
          <w:sz w:val="21"/>
          <w:szCs w:val="21"/>
          <w:highlight w:val="none"/>
          <w:lang w:val="en-US" w:eastAsia="zh-CN" w:bidi="ar"/>
        </w:rPr>
        <w:t>13.4.4</w:t>
      </w:r>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bidi="ar"/>
        </w:rPr>
        <w:t>谐波电流不应超过表13.</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中规定的允许值。</w:t>
      </w:r>
    </w:p>
    <w:p>
      <w:pPr>
        <w:pStyle w:val="38"/>
        <w:rPr>
          <w:rFonts w:cs="Times New Roman"/>
          <w:color w:val="auto"/>
          <w:highlight w:val="none"/>
        </w:rPr>
      </w:pPr>
      <w:r>
        <w:rPr>
          <w:rFonts w:hint="eastAsia" w:cs="Times New Roman"/>
          <w:color w:val="auto"/>
          <w:highlight w:val="none"/>
        </w:rPr>
        <w:t>表13.4.</w:t>
      </w:r>
      <w:r>
        <w:rPr>
          <w:rFonts w:hint="eastAsia" w:cs="Times New Roman"/>
          <w:color w:val="auto"/>
          <w:highlight w:val="none"/>
          <w:lang w:val="en-US" w:eastAsia="zh-CN"/>
        </w:rPr>
        <w:t>4</w:t>
      </w:r>
      <w:r>
        <w:rPr>
          <w:rFonts w:hint="eastAsia" w:cs="Times New Roman"/>
          <w:color w:val="auto"/>
          <w:highlight w:val="none"/>
        </w:rPr>
        <w:t xml:space="preserve"> 谐波次数及谐波电流允许值</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870"/>
        <w:gridCol w:w="1090"/>
        <w:gridCol w:w="487"/>
        <w:gridCol w:w="487"/>
        <w:gridCol w:w="487"/>
        <w:gridCol w:w="487"/>
        <w:gridCol w:w="487"/>
        <w:gridCol w:w="487"/>
        <w:gridCol w:w="487"/>
        <w:gridCol w:w="487"/>
        <w:gridCol w:w="487"/>
        <w:gridCol w:w="487"/>
        <w:gridCol w:w="487"/>
        <w:gridCol w:w="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vAlign w:val="center"/>
          </w:tcPr>
          <w:p>
            <w:pPr>
              <w:jc w:val="center"/>
              <w:rPr>
                <w:color w:val="auto"/>
                <w:sz w:val="18"/>
                <w:szCs w:val="18"/>
                <w:highlight w:val="none"/>
              </w:rPr>
            </w:pPr>
            <w:r>
              <w:rPr>
                <w:rFonts w:hint="eastAsia"/>
                <w:color w:val="auto"/>
                <w:sz w:val="18"/>
                <w:szCs w:val="18"/>
                <w:highlight w:val="none"/>
              </w:rPr>
              <w:t>标准电压(V)</w:t>
            </w:r>
          </w:p>
        </w:tc>
        <w:tc>
          <w:tcPr>
            <w:tcW w:w="870" w:type="dxa"/>
            <w:vAlign w:val="center"/>
          </w:tcPr>
          <w:p>
            <w:pPr>
              <w:jc w:val="center"/>
              <w:rPr>
                <w:color w:val="auto"/>
                <w:sz w:val="18"/>
                <w:szCs w:val="18"/>
                <w:highlight w:val="none"/>
              </w:rPr>
            </w:pPr>
            <w:r>
              <w:rPr>
                <w:rFonts w:hint="eastAsia"/>
                <w:color w:val="auto"/>
                <w:sz w:val="18"/>
                <w:szCs w:val="18"/>
                <w:highlight w:val="none"/>
              </w:rPr>
              <w:t>基准短路容量(MVA)</w:t>
            </w:r>
          </w:p>
        </w:tc>
        <w:tc>
          <w:tcPr>
            <w:tcW w:w="6937" w:type="dxa"/>
            <w:gridSpan w:val="13"/>
            <w:vAlign w:val="center"/>
          </w:tcPr>
          <w:p>
            <w:pPr>
              <w:jc w:val="center"/>
              <w:rPr>
                <w:color w:val="auto"/>
                <w:sz w:val="18"/>
                <w:szCs w:val="18"/>
                <w:highlight w:val="none"/>
              </w:rPr>
            </w:pPr>
            <w:r>
              <w:rPr>
                <w:rFonts w:hint="eastAsia"/>
                <w:color w:val="auto"/>
                <w:sz w:val="18"/>
                <w:szCs w:val="18"/>
                <w:highlight w:val="none"/>
              </w:rPr>
              <w:t>谐波次数及谐波电流允许值(A)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vMerge w:val="restart"/>
            <w:vAlign w:val="center"/>
          </w:tcPr>
          <w:p>
            <w:pPr>
              <w:jc w:val="center"/>
              <w:rPr>
                <w:rFonts w:hint="eastAsia" w:eastAsiaTheme="minorEastAsia"/>
                <w:color w:val="auto"/>
                <w:sz w:val="18"/>
                <w:szCs w:val="18"/>
                <w:highlight w:val="none"/>
                <w:lang w:val="en-US" w:eastAsia="zh-CN"/>
              </w:rPr>
            </w:pPr>
            <w:r>
              <w:rPr>
                <w:rFonts w:hint="eastAsia"/>
                <w:color w:val="auto"/>
                <w:sz w:val="18"/>
                <w:szCs w:val="18"/>
                <w:highlight w:val="none"/>
              </w:rPr>
              <w:t>38</w:t>
            </w:r>
            <w:r>
              <w:rPr>
                <w:rFonts w:hint="eastAsia"/>
                <w:color w:val="auto"/>
                <w:sz w:val="18"/>
                <w:szCs w:val="18"/>
                <w:highlight w:val="none"/>
                <w:lang w:val="en-US" w:eastAsia="zh-CN"/>
              </w:rPr>
              <w:t>0</w:t>
            </w:r>
          </w:p>
        </w:tc>
        <w:tc>
          <w:tcPr>
            <w:tcW w:w="870" w:type="dxa"/>
            <w:vMerge w:val="restart"/>
            <w:vAlign w:val="center"/>
          </w:tcPr>
          <w:p>
            <w:pPr>
              <w:jc w:val="center"/>
              <w:rPr>
                <w:color w:val="auto"/>
                <w:sz w:val="18"/>
                <w:szCs w:val="18"/>
                <w:highlight w:val="none"/>
              </w:rPr>
            </w:pPr>
            <w:r>
              <w:rPr>
                <w:rFonts w:hint="eastAsia"/>
                <w:color w:val="auto"/>
                <w:sz w:val="18"/>
                <w:szCs w:val="18"/>
                <w:highlight w:val="none"/>
              </w:rPr>
              <w:t>10</w:t>
            </w:r>
          </w:p>
        </w:tc>
        <w:tc>
          <w:tcPr>
            <w:tcW w:w="1090" w:type="dxa"/>
            <w:vAlign w:val="center"/>
          </w:tcPr>
          <w:p>
            <w:pPr>
              <w:jc w:val="center"/>
              <w:rPr>
                <w:color w:val="auto"/>
                <w:sz w:val="18"/>
                <w:szCs w:val="18"/>
                <w:highlight w:val="none"/>
              </w:rPr>
            </w:pPr>
            <w:r>
              <w:rPr>
                <w:rFonts w:hint="eastAsia"/>
                <w:color w:val="auto"/>
                <w:sz w:val="18"/>
                <w:szCs w:val="18"/>
                <w:highlight w:val="none"/>
              </w:rPr>
              <w:t>谐波次数</w:t>
            </w:r>
          </w:p>
        </w:tc>
        <w:tc>
          <w:tcPr>
            <w:tcW w:w="487" w:type="dxa"/>
            <w:shd w:val="clear" w:color="auto" w:fill="auto"/>
            <w:vAlign w:val="center"/>
          </w:tcPr>
          <w:p>
            <w:pPr>
              <w:jc w:val="center"/>
              <w:rPr>
                <w:color w:val="auto"/>
                <w:sz w:val="18"/>
                <w:szCs w:val="18"/>
                <w:highlight w:val="none"/>
              </w:rPr>
            </w:pPr>
            <w:r>
              <w:rPr>
                <w:rFonts w:hint="eastAsia"/>
                <w:color w:val="auto"/>
                <w:sz w:val="18"/>
                <w:szCs w:val="18"/>
                <w:highlight w:val="none"/>
              </w:rPr>
              <w:t>2</w:t>
            </w:r>
          </w:p>
        </w:tc>
        <w:tc>
          <w:tcPr>
            <w:tcW w:w="487" w:type="dxa"/>
            <w:vAlign w:val="center"/>
          </w:tcPr>
          <w:p>
            <w:pPr>
              <w:jc w:val="center"/>
              <w:rPr>
                <w:color w:val="auto"/>
                <w:sz w:val="18"/>
                <w:szCs w:val="18"/>
                <w:highlight w:val="none"/>
              </w:rPr>
            </w:pPr>
            <w:r>
              <w:rPr>
                <w:rFonts w:hint="eastAsia"/>
                <w:color w:val="auto"/>
                <w:sz w:val="18"/>
                <w:szCs w:val="18"/>
                <w:highlight w:val="none"/>
              </w:rPr>
              <w:t>3</w:t>
            </w:r>
          </w:p>
        </w:tc>
        <w:tc>
          <w:tcPr>
            <w:tcW w:w="487" w:type="dxa"/>
            <w:vAlign w:val="center"/>
          </w:tcPr>
          <w:p>
            <w:pPr>
              <w:jc w:val="center"/>
              <w:rPr>
                <w:color w:val="auto"/>
                <w:sz w:val="18"/>
                <w:szCs w:val="18"/>
                <w:highlight w:val="none"/>
              </w:rPr>
            </w:pPr>
            <w:r>
              <w:rPr>
                <w:rFonts w:hint="eastAsia"/>
                <w:color w:val="auto"/>
                <w:sz w:val="18"/>
                <w:szCs w:val="18"/>
                <w:highlight w:val="none"/>
              </w:rPr>
              <w:t>4</w:t>
            </w:r>
          </w:p>
        </w:tc>
        <w:tc>
          <w:tcPr>
            <w:tcW w:w="487" w:type="dxa"/>
            <w:vAlign w:val="center"/>
          </w:tcPr>
          <w:p>
            <w:pPr>
              <w:jc w:val="center"/>
              <w:rPr>
                <w:color w:val="auto"/>
                <w:sz w:val="18"/>
                <w:szCs w:val="18"/>
                <w:highlight w:val="none"/>
              </w:rPr>
            </w:pPr>
            <w:r>
              <w:rPr>
                <w:rFonts w:hint="eastAsia"/>
                <w:color w:val="auto"/>
                <w:sz w:val="18"/>
                <w:szCs w:val="18"/>
                <w:highlight w:val="none"/>
              </w:rPr>
              <w:t>5</w:t>
            </w:r>
          </w:p>
        </w:tc>
        <w:tc>
          <w:tcPr>
            <w:tcW w:w="487" w:type="dxa"/>
            <w:vAlign w:val="center"/>
          </w:tcPr>
          <w:p>
            <w:pPr>
              <w:jc w:val="center"/>
              <w:rPr>
                <w:color w:val="auto"/>
                <w:sz w:val="18"/>
                <w:szCs w:val="18"/>
                <w:highlight w:val="none"/>
              </w:rPr>
            </w:pPr>
            <w:r>
              <w:rPr>
                <w:rFonts w:hint="eastAsia"/>
                <w:color w:val="auto"/>
                <w:sz w:val="18"/>
                <w:szCs w:val="18"/>
                <w:highlight w:val="none"/>
              </w:rPr>
              <w:t>6</w:t>
            </w:r>
          </w:p>
        </w:tc>
        <w:tc>
          <w:tcPr>
            <w:tcW w:w="487" w:type="dxa"/>
            <w:vAlign w:val="center"/>
          </w:tcPr>
          <w:p>
            <w:pPr>
              <w:jc w:val="center"/>
              <w:rPr>
                <w:color w:val="auto"/>
                <w:sz w:val="18"/>
                <w:szCs w:val="18"/>
                <w:highlight w:val="none"/>
              </w:rPr>
            </w:pPr>
            <w:r>
              <w:rPr>
                <w:rFonts w:hint="eastAsia"/>
                <w:color w:val="auto"/>
                <w:sz w:val="18"/>
                <w:szCs w:val="18"/>
                <w:highlight w:val="none"/>
              </w:rPr>
              <w:t>7</w:t>
            </w:r>
          </w:p>
        </w:tc>
        <w:tc>
          <w:tcPr>
            <w:tcW w:w="487" w:type="dxa"/>
            <w:vAlign w:val="center"/>
          </w:tcPr>
          <w:p>
            <w:pPr>
              <w:jc w:val="center"/>
              <w:rPr>
                <w:color w:val="auto"/>
                <w:sz w:val="18"/>
                <w:szCs w:val="18"/>
                <w:highlight w:val="none"/>
              </w:rPr>
            </w:pPr>
            <w:r>
              <w:rPr>
                <w:rFonts w:hint="eastAsia"/>
                <w:color w:val="auto"/>
                <w:sz w:val="18"/>
                <w:szCs w:val="18"/>
                <w:highlight w:val="none"/>
              </w:rPr>
              <w:t>8</w:t>
            </w:r>
          </w:p>
        </w:tc>
        <w:tc>
          <w:tcPr>
            <w:tcW w:w="487" w:type="dxa"/>
            <w:vAlign w:val="center"/>
          </w:tcPr>
          <w:p>
            <w:pPr>
              <w:jc w:val="center"/>
              <w:rPr>
                <w:color w:val="auto"/>
                <w:sz w:val="18"/>
                <w:szCs w:val="18"/>
                <w:highlight w:val="none"/>
              </w:rPr>
            </w:pPr>
            <w:r>
              <w:rPr>
                <w:rFonts w:hint="eastAsia"/>
                <w:color w:val="auto"/>
                <w:sz w:val="18"/>
                <w:szCs w:val="18"/>
                <w:highlight w:val="none"/>
              </w:rPr>
              <w:t>9</w:t>
            </w:r>
          </w:p>
        </w:tc>
        <w:tc>
          <w:tcPr>
            <w:tcW w:w="487" w:type="dxa"/>
            <w:vAlign w:val="center"/>
          </w:tcPr>
          <w:p>
            <w:pPr>
              <w:jc w:val="center"/>
              <w:rPr>
                <w:color w:val="auto"/>
                <w:sz w:val="18"/>
                <w:szCs w:val="18"/>
                <w:highlight w:val="none"/>
              </w:rPr>
            </w:pPr>
            <w:r>
              <w:rPr>
                <w:rFonts w:hint="eastAsia"/>
                <w:color w:val="auto"/>
                <w:sz w:val="18"/>
                <w:szCs w:val="18"/>
                <w:highlight w:val="none"/>
              </w:rPr>
              <w:t>10</w:t>
            </w:r>
          </w:p>
        </w:tc>
        <w:tc>
          <w:tcPr>
            <w:tcW w:w="487" w:type="dxa"/>
            <w:vAlign w:val="center"/>
          </w:tcPr>
          <w:p>
            <w:pPr>
              <w:jc w:val="center"/>
              <w:rPr>
                <w:color w:val="auto"/>
                <w:sz w:val="18"/>
                <w:szCs w:val="18"/>
                <w:highlight w:val="none"/>
              </w:rPr>
            </w:pPr>
            <w:r>
              <w:rPr>
                <w:rFonts w:hint="eastAsia"/>
                <w:color w:val="auto"/>
                <w:sz w:val="18"/>
                <w:szCs w:val="18"/>
                <w:highlight w:val="none"/>
              </w:rPr>
              <w:t>11</w:t>
            </w:r>
          </w:p>
        </w:tc>
        <w:tc>
          <w:tcPr>
            <w:tcW w:w="487" w:type="dxa"/>
            <w:vAlign w:val="center"/>
          </w:tcPr>
          <w:p>
            <w:pPr>
              <w:jc w:val="center"/>
              <w:rPr>
                <w:color w:val="auto"/>
                <w:sz w:val="18"/>
                <w:szCs w:val="18"/>
                <w:highlight w:val="none"/>
              </w:rPr>
            </w:pPr>
            <w:r>
              <w:rPr>
                <w:rFonts w:hint="eastAsia"/>
                <w:color w:val="auto"/>
                <w:sz w:val="18"/>
                <w:szCs w:val="18"/>
                <w:highlight w:val="none"/>
              </w:rPr>
              <w:t>12</w:t>
            </w:r>
          </w:p>
        </w:tc>
        <w:tc>
          <w:tcPr>
            <w:tcW w:w="490" w:type="dxa"/>
            <w:vAlign w:val="center"/>
          </w:tcPr>
          <w:p>
            <w:pPr>
              <w:jc w:val="center"/>
              <w:rPr>
                <w:color w:val="auto"/>
                <w:sz w:val="18"/>
                <w:szCs w:val="18"/>
                <w:highlight w:val="none"/>
              </w:rPr>
            </w:pPr>
            <w:r>
              <w:rPr>
                <w:rFonts w:hint="eastAsia"/>
                <w:color w:val="auto"/>
                <w:sz w:val="18"/>
                <w:szCs w:val="18"/>
                <w:highlight w:val="none"/>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vMerge w:val="continue"/>
            <w:vAlign w:val="center"/>
          </w:tcPr>
          <w:p>
            <w:pPr>
              <w:jc w:val="center"/>
              <w:rPr>
                <w:color w:val="auto"/>
                <w:sz w:val="18"/>
                <w:szCs w:val="18"/>
                <w:highlight w:val="none"/>
              </w:rPr>
            </w:pPr>
          </w:p>
        </w:tc>
        <w:tc>
          <w:tcPr>
            <w:tcW w:w="870" w:type="dxa"/>
            <w:vMerge w:val="continue"/>
            <w:vAlign w:val="center"/>
          </w:tcPr>
          <w:p>
            <w:pPr>
              <w:jc w:val="center"/>
              <w:rPr>
                <w:color w:val="auto"/>
                <w:sz w:val="18"/>
                <w:szCs w:val="18"/>
                <w:highlight w:val="none"/>
              </w:rPr>
            </w:pPr>
          </w:p>
        </w:tc>
        <w:tc>
          <w:tcPr>
            <w:tcW w:w="1090" w:type="dxa"/>
            <w:vAlign w:val="center"/>
          </w:tcPr>
          <w:p>
            <w:pPr>
              <w:jc w:val="center"/>
              <w:rPr>
                <w:color w:val="auto"/>
                <w:sz w:val="18"/>
                <w:szCs w:val="18"/>
                <w:highlight w:val="none"/>
              </w:rPr>
            </w:pPr>
            <w:r>
              <w:rPr>
                <w:rFonts w:hint="eastAsia"/>
                <w:color w:val="auto"/>
                <w:sz w:val="18"/>
                <w:szCs w:val="18"/>
                <w:highlight w:val="none"/>
              </w:rPr>
              <w:t>谐波电流允许值(A)</w:t>
            </w:r>
          </w:p>
        </w:tc>
        <w:tc>
          <w:tcPr>
            <w:tcW w:w="487" w:type="dxa"/>
            <w:shd w:val="clear" w:color="auto" w:fill="auto"/>
            <w:vAlign w:val="center"/>
          </w:tcPr>
          <w:p>
            <w:pPr>
              <w:jc w:val="center"/>
              <w:rPr>
                <w:color w:val="auto"/>
                <w:sz w:val="18"/>
                <w:szCs w:val="18"/>
                <w:highlight w:val="none"/>
              </w:rPr>
            </w:pPr>
            <w:r>
              <w:rPr>
                <w:rFonts w:hint="eastAsia"/>
                <w:color w:val="auto"/>
                <w:sz w:val="18"/>
                <w:szCs w:val="18"/>
                <w:highlight w:val="none"/>
              </w:rPr>
              <w:t>78</w:t>
            </w:r>
          </w:p>
        </w:tc>
        <w:tc>
          <w:tcPr>
            <w:tcW w:w="487" w:type="dxa"/>
            <w:vAlign w:val="center"/>
          </w:tcPr>
          <w:p>
            <w:pPr>
              <w:jc w:val="center"/>
              <w:rPr>
                <w:color w:val="auto"/>
                <w:sz w:val="18"/>
                <w:szCs w:val="18"/>
                <w:highlight w:val="none"/>
              </w:rPr>
            </w:pPr>
            <w:r>
              <w:rPr>
                <w:rFonts w:hint="eastAsia"/>
                <w:color w:val="auto"/>
                <w:sz w:val="18"/>
                <w:szCs w:val="18"/>
                <w:highlight w:val="none"/>
              </w:rPr>
              <w:t>62</w:t>
            </w:r>
          </w:p>
        </w:tc>
        <w:tc>
          <w:tcPr>
            <w:tcW w:w="487" w:type="dxa"/>
            <w:vAlign w:val="center"/>
          </w:tcPr>
          <w:p>
            <w:pPr>
              <w:jc w:val="center"/>
              <w:rPr>
                <w:color w:val="auto"/>
                <w:sz w:val="18"/>
                <w:szCs w:val="18"/>
                <w:highlight w:val="none"/>
              </w:rPr>
            </w:pPr>
            <w:r>
              <w:rPr>
                <w:rFonts w:hint="eastAsia"/>
                <w:color w:val="auto"/>
                <w:sz w:val="18"/>
                <w:szCs w:val="18"/>
                <w:highlight w:val="none"/>
              </w:rPr>
              <w:t>39</w:t>
            </w:r>
          </w:p>
        </w:tc>
        <w:tc>
          <w:tcPr>
            <w:tcW w:w="487" w:type="dxa"/>
            <w:vAlign w:val="center"/>
          </w:tcPr>
          <w:p>
            <w:pPr>
              <w:jc w:val="center"/>
              <w:rPr>
                <w:color w:val="auto"/>
                <w:sz w:val="18"/>
                <w:szCs w:val="18"/>
                <w:highlight w:val="none"/>
              </w:rPr>
            </w:pPr>
            <w:r>
              <w:rPr>
                <w:rFonts w:hint="eastAsia"/>
                <w:color w:val="auto"/>
                <w:sz w:val="18"/>
                <w:szCs w:val="18"/>
                <w:highlight w:val="none"/>
              </w:rPr>
              <w:t>62</w:t>
            </w:r>
          </w:p>
        </w:tc>
        <w:tc>
          <w:tcPr>
            <w:tcW w:w="487" w:type="dxa"/>
            <w:vAlign w:val="center"/>
          </w:tcPr>
          <w:p>
            <w:pPr>
              <w:jc w:val="center"/>
              <w:rPr>
                <w:color w:val="auto"/>
                <w:sz w:val="18"/>
                <w:szCs w:val="18"/>
                <w:highlight w:val="none"/>
              </w:rPr>
            </w:pPr>
            <w:r>
              <w:rPr>
                <w:rFonts w:hint="eastAsia"/>
                <w:color w:val="auto"/>
                <w:sz w:val="18"/>
                <w:szCs w:val="18"/>
                <w:highlight w:val="none"/>
              </w:rPr>
              <w:t>26</w:t>
            </w:r>
          </w:p>
        </w:tc>
        <w:tc>
          <w:tcPr>
            <w:tcW w:w="487" w:type="dxa"/>
            <w:vAlign w:val="center"/>
          </w:tcPr>
          <w:p>
            <w:pPr>
              <w:jc w:val="center"/>
              <w:rPr>
                <w:color w:val="auto"/>
                <w:sz w:val="18"/>
                <w:szCs w:val="18"/>
                <w:highlight w:val="none"/>
              </w:rPr>
            </w:pPr>
            <w:r>
              <w:rPr>
                <w:rFonts w:hint="eastAsia"/>
                <w:color w:val="auto"/>
                <w:sz w:val="18"/>
                <w:szCs w:val="18"/>
                <w:highlight w:val="none"/>
              </w:rPr>
              <w:t>44</w:t>
            </w:r>
          </w:p>
        </w:tc>
        <w:tc>
          <w:tcPr>
            <w:tcW w:w="487" w:type="dxa"/>
            <w:vAlign w:val="center"/>
          </w:tcPr>
          <w:p>
            <w:pPr>
              <w:jc w:val="center"/>
              <w:rPr>
                <w:color w:val="auto"/>
                <w:sz w:val="18"/>
                <w:szCs w:val="18"/>
                <w:highlight w:val="none"/>
              </w:rPr>
            </w:pPr>
            <w:r>
              <w:rPr>
                <w:rFonts w:hint="eastAsia"/>
                <w:color w:val="auto"/>
                <w:sz w:val="18"/>
                <w:szCs w:val="18"/>
                <w:highlight w:val="none"/>
              </w:rPr>
              <w:t>19</w:t>
            </w:r>
          </w:p>
        </w:tc>
        <w:tc>
          <w:tcPr>
            <w:tcW w:w="487" w:type="dxa"/>
            <w:vAlign w:val="center"/>
          </w:tcPr>
          <w:p>
            <w:pPr>
              <w:jc w:val="center"/>
              <w:rPr>
                <w:color w:val="auto"/>
                <w:sz w:val="18"/>
                <w:szCs w:val="18"/>
                <w:highlight w:val="none"/>
              </w:rPr>
            </w:pPr>
            <w:r>
              <w:rPr>
                <w:rFonts w:hint="eastAsia"/>
                <w:color w:val="auto"/>
                <w:sz w:val="18"/>
                <w:szCs w:val="18"/>
                <w:highlight w:val="none"/>
              </w:rPr>
              <w:t>21</w:t>
            </w:r>
          </w:p>
        </w:tc>
        <w:tc>
          <w:tcPr>
            <w:tcW w:w="487" w:type="dxa"/>
            <w:vAlign w:val="center"/>
          </w:tcPr>
          <w:p>
            <w:pPr>
              <w:jc w:val="center"/>
              <w:rPr>
                <w:color w:val="auto"/>
                <w:sz w:val="18"/>
                <w:szCs w:val="18"/>
                <w:highlight w:val="none"/>
              </w:rPr>
            </w:pPr>
            <w:r>
              <w:rPr>
                <w:rFonts w:hint="eastAsia"/>
                <w:color w:val="auto"/>
                <w:sz w:val="18"/>
                <w:szCs w:val="18"/>
                <w:highlight w:val="none"/>
              </w:rPr>
              <w:t>16</w:t>
            </w:r>
          </w:p>
        </w:tc>
        <w:tc>
          <w:tcPr>
            <w:tcW w:w="487" w:type="dxa"/>
            <w:vAlign w:val="center"/>
          </w:tcPr>
          <w:p>
            <w:pPr>
              <w:jc w:val="center"/>
              <w:rPr>
                <w:color w:val="auto"/>
                <w:sz w:val="18"/>
                <w:szCs w:val="18"/>
                <w:highlight w:val="none"/>
              </w:rPr>
            </w:pPr>
            <w:r>
              <w:rPr>
                <w:rFonts w:hint="eastAsia"/>
                <w:color w:val="auto"/>
                <w:sz w:val="18"/>
                <w:szCs w:val="18"/>
                <w:highlight w:val="none"/>
              </w:rPr>
              <w:t>28</w:t>
            </w:r>
          </w:p>
        </w:tc>
        <w:tc>
          <w:tcPr>
            <w:tcW w:w="487" w:type="dxa"/>
            <w:vAlign w:val="center"/>
          </w:tcPr>
          <w:p>
            <w:pPr>
              <w:jc w:val="center"/>
              <w:rPr>
                <w:color w:val="auto"/>
                <w:sz w:val="18"/>
                <w:szCs w:val="18"/>
                <w:highlight w:val="none"/>
              </w:rPr>
            </w:pPr>
            <w:r>
              <w:rPr>
                <w:rFonts w:hint="eastAsia"/>
                <w:color w:val="auto"/>
                <w:sz w:val="18"/>
                <w:szCs w:val="18"/>
                <w:highlight w:val="none"/>
              </w:rPr>
              <w:t>13</w:t>
            </w:r>
          </w:p>
        </w:tc>
        <w:tc>
          <w:tcPr>
            <w:tcW w:w="490" w:type="dxa"/>
            <w:vAlign w:val="center"/>
          </w:tcPr>
          <w:p>
            <w:pPr>
              <w:jc w:val="center"/>
              <w:rPr>
                <w:color w:val="auto"/>
                <w:sz w:val="18"/>
                <w:szCs w:val="18"/>
                <w:highlight w:val="none"/>
              </w:rPr>
            </w:pPr>
            <w:r>
              <w:rPr>
                <w:rFonts w:hint="eastAsia"/>
                <w:color w:val="auto"/>
                <w:sz w:val="18"/>
                <w:szCs w:val="18"/>
                <w:highlight w:val="none"/>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vMerge w:val="continue"/>
            <w:vAlign w:val="center"/>
          </w:tcPr>
          <w:p>
            <w:pPr>
              <w:jc w:val="center"/>
              <w:rPr>
                <w:color w:val="auto"/>
                <w:sz w:val="18"/>
                <w:szCs w:val="18"/>
                <w:highlight w:val="none"/>
              </w:rPr>
            </w:pPr>
          </w:p>
        </w:tc>
        <w:tc>
          <w:tcPr>
            <w:tcW w:w="870" w:type="dxa"/>
            <w:vMerge w:val="continue"/>
            <w:vAlign w:val="center"/>
          </w:tcPr>
          <w:p>
            <w:pPr>
              <w:jc w:val="center"/>
              <w:rPr>
                <w:color w:val="auto"/>
                <w:sz w:val="18"/>
                <w:szCs w:val="18"/>
                <w:highlight w:val="none"/>
              </w:rPr>
            </w:pPr>
          </w:p>
        </w:tc>
        <w:tc>
          <w:tcPr>
            <w:tcW w:w="1090" w:type="dxa"/>
            <w:vAlign w:val="center"/>
          </w:tcPr>
          <w:p>
            <w:pPr>
              <w:jc w:val="center"/>
              <w:rPr>
                <w:color w:val="auto"/>
                <w:sz w:val="18"/>
                <w:szCs w:val="18"/>
                <w:highlight w:val="none"/>
              </w:rPr>
            </w:pPr>
            <w:r>
              <w:rPr>
                <w:rFonts w:hint="eastAsia"/>
                <w:color w:val="auto"/>
                <w:sz w:val="18"/>
                <w:szCs w:val="18"/>
                <w:highlight w:val="none"/>
              </w:rPr>
              <w:t>谐波次数</w:t>
            </w:r>
          </w:p>
        </w:tc>
        <w:tc>
          <w:tcPr>
            <w:tcW w:w="487" w:type="dxa"/>
            <w:shd w:val="clear" w:color="auto" w:fill="auto"/>
            <w:vAlign w:val="center"/>
          </w:tcPr>
          <w:p>
            <w:pPr>
              <w:jc w:val="center"/>
              <w:rPr>
                <w:color w:val="auto"/>
                <w:sz w:val="18"/>
                <w:szCs w:val="18"/>
                <w:highlight w:val="none"/>
              </w:rPr>
            </w:pPr>
            <w:r>
              <w:rPr>
                <w:rFonts w:hint="eastAsia"/>
                <w:color w:val="auto"/>
                <w:sz w:val="18"/>
                <w:szCs w:val="18"/>
                <w:highlight w:val="none"/>
              </w:rPr>
              <w:t>14</w:t>
            </w:r>
          </w:p>
        </w:tc>
        <w:tc>
          <w:tcPr>
            <w:tcW w:w="487" w:type="dxa"/>
            <w:vAlign w:val="center"/>
          </w:tcPr>
          <w:p>
            <w:pPr>
              <w:jc w:val="center"/>
              <w:rPr>
                <w:color w:val="auto"/>
                <w:sz w:val="18"/>
                <w:szCs w:val="18"/>
                <w:highlight w:val="none"/>
              </w:rPr>
            </w:pPr>
            <w:r>
              <w:rPr>
                <w:rFonts w:hint="eastAsia"/>
                <w:color w:val="auto"/>
                <w:sz w:val="18"/>
                <w:szCs w:val="18"/>
                <w:highlight w:val="none"/>
              </w:rPr>
              <w:t>15</w:t>
            </w:r>
          </w:p>
        </w:tc>
        <w:tc>
          <w:tcPr>
            <w:tcW w:w="487" w:type="dxa"/>
            <w:vAlign w:val="center"/>
          </w:tcPr>
          <w:p>
            <w:pPr>
              <w:jc w:val="center"/>
              <w:rPr>
                <w:color w:val="auto"/>
                <w:sz w:val="18"/>
                <w:szCs w:val="18"/>
                <w:highlight w:val="none"/>
              </w:rPr>
            </w:pPr>
            <w:r>
              <w:rPr>
                <w:rFonts w:hint="eastAsia"/>
                <w:color w:val="auto"/>
                <w:sz w:val="18"/>
                <w:szCs w:val="18"/>
                <w:highlight w:val="none"/>
              </w:rPr>
              <w:t>16</w:t>
            </w:r>
          </w:p>
        </w:tc>
        <w:tc>
          <w:tcPr>
            <w:tcW w:w="487" w:type="dxa"/>
            <w:vAlign w:val="center"/>
          </w:tcPr>
          <w:p>
            <w:pPr>
              <w:jc w:val="center"/>
              <w:rPr>
                <w:color w:val="auto"/>
                <w:sz w:val="18"/>
                <w:szCs w:val="18"/>
                <w:highlight w:val="none"/>
              </w:rPr>
            </w:pPr>
            <w:r>
              <w:rPr>
                <w:rFonts w:hint="eastAsia"/>
                <w:color w:val="auto"/>
                <w:sz w:val="18"/>
                <w:szCs w:val="18"/>
                <w:highlight w:val="none"/>
              </w:rPr>
              <w:t>17</w:t>
            </w:r>
          </w:p>
        </w:tc>
        <w:tc>
          <w:tcPr>
            <w:tcW w:w="487" w:type="dxa"/>
            <w:vAlign w:val="center"/>
          </w:tcPr>
          <w:p>
            <w:pPr>
              <w:jc w:val="center"/>
              <w:rPr>
                <w:color w:val="auto"/>
                <w:sz w:val="18"/>
                <w:szCs w:val="18"/>
                <w:highlight w:val="none"/>
              </w:rPr>
            </w:pPr>
            <w:r>
              <w:rPr>
                <w:rFonts w:hint="eastAsia"/>
                <w:color w:val="auto"/>
                <w:sz w:val="18"/>
                <w:szCs w:val="18"/>
                <w:highlight w:val="none"/>
              </w:rPr>
              <w:t>18</w:t>
            </w:r>
          </w:p>
        </w:tc>
        <w:tc>
          <w:tcPr>
            <w:tcW w:w="487" w:type="dxa"/>
            <w:vAlign w:val="center"/>
          </w:tcPr>
          <w:p>
            <w:pPr>
              <w:jc w:val="center"/>
              <w:rPr>
                <w:color w:val="auto"/>
                <w:sz w:val="18"/>
                <w:szCs w:val="18"/>
                <w:highlight w:val="none"/>
              </w:rPr>
            </w:pPr>
            <w:r>
              <w:rPr>
                <w:rFonts w:hint="eastAsia"/>
                <w:color w:val="auto"/>
                <w:sz w:val="18"/>
                <w:szCs w:val="18"/>
                <w:highlight w:val="none"/>
              </w:rPr>
              <w:t>19</w:t>
            </w:r>
          </w:p>
        </w:tc>
        <w:tc>
          <w:tcPr>
            <w:tcW w:w="487" w:type="dxa"/>
            <w:vAlign w:val="center"/>
          </w:tcPr>
          <w:p>
            <w:pPr>
              <w:jc w:val="center"/>
              <w:rPr>
                <w:color w:val="auto"/>
                <w:sz w:val="18"/>
                <w:szCs w:val="18"/>
                <w:highlight w:val="none"/>
              </w:rPr>
            </w:pPr>
            <w:r>
              <w:rPr>
                <w:rFonts w:hint="eastAsia"/>
                <w:color w:val="auto"/>
                <w:sz w:val="18"/>
                <w:szCs w:val="18"/>
                <w:highlight w:val="none"/>
              </w:rPr>
              <w:t>20</w:t>
            </w:r>
          </w:p>
        </w:tc>
        <w:tc>
          <w:tcPr>
            <w:tcW w:w="487" w:type="dxa"/>
            <w:vAlign w:val="center"/>
          </w:tcPr>
          <w:p>
            <w:pPr>
              <w:jc w:val="center"/>
              <w:rPr>
                <w:color w:val="auto"/>
                <w:sz w:val="18"/>
                <w:szCs w:val="18"/>
                <w:highlight w:val="none"/>
              </w:rPr>
            </w:pPr>
            <w:r>
              <w:rPr>
                <w:rFonts w:hint="eastAsia"/>
                <w:color w:val="auto"/>
                <w:sz w:val="18"/>
                <w:szCs w:val="18"/>
                <w:highlight w:val="none"/>
              </w:rPr>
              <w:t>21</w:t>
            </w:r>
          </w:p>
        </w:tc>
        <w:tc>
          <w:tcPr>
            <w:tcW w:w="487" w:type="dxa"/>
            <w:vAlign w:val="center"/>
          </w:tcPr>
          <w:p>
            <w:pPr>
              <w:jc w:val="center"/>
              <w:rPr>
                <w:color w:val="auto"/>
                <w:sz w:val="18"/>
                <w:szCs w:val="18"/>
                <w:highlight w:val="none"/>
              </w:rPr>
            </w:pPr>
            <w:r>
              <w:rPr>
                <w:rFonts w:hint="eastAsia"/>
                <w:color w:val="auto"/>
                <w:sz w:val="18"/>
                <w:szCs w:val="18"/>
                <w:highlight w:val="none"/>
              </w:rPr>
              <w:t>22</w:t>
            </w:r>
          </w:p>
        </w:tc>
        <w:tc>
          <w:tcPr>
            <w:tcW w:w="487" w:type="dxa"/>
            <w:vAlign w:val="center"/>
          </w:tcPr>
          <w:p>
            <w:pPr>
              <w:jc w:val="center"/>
              <w:rPr>
                <w:color w:val="auto"/>
                <w:sz w:val="18"/>
                <w:szCs w:val="18"/>
                <w:highlight w:val="none"/>
              </w:rPr>
            </w:pPr>
            <w:r>
              <w:rPr>
                <w:rFonts w:hint="eastAsia"/>
                <w:color w:val="auto"/>
                <w:sz w:val="18"/>
                <w:szCs w:val="18"/>
                <w:highlight w:val="none"/>
              </w:rPr>
              <w:t>23</w:t>
            </w:r>
          </w:p>
        </w:tc>
        <w:tc>
          <w:tcPr>
            <w:tcW w:w="487" w:type="dxa"/>
            <w:vAlign w:val="center"/>
          </w:tcPr>
          <w:p>
            <w:pPr>
              <w:jc w:val="center"/>
              <w:rPr>
                <w:color w:val="auto"/>
                <w:sz w:val="18"/>
                <w:szCs w:val="18"/>
                <w:highlight w:val="none"/>
              </w:rPr>
            </w:pPr>
            <w:r>
              <w:rPr>
                <w:rFonts w:hint="eastAsia"/>
                <w:color w:val="auto"/>
                <w:sz w:val="18"/>
                <w:szCs w:val="18"/>
                <w:highlight w:val="none"/>
              </w:rPr>
              <w:t>24</w:t>
            </w:r>
          </w:p>
        </w:tc>
        <w:tc>
          <w:tcPr>
            <w:tcW w:w="490" w:type="dxa"/>
            <w:vAlign w:val="center"/>
          </w:tcPr>
          <w:p>
            <w:pPr>
              <w:jc w:val="center"/>
              <w:rPr>
                <w:color w:val="auto"/>
                <w:sz w:val="18"/>
                <w:szCs w:val="18"/>
                <w:highlight w:val="none"/>
              </w:rPr>
            </w:pPr>
            <w:r>
              <w:rPr>
                <w:rFonts w:hint="eastAsia"/>
                <w:color w:val="auto"/>
                <w:sz w:val="18"/>
                <w:szCs w:val="18"/>
                <w:highlight w:val="none"/>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vMerge w:val="continue"/>
            <w:vAlign w:val="center"/>
          </w:tcPr>
          <w:p>
            <w:pPr>
              <w:jc w:val="center"/>
              <w:rPr>
                <w:color w:val="auto"/>
                <w:sz w:val="18"/>
                <w:szCs w:val="18"/>
                <w:highlight w:val="none"/>
              </w:rPr>
            </w:pPr>
          </w:p>
        </w:tc>
        <w:tc>
          <w:tcPr>
            <w:tcW w:w="870" w:type="dxa"/>
            <w:vMerge w:val="continue"/>
            <w:vAlign w:val="center"/>
          </w:tcPr>
          <w:p>
            <w:pPr>
              <w:jc w:val="center"/>
              <w:rPr>
                <w:color w:val="auto"/>
                <w:sz w:val="18"/>
                <w:szCs w:val="18"/>
                <w:highlight w:val="none"/>
              </w:rPr>
            </w:pPr>
          </w:p>
        </w:tc>
        <w:tc>
          <w:tcPr>
            <w:tcW w:w="1090" w:type="dxa"/>
            <w:vAlign w:val="center"/>
          </w:tcPr>
          <w:p>
            <w:pPr>
              <w:jc w:val="center"/>
              <w:rPr>
                <w:color w:val="auto"/>
                <w:sz w:val="18"/>
                <w:szCs w:val="18"/>
                <w:highlight w:val="none"/>
              </w:rPr>
            </w:pPr>
            <w:r>
              <w:rPr>
                <w:rFonts w:hint="eastAsia"/>
                <w:color w:val="auto"/>
                <w:sz w:val="18"/>
                <w:szCs w:val="18"/>
                <w:highlight w:val="none"/>
              </w:rPr>
              <w:t>谐波电流允许值(A)</w:t>
            </w:r>
          </w:p>
        </w:tc>
        <w:tc>
          <w:tcPr>
            <w:tcW w:w="487" w:type="dxa"/>
            <w:shd w:val="clear" w:color="auto" w:fill="auto"/>
            <w:vAlign w:val="center"/>
          </w:tcPr>
          <w:p>
            <w:pPr>
              <w:jc w:val="center"/>
              <w:rPr>
                <w:color w:val="auto"/>
                <w:sz w:val="18"/>
                <w:szCs w:val="18"/>
                <w:highlight w:val="none"/>
              </w:rPr>
            </w:pPr>
            <w:r>
              <w:rPr>
                <w:rFonts w:hint="eastAsia"/>
                <w:color w:val="auto"/>
                <w:sz w:val="18"/>
                <w:szCs w:val="18"/>
                <w:highlight w:val="none"/>
              </w:rPr>
              <w:t>11</w:t>
            </w:r>
          </w:p>
        </w:tc>
        <w:tc>
          <w:tcPr>
            <w:tcW w:w="487" w:type="dxa"/>
            <w:vAlign w:val="center"/>
          </w:tcPr>
          <w:p>
            <w:pPr>
              <w:jc w:val="center"/>
              <w:rPr>
                <w:color w:val="auto"/>
                <w:sz w:val="18"/>
                <w:szCs w:val="18"/>
                <w:highlight w:val="none"/>
              </w:rPr>
            </w:pPr>
            <w:r>
              <w:rPr>
                <w:rFonts w:hint="eastAsia"/>
                <w:color w:val="auto"/>
                <w:sz w:val="18"/>
                <w:szCs w:val="18"/>
                <w:highlight w:val="none"/>
              </w:rPr>
              <w:t>12</w:t>
            </w:r>
          </w:p>
        </w:tc>
        <w:tc>
          <w:tcPr>
            <w:tcW w:w="487" w:type="dxa"/>
            <w:vAlign w:val="center"/>
          </w:tcPr>
          <w:p>
            <w:pPr>
              <w:jc w:val="center"/>
              <w:rPr>
                <w:color w:val="auto"/>
                <w:sz w:val="18"/>
                <w:szCs w:val="18"/>
                <w:highlight w:val="none"/>
              </w:rPr>
            </w:pPr>
            <w:r>
              <w:rPr>
                <w:rFonts w:hint="eastAsia"/>
                <w:color w:val="auto"/>
                <w:sz w:val="18"/>
                <w:szCs w:val="18"/>
                <w:highlight w:val="none"/>
              </w:rPr>
              <w:t>9.7</w:t>
            </w:r>
          </w:p>
        </w:tc>
        <w:tc>
          <w:tcPr>
            <w:tcW w:w="487" w:type="dxa"/>
            <w:vAlign w:val="center"/>
          </w:tcPr>
          <w:p>
            <w:pPr>
              <w:jc w:val="center"/>
              <w:rPr>
                <w:color w:val="auto"/>
                <w:sz w:val="18"/>
                <w:szCs w:val="18"/>
                <w:highlight w:val="none"/>
              </w:rPr>
            </w:pPr>
            <w:r>
              <w:rPr>
                <w:rFonts w:hint="eastAsia"/>
                <w:color w:val="auto"/>
                <w:sz w:val="18"/>
                <w:szCs w:val="18"/>
                <w:highlight w:val="none"/>
              </w:rPr>
              <w:t>18</w:t>
            </w:r>
          </w:p>
        </w:tc>
        <w:tc>
          <w:tcPr>
            <w:tcW w:w="487" w:type="dxa"/>
            <w:vAlign w:val="center"/>
          </w:tcPr>
          <w:p>
            <w:pPr>
              <w:jc w:val="center"/>
              <w:rPr>
                <w:color w:val="auto"/>
                <w:sz w:val="18"/>
                <w:szCs w:val="18"/>
                <w:highlight w:val="none"/>
              </w:rPr>
            </w:pPr>
            <w:r>
              <w:rPr>
                <w:rFonts w:hint="eastAsia"/>
                <w:color w:val="auto"/>
                <w:sz w:val="18"/>
                <w:szCs w:val="18"/>
                <w:highlight w:val="none"/>
              </w:rPr>
              <w:t>8.6</w:t>
            </w:r>
          </w:p>
        </w:tc>
        <w:tc>
          <w:tcPr>
            <w:tcW w:w="487" w:type="dxa"/>
            <w:vAlign w:val="center"/>
          </w:tcPr>
          <w:p>
            <w:pPr>
              <w:jc w:val="center"/>
              <w:rPr>
                <w:color w:val="auto"/>
                <w:sz w:val="18"/>
                <w:szCs w:val="18"/>
                <w:highlight w:val="none"/>
              </w:rPr>
            </w:pPr>
            <w:r>
              <w:rPr>
                <w:rFonts w:hint="eastAsia"/>
                <w:color w:val="auto"/>
                <w:sz w:val="18"/>
                <w:szCs w:val="18"/>
                <w:highlight w:val="none"/>
              </w:rPr>
              <w:t>16</w:t>
            </w:r>
          </w:p>
        </w:tc>
        <w:tc>
          <w:tcPr>
            <w:tcW w:w="487" w:type="dxa"/>
            <w:vAlign w:val="center"/>
          </w:tcPr>
          <w:p>
            <w:pPr>
              <w:jc w:val="center"/>
              <w:rPr>
                <w:color w:val="auto"/>
                <w:sz w:val="18"/>
                <w:szCs w:val="18"/>
                <w:highlight w:val="none"/>
              </w:rPr>
            </w:pPr>
            <w:r>
              <w:rPr>
                <w:rFonts w:hint="eastAsia"/>
                <w:color w:val="auto"/>
                <w:sz w:val="18"/>
                <w:szCs w:val="18"/>
                <w:highlight w:val="none"/>
              </w:rPr>
              <w:t>7.8</w:t>
            </w:r>
          </w:p>
        </w:tc>
        <w:tc>
          <w:tcPr>
            <w:tcW w:w="487" w:type="dxa"/>
            <w:vAlign w:val="center"/>
          </w:tcPr>
          <w:p>
            <w:pPr>
              <w:jc w:val="center"/>
              <w:rPr>
                <w:color w:val="auto"/>
                <w:sz w:val="18"/>
                <w:szCs w:val="18"/>
                <w:highlight w:val="none"/>
              </w:rPr>
            </w:pPr>
            <w:r>
              <w:rPr>
                <w:rFonts w:hint="eastAsia"/>
                <w:color w:val="auto"/>
                <w:sz w:val="18"/>
                <w:szCs w:val="18"/>
                <w:highlight w:val="none"/>
              </w:rPr>
              <w:t>8.9</w:t>
            </w:r>
          </w:p>
        </w:tc>
        <w:tc>
          <w:tcPr>
            <w:tcW w:w="487" w:type="dxa"/>
            <w:vAlign w:val="center"/>
          </w:tcPr>
          <w:p>
            <w:pPr>
              <w:jc w:val="center"/>
              <w:rPr>
                <w:color w:val="auto"/>
                <w:sz w:val="18"/>
                <w:szCs w:val="18"/>
                <w:highlight w:val="none"/>
              </w:rPr>
            </w:pPr>
            <w:r>
              <w:rPr>
                <w:rFonts w:hint="eastAsia"/>
                <w:color w:val="auto"/>
                <w:sz w:val="18"/>
                <w:szCs w:val="18"/>
                <w:highlight w:val="none"/>
              </w:rPr>
              <w:t>7.1</w:t>
            </w:r>
          </w:p>
        </w:tc>
        <w:tc>
          <w:tcPr>
            <w:tcW w:w="487" w:type="dxa"/>
            <w:vAlign w:val="center"/>
          </w:tcPr>
          <w:p>
            <w:pPr>
              <w:jc w:val="center"/>
              <w:rPr>
                <w:color w:val="auto"/>
                <w:sz w:val="18"/>
                <w:szCs w:val="18"/>
                <w:highlight w:val="none"/>
              </w:rPr>
            </w:pPr>
            <w:r>
              <w:rPr>
                <w:rFonts w:hint="eastAsia"/>
                <w:color w:val="auto"/>
                <w:sz w:val="18"/>
                <w:szCs w:val="18"/>
                <w:highlight w:val="none"/>
              </w:rPr>
              <w:t>14</w:t>
            </w:r>
          </w:p>
        </w:tc>
        <w:tc>
          <w:tcPr>
            <w:tcW w:w="487" w:type="dxa"/>
            <w:vAlign w:val="center"/>
          </w:tcPr>
          <w:p>
            <w:pPr>
              <w:jc w:val="center"/>
              <w:rPr>
                <w:color w:val="auto"/>
                <w:sz w:val="18"/>
                <w:szCs w:val="18"/>
                <w:highlight w:val="none"/>
              </w:rPr>
            </w:pPr>
            <w:r>
              <w:rPr>
                <w:rFonts w:hint="eastAsia"/>
                <w:color w:val="auto"/>
                <w:sz w:val="18"/>
                <w:szCs w:val="18"/>
                <w:highlight w:val="none"/>
              </w:rPr>
              <w:t>6.5</w:t>
            </w:r>
          </w:p>
        </w:tc>
        <w:tc>
          <w:tcPr>
            <w:tcW w:w="490" w:type="dxa"/>
            <w:vAlign w:val="center"/>
          </w:tcPr>
          <w:p>
            <w:pPr>
              <w:jc w:val="center"/>
              <w:rPr>
                <w:color w:val="auto"/>
                <w:sz w:val="18"/>
                <w:szCs w:val="18"/>
                <w:highlight w:val="none"/>
              </w:rPr>
            </w:pPr>
            <w:r>
              <w:rPr>
                <w:rFonts w:hint="eastAsia"/>
                <w:color w:val="auto"/>
                <w:sz w:val="18"/>
                <w:szCs w:val="18"/>
                <w:highlight w:val="none"/>
              </w:rPr>
              <w:t>12</w:t>
            </w:r>
          </w:p>
        </w:tc>
      </w:tr>
    </w:tbl>
    <w:p>
      <w:pPr>
        <w:ind w:firstLine="420" w:firstLineChars="200"/>
        <w:rPr>
          <w:rFonts w:hint="eastAsia" w:ascii="宋体" w:hAnsi="宋体" w:eastAsia="宋体" w:cs="宋体"/>
          <w:color w:val="auto"/>
          <w:kern w:val="0"/>
          <w:sz w:val="21"/>
          <w:szCs w:val="21"/>
          <w:highlight w:val="none"/>
          <w:lang w:bidi="ar"/>
        </w:rPr>
      </w:pPr>
    </w:p>
    <w:p>
      <w:pPr>
        <w:rPr>
          <w:rFonts w:hint="eastAsia" w:ascii="宋体" w:hAnsi="宋体" w:eastAsia="宋体" w:cs="宋体"/>
          <w:color w:val="auto"/>
          <w:kern w:val="0"/>
          <w:sz w:val="21"/>
          <w:szCs w:val="21"/>
          <w:highlight w:val="none"/>
          <w:lang w:eastAsia="zh-CN" w:bidi="ar"/>
        </w:rPr>
      </w:pPr>
      <w:r>
        <w:rPr>
          <w:rFonts w:hint="eastAsia" w:ascii="宋体" w:hAnsi="宋体" w:eastAsia="宋体" w:cs="宋体"/>
          <w:b/>
          <w:bCs/>
          <w:color w:val="auto"/>
          <w:kern w:val="0"/>
          <w:sz w:val="21"/>
          <w:szCs w:val="21"/>
          <w:highlight w:val="none"/>
          <w:lang w:val="en-US" w:eastAsia="zh-CN" w:bidi="ar"/>
        </w:rPr>
        <w:t>13.4.5</w:t>
      </w:r>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bidi="ar"/>
        </w:rPr>
        <w:t>当电网公共连接点的最小短路容量不同于表13.</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中的基准短路容量时</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应按</w:t>
      </w:r>
      <w:r>
        <w:rPr>
          <w:rFonts w:hint="eastAsia" w:ascii="宋体" w:hAnsi="宋体" w:eastAsia="宋体" w:cs="宋体"/>
          <w:color w:val="auto"/>
          <w:kern w:val="0"/>
          <w:sz w:val="21"/>
          <w:szCs w:val="21"/>
          <w:highlight w:val="none"/>
          <w:lang w:eastAsia="zh-CN" w:bidi="ar"/>
        </w:rPr>
        <w:t>下式</w:t>
      </w:r>
      <w:r>
        <w:rPr>
          <w:rFonts w:hint="eastAsia" w:ascii="宋体" w:hAnsi="宋体" w:eastAsia="宋体" w:cs="宋体"/>
          <w:color w:val="auto"/>
          <w:kern w:val="0"/>
          <w:sz w:val="21"/>
          <w:szCs w:val="21"/>
          <w:highlight w:val="none"/>
          <w:lang w:bidi="ar"/>
        </w:rPr>
        <w:t>修正表中的谐波电流允许值</w:t>
      </w:r>
      <w:r>
        <w:rPr>
          <w:rFonts w:hint="eastAsia" w:ascii="宋体" w:hAnsi="宋体" w:eastAsia="宋体" w:cs="宋体"/>
          <w:color w:val="auto"/>
          <w:kern w:val="0"/>
          <w:sz w:val="21"/>
          <w:szCs w:val="21"/>
          <w:highlight w:val="none"/>
          <w:lang w:eastAsia="zh-CN" w:bidi="ar"/>
        </w:rPr>
        <w:t>。</w:t>
      </w:r>
    </w:p>
    <w:p>
      <w:pPr>
        <w:jc w:val="right"/>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object>
          <v:shape id="_x0000_i1029" o:spt="75" type="#_x0000_t75" style="height:31.2pt;width:54.95pt;" o:ole="t" filled="f" o:preferrelative="t" stroked="f" coordsize="21600,21600">
            <v:path/>
            <v:fill on="f" focussize="0,0"/>
            <v:stroke on="f"/>
            <v:imagedata r:id="rId30" o:title=""/>
            <o:lock v:ext="edit" aspectratio="t"/>
            <w10:wrap type="none"/>
            <w10:anchorlock/>
          </v:shape>
          <o:OLEObject Type="Embed" ProgID="Equation.KSEE3" ShapeID="_x0000_i1029" DrawAspect="Content" ObjectID="_1468075729" r:id="rId29">
            <o:LockedField>false</o:LockedField>
          </o:OLEObject>
        </w:object>
      </w:r>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eastAsia="宋体" w:cs="宋体"/>
          <w:color w:val="auto"/>
          <w:sz w:val="21"/>
          <w:szCs w:val="21"/>
          <w:highlight w:val="none"/>
          <w:lang w:val="en-US" w:eastAsia="zh-CN"/>
        </w:rPr>
        <w:t>（13.4.5）</w:t>
      </w:r>
      <w:r>
        <w:rPr>
          <w:rFonts w:hint="eastAsia" w:ascii="宋体" w:hAnsi="宋体" w:eastAsia="宋体" w:cs="宋体"/>
          <w:color w:val="auto"/>
          <w:kern w:val="0"/>
          <w:sz w:val="21"/>
          <w:szCs w:val="21"/>
          <w:highlight w:val="none"/>
          <w:lang w:val="en-US" w:eastAsia="zh-CN" w:bidi="ar"/>
        </w:rPr>
        <w:t xml:space="preserve">      </w:t>
      </w:r>
    </w:p>
    <w:p>
      <w:pPr>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式中：</w:t>
      </w:r>
    </w:p>
    <w:p>
      <w:pPr>
        <w:ind w:firstLine="630" w:firstLineChars="300"/>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object>
          <v:shape id="_x0000_i1030" o:spt="75" type="#_x0000_t75" style="height:14.15pt;width:15.55pt;" o:ole="t" filled="f" o:preferrelative="t" stroked="f" coordsize="21600,21600">
            <v:path/>
            <v:fill on="f" focussize="0,0"/>
            <v:stroke on="f"/>
            <v:imagedata r:id="rId32" o:title=""/>
            <o:lock v:ext="edit" aspectratio="t"/>
            <w10:wrap type="none"/>
            <w10:anchorlock/>
          </v:shape>
          <o:OLEObject Type="Embed" ProgID="Equation.KSEE3" ShapeID="_x0000_i1030" DrawAspect="Content" ObjectID="_1468075730" r:id="rId31">
            <o:LockedField>false</o:LockedField>
          </o:OLEObject>
        </w:objec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公共连接点的最小短路容量，MVA;</w:t>
      </w:r>
    </w:p>
    <w:p>
      <w:pPr>
        <w:ind w:firstLine="630" w:firstLineChars="300"/>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object>
          <v:shape id="_x0000_i1031" o:spt="75" type="#_x0000_t75" style="height:14.15pt;width:16.5pt;" o:ole="t" filled="f" o:preferrelative="t" stroked="f" coordsize="21600,21600">
            <v:path/>
            <v:fill on="f" focussize="0,0"/>
            <v:stroke on="f"/>
            <v:imagedata r:id="rId34" o:title=""/>
            <o:lock v:ext="edit" aspectratio="t"/>
            <w10:wrap type="none"/>
            <w10:anchorlock/>
          </v:shape>
          <o:OLEObject Type="Embed" ProgID="Equation.KSEE3" ShapeID="_x0000_i1031" DrawAspect="Content" ObjectID="_1468075731" r:id="rId33">
            <o:LockedField>false</o:LockedField>
          </o:OLEObject>
        </w:objec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基准短路容量，MVA;</w:t>
      </w:r>
    </w:p>
    <w:p>
      <w:pPr>
        <w:ind w:firstLine="630" w:firstLineChars="300"/>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object>
          <v:shape id="_x0000_i1032" o:spt="75" type="#_x0000_t75" style="height:17pt;width:14.45pt;" o:ole="t" filled="f" o:preferrelative="t" stroked="f" coordsize="21600,21600">
            <v:path/>
            <v:fill on="f" focussize="0,0"/>
            <v:stroke on="f"/>
            <v:imagedata r:id="rId36" o:title=""/>
            <o:lock v:ext="edit" aspectratio="t"/>
            <w10:wrap type="none"/>
            <w10:anchorlock/>
          </v:shape>
          <o:OLEObject Type="Embed" ProgID="Equation.KSEE3" ShapeID="_x0000_i1032" DrawAspect="Content" ObjectID="_1468075732" r:id="rId35">
            <o:LockedField>false</o:LockedField>
          </o:OLEObject>
        </w:objec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表</w:t>
      </w:r>
      <w:r>
        <w:rPr>
          <w:rFonts w:hint="eastAsia" w:ascii="宋体" w:hAnsi="宋体" w:eastAsia="宋体" w:cs="宋体"/>
          <w:color w:val="auto"/>
          <w:kern w:val="0"/>
          <w:sz w:val="21"/>
          <w:szCs w:val="21"/>
          <w:highlight w:val="none"/>
          <w:lang w:val="en-US" w:eastAsia="zh-CN" w:bidi="ar"/>
        </w:rPr>
        <w:t>13.4.3</w:t>
      </w:r>
      <w:r>
        <w:rPr>
          <w:rFonts w:hint="eastAsia" w:ascii="宋体" w:hAnsi="宋体" w:eastAsia="宋体" w:cs="宋体"/>
          <w:color w:val="auto"/>
          <w:kern w:val="0"/>
          <w:sz w:val="21"/>
          <w:szCs w:val="21"/>
          <w:highlight w:val="none"/>
          <w:lang w:bidi="ar"/>
        </w:rPr>
        <w:t>中第h次谐波电流允许值，A;</w:t>
      </w:r>
    </w:p>
    <w:p>
      <w:pPr>
        <w:ind w:firstLine="630" w:firstLineChars="30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object>
          <v:shape id="_x0000_i1033" o:spt="75" type="#_x0000_t75" style="height:14.15pt;width:10.85pt;" o:ole="t" filled="f" o:preferrelative="t" stroked="f" coordsize="21600,21600">
            <v:path/>
            <v:fill on="f" focussize="0,0"/>
            <v:stroke on="f"/>
            <v:imagedata r:id="rId38" o:title=""/>
            <o:lock v:ext="edit" aspectratio="t"/>
            <w10:wrap type="none"/>
            <w10:anchorlock/>
          </v:shape>
          <o:OLEObject Type="Embed" ProgID="Equation.KSEE3" ShapeID="_x0000_i1033" DrawAspect="Content" ObjectID="_1468075733" r:id="rId37">
            <o:LockedField>false</o:LockedField>
          </o:OLEObject>
        </w:objec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短路容量为Sk1时的第h次谐波电流允许值</w:t>
      </w:r>
      <w:r>
        <w:rPr>
          <w:rFonts w:hint="eastAsia" w:ascii="宋体" w:hAnsi="宋体" w:eastAsia="宋体" w:cs="宋体"/>
          <w:color w:val="auto"/>
          <w:kern w:val="0"/>
          <w:sz w:val="21"/>
          <w:szCs w:val="21"/>
          <w:highlight w:val="none"/>
          <w:lang w:val="en-US" w:eastAsia="zh-CN" w:bidi="ar"/>
        </w:rPr>
        <w:t>。</w:t>
      </w:r>
    </w:p>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pPr>
        <w:pStyle w:val="37"/>
        <w:spacing w:line="276" w:lineRule="auto"/>
        <w:rPr>
          <w:rFonts w:hint="eastAsia" w:eastAsia="宋体" w:cs="Times New Roman"/>
          <w:bCs/>
          <w:color w:val="auto"/>
          <w:szCs w:val="44"/>
          <w:highlight w:val="none"/>
          <w:lang w:val="en-US" w:eastAsia="zh-CN"/>
        </w:rPr>
      </w:pPr>
      <w:bookmarkStart w:id="318" w:name="_Toc3508"/>
      <w:bookmarkStart w:id="319" w:name="_Toc28689"/>
      <w:bookmarkStart w:id="320" w:name="_Toc22868"/>
      <w:bookmarkStart w:id="321" w:name="_Toc9308"/>
      <w:bookmarkStart w:id="322" w:name="_Toc32029"/>
      <w:r>
        <w:rPr>
          <w:rFonts w:hint="eastAsia" w:eastAsia="宋体" w:cs="Times New Roman"/>
          <w:bCs/>
          <w:color w:val="auto"/>
          <w:szCs w:val="44"/>
          <w:highlight w:val="none"/>
          <w:lang w:val="en-US" w:eastAsia="zh-CN"/>
        </w:rPr>
        <w:t>附录A   常用材料发射率的参考值</w:t>
      </w:r>
      <w:bookmarkEnd w:id="318"/>
      <w:bookmarkEnd w:id="319"/>
      <w:bookmarkEnd w:id="320"/>
      <w:bookmarkEnd w:id="321"/>
      <w:bookmarkEnd w:id="322"/>
    </w:p>
    <w:p>
      <w:pPr>
        <w:pStyle w:val="38"/>
        <w:rPr>
          <w:rFonts w:hint="eastAsia" w:cs="Times New Roman"/>
          <w:color w:val="auto"/>
          <w:highlight w:val="none"/>
          <w:lang w:val="en-US" w:eastAsia="zh-CN"/>
        </w:rPr>
      </w:pPr>
      <w:r>
        <w:rPr>
          <w:rFonts w:hint="eastAsia" w:cs="Times New Roman"/>
          <w:color w:val="auto"/>
          <w:highlight w:val="none"/>
          <w:lang w:val="en-US" w:eastAsia="zh-CN"/>
        </w:rPr>
        <w:t>表A   常用材料发射率的参考值</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1320"/>
        <w:gridCol w:w="1530"/>
        <w:gridCol w:w="1320"/>
        <w:gridCol w:w="1310"/>
        <w:gridCol w:w="1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1531" w:type="dxa"/>
            <w:vAlign w:val="center"/>
          </w:tcPr>
          <w:p>
            <w:pPr>
              <w:jc w:val="center"/>
              <w:rPr>
                <w:rFonts w:hint="default" w:ascii="宋体" w:hAnsi="宋体" w:eastAsia="宋体" w:cs="宋体"/>
                <w:i w:val="0"/>
                <w:iCs w:val="0"/>
                <w:color w:val="auto"/>
                <w:sz w:val="18"/>
                <w:szCs w:val="18"/>
                <w:highlight w:val="none"/>
                <w:vertAlign w:val="baseline"/>
                <w:lang w:val="en-US" w:eastAsia="zh-CN"/>
              </w:rPr>
            </w:pPr>
            <w:r>
              <w:rPr>
                <w:rFonts w:hint="eastAsia" w:ascii="宋体" w:hAnsi="宋体" w:eastAsia="宋体" w:cs="宋体"/>
                <w:i w:val="0"/>
                <w:iCs w:val="0"/>
                <w:color w:val="auto"/>
                <w:sz w:val="18"/>
                <w:szCs w:val="18"/>
                <w:highlight w:val="none"/>
                <w:vertAlign w:val="baseline"/>
                <w:lang w:val="en-US" w:eastAsia="zh-CN"/>
              </w:rPr>
              <w:t>材料</w:t>
            </w:r>
          </w:p>
        </w:tc>
        <w:tc>
          <w:tcPr>
            <w:tcW w:w="1320" w:type="dxa"/>
            <w:vAlign w:val="center"/>
          </w:tcPr>
          <w:p>
            <w:pPr>
              <w:jc w:val="center"/>
              <w:rPr>
                <w:rFonts w:hint="default" w:ascii="宋体" w:hAnsi="宋体" w:eastAsia="宋体" w:cs="宋体"/>
                <w:i w:val="0"/>
                <w:iCs w:val="0"/>
                <w:color w:val="auto"/>
                <w:sz w:val="18"/>
                <w:szCs w:val="18"/>
                <w:highlight w:val="none"/>
                <w:vertAlign w:val="baseline"/>
                <w:lang w:val="en-US" w:eastAsia="zh-CN"/>
              </w:rPr>
            </w:pPr>
            <w:r>
              <w:rPr>
                <w:rFonts w:hint="eastAsia" w:ascii="宋体" w:hAnsi="宋体" w:eastAsia="宋体" w:cs="宋体"/>
                <w:i w:val="0"/>
                <w:iCs w:val="0"/>
                <w:color w:val="auto"/>
                <w:sz w:val="18"/>
                <w:szCs w:val="18"/>
                <w:highlight w:val="none"/>
                <w:vertAlign w:val="baseline"/>
                <w:lang w:val="en-US" w:eastAsia="zh-CN"/>
              </w:rPr>
              <w:t>温度（℃）</w:t>
            </w:r>
          </w:p>
        </w:tc>
        <w:tc>
          <w:tcPr>
            <w:tcW w:w="1530" w:type="dxa"/>
            <w:vAlign w:val="center"/>
          </w:tcPr>
          <w:p>
            <w:pPr>
              <w:jc w:val="center"/>
              <w:rPr>
                <w:rFonts w:hint="default" w:ascii="宋体" w:hAnsi="宋体" w:eastAsia="宋体" w:cs="宋体"/>
                <w:i w:val="0"/>
                <w:iCs w:val="0"/>
                <w:color w:val="auto"/>
                <w:sz w:val="18"/>
                <w:szCs w:val="18"/>
                <w:highlight w:val="none"/>
                <w:vertAlign w:val="baseline"/>
                <w:lang w:val="en-US" w:eastAsia="zh-CN"/>
              </w:rPr>
            </w:pPr>
            <w:r>
              <w:rPr>
                <w:rFonts w:hint="eastAsia" w:ascii="宋体" w:hAnsi="宋体" w:eastAsia="宋体" w:cs="宋体"/>
                <w:i w:val="0"/>
                <w:iCs w:val="0"/>
                <w:color w:val="auto"/>
                <w:sz w:val="18"/>
                <w:szCs w:val="18"/>
                <w:highlight w:val="none"/>
                <w:vertAlign w:val="baseline"/>
                <w:lang w:val="en-US" w:eastAsia="zh-CN"/>
              </w:rPr>
              <w:t>发射率近似值</w:t>
            </w:r>
          </w:p>
        </w:tc>
        <w:tc>
          <w:tcPr>
            <w:tcW w:w="1320" w:type="dxa"/>
            <w:vAlign w:val="center"/>
          </w:tcPr>
          <w:p>
            <w:pPr>
              <w:jc w:val="center"/>
              <w:rPr>
                <w:rFonts w:hint="default" w:ascii="宋体" w:hAnsi="宋体" w:eastAsia="宋体" w:cs="宋体"/>
                <w:i w:val="0"/>
                <w:iCs w:val="0"/>
                <w:color w:val="auto"/>
                <w:kern w:val="2"/>
                <w:sz w:val="18"/>
                <w:szCs w:val="18"/>
                <w:highlight w:val="none"/>
                <w:vertAlign w:val="baseline"/>
                <w:lang w:val="en-US" w:eastAsia="zh-CN" w:bidi="ar-SA"/>
              </w:rPr>
            </w:pPr>
            <w:r>
              <w:rPr>
                <w:rFonts w:hint="eastAsia" w:ascii="宋体" w:hAnsi="宋体" w:eastAsia="宋体" w:cs="宋体"/>
                <w:i w:val="0"/>
                <w:iCs w:val="0"/>
                <w:color w:val="auto"/>
                <w:sz w:val="18"/>
                <w:szCs w:val="18"/>
                <w:highlight w:val="none"/>
                <w:vertAlign w:val="baseline"/>
                <w:lang w:val="en-US" w:eastAsia="zh-CN"/>
              </w:rPr>
              <w:t>材料</w:t>
            </w:r>
          </w:p>
        </w:tc>
        <w:tc>
          <w:tcPr>
            <w:tcW w:w="1310" w:type="dxa"/>
            <w:vAlign w:val="center"/>
          </w:tcPr>
          <w:p>
            <w:pPr>
              <w:jc w:val="center"/>
              <w:rPr>
                <w:rFonts w:hint="default" w:ascii="宋体" w:hAnsi="宋体" w:eastAsia="宋体" w:cs="宋体"/>
                <w:i w:val="0"/>
                <w:iCs w:val="0"/>
                <w:color w:val="auto"/>
                <w:kern w:val="2"/>
                <w:sz w:val="18"/>
                <w:szCs w:val="18"/>
                <w:highlight w:val="none"/>
                <w:vertAlign w:val="baseline"/>
                <w:lang w:val="en-US" w:eastAsia="zh-CN" w:bidi="ar-SA"/>
              </w:rPr>
            </w:pPr>
            <w:r>
              <w:rPr>
                <w:rFonts w:hint="eastAsia" w:ascii="宋体" w:hAnsi="宋体" w:eastAsia="宋体" w:cs="宋体"/>
                <w:i w:val="0"/>
                <w:iCs w:val="0"/>
                <w:color w:val="auto"/>
                <w:sz w:val="18"/>
                <w:szCs w:val="18"/>
                <w:highlight w:val="none"/>
                <w:vertAlign w:val="baseline"/>
                <w:lang w:val="en-US" w:eastAsia="zh-CN"/>
              </w:rPr>
              <w:t>温度（℃）</w:t>
            </w:r>
          </w:p>
        </w:tc>
        <w:tc>
          <w:tcPr>
            <w:tcW w:w="1511" w:type="dxa"/>
            <w:vAlign w:val="center"/>
          </w:tcPr>
          <w:p>
            <w:pPr>
              <w:jc w:val="center"/>
              <w:rPr>
                <w:rFonts w:hint="default" w:ascii="宋体" w:hAnsi="宋体" w:eastAsia="宋体" w:cs="宋体"/>
                <w:i w:val="0"/>
                <w:iCs w:val="0"/>
                <w:color w:val="auto"/>
                <w:kern w:val="2"/>
                <w:sz w:val="18"/>
                <w:szCs w:val="18"/>
                <w:highlight w:val="none"/>
                <w:vertAlign w:val="baseline"/>
                <w:lang w:val="en-US" w:eastAsia="zh-CN" w:bidi="ar-SA"/>
              </w:rPr>
            </w:pPr>
            <w:r>
              <w:rPr>
                <w:rFonts w:hint="eastAsia" w:ascii="宋体" w:hAnsi="宋体" w:eastAsia="宋体" w:cs="宋体"/>
                <w:i w:val="0"/>
                <w:iCs w:val="0"/>
                <w:color w:val="auto"/>
                <w:sz w:val="18"/>
                <w:szCs w:val="18"/>
                <w:highlight w:val="none"/>
                <w:vertAlign w:val="baseline"/>
                <w:lang w:val="en-US" w:eastAsia="zh-CN"/>
              </w:rPr>
              <w:t>发射率近似值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1" w:type="dxa"/>
            <w:vAlign w:val="center"/>
          </w:tcPr>
          <w:p>
            <w:pPr>
              <w:keepNext w:val="0"/>
              <w:keepLines w:val="0"/>
              <w:widowControl/>
              <w:suppressLineNumbers w:val="0"/>
              <w:jc w:val="left"/>
              <w:textAlignment w:val="center"/>
              <w:rPr>
                <w:rFonts w:hint="default" w:ascii="宋体" w:hAnsi="宋体" w:eastAsia="宋体" w:cs="宋体"/>
                <w:i w:val="0"/>
                <w:i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抛光铝或铝箔</w:t>
            </w:r>
          </w:p>
        </w:tc>
        <w:tc>
          <w:tcPr>
            <w:tcW w:w="1320" w:type="dxa"/>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100</w:t>
            </w:r>
          </w:p>
        </w:tc>
        <w:tc>
          <w:tcPr>
            <w:tcW w:w="1530" w:type="dxa"/>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0.09</w:t>
            </w:r>
          </w:p>
        </w:tc>
        <w:tc>
          <w:tcPr>
            <w:tcW w:w="1320"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棉纺织品（全颜色）</w:t>
            </w:r>
          </w:p>
        </w:tc>
        <w:tc>
          <w:tcPr>
            <w:tcW w:w="1310"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w:t>
            </w:r>
          </w:p>
        </w:tc>
        <w:tc>
          <w:tcPr>
            <w:tcW w:w="1511"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1" w:type="dxa"/>
            <w:vAlign w:val="top"/>
          </w:tcPr>
          <w:p>
            <w:pPr>
              <w:keepNext w:val="0"/>
              <w:keepLines w:val="0"/>
              <w:widowControl/>
              <w:suppressLineNumbers w:val="0"/>
              <w:jc w:val="both"/>
              <w:textAlignment w:val="top"/>
              <w:rPr>
                <w:rFonts w:hint="default" w:ascii="宋体" w:hAnsi="宋体" w:eastAsia="宋体" w:cs="宋体"/>
                <w:i w:val="0"/>
                <w:i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轻度氧化铝</w:t>
            </w:r>
          </w:p>
        </w:tc>
        <w:tc>
          <w:tcPr>
            <w:tcW w:w="1320" w:type="dxa"/>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25～600</w:t>
            </w:r>
          </w:p>
        </w:tc>
        <w:tc>
          <w:tcPr>
            <w:tcW w:w="1530" w:type="dxa"/>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0.10～0.20</w:t>
            </w:r>
          </w:p>
        </w:tc>
        <w:tc>
          <w:tcPr>
            <w:tcW w:w="1320"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丝绸</w:t>
            </w:r>
          </w:p>
        </w:tc>
        <w:tc>
          <w:tcPr>
            <w:tcW w:w="1310"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w:t>
            </w:r>
          </w:p>
        </w:tc>
        <w:tc>
          <w:tcPr>
            <w:tcW w:w="1511"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1" w:type="dxa"/>
            <w:vAlign w:val="top"/>
          </w:tcPr>
          <w:p>
            <w:pPr>
              <w:keepNext w:val="0"/>
              <w:keepLines w:val="0"/>
              <w:widowControl/>
              <w:suppressLineNumbers w:val="0"/>
              <w:jc w:val="both"/>
              <w:textAlignment w:val="top"/>
              <w:rPr>
                <w:rFonts w:hint="default" w:ascii="宋体" w:hAnsi="宋体" w:eastAsia="宋体" w:cs="宋体"/>
                <w:i w:val="0"/>
                <w:i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强氧化铝</w:t>
            </w:r>
          </w:p>
        </w:tc>
        <w:tc>
          <w:tcPr>
            <w:tcW w:w="1320" w:type="dxa"/>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25～600</w:t>
            </w:r>
          </w:p>
        </w:tc>
        <w:tc>
          <w:tcPr>
            <w:tcW w:w="1530" w:type="dxa"/>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0.30～0.40</w:t>
            </w:r>
          </w:p>
        </w:tc>
        <w:tc>
          <w:tcPr>
            <w:tcW w:w="1320"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羊毛</w:t>
            </w:r>
          </w:p>
        </w:tc>
        <w:tc>
          <w:tcPr>
            <w:tcW w:w="1310"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w:t>
            </w:r>
          </w:p>
        </w:tc>
        <w:tc>
          <w:tcPr>
            <w:tcW w:w="1511"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1" w:type="dxa"/>
            <w:vAlign w:val="top"/>
          </w:tcPr>
          <w:p>
            <w:pPr>
              <w:keepNext w:val="0"/>
              <w:keepLines w:val="0"/>
              <w:widowControl/>
              <w:suppressLineNumbers w:val="0"/>
              <w:jc w:val="both"/>
              <w:textAlignment w:val="top"/>
              <w:rPr>
                <w:rFonts w:hint="default" w:ascii="宋体" w:hAnsi="宋体" w:eastAsia="宋体" w:cs="宋体"/>
                <w:i w:val="0"/>
                <w:i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黄铜镜面</w:t>
            </w:r>
          </w:p>
        </w:tc>
        <w:tc>
          <w:tcPr>
            <w:tcW w:w="1320" w:type="dxa"/>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28</w:t>
            </w:r>
          </w:p>
        </w:tc>
        <w:tc>
          <w:tcPr>
            <w:tcW w:w="1530" w:type="dxa"/>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0.03</w:t>
            </w:r>
          </w:p>
        </w:tc>
        <w:tc>
          <w:tcPr>
            <w:tcW w:w="1320"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皮肤</w:t>
            </w:r>
          </w:p>
        </w:tc>
        <w:tc>
          <w:tcPr>
            <w:tcW w:w="1310"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w:t>
            </w:r>
          </w:p>
        </w:tc>
        <w:tc>
          <w:tcPr>
            <w:tcW w:w="1511"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1" w:type="dxa"/>
            <w:vAlign w:val="top"/>
          </w:tcPr>
          <w:p>
            <w:pPr>
              <w:keepNext w:val="0"/>
              <w:keepLines w:val="0"/>
              <w:widowControl/>
              <w:suppressLineNumbers w:val="0"/>
              <w:jc w:val="both"/>
              <w:textAlignment w:val="top"/>
              <w:rPr>
                <w:rFonts w:hint="default" w:ascii="宋体" w:hAnsi="宋体" w:eastAsia="宋体" w:cs="宋体"/>
                <w:i w:val="0"/>
                <w:i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氧化黄铜</w:t>
            </w:r>
          </w:p>
        </w:tc>
        <w:tc>
          <w:tcPr>
            <w:tcW w:w="1320" w:type="dxa"/>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200～600</w:t>
            </w:r>
          </w:p>
        </w:tc>
        <w:tc>
          <w:tcPr>
            <w:tcW w:w="1530" w:type="dxa"/>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0.59～0.61</w:t>
            </w:r>
          </w:p>
        </w:tc>
        <w:tc>
          <w:tcPr>
            <w:tcW w:w="1320"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木材</w:t>
            </w:r>
          </w:p>
        </w:tc>
        <w:tc>
          <w:tcPr>
            <w:tcW w:w="1310"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w:t>
            </w:r>
          </w:p>
        </w:tc>
        <w:tc>
          <w:tcPr>
            <w:tcW w:w="1511"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1" w:type="dxa"/>
            <w:vAlign w:val="center"/>
          </w:tcPr>
          <w:p>
            <w:pPr>
              <w:keepNext w:val="0"/>
              <w:keepLines w:val="0"/>
              <w:widowControl/>
              <w:suppressLineNumbers w:val="0"/>
              <w:jc w:val="left"/>
              <w:textAlignment w:val="center"/>
              <w:rPr>
                <w:rFonts w:hint="default" w:ascii="宋体" w:hAnsi="宋体" w:eastAsia="宋体" w:cs="宋体"/>
                <w:i w:val="0"/>
                <w:i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抛光铸铁</w:t>
            </w:r>
          </w:p>
        </w:tc>
        <w:tc>
          <w:tcPr>
            <w:tcW w:w="1320" w:type="dxa"/>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200</w:t>
            </w:r>
          </w:p>
        </w:tc>
        <w:tc>
          <w:tcPr>
            <w:tcW w:w="1530" w:type="dxa"/>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0.21</w:t>
            </w:r>
          </w:p>
        </w:tc>
        <w:tc>
          <w:tcPr>
            <w:tcW w:w="1320"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树皮</w:t>
            </w:r>
          </w:p>
        </w:tc>
        <w:tc>
          <w:tcPr>
            <w:tcW w:w="1310"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w:t>
            </w:r>
          </w:p>
        </w:tc>
        <w:tc>
          <w:tcPr>
            <w:tcW w:w="1511"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1" w:type="dxa"/>
            <w:vAlign w:val="center"/>
          </w:tcPr>
          <w:p>
            <w:pPr>
              <w:keepNext w:val="0"/>
              <w:keepLines w:val="0"/>
              <w:widowControl/>
              <w:suppressLineNumbers w:val="0"/>
              <w:jc w:val="left"/>
              <w:textAlignment w:val="center"/>
              <w:rPr>
                <w:rFonts w:hint="default" w:ascii="宋体" w:hAnsi="宋体" w:eastAsia="宋体" w:cs="宋体"/>
                <w:i w:val="0"/>
                <w:i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加工铸铁</w:t>
            </w:r>
          </w:p>
        </w:tc>
        <w:tc>
          <w:tcPr>
            <w:tcW w:w="1320" w:type="dxa"/>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20</w:t>
            </w:r>
          </w:p>
        </w:tc>
        <w:tc>
          <w:tcPr>
            <w:tcW w:w="1530" w:type="dxa"/>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0.44</w:t>
            </w:r>
          </w:p>
        </w:tc>
        <w:tc>
          <w:tcPr>
            <w:tcW w:w="1320"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石头</w:t>
            </w:r>
          </w:p>
        </w:tc>
        <w:tc>
          <w:tcPr>
            <w:tcW w:w="1310"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w:t>
            </w:r>
          </w:p>
        </w:tc>
        <w:tc>
          <w:tcPr>
            <w:tcW w:w="1511"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1" w:type="dxa"/>
            <w:vAlign w:val="center"/>
          </w:tcPr>
          <w:p>
            <w:pPr>
              <w:keepNext w:val="0"/>
              <w:keepLines w:val="0"/>
              <w:widowControl/>
              <w:suppressLineNumbers w:val="0"/>
              <w:jc w:val="left"/>
              <w:textAlignment w:val="center"/>
              <w:rPr>
                <w:rFonts w:hint="default" w:ascii="宋体" w:hAnsi="宋体" w:eastAsia="宋体" w:cs="宋体"/>
                <w:i w:val="0"/>
                <w:i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完全生锈轧铁板</w:t>
            </w:r>
          </w:p>
        </w:tc>
        <w:tc>
          <w:tcPr>
            <w:tcW w:w="1320" w:type="dxa"/>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20</w:t>
            </w:r>
          </w:p>
        </w:tc>
        <w:tc>
          <w:tcPr>
            <w:tcW w:w="1530" w:type="dxa"/>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0.69</w:t>
            </w:r>
          </w:p>
        </w:tc>
        <w:tc>
          <w:tcPr>
            <w:tcW w:w="1320"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混凝土</w:t>
            </w:r>
          </w:p>
        </w:tc>
        <w:tc>
          <w:tcPr>
            <w:tcW w:w="1310"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w:t>
            </w:r>
          </w:p>
        </w:tc>
        <w:tc>
          <w:tcPr>
            <w:tcW w:w="1511"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1" w:type="dxa"/>
            <w:vAlign w:val="center"/>
          </w:tcPr>
          <w:p>
            <w:pPr>
              <w:keepNext w:val="0"/>
              <w:keepLines w:val="0"/>
              <w:widowControl/>
              <w:suppressLineNumbers w:val="0"/>
              <w:jc w:val="left"/>
              <w:textAlignment w:val="center"/>
              <w:rPr>
                <w:rFonts w:hint="default" w:ascii="宋体" w:hAnsi="宋体" w:eastAsia="宋体" w:cs="宋体"/>
                <w:i w:val="0"/>
                <w:i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完全生锈氧化钢</w:t>
            </w:r>
          </w:p>
        </w:tc>
        <w:tc>
          <w:tcPr>
            <w:tcW w:w="1320" w:type="dxa"/>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22</w:t>
            </w:r>
          </w:p>
        </w:tc>
        <w:tc>
          <w:tcPr>
            <w:tcW w:w="1530" w:type="dxa"/>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0.66</w:t>
            </w:r>
          </w:p>
        </w:tc>
        <w:tc>
          <w:tcPr>
            <w:tcW w:w="1320"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石子</w:t>
            </w:r>
          </w:p>
        </w:tc>
        <w:tc>
          <w:tcPr>
            <w:tcW w:w="1310"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w:t>
            </w:r>
          </w:p>
        </w:tc>
        <w:tc>
          <w:tcPr>
            <w:tcW w:w="1511"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0.28～0.44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1" w:type="dxa"/>
            <w:vAlign w:val="center"/>
          </w:tcPr>
          <w:p>
            <w:pPr>
              <w:keepNext w:val="0"/>
              <w:keepLines w:val="0"/>
              <w:widowControl/>
              <w:suppressLineNumbers w:val="0"/>
              <w:jc w:val="left"/>
              <w:textAlignment w:val="center"/>
              <w:rPr>
                <w:rFonts w:hint="default" w:ascii="宋体" w:hAnsi="宋体" w:eastAsia="宋体" w:cs="宋体"/>
                <w:i w:val="0"/>
                <w:i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完全生锈铁板</w:t>
            </w:r>
          </w:p>
        </w:tc>
        <w:tc>
          <w:tcPr>
            <w:tcW w:w="1320" w:type="dxa"/>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25</w:t>
            </w:r>
          </w:p>
        </w:tc>
        <w:tc>
          <w:tcPr>
            <w:tcW w:w="1530" w:type="dxa"/>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0.80</w:t>
            </w:r>
          </w:p>
        </w:tc>
        <w:tc>
          <w:tcPr>
            <w:tcW w:w="1320"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墙粉</w:t>
            </w:r>
          </w:p>
        </w:tc>
        <w:tc>
          <w:tcPr>
            <w:tcW w:w="1310"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w:t>
            </w:r>
          </w:p>
        </w:tc>
        <w:tc>
          <w:tcPr>
            <w:tcW w:w="1511"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1" w:type="dxa"/>
            <w:vAlign w:val="center"/>
          </w:tcPr>
          <w:p>
            <w:pPr>
              <w:keepNext w:val="0"/>
              <w:keepLines w:val="0"/>
              <w:widowControl/>
              <w:suppressLineNumbers w:val="0"/>
              <w:jc w:val="left"/>
              <w:textAlignment w:val="center"/>
              <w:rPr>
                <w:rFonts w:hint="default" w:ascii="宋体" w:hAnsi="宋体" w:eastAsia="宋体" w:cs="宋体"/>
                <w:i w:val="0"/>
                <w:i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完全生锈铸铁</w:t>
            </w:r>
          </w:p>
        </w:tc>
        <w:tc>
          <w:tcPr>
            <w:tcW w:w="1320" w:type="dxa"/>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40～250</w:t>
            </w:r>
          </w:p>
        </w:tc>
        <w:tc>
          <w:tcPr>
            <w:tcW w:w="1530" w:type="dxa"/>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0.95</w:t>
            </w:r>
          </w:p>
        </w:tc>
        <w:tc>
          <w:tcPr>
            <w:tcW w:w="1320"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石棉板</w:t>
            </w:r>
          </w:p>
        </w:tc>
        <w:tc>
          <w:tcPr>
            <w:tcW w:w="1310"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25</w:t>
            </w:r>
          </w:p>
        </w:tc>
        <w:tc>
          <w:tcPr>
            <w:tcW w:w="1511"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1" w:type="dxa"/>
            <w:vAlign w:val="center"/>
          </w:tcPr>
          <w:p>
            <w:pPr>
              <w:keepNext w:val="0"/>
              <w:keepLines w:val="0"/>
              <w:widowControl/>
              <w:suppressLineNumbers w:val="0"/>
              <w:jc w:val="left"/>
              <w:textAlignment w:val="center"/>
              <w:rPr>
                <w:rFonts w:hint="default" w:ascii="宋体" w:hAnsi="宋体" w:eastAsia="宋体" w:cs="宋体"/>
                <w:i w:val="0"/>
                <w:i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镀锌亮铁板</w:t>
            </w:r>
          </w:p>
        </w:tc>
        <w:tc>
          <w:tcPr>
            <w:tcW w:w="1320" w:type="dxa"/>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28</w:t>
            </w:r>
          </w:p>
        </w:tc>
        <w:tc>
          <w:tcPr>
            <w:tcW w:w="1530" w:type="dxa"/>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0.23</w:t>
            </w:r>
          </w:p>
        </w:tc>
        <w:tc>
          <w:tcPr>
            <w:tcW w:w="1320"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大理石</w:t>
            </w:r>
          </w:p>
        </w:tc>
        <w:tc>
          <w:tcPr>
            <w:tcW w:w="1310"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23</w:t>
            </w:r>
          </w:p>
        </w:tc>
        <w:tc>
          <w:tcPr>
            <w:tcW w:w="1511"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1" w:type="dxa"/>
            <w:vAlign w:val="center"/>
          </w:tcPr>
          <w:p>
            <w:pPr>
              <w:keepNext w:val="0"/>
              <w:keepLines w:val="0"/>
              <w:widowControl/>
              <w:suppressLineNumbers w:val="0"/>
              <w:jc w:val="left"/>
              <w:textAlignment w:val="center"/>
              <w:rPr>
                <w:rFonts w:hint="default" w:ascii="宋体" w:hAnsi="宋体" w:eastAsia="宋体" w:cs="宋体"/>
                <w:i w:val="0"/>
                <w:i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黑亮漆（喷在粗糙铁上）</w:t>
            </w:r>
          </w:p>
        </w:tc>
        <w:tc>
          <w:tcPr>
            <w:tcW w:w="1320" w:type="dxa"/>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26</w:t>
            </w:r>
          </w:p>
        </w:tc>
        <w:tc>
          <w:tcPr>
            <w:tcW w:w="1530" w:type="dxa"/>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0.88</w:t>
            </w:r>
          </w:p>
        </w:tc>
        <w:tc>
          <w:tcPr>
            <w:tcW w:w="1320"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红砖</w:t>
            </w:r>
          </w:p>
        </w:tc>
        <w:tc>
          <w:tcPr>
            <w:tcW w:w="1310"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20</w:t>
            </w:r>
          </w:p>
        </w:tc>
        <w:tc>
          <w:tcPr>
            <w:tcW w:w="1511"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1" w:type="dxa"/>
            <w:vAlign w:val="center"/>
          </w:tcPr>
          <w:p>
            <w:pPr>
              <w:keepNext w:val="0"/>
              <w:keepLines w:val="0"/>
              <w:widowControl/>
              <w:suppressLineNumbers w:val="0"/>
              <w:jc w:val="left"/>
              <w:textAlignment w:val="center"/>
              <w:rPr>
                <w:rFonts w:hint="default" w:ascii="宋体" w:hAnsi="宋体" w:eastAsia="宋体" w:cs="宋体"/>
                <w:i w:val="0"/>
                <w:i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黑或白漆</w:t>
            </w:r>
          </w:p>
        </w:tc>
        <w:tc>
          <w:tcPr>
            <w:tcW w:w="1320" w:type="dxa"/>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38～90</w:t>
            </w:r>
          </w:p>
        </w:tc>
        <w:tc>
          <w:tcPr>
            <w:tcW w:w="1530" w:type="dxa"/>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0.80～0.95</w:t>
            </w:r>
          </w:p>
        </w:tc>
        <w:tc>
          <w:tcPr>
            <w:tcW w:w="1320"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白砖</w:t>
            </w:r>
          </w:p>
        </w:tc>
        <w:tc>
          <w:tcPr>
            <w:tcW w:w="1310"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20</w:t>
            </w:r>
          </w:p>
        </w:tc>
        <w:tc>
          <w:tcPr>
            <w:tcW w:w="1511"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1" w:type="dxa"/>
            <w:vAlign w:val="center"/>
          </w:tcPr>
          <w:p>
            <w:pPr>
              <w:keepNext w:val="0"/>
              <w:keepLines w:val="0"/>
              <w:widowControl/>
              <w:suppressLineNumbers w:val="0"/>
              <w:jc w:val="left"/>
              <w:textAlignment w:val="center"/>
              <w:rPr>
                <w:rFonts w:hint="default" w:ascii="宋体" w:hAnsi="宋体" w:eastAsia="宋体" w:cs="宋体"/>
                <w:i w:val="0"/>
                <w:i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平滑黑漆</w:t>
            </w:r>
          </w:p>
        </w:tc>
        <w:tc>
          <w:tcPr>
            <w:tcW w:w="1320" w:type="dxa"/>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38～90</w:t>
            </w:r>
          </w:p>
        </w:tc>
        <w:tc>
          <w:tcPr>
            <w:tcW w:w="1530" w:type="dxa"/>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0.96～0.98</w:t>
            </w:r>
          </w:p>
        </w:tc>
        <w:tc>
          <w:tcPr>
            <w:tcW w:w="1320"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沥青</w:t>
            </w:r>
          </w:p>
        </w:tc>
        <w:tc>
          <w:tcPr>
            <w:tcW w:w="1310"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0～200</w:t>
            </w:r>
          </w:p>
        </w:tc>
        <w:tc>
          <w:tcPr>
            <w:tcW w:w="1511"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1" w:type="dxa"/>
            <w:vAlign w:val="center"/>
          </w:tcPr>
          <w:p>
            <w:pPr>
              <w:keepNext w:val="0"/>
              <w:keepLines w:val="0"/>
              <w:widowControl/>
              <w:suppressLineNumbers w:val="0"/>
              <w:jc w:val="left"/>
              <w:textAlignment w:val="center"/>
              <w:rPr>
                <w:rFonts w:hint="default" w:ascii="宋体" w:hAnsi="宋体" w:eastAsia="宋体" w:cs="宋体"/>
                <w:i w:val="0"/>
                <w:i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亮漆（所有颜色）</w:t>
            </w:r>
          </w:p>
        </w:tc>
        <w:tc>
          <w:tcPr>
            <w:tcW w:w="1320" w:type="dxa"/>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w:t>
            </w:r>
          </w:p>
        </w:tc>
        <w:tc>
          <w:tcPr>
            <w:tcW w:w="1530" w:type="dxa"/>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0.90</w:t>
            </w:r>
          </w:p>
        </w:tc>
        <w:tc>
          <w:tcPr>
            <w:tcW w:w="1320"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玻璃（面）</w:t>
            </w:r>
          </w:p>
        </w:tc>
        <w:tc>
          <w:tcPr>
            <w:tcW w:w="1310"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23</w:t>
            </w:r>
          </w:p>
        </w:tc>
        <w:tc>
          <w:tcPr>
            <w:tcW w:w="1511"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1" w:type="dxa"/>
            <w:vAlign w:val="center"/>
          </w:tcPr>
          <w:p>
            <w:pPr>
              <w:keepNext w:val="0"/>
              <w:keepLines w:val="0"/>
              <w:widowControl/>
              <w:suppressLineNumbers w:val="0"/>
              <w:jc w:val="left"/>
              <w:textAlignment w:val="center"/>
              <w:rPr>
                <w:rFonts w:hint="default" w:ascii="宋体" w:hAnsi="宋体" w:eastAsia="宋体" w:cs="宋体"/>
                <w:i w:val="0"/>
                <w:i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非亮漆</w:t>
            </w:r>
          </w:p>
        </w:tc>
        <w:tc>
          <w:tcPr>
            <w:tcW w:w="1320" w:type="dxa"/>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w:t>
            </w:r>
          </w:p>
        </w:tc>
        <w:tc>
          <w:tcPr>
            <w:tcW w:w="1530" w:type="dxa"/>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0.95</w:t>
            </w:r>
          </w:p>
        </w:tc>
        <w:tc>
          <w:tcPr>
            <w:tcW w:w="1320"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碳片</w:t>
            </w:r>
          </w:p>
        </w:tc>
        <w:tc>
          <w:tcPr>
            <w:tcW w:w="1310"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w:t>
            </w:r>
          </w:p>
        </w:tc>
        <w:tc>
          <w:tcPr>
            <w:tcW w:w="1511"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1" w:type="dxa"/>
            <w:vAlign w:val="center"/>
          </w:tcPr>
          <w:p>
            <w:pPr>
              <w:keepNext w:val="0"/>
              <w:keepLines w:val="0"/>
              <w:widowControl/>
              <w:suppressLineNumbers w:val="0"/>
              <w:jc w:val="left"/>
              <w:textAlignment w:val="center"/>
              <w:rPr>
                <w:rFonts w:hint="default" w:ascii="宋体" w:hAnsi="宋体" w:eastAsia="宋体" w:cs="宋体"/>
                <w:i w:val="0"/>
                <w:i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纸</w:t>
            </w:r>
          </w:p>
        </w:tc>
        <w:tc>
          <w:tcPr>
            <w:tcW w:w="1320" w:type="dxa"/>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0～100</w:t>
            </w:r>
          </w:p>
        </w:tc>
        <w:tc>
          <w:tcPr>
            <w:tcW w:w="1530" w:type="dxa"/>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0.80～0.95</w:t>
            </w:r>
          </w:p>
        </w:tc>
        <w:tc>
          <w:tcPr>
            <w:tcW w:w="1320"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绝缘片</w:t>
            </w:r>
          </w:p>
        </w:tc>
        <w:tc>
          <w:tcPr>
            <w:tcW w:w="1310"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w:t>
            </w:r>
          </w:p>
        </w:tc>
        <w:tc>
          <w:tcPr>
            <w:tcW w:w="1511"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0.91～0.94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1" w:type="dxa"/>
            <w:vAlign w:val="center"/>
          </w:tcPr>
          <w:p>
            <w:pPr>
              <w:keepNext w:val="0"/>
              <w:keepLines w:val="0"/>
              <w:widowControl/>
              <w:suppressLineNumbers w:val="0"/>
              <w:jc w:val="left"/>
              <w:textAlignment w:val="center"/>
              <w:rPr>
                <w:rFonts w:hint="default" w:ascii="宋体" w:hAnsi="宋体" w:eastAsia="宋体" w:cs="宋体"/>
                <w:i w:val="0"/>
                <w:i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不透明塑料</w:t>
            </w:r>
          </w:p>
        </w:tc>
        <w:tc>
          <w:tcPr>
            <w:tcW w:w="1320" w:type="dxa"/>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w:t>
            </w:r>
          </w:p>
        </w:tc>
        <w:tc>
          <w:tcPr>
            <w:tcW w:w="1530" w:type="dxa"/>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0.95</w:t>
            </w:r>
          </w:p>
        </w:tc>
        <w:tc>
          <w:tcPr>
            <w:tcW w:w="1320"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金属片</w:t>
            </w:r>
          </w:p>
        </w:tc>
        <w:tc>
          <w:tcPr>
            <w:tcW w:w="1310"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w:t>
            </w:r>
          </w:p>
        </w:tc>
        <w:tc>
          <w:tcPr>
            <w:tcW w:w="1511"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0.88～0.90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1" w:type="dxa"/>
            <w:vAlign w:val="center"/>
          </w:tcPr>
          <w:p>
            <w:pPr>
              <w:keepNext w:val="0"/>
              <w:keepLines w:val="0"/>
              <w:widowControl/>
              <w:suppressLineNumbers w:val="0"/>
              <w:jc w:val="left"/>
              <w:textAlignment w:val="center"/>
              <w:rPr>
                <w:rFonts w:hint="default" w:ascii="宋体" w:hAnsi="宋体" w:eastAsia="宋体" w:cs="宋体"/>
                <w:i w:val="0"/>
                <w:i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瓷器（壳）</w:t>
            </w:r>
          </w:p>
        </w:tc>
        <w:tc>
          <w:tcPr>
            <w:tcW w:w="1320" w:type="dxa"/>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23</w:t>
            </w:r>
          </w:p>
        </w:tc>
        <w:tc>
          <w:tcPr>
            <w:tcW w:w="1530" w:type="dxa"/>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0.92</w:t>
            </w:r>
          </w:p>
        </w:tc>
        <w:tc>
          <w:tcPr>
            <w:tcW w:w="1320"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环氧玻璃板</w:t>
            </w:r>
          </w:p>
        </w:tc>
        <w:tc>
          <w:tcPr>
            <w:tcW w:w="1310"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w:t>
            </w:r>
          </w:p>
        </w:tc>
        <w:tc>
          <w:tcPr>
            <w:tcW w:w="1511"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1" w:type="dxa"/>
            <w:vAlign w:val="center"/>
          </w:tcPr>
          <w:p>
            <w:pPr>
              <w:keepNext w:val="0"/>
              <w:keepLines w:val="0"/>
              <w:widowControl/>
              <w:suppressLineNumbers w:val="0"/>
              <w:jc w:val="left"/>
              <w:textAlignment w:val="center"/>
              <w:rPr>
                <w:rFonts w:hint="default" w:ascii="宋体" w:hAnsi="宋体" w:eastAsia="宋体" w:cs="宋体"/>
                <w:i w:val="0"/>
                <w:i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电瓷</w:t>
            </w:r>
          </w:p>
        </w:tc>
        <w:tc>
          <w:tcPr>
            <w:tcW w:w="1320" w:type="dxa"/>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w:t>
            </w:r>
          </w:p>
        </w:tc>
        <w:tc>
          <w:tcPr>
            <w:tcW w:w="1530" w:type="dxa"/>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0.90～0.92</w:t>
            </w:r>
          </w:p>
        </w:tc>
        <w:tc>
          <w:tcPr>
            <w:tcW w:w="1320"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镀金铜片</w:t>
            </w:r>
          </w:p>
        </w:tc>
        <w:tc>
          <w:tcPr>
            <w:tcW w:w="1310"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w:t>
            </w:r>
          </w:p>
        </w:tc>
        <w:tc>
          <w:tcPr>
            <w:tcW w:w="1511"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1" w:type="dxa"/>
            <w:vAlign w:val="center"/>
          </w:tcPr>
          <w:p>
            <w:pPr>
              <w:keepNext w:val="0"/>
              <w:keepLines w:val="0"/>
              <w:widowControl/>
              <w:suppressLineNumbers w:val="0"/>
              <w:jc w:val="left"/>
              <w:textAlignment w:val="center"/>
              <w:rPr>
                <w:rFonts w:hint="default" w:ascii="宋体" w:hAnsi="宋体" w:eastAsia="宋体" w:cs="宋体"/>
                <w:i w:val="0"/>
                <w:i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屋顶材料</w:t>
            </w:r>
          </w:p>
        </w:tc>
        <w:tc>
          <w:tcPr>
            <w:tcW w:w="1320" w:type="dxa"/>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20</w:t>
            </w:r>
          </w:p>
        </w:tc>
        <w:tc>
          <w:tcPr>
            <w:tcW w:w="1530" w:type="dxa"/>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0.91</w:t>
            </w:r>
          </w:p>
        </w:tc>
        <w:tc>
          <w:tcPr>
            <w:tcW w:w="1320"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涂焊料的铜</w:t>
            </w:r>
          </w:p>
        </w:tc>
        <w:tc>
          <w:tcPr>
            <w:tcW w:w="1310"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w:t>
            </w:r>
          </w:p>
        </w:tc>
        <w:tc>
          <w:tcPr>
            <w:tcW w:w="1511"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1" w:type="dxa"/>
            <w:vAlign w:val="center"/>
          </w:tcPr>
          <w:p>
            <w:pPr>
              <w:keepNext w:val="0"/>
              <w:keepLines w:val="0"/>
              <w:widowControl/>
              <w:suppressLineNumbers w:val="0"/>
              <w:jc w:val="left"/>
              <w:textAlignment w:val="center"/>
              <w:rPr>
                <w:rFonts w:hint="default" w:ascii="宋体" w:hAnsi="宋体" w:eastAsia="宋体" w:cs="宋体"/>
                <w:i w:val="0"/>
                <w:i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水</w:t>
            </w:r>
          </w:p>
        </w:tc>
        <w:tc>
          <w:tcPr>
            <w:tcW w:w="1320" w:type="dxa"/>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0～100</w:t>
            </w:r>
          </w:p>
        </w:tc>
        <w:tc>
          <w:tcPr>
            <w:tcW w:w="1530" w:type="dxa"/>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0.95～0.96</w:t>
            </w:r>
          </w:p>
        </w:tc>
        <w:tc>
          <w:tcPr>
            <w:tcW w:w="1320"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铜丝</w:t>
            </w:r>
          </w:p>
        </w:tc>
        <w:tc>
          <w:tcPr>
            <w:tcW w:w="1310"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w:t>
            </w:r>
          </w:p>
        </w:tc>
        <w:tc>
          <w:tcPr>
            <w:tcW w:w="1511"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0.87～0.88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1" w:type="dxa"/>
            <w:vAlign w:val="center"/>
          </w:tcPr>
          <w:p>
            <w:pPr>
              <w:keepNext w:val="0"/>
              <w:keepLines w:val="0"/>
              <w:widowControl/>
              <w:suppressLineNumbers w:val="0"/>
              <w:jc w:val="left"/>
              <w:textAlignment w:val="center"/>
              <w:rPr>
                <w:rFonts w:hint="default" w:ascii="宋体" w:hAnsi="宋体" w:eastAsia="宋体" w:cs="宋体"/>
                <w:i w:val="0"/>
                <w:i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冰</w:t>
            </w:r>
          </w:p>
        </w:tc>
        <w:tc>
          <w:tcPr>
            <w:tcW w:w="1320" w:type="dxa"/>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w:t>
            </w:r>
          </w:p>
        </w:tc>
        <w:tc>
          <w:tcPr>
            <w:tcW w:w="1530" w:type="dxa"/>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0.98</w:t>
            </w:r>
          </w:p>
        </w:tc>
        <w:tc>
          <w:tcPr>
            <w:tcW w:w="1320"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塑料（PVC）</w:t>
            </w:r>
          </w:p>
        </w:tc>
        <w:tc>
          <w:tcPr>
            <w:tcW w:w="1310"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70</w:t>
            </w:r>
          </w:p>
        </w:tc>
        <w:tc>
          <w:tcPr>
            <w:tcW w:w="1511"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0.93～0.94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1" w:type="dxa"/>
            <w:vAlign w:val="center"/>
          </w:tcPr>
          <w:p>
            <w:pPr>
              <w:keepNext w:val="0"/>
              <w:keepLines w:val="0"/>
              <w:widowControl/>
              <w:suppressLineNumbers w:val="0"/>
              <w:jc w:val="left"/>
              <w:textAlignment w:val="center"/>
              <w:rPr>
                <w:rFonts w:hint="default" w:ascii="宋体" w:hAnsi="宋体" w:eastAsia="宋体" w:cs="宋体"/>
                <w:i w:val="0"/>
                <w:iCs w:val="0"/>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橡胶（软、硬质）</w:t>
            </w:r>
          </w:p>
        </w:tc>
        <w:tc>
          <w:tcPr>
            <w:tcW w:w="1320"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20</w:t>
            </w:r>
          </w:p>
        </w:tc>
        <w:tc>
          <w:tcPr>
            <w:tcW w:w="1530"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0.95</w:t>
            </w:r>
          </w:p>
        </w:tc>
        <w:tc>
          <w:tcPr>
            <w:tcW w:w="1320" w:type="dxa"/>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vertAlign w:val="baseline"/>
                <w:lang w:val="en-US" w:eastAsia="zh-CN"/>
              </w:rPr>
            </w:pPr>
            <w:r>
              <w:rPr>
                <w:rFonts w:hint="eastAsia" w:ascii="宋体" w:hAnsi="宋体" w:eastAsia="宋体" w:cs="宋体"/>
                <w:i w:val="0"/>
                <w:iCs w:val="0"/>
                <w:color w:val="auto"/>
                <w:sz w:val="18"/>
                <w:szCs w:val="18"/>
                <w:highlight w:val="none"/>
                <w:vertAlign w:val="baseline"/>
                <w:lang w:val="en-US" w:eastAsia="zh-CN"/>
              </w:rPr>
              <w:t>-</w:t>
            </w:r>
          </w:p>
        </w:tc>
        <w:tc>
          <w:tcPr>
            <w:tcW w:w="1310" w:type="dxa"/>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vertAlign w:val="baseline"/>
                <w:lang w:val="en-US" w:eastAsia="zh-CN"/>
              </w:rPr>
            </w:pPr>
            <w:r>
              <w:rPr>
                <w:rFonts w:hint="eastAsia" w:ascii="宋体" w:hAnsi="宋体" w:eastAsia="宋体" w:cs="宋体"/>
                <w:i w:val="0"/>
                <w:iCs w:val="0"/>
                <w:color w:val="auto"/>
                <w:sz w:val="18"/>
                <w:szCs w:val="18"/>
                <w:highlight w:val="none"/>
                <w:vertAlign w:val="baseline"/>
                <w:lang w:val="en-US" w:eastAsia="zh-CN"/>
              </w:rPr>
              <w:t>-</w:t>
            </w:r>
          </w:p>
        </w:tc>
        <w:tc>
          <w:tcPr>
            <w:tcW w:w="1511" w:type="dxa"/>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vertAlign w:val="baseline"/>
                <w:lang w:val="en-US" w:eastAsia="zh-CN"/>
              </w:rPr>
            </w:pPr>
            <w:r>
              <w:rPr>
                <w:rFonts w:hint="eastAsia" w:ascii="宋体" w:hAnsi="宋体" w:eastAsia="宋体" w:cs="宋体"/>
                <w:i w:val="0"/>
                <w:iCs w:val="0"/>
                <w:color w:val="auto"/>
                <w:sz w:val="18"/>
                <w:szCs w:val="18"/>
                <w:highlight w:val="none"/>
                <w:vertAlign w:val="baseline"/>
                <w:lang w:val="en-US" w:eastAsia="zh-CN"/>
              </w:rPr>
              <w:t>-</w:t>
            </w:r>
          </w:p>
        </w:tc>
      </w:tr>
    </w:tbl>
    <w:p>
      <w:pPr>
        <w:rPr>
          <w:color w:val="auto"/>
          <w:sz w:val="21"/>
          <w:szCs w:val="21"/>
          <w:highlight w:val="none"/>
        </w:rPr>
      </w:pPr>
    </w:p>
    <w:p>
      <w:pPr>
        <w:rPr>
          <w:color w:val="auto"/>
          <w:sz w:val="21"/>
          <w:szCs w:val="21"/>
          <w:highlight w:val="none"/>
        </w:rPr>
      </w:pPr>
    </w:p>
    <w:p>
      <w:pPr>
        <w:rPr>
          <w:color w:val="auto"/>
          <w:sz w:val="21"/>
          <w:szCs w:val="21"/>
          <w:highlight w:val="none"/>
        </w:rPr>
      </w:pPr>
      <w:r>
        <w:rPr>
          <w:color w:val="auto"/>
          <w:sz w:val="21"/>
          <w:szCs w:val="21"/>
          <w:highlight w:val="none"/>
        </w:rPr>
        <w:br w:type="page"/>
      </w:r>
    </w:p>
    <w:p>
      <w:pPr>
        <w:pStyle w:val="37"/>
        <w:spacing w:line="276" w:lineRule="auto"/>
        <w:rPr>
          <w:rFonts w:hint="eastAsia" w:eastAsia="宋体" w:cs="Times New Roman"/>
          <w:bCs/>
          <w:color w:val="auto"/>
          <w:szCs w:val="44"/>
          <w:highlight w:val="none"/>
          <w:lang w:val="en-US" w:eastAsia="zh-CN"/>
        </w:rPr>
      </w:pPr>
      <w:bookmarkStart w:id="323" w:name="_Toc19758"/>
      <w:bookmarkStart w:id="324" w:name="_Toc29371"/>
      <w:bookmarkStart w:id="325" w:name="_Toc26821"/>
      <w:bookmarkStart w:id="326" w:name="_Toc20164"/>
      <w:bookmarkStart w:id="327" w:name="_Toc7877"/>
      <w:r>
        <w:rPr>
          <w:rFonts w:hint="eastAsia" w:eastAsia="宋体" w:cs="Times New Roman"/>
          <w:bCs/>
          <w:color w:val="auto"/>
          <w:szCs w:val="44"/>
          <w:highlight w:val="none"/>
          <w:lang w:val="en-US" w:eastAsia="zh-CN"/>
        </w:rPr>
        <w:t>附录B 建筑照明照度测点</w:t>
      </w:r>
      <w:bookmarkEnd w:id="323"/>
      <w:bookmarkEnd w:id="324"/>
      <w:bookmarkEnd w:id="325"/>
      <w:r>
        <w:rPr>
          <w:rFonts w:hint="eastAsia" w:eastAsia="宋体" w:cs="Times New Roman"/>
          <w:bCs/>
          <w:color w:val="auto"/>
          <w:szCs w:val="44"/>
          <w:highlight w:val="none"/>
          <w:lang w:val="en-US" w:eastAsia="zh-CN"/>
        </w:rPr>
        <w:t>布置</w:t>
      </w:r>
      <w:bookmarkEnd w:id="326"/>
      <w:bookmarkEnd w:id="327"/>
    </w:p>
    <w:p>
      <w:pPr>
        <w:pStyle w:val="38"/>
        <w:jc w:val="left"/>
        <w:rPr>
          <w:rFonts w:cs="Times New Roman"/>
          <w:color w:val="auto"/>
          <w:sz w:val="21"/>
          <w:szCs w:val="21"/>
          <w:highlight w:val="none"/>
        </w:rPr>
      </w:pPr>
      <w:r>
        <w:rPr>
          <w:rFonts w:hint="eastAsia" w:ascii="宋体" w:hAnsi="宋体" w:eastAsia="宋体" w:cs="宋体"/>
          <w:b/>
          <w:bCs/>
          <w:color w:val="auto"/>
          <w:sz w:val="21"/>
          <w:szCs w:val="21"/>
          <w:highlight w:val="none"/>
          <w:lang w:val="en-US" w:eastAsia="zh-CN"/>
        </w:rPr>
        <w:t>B.0.1</w:t>
      </w:r>
      <w:r>
        <w:rPr>
          <w:rFonts w:hint="eastAsia" w:cs="Times New Roman"/>
          <w:b w:val="0"/>
          <w:bCs w:val="0"/>
          <w:color w:val="auto"/>
          <w:sz w:val="21"/>
          <w:szCs w:val="21"/>
          <w:highlight w:val="none"/>
          <w:lang w:val="en-US" w:eastAsia="zh-CN"/>
        </w:rPr>
        <w:t xml:space="preserve"> </w:t>
      </w:r>
      <w:r>
        <w:rPr>
          <w:rFonts w:hint="eastAsia" w:ascii="宋体" w:hAnsi="宋体" w:eastAsia="宋体" w:cstheme="minorBidi"/>
          <w:color w:val="auto"/>
          <w:kern w:val="2"/>
          <w:sz w:val="21"/>
          <w:szCs w:val="21"/>
          <w:highlight w:val="none"/>
          <w:lang w:val="en-US" w:eastAsia="zh-CN" w:bidi="ar-SA"/>
        </w:rPr>
        <w:t>居住建筑和公共建筑照明测量的场所和照度测点位置高度及最大测点间距应符合表B.0.1-1～表B.0.1-13的规定。</w:t>
      </w:r>
    </w:p>
    <w:p>
      <w:pPr>
        <w:pStyle w:val="38"/>
        <w:rPr>
          <w:rFonts w:cs="Times New Roman"/>
          <w:color w:val="auto"/>
          <w:highlight w:val="none"/>
        </w:rPr>
      </w:pPr>
      <w:r>
        <w:rPr>
          <w:rFonts w:hint="eastAsia" w:cs="Times New Roman"/>
          <w:color w:val="auto"/>
          <w:highlight w:val="none"/>
          <w:lang w:eastAsia="zh-CN"/>
        </w:rPr>
        <w:t>表B.0.1-</w:t>
      </w:r>
      <w:r>
        <w:rPr>
          <w:rFonts w:hint="eastAsia" w:cs="Times New Roman"/>
          <w:color w:val="auto"/>
          <w:highlight w:val="none"/>
          <w:lang w:val="en-US" w:eastAsia="zh-CN"/>
        </w:rPr>
        <w:t>1</w:t>
      </w:r>
      <w:r>
        <w:rPr>
          <w:rFonts w:cs="Times New Roman"/>
          <w:color w:val="auto"/>
          <w:highlight w:val="none"/>
        </w:rPr>
        <w:t xml:space="preserve">  </w:t>
      </w:r>
      <w:r>
        <w:rPr>
          <w:rFonts w:hint="eastAsia" w:cs="Times New Roman"/>
          <w:color w:val="auto"/>
          <w:highlight w:val="none"/>
        </w:rPr>
        <w:t>居住建筑照明检测测点位置、高度及间距</w:t>
      </w:r>
    </w:p>
    <w:tbl>
      <w:tblPr>
        <w:tblStyle w:val="11"/>
        <w:tblW w:w="8976" w:type="dxa"/>
        <w:jc w:val="center"/>
        <w:tblLayout w:type="fixed"/>
        <w:tblCellMar>
          <w:top w:w="0" w:type="dxa"/>
          <w:left w:w="108" w:type="dxa"/>
          <w:bottom w:w="0" w:type="dxa"/>
          <w:right w:w="108" w:type="dxa"/>
        </w:tblCellMar>
      </w:tblPr>
      <w:tblGrid>
        <w:gridCol w:w="2244"/>
        <w:gridCol w:w="2244"/>
        <w:gridCol w:w="2244"/>
        <w:gridCol w:w="2244"/>
      </w:tblGrid>
      <w:tr>
        <w:tblPrEx>
          <w:tblCellMar>
            <w:top w:w="0" w:type="dxa"/>
            <w:left w:w="108" w:type="dxa"/>
            <w:bottom w:w="0" w:type="dxa"/>
            <w:right w:w="108" w:type="dxa"/>
          </w:tblCellMar>
        </w:tblPrEx>
        <w:trPr>
          <w:trHeight w:val="425" w:hRule="atLeast"/>
          <w:jc w:val="center"/>
        </w:trPr>
        <w:tc>
          <w:tcPr>
            <w:tcW w:w="448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房间或场所</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照度测点高度</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val="en-US" w:eastAsia="zh-CN" w:bidi="ar"/>
              </w:rPr>
              <w:t>最大</w:t>
            </w:r>
            <w:r>
              <w:rPr>
                <w:rFonts w:hint="eastAsia" w:ascii="宋体" w:hAnsi="宋体" w:eastAsia="宋体" w:cs="宋体"/>
                <w:color w:val="auto"/>
                <w:kern w:val="0"/>
                <w:sz w:val="18"/>
                <w:szCs w:val="18"/>
                <w:highlight w:val="none"/>
                <w:lang w:bidi="ar"/>
              </w:rPr>
              <w:t>照度测点间距</w:t>
            </w:r>
          </w:p>
        </w:tc>
      </w:tr>
      <w:tr>
        <w:tblPrEx>
          <w:tblCellMar>
            <w:top w:w="0" w:type="dxa"/>
            <w:left w:w="108" w:type="dxa"/>
            <w:bottom w:w="0" w:type="dxa"/>
            <w:right w:w="108" w:type="dxa"/>
          </w:tblCellMar>
        </w:tblPrEx>
        <w:trPr>
          <w:trHeight w:val="425" w:hRule="atLeast"/>
          <w:jc w:val="center"/>
        </w:trPr>
        <w:tc>
          <w:tcPr>
            <w:tcW w:w="224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起居室</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一般活动</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地面水平面</w:t>
            </w:r>
          </w:p>
        </w:tc>
        <w:tc>
          <w:tcPr>
            <w:tcW w:w="224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1.0m×1.0m</w:t>
            </w:r>
          </w:p>
        </w:tc>
      </w:tr>
      <w:tr>
        <w:tblPrEx>
          <w:tblCellMar>
            <w:top w:w="0" w:type="dxa"/>
            <w:left w:w="108" w:type="dxa"/>
            <w:bottom w:w="0" w:type="dxa"/>
            <w:right w:w="108" w:type="dxa"/>
          </w:tblCellMar>
        </w:tblPrEx>
        <w:trPr>
          <w:trHeight w:val="425"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auto"/>
                <w:sz w:val="18"/>
                <w:szCs w:val="18"/>
                <w:highlight w:val="none"/>
              </w:rPr>
            </w:pP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书写、阅读</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0.75m水平面</w:t>
            </w:r>
          </w:p>
        </w:tc>
        <w:tc>
          <w:tcPr>
            <w:tcW w:w="224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auto"/>
                <w:sz w:val="18"/>
                <w:szCs w:val="18"/>
                <w:highlight w:val="none"/>
              </w:rPr>
            </w:pPr>
          </w:p>
        </w:tc>
      </w:tr>
      <w:tr>
        <w:tblPrEx>
          <w:tblCellMar>
            <w:top w:w="0" w:type="dxa"/>
            <w:left w:w="108" w:type="dxa"/>
            <w:bottom w:w="0" w:type="dxa"/>
            <w:right w:w="108" w:type="dxa"/>
          </w:tblCellMar>
        </w:tblPrEx>
        <w:trPr>
          <w:trHeight w:val="425" w:hRule="atLeast"/>
          <w:jc w:val="center"/>
        </w:trPr>
        <w:tc>
          <w:tcPr>
            <w:tcW w:w="224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卧室</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一般活动</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地面水平面</w:t>
            </w:r>
          </w:p>
        </w:tc>
        <w:tc>
          <w:tcPr>
            <w:tcW w:w="224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1.0m×1.0m</w:t>
            </w:r>
          </w:p>
        </w:tc>
      </w:tr>
      <w:tr>
        <w:tblPrEx>
          <w:tblCellMar>
            <w:top w:w="0" w:type="dxa"/>
            <w:left w:w="108" w:type="dxa"/>
            <w:bottom w:w="0" w:type="dxa"/>
            <w:right w:w="108" w:type="dxa"/>
          </w:tblCellMar>
        </w:tblPrEx>
        <w:trPr>
          <w:trHeight w:val="425"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auto"/>
                <w:sz w:val="18"/>
                <w:szCs w:val="18"/>
                <w:highlight w:val="none"/>
              </w:rPr>
            </w:pP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床头、阅读</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0.75m水平面</w:t>
            </w:r>
          </w:p>
        </w:tc>
        <w:tc>
          <w:tcPr>
            <w:tcW w:w="224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auto"/>
                <w:sz w:val="18"/>
                <w:szCs w:val="18"/>
                <w:highlight w:val="none"/>
              </w:rPr>
            </w:pPr>
          </w:p>
        </w:tc>
      </w:tr>
      <w:tr>
        <w:tblPrEx>
          <w:tblCellMar>
            <w:top w:w="0" w:type="dxa"/>
            <w:left w:w="108" w:type="dxa"/>
            <w:bottom w:w="0" w:type="dxa"/>
            <w:right w:w="108" w:type="dxa"/>
          </w:tblCellMar>
        </w:tblPrEx>
        <w:trPr>
          <w:trHeight w:val="425" w:hRule="atLeast"/>
          <w:jc w:val="center"/>
        </w:trPr>
        <w:tc>
          <w:tcPr>
            <w:tcW w:w="448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餐厅</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0.75m水平面</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1.0m×1.0m</w:t>
            </w:r>
          </w:p>
        </w:tc>
      </w:tr>
      <w:tr>
        <w:tblPrEx>
          <w:tblCellMar>
            <w:top w:w="0" w:type="dxa"/>
            <w:left w:w="108" w:type="dxa"/>
            <w:bottom w:w="0" w:type="dxa"/>
            <w:right w:w="108" w:type="dxa"/>
          </w:tblCellMar>
        </w:tblPrEx>
        <w:trPr>
          <w:trHeight w:val="425" w:hRule="atLeast"/>
          <w:jc w:val="center"/>
        </w:trPr>
        <w:tc>
          <w:tcPr>
            <w:tcW w:w="224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厨房</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一般活动</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地面水平面</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1.0m×1.0m</w:t>
            </w:r>
          </w:p>
        </w:tc>
      </w:tr>
      <w:tr>
        <w:tblPrEx>
          <w:tblCellMar>
            <w:top w:w="0" w:type="dxa"/>
            <w:left w:w="108" w:type="dxa"/>
            <w:bottom w:w="0" w:type="dxa"/>
            <w:right w:w="108" w:type="dxa"/>
          </w:tblCellMar>
        </w:tblPrEx>
        <w:trPr>
          <w:trHeight w:val="425"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auto"/>
                <w:sz w:val="18"/>
                <w:szCs w:val="18"/>
                <w:highlight w:val="none"/>
              </w:rPr>
            </w:pP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操作台</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台面</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0.5m×0.5m</w:t>
            </w:r>
          </w:p>
        </w:tc>
      </w:tr>
      <w:tr>
        <w:tblPrEx>
          <w:tblCellMar>
            <w:top w:w="0" w:type="dxa"/>
            <w:left w:w="108" w:type="dxa"/>
            <w:bottom w:w="0" w:type="dxa"/>
            <w:right w:w="108" w:type="dxa"/>
          </w:tblCellMar>
        </w:tblPrEx>
        <w:trPr>
          <w:trHeight w:val="425" w:hRule="atLeast"/>
          <w:jc w:val="center"/>
        </w:trPr>
        <w:tc>
          <w:tcPr>
            <w:tcW w:w="448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卫生间</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0.75m水平面</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1.0m×1.0m</w:t>
            </w:r>
          </w:p>
        </w:tc>
      </w:tr>
    </w:tbl>
    <w:p>
      <w:pPr>
        <w:rPr>
          <w:color w:val="auto"/>
          <w:sz w:val="21"/>
          <w:szCs w:val="21"/>
          <w:highlight w:val="none"/>
        </w:rPr>
      </w:pPr>
    </w:p>
    <w:p>
      <w:pPr>
        <w:pStyle w:val="38"/>
        <w:rPr>
          <w:rFonts w:cs="Times New Roman"/>
          <w:color w:val="auto"/>
          <w:highlight w:val="none"/>
        </w:rPr>
      </w:pPr>
      <w:r>
        <w:rPr>
          <w:rFonts w:hint="eastAsia" w:cs="Times New Roman"/>
          <w:color w:val="auto"/>
          <w:highlight w:val="none"/>
          <w:lang w:eastAsia="zh-CN"/>
        </w:rPr>
        <w:t>表B.0.1-</w:t>
      </w:r>
      <w:r>
        <w:rPr>
          <w:rFonts w:cs="Times New Roman"/>
          <w:color w:val="auto"/>
          <w:highlight w:val="none"/>
        </w:rPr>
        <w:t>.</w:t>
      </w:r>
      <w:r>
        <w:rPr>
          <w:rFonts w:hint="eastAsia" w:cs="Times New Roman"/>
          <w:color w:val="auto"/>
          <w:highlight w:val="none"/>
          <w:lang w:val="en-US" w:eastAsia="zh-CN"/>
        </w:rPr>
        <w:t xml:space="preserve">2  </w:t>
      </w:r>
      <w:r>
        <w:rPr>
          <w:rFonts w:hint="eastAsia" w:cs="Times New Roman"/>
          <w:color w:val="auto"/>
          <w:highlight w:val="none"/>
        </w:rPr>
        <w:t xml:space="preserve"> 图书馆建筑照明检测测点位置、高度及间距</w:t>
      </w:r>
    </w:p>
    <w:tbl>
      <w:tblPr>
        <w:tblStyle w:val="11"/>
        <w:tblW w:w="8892" w:type="dxa"/>
        <w:jc w:val="center"/>
        <w:tblLayout w:type="fixed"/>
        <w:tblCellMar>
          <w:top w:w="0" w:type="dxa"/>
          <w:left w:w="108" w:type="dxa"/>
          <w:bottom w:w="0" w:type="dxa"/>
          <w:right w:w="108" w:type="dxa"/>
        </w:tblCellMar>
      </w:tblPr>
      <w:tblGrid>
        <w:gridCol w:w="2964"/>
        <w:gridCol w:w="2964"/>
        <w:gridCol w:w="2964"/>
      </w:tblGrid>
      <w:tr>
        <w:tblPrEx>
          <w:tblCellMar>
            <w:top w:w="0" w:type="dxa"/>
            <w:left w:w="108" w:type="dxa"/>
            <w:bottom w:w="0" w:type="dxa"/>
            <w:right w:w="108" w:type="dxa"/>
          </w:tblCellMar>
        </w:tblPrEx>
        <w:trPr>
          <w:trHeight w:val="425" w:hRule="atLeast"/>
          <w:jc w:val="center"/>
        </w:trPr>
        <w:tc>
          <w:tcPr>
            <w:tcW w:w="2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房间或场所</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照度测点高度</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照度测点间距</w:t>
            </w:r>
          </w:p>
        </w:tc>
      </w:tr>
      <w:tr>
        <w:tblPrEx>
          <w:tblCellMar>
            <w:top w:w="0" w:type="dxa"/>
            <w:left w:w="108" w:type="dxa"/>
            <w:bottom w:w="0" w:type="dxa"/>
            <w:right w:w="108" w:type="dxa"/>
          </w:tblCellMar>
        </w:tblPrEx>
        <w:trPr>
          <w:trHeight w:val="425" w:hRule="atLeast"/>
          <w:jc w:val="center"/>
        </w:trPr>
        <w:tc>
          <w:tcPr>
            <w:tcW w:w="2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阅览室</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0.75m水平面</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2.0m×2.0m</w:t>
            </w:r>
          </w:p>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4.0m×4.0m</w:t>
            </w:r>
          </w:p>
        </w:tc>
      </w:tr>
      <w:tr>
        <w:tblPrEx>
          <w:tblCellMar>
            <w:top w:w="0" w:type="dxa"/>
            <w:left w:w="108" w:type="dxa"/>
            <w:bottom w:w="0" w:type="dxa"/>
            <w:right w:w="108" w:type="dxa"/>
          </w:tblCellMar>
        </w:tblPrEx>
        <w:trPr>
          <w:trHeight w:val="425" w:hRule="atLeast"/>
          <w:jc w:val="center"/>
        </w:trPr>
        <w:tc>
          <w:tcPr>
            <w:tcW w:w="2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陈列室、目录室、出纳室</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0.75m水平面</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2.0m×2.0m</w:t>
            </w:r>
          </w:p>
        </w:tc>
      </w:tr>
      <w:tr>
        <w:tblPrEx>
          <w:tblCellMar>
            <w:top w:w="0" w:type="dxa"/>
            <w:left w:w="108" w:type="dxa"/>
            <w:bottom w:w="0" w:type="dxa"/>
            <w:right w:w="108" w:type="dxa"/>
          </w:tblCellMar>
        </w:tblPrEx>
        <w:trPr>
          <w:trHeight w:val="425" w:hRule="atLeast"/>
          <w:jc w:val="center"/>
        </w:trPr>
        <w:tc>
          <w:tcPr>
            <w:tcW w:w="2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书库</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地面水平面               书架垂直面</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2.0m×2.0m</w:t>
            </w:r>
          </w:p>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4.0m×4.0m</w:t>
            </w:r>
          </w:p>
        </w:tc>
      </w:tr>
      <w:tr>
        <w:tblPrEx>
          <w:tblCellMar>
            <w:top w:w="0" w:type="dxa"/>
            <w:left w:w="108" w:type="dxa"/>
            <w:bottom w:w="0" w:type="dxa"/>
            <w:right w:w="108" w:type="dxa"/>
          </w:tblCellMar>
        </w:tblPrEx>
        <w:trPr>
          <w:trHeight w:val="425" w:hRule="atLeast"/>
          <w:jc w:val="center"/>
        </w:trPr>
        <w:tc>
          <w:tcPr>
            <w:tcW w:w="2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工作间</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0.75m水平面</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2.0m×2.0m</w:t>
            </w:r>
          </w:p>
        </w:tc>
      </w:tr>
    </w:tbl>
    <w:p>
      <w:pPr>
        <w:rPr>
          <w:color w:val="auto"/>
          <w:sz w:val="21"/>
          <w:szCs w:val="21"/>
          <w:highlight w:val="none"/>
        </w:rPr>
      </w:pPr>
    </w:p>
    <w:p>
      <w:pPr>
        <w:pStyle w:val="38"/>
        <w:rPr>
          <w:rFonts w:cs="Times New Roman"/>
          <w:color w:val="auto"/>
          <w:highlight w:val="none"/>
        </w:rPr>
      </w:pPr>
      <w:r>
        <w:rPr>
          <w:rFonts w:hint="eastAsia" w:cs="Times New Roman"/>
          <w:color w:val="auto"/>
          <w:highlight w:val="none"/>
          <w:lang w:eastAsia="zh-CN"/>
        </w:rPr>
        <w:t>表B.0.1-</w:t>
      </w:r>
      <w:r>
        <w:rPr>
          <w:rFonts w:cs="Times New Roman"/>
          <w:color w:val="auto"/>
          <w:highlight w:val="none"/>
        </w:rPr>
        <w:t>.</w:t>
      </w:r>
      <w:r>
        <w:rPr>
          <w:rFonts w:hint="eastAsia" w:cs="Times New Roman"/>
          <w:color w:val="auto"/>
          <w:highlight w:val="none"/>
          <w:lang w:val="en-US" w:eastAsia="zh-CN"/>
        </w:rPr>
        <w:t xml:space="preserve">3  </w:t>
      </w:r>
      <w:r>
        <w:rPr>
          <w:rFonts w:hint="eastAsia" w:cs="Times New Roman"/>
          <w:color w:val="auto"/>
          <w:highlight w:val="none"/>
        </w:rPr>
        <w:t xml:space="preserve"> 办公建筑照明检测测点位置、高度及间距</w:t>
      </w:r>
    </w:p>
    <w:tbl>
      <w:tblPr>
        <w:tblStyle w:val="11"/>
        <w:tblW w:w="8892" w:type="dxa"/>
        <w:jc w:val="center"/>
        <w:tblLayout w:type="fixed"/>
        <w:tblCellMar>
          <w:top w:w="0" w:type="dxa"/>
          <w:left w:w="108" w:type="dxa"/>
          <w:bottom w:w="0" w:type="dxa"/>
          <w:right w:w="108" w:type="dxa"/>
        </w:tblCellMar>
      </w:tblPr>
      <w:tblGrid>
        <w:gridCol w:w="2964"/>
        <w:gridCol w:w="2964"/>
        <w:gridCol w:w="2964"/>
      </w:tblGrid>
      <w:tr>
        <w:tblPrEx>
          <w:tblCellMar>
            <w:top w:w="0" w:type="dxa"/>
            <w:left w:w="108" w:type="dxa"/>
            <w:bottom w:w="0" w:type="dxa"/>
            <w:right w:w="108" w:type="dxa"/>
          </w:tblCellMar>
        </w:tblPrEx>
        <w:trPr>
          <w:trHeight w:val="425" w:hRule="atLeast"/>
          <w:jc w:val="center"/>
        </w:trPr>
        <w:tc>
          <w:tcPr>
            <w:tcW w:w="2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房间或场所</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照度测点高度</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照度测点间距</w:t>
            </w:r>
          </w:p>
        </w:tc>
      </w:tr>
      <w:tr>
        <w:tblPrEx>
          <w:tblCellMar>
            <w:top w:w="0" w:type="dxa"/>
            <w:left w:w="108" w:type="dxa"/>
            <w:bottom w:w="0" w:type="dxa"/>
            <w:right w:w="108" w:type="dxa"/>
          </w:tblCellMar>
        </w:tblPrEx>
        <w:trPr>
          <w:trHeight w:val="425" w:hRule="atLeast"/>
          <w:jc w:val="center"/>
        </w:trPr>
        <w:tc>
          <w:tcPr>
            <w:tcW w:w="2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办公室</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0.75m水平面</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2.0m×2.0m</w:t>
            </w:r>
          </w:p>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4.0m×4.0m</w:t>
            </w:r>
          </w:p>
        </w:tc>
      </w:tr>
      <w:tr>
        <w:tblPrEx>
          <w:tblCellMar>
            <w:top w:w="0" w:type="dxa"/>
            <w:left w:w="108" w:type="dxa"/>
            <w:bottom w:w="0" w:type="dxa"/>
            <w:right w:w="108" w:type="dxa"/>
          </w:tblCellMar>
        </w:tblPrEx>
        <w:trPr>
          <w:trHeight w:val="425" w:hRule="atLeast"/>
          <w:jc w:val="center"/>
        </w:trPr>
        <w:tc>
          <w:tcPr>
            <w:tcW w:w="2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会议室</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0.75m水平面</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2.0m×2.0m</w:t>
            </w:r>
          </w:p>
        </w:tc>
      </w:tr>
      <w:tr>
        <w:tblPrEx>
          <w:tblCellMar>
            <w:top w:w="0" w:type="dxa"/>
            <w:left w:w="108" w:type="dxa"/>
            <w:bottom w:w="0" w:type="dxa"/>
            <w:right w:w="108" w:type="dxa"/>
          </w:tblCellMar>
        </w:tblPrEx>
        <w:trPr>
          <w:trHeight w:val="425" w:hRule="atLeast"/>
          <w:jc w:val="center"/>
        </w:trPr>
        <w:tc>
          <w:tcPr>
            <w:tcW w:w="2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接待室、前台</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0.75m水平面</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2.0m×2.0m</w:t>
            </w:r>
          </w:p>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4.0m×4.0m</w:t>
            </w:r>
          </w:p>
        </w:tc>
      </w:tr>
      <w:tr>
        <w:tblPrEx>
          <w:tblCellMar>
            <w:top w:w="0" w:type="dxa"/>
            <w:left w:w="108" w:type="dxa"/>
            <w:bottom w:w="0" w:type="dxa"/>
            <w:right w:w="108" w:type="dxa"/>
          </w:tblCellMar>
        </w:tblPrEx>
        <w:trPr>
          <w:trHeight w:val="425" w:hRule="atLeast"/>
          <w:jc w:val="center"/>
        </w:trPr>
        <w:tc>
          <w:tcPr>
            <w:tcW w:w="2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营业厅</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0.75m水平面</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2.0m×2.0m</w:t>
            </w:r>
          </w:p>
        </w:tc>
      </w:tr>
      <w:tr>
        <w:tblPrEx>
          <w:tblCellMar>
            <w:top w:w="0" w:type="dxa"/>
            <w:left w:w="108" w:type="dxa"/>
            <w:bottom w:w="0" w:type="dxa"/>
            <w:right w:w="108" w:type="dxa"/>
          </w:tblCellMar>
        </w:tblPrEx>
        <w:trPr>
          <w:trHeight w:val="425" w:hRule="atLeast"/>
          <w:jc w:val="center"/>
        </w:trPr>
        <w:tc>
          <w:tcPr>
            <w:tcW w:w="2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设计室</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0.75m水平面</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2.0m×2.0m</w:t>
            </w:r>
          </w:p>
        </w:tc>
      </w:tr>
      <w:tr>
        <w:tblPrEx>
          <w:tblCellMar>
            <w:top w:w="0" w:type="dxa"/>
            <w:left w:w="108" w:type="dxa"/>
            <w:bottom w:w="0" w:type="dxa"/>
            <w:right w:w="108" w:type="dxa"/>
          </w:tblCellMar>
        </w:tblPrEx>
        <w:trPr>
          <w:trHeight w:val="425" w:hRule="atLeast"/>
          <w:jc w:val="center"/>
        </w:trPr>
        <w:tc>
          <w:tcPr>
            <w:tcW w:w="2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文件整理复印发行</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0.75m水平面</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2.0m×2.0m</w:t>
            </w:r>
          </w:p>
        </w:tc>
      </w:tr>
      <w:tr>
        <w:tblPrEx>
          <w:tblCellMar>
            <w:top w:w="0" w:type="dxa"/>
            <w:left w:w="108" w:type="dxa"/>
            <w:bottom w:w="0" w:type="dxa"/>
            <w:right w:w="108" w:type="dxa"/>
          </w:tblCellMar>
        </w:tblPrEx>
        <w:trPr>
          <w:trHeight w:val="425" w:hRule="atLeast"/>
          <w:jc w:val="center"/>
        </w:trPr>
        <w:tc>
          <w:tcPr>
            <w:tcW w:w="2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资料归档</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0.75m水平面</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2.0m×2.0m</w:t>
            </w:r>
          </w:p>
        </w:tc>
      </w:tr>
    </w:tbl>
    <w:p>
      <w:pPr>
        <w:pStyle w:val="38"/>
        <w:spacing w:before="0"/>
        <w:ind w:firstLine="360" w:firstLineChars="200"/>
        <w:jc w:val="left"/>
        <w:rPr>
          <w:rFonts w:hint="eastAsia" w:cs="Times New Roman"/>
          <w:color w:val="auto"/>
          <w:highlight w:val="none"/>
        </w:rPr>
      </w:pPr>
      <w:r>
        <w:rPr>
          <w:rFonts w:hint="eastAsia" w:ascii="宋体" w:hAnsi="宋体" w:eastAsia="宋体" w:cs="宋体"/>
          <w:color w:val="auto"/>
          <w:kern w:val="0"/>
          <w:sz w:val="18"/>
          <w:szCs w:val="18"/>
          <w:highlight w:val="none"/>
          <w:lang w:bidi="ar"/>
        </w:rPr>
        <w:t>注：大会议室和大会堂的主席台水平照度</w:t>
      </w:r>
      <w:r>
        <w:rPr>
          <w:rFonts w:hint="eastAsia" w:ascii="宋体" w:hAnsi="宋体" w:cs="宋体"/>
          <w:color w:val="auto"/>
          <w:kern w:val="0"/>
          <w:sz w:val="18"/>
          <w:szCs w:val="18"/>
          <w:highlight w:val="none"/>
          <w:lang w:bidi="ar"/>
        </w:rPr>
        <w:t>检测</w:t>
      </w:r>
      <w:r>
        <w:rPr>
          <w:rFonts w:hint="eastAsia" w:ascii="宋体" w:hAnsi="宋体" w:eastAsia="宋体" w:cs="宋体"/>
          <w:color w:val="auto"/>
          <w:kern w:val="0"/>
          <w:sz w:val="18"/>
          <w:szCs w:val="18"/>
          <w:highlight w:val="none"/>
          <w:lang w:bidi="ar"/>
        </w:rPr>
        <w:t>高度0.75m，垂直照度</w:t>
      </w:r>
      <w:r>
        <w:rPr>
          <w:rFonts w:hint="eastAsia" w:ascii="宋体" w:hAnsi="宋体" w:cs="宋体"/>
          <w:color w:val="auto"/>
          <w:kern w:val="0"/>
          <w:sz w:val="18"/>
          <w:szCs w:val="18"/>
          <w:highlight w:val="none"/>
          <w:lang w:bidi="ar"/>
        </w:rPr>
        <w:t>检测</w:t>
      </w:r>
      <w:r>
        <w:rPr>
          <w:rFonts w:hint="eastAsia" w:ascii="宋体" w:hAnsi="宋体" w:eastAsia="宋体" w:cs="宋体"/>
          <w:color w:val="auto"/>
          <w:kern w:val="0"/>
          <w:sz w:val="18"/>
          <w:szCs w:val="18"/>
          <w:highlight w:val="none"/>
          <w:lang w:bidi="ar"/>
        </w:rPr>
        <w:t>高度1.2m。</w:t>
      </w:r>
    </w:p>
    <w:p>
      <w:pPr>
        <w:pStyle w:val="38"/>
        <w:rPr>
          <w:rFonts w:cs="Times New Roman"/>
          <w:color w:val="auto"/>
          <w:highlight w:val="none"/>
        </w:rPr>
      </w:pPr>
      <w:r>
        <w:rPr>
          <w:rFonts w:hint="eastAsia" w:cs="Times New Roman"/>
          <w:color w:val="auto"/>
          <w:highlight w:val="none"/>
          <w:lang w:eastAsia="zh-CN"/>
        </w:rPr>
        <w:t>表B.0.1-</w:t>
      </w:r>
      <w:r>
        <w:rPr>
          <w:rFonts w:hint="eastAsia" w:cs="Times New Roman"/>
          <w:color w:val="auto"/>
          <w:highlight w:val="none"/>
          <w:lang w:val="en-US" w:eastAsia="zh-CN"/>
        </w:rPr>
        <w:t xml:space="preserve">4  </w:t>
      </w:r>
      <w:r>
        <w:rPr>
          <w:rFonts w:hint="eastAsia" w:cs="Times New Roman"/>
          <w:color w:val="auto"/>
          <w:highlight w:val="none"/>
        </w:rPr>
        <w:t xml:space="preserve"> 商业建筑照明检测测点位置、高度及间距</w:t>
      </w:r>
    </w:p>
    <w:tbl>
      <w:tblPr>
        <w:tblStyle w:val="11"/>
        <w:tblW w:w="8976" w:type="dxa"/>
        <w:jc w:val="center"/>
        <w:tblLayout w:type="fixed"/>
        <w:tblCellMar>
          <w:top w:w="0" w:type="dxa"/>
          <w:left w:w="108" w:type="dxa"/>
          <w:bottom w:w="0" w:type="dxa"/>
          <w:right w:w="108" w:type="dxa"/>
        </w:tblCellMar>
      </w:tblPr>
      <w:tblGrid>
        <w:gridCol w:w="2244"/>
        <w:gridCol w:w="2244"/>
        <w:gridCol w:w="1942"/>
        <w:gridCol w:w="2546"/>
      </w:tblGrid>
      <w:tr>
        <w:tblPrEx>
          <w:tblCellMar>
            <w:top w:w="0" w:type="dxa"/>
            <w:left w:w="108" w:type="dxa"/>
            <w:bottom w:w="0" w:type="dxa"/>
            <w:right w:w="108" w:type="dxa"/>
          </w:tblCellMar>
        </w:tblPrEx>
        <w:trPr>
          <w:trHeight w:val="454" w:hRule="atLeast"/>
          <w:jc w:val="center"/>
        </w:trPr>
        <w:tc>
          <w:tcPr>
            <w:tcW w:w="448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房间或场所</w:t>
            </w:r>
          </w:p>
        </w:tc>
        <w:tc>
          <w:tcPr>
            <w:tcW w:w="19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照度测点高度</w:t>
            </w:r>
          </w:p>
        </w:tc>
        <w:tc>
          <w:tcPr>
            <w:tcW w:w="25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照度测点间距</w:t>
            </w:r>
          </w:p>
        </w:tc>
      </w:tr>
      <w:tr>
        <w:tblPrEx>
          <w:tblCellMar>
            <w:top w:w="0" w:type="dxa"/>
            <w:left w:w="108" w:type="dxa"/>
            <w:bottom w:w="0" w:type="dxa"/>
            <w:right w:w="108" w:type="dxa"/>
          </w:tblCellMar>
        </w:tblPrEx>
        <w:trPr>
          <w:trHeight w:val="454" w:hRule="atLeast"/>
          <w:jc w:val="center"/>
        </w:trPr>
        <w:tc>
          <w:tcPr>
            <w:tcW w:w="448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营业大厅（传统的大面积）</w:t>
            </w:r>
          </w:p>
        </w:tc>
        <w:tc>
          <w:tcPr>
            <w:tcW w:w="19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0.75m水平面</w:t>
            </w:r>
          </w:p>
        </w:tc>
        <w:tc>
          <w:tcPr>
            <w:tcW w:w="25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2.0m×2.0m</w:t>
            </w:r>
          </w:p>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4.0m×4.0m</w:t>
            </w:r>
          </w:p>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5.0m×5.0m</w:t>
            </w:r>
          </w:p>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 xml:space="preserve">10.0m×10.0m      </w:t>
            </w:r>
          </w:p>
        </w:tc>
      </w:tr>
      <w:tr>
        <w:tblPrEx>
          <w:tblCellMar>
            <w:top w:w="0" w:type="dxa"/>
            <w:left w:w="108" w:type="dxa"/>
            <w:bottom w:w="0" w:type="dxa"/>
            <w:right w:w="108" w:type="dxa"/>
          </w:tblCellMar>
        </w:tblPrEx>
        <w:trPr>
          <w:trHeight w:val="454" w:hRule="atLeast"/>
          <w:jc w:val="center"/>
        </w:trPr>
        <w:tc>
          <w:tcPr>
            <w:tcW w:w="224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仓储式营业厅</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通道</w:t>
            </w:r>
          </w:p>
        </w:tc>
        <w:tc>
          <w:tcPr>
            <w:tcW w:w="19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地面</w:t>
            </w:r>
          </w:p>
        </w:tc>
        <w:tc>
          <w:tcPr>
            <w:tcW w:w="25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通道中心线，间距2.0m～4.0m</w:t>
            </w:r>
          </w:p>
        </w:tc>
      </w:tr>
      <w:tr>
        <w:tblPrEx>
          <w:tblCellMar>
            <w:top w:w="0" w:type="dxa"/>
            <w:left w:w="108" w:type="dxa"/>
            <w:bottom w:w="0" w:type="dxa"/>
            <w:right w:w="108" w:type="dxa"/>
          </w:tblCellMar>
        </w:tblPrEx>
        <w:trPr>
          <w:trHeight w:val="454"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auto"/>
                <w:sz w:val="18"/>
                <w:szCs w:val="18"/>
                <w:highlight w:val="none"/>
              </w:rPr>
            </w:pP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货柜</w:t>
            </w:r>
          </w:p>
        </w:tc>
        <w:tc>
          <w:tcPr>
            <w:tcW w:w="19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垂直面</w:t>
            </w:r>
          </w:p>
        </w:tc>
        <w:tc>
          <w:tcPr>
            <w:tcW w:w="25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间距与通道测点对应，上、中、下各一点</w:t>
            </w:r>
          </w:p>
        </w:tc>
      </w:tr>
      <w:tr>
        <w:tblPrEx>
          <w:tblCellMar>
            <w:top w:w="0" w:type="dxa"/>
            <w:left w:w="108" w:type="dxa"/>
            <w:bottom w:w="0" w:type="dxa"/>
            <w:right w:w="108" w:type="dxa"/>
          </w:tblCellMar>
        </w:tblPrEx>
        <w:trPr>
          <w:trHeight w:val="454" w:hRule="atLeast"/>
          <w:jc w:val="center"/>
        </w:trPr>
        <w:tc>
          <w:tcPr>
            <w:tcW w:w="448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收款台</w:t>
            </w:r>
          </w:p>
        </w:tc>
        <w:tc>
          <w:tcPr>
            <w:tcW w:w="19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台面</w:t>
            </w:r>
          </w:p>
        </w:tc>
        <w:tc>
          <w:tcPr>
            <w:tcW w:w="25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0.5m×0.5m</w:t>
            </w:r>
          </w:p>
        </w:tc>
      </w:tr>
    </w:tbl>
    <w:p>
      <w:pPr>
        <w:rPr>
          <w:color w:val="auto"/>
          <w:sz w:val="21"/>
          <w:szCs w:val="21"/>
          <w:highlight w:val="none"/>
        </w:rPr>
      </w:pPr>
    </w:p>
    <w:p>
      <w:pPr>
        <w:pStyle w:val="38"/>
        <w:rPr>
          <w:rFonts w:cs="Times New Roman"/>
          <w:color w:val="auto"/>
          <w:highlight w:val="none"/>
        </w:rPr>
      </w:pPr>
      <w:r>
        <w:rPr>
          <w:rFonts w:hint="eastAsia" w:cs="Times New Roman"/>
          <w:color w:val="auto"/>
          <w:highlight w:val="none"/>
          <w:lang w:eastAsia="zh-CN"/>
        </w:rPr>
        <w:t>表B.0.1-</w:t>
      </w:r>
      <w:r>
        <w:rPr>
          <w:rFonts w:hint="eastAsia" w:cs="Times New Roman"/>
          <w:color w:val="auto"/>
          <w:highlight w:val="none"/>
          <w:lang w:val="en-US" w:eastAsia="zh-CN"/>
        </w:rPr>
        <w:t xml:space="preserve">5  </w:t>
      </w:r>
      <w:r>
        <w:rPr>
          <w:rFonts w:hint="eastAsia" w:cs="Times New Roman"/>
          <w:color w:val="auto"/>
          <w:highlight w:val="none"/>
        </w:rPr>
        <w:t>影剧院（礼堂）建筑照明检测测点位置、高度及间距</w:t>
      </w:r>
    </w:p>
    <w:tbl>
      <w:tblPr>
        <w:tblStyle w:val="11"/>
        <w:tblW w:w="8976" w:type="dxa"/>
        <w:jc w:val="center"/>
        <w:tblLayout w:type="fixed"/>
        <w:tblCellMar>
          <w:top w:w="0" w:type="dxa"/>
          <w:left w:w="108" w:type="dxa"/>
          <w:bottom w:w="0" w:type="dxa"/>
          <w:right w:w="108" w:type="dxa"/>
        </w:tblCellMar>
      </w:tblPr>
      <w:tblGrid>
        <w:gridCol w:w="2244"/>
        <w:gridCol w:w="2244"/>
        <w:gridCol w:w="2244"/>
        <w:gridCol w:w="2244"/>
      </w:tblGrid>
      <w:tr>
        <w:tblPrEx>
          <w:tblCellMar>
            <w:top w:w="0" w:type="dxa"/>
            <w:left w:w="108" w:type="dxa"/>
            <w:bottom w:w="0" w:type="dxa"/>
            <w:right w:w="108" w:type="dxa"/>
          </w:tblCellMar>
        </w:tblPrEx>
        <w:trPr>
          <w:trHeight w:val="454" w:hRule="atLeast"/>
          <w:jc w:val="center"/>
        </w:trPr>
        <w:tc>
          <w:tcPr>
            <w:tcW w:w="448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房间或场所</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照度测点高度</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照度测点间距</w:t>
            </w:r>
          </w:p>
        </w:tc>
      </w:tr>
      <w:tr>
        <w:tblPrEx>
          <w:tblCellMar>
            <w:top w:w="0" w:type="dxa"/>
            <w:left w:w="108" w:type="dxa"/>
            <w:bottom w:w="0" w:type="dxa"/>
            <w:right w:w="108" w:type="dxa"/>
          </w:tblCellMar>
        </w:tblPrEx>
        <w:trPr>
          <w:trHeight w:val="454" w:hRule="atLeast"/>
          <w:jc w:val="center"/>
        </w:trPr>
        <w:tc>
          <w:tcPr>
            <w:tcW w:w="448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观众厅</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1.10m～1.20m</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2.0m×2.0m</w:t>
            </w:r>
          </w:p>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4.0m×4.0m</w:t>
            </w:r>
          </w:p>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 xml:space="preserve">5.0m×5.0m      </w:t>
            </w:r>
          </w:p>
        </w:tc>
      </w:tr>
      <w:tr>
        <w:tblPrEx>
          <w:tblCellMar>
            <w:top w:w="0" w:type="dxa"/>
            <w:left w:w="108" w:type="dxa"/>
            <w:bottom w:w="0" w:type="dxa"/>
            <w:right w:w="108" w:type="dxa"/>
          </w:tblCellMar>
        </w:tblPrEx>
        <w:trPr>
          <w:trHeight w:val="454" w:hRule="atLeast"/>
          <w:jc w:val="center"/>
        </w:trPr>
        <w:tc>
          <w:tcPr>
            <w:tcW w:w="448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观众休息厅</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0.0m水平面</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2.0m×2.0m</w:t>
            </w:r>
          </w:p>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4.0m×4.0m</w:t>
            </w:r>
          </w:p>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 xml:space="preserve">5.0m×5.0m      </w:t>
            </w:r>
          </w:p>
        </w:tc>
      </w:tr>
      <w:tr>
        <w:tblPrEx>
          <w:tblCellMar>
            <w:top w:w="0" w:type="dxa"/>
            <w:left w:w="108" w:type="dxa"/>
            <w:bottom w:w="0" w:type="dxa"/>
            <w:right w:w="108" w:type="dxa"/>
          </w:tblCellMar>
        </w:tblPrEx>
        <w:trPr>
          <w:trHeight w:val="454" w:hRule="atLeast"/>
          <w:jc w:val="center"/>
        </w:trPr>
        <w:tc>
          <w:tcPr>
            <w:tcW w:w="448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排演厅</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0.75m水平面</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2.0m×2.0m</w:t>
            </w:r>
          </w:p>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4.0m×4.0m</w:t>
            </w:r>
          </w:p>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 xml:space="preserve">5.0m×5.0m      </w:t>
            </w:r>
          </w:p>
        </w:tc>
      </w:tr>
      <w:tr>
        <w:tblPrEx>
          <w:tblCellMar>
            <w:top w:w="0" w:type="dxa"/>
            <w:left w:w="108" w:type="dxa"/>
            <w:bottom w:w="0" w:type="dxa"/>
            <w:right w:w="108" w:type="dxa"/>
          </w:tblCellMar>
        </w:tblPrEx>
        <w:trPr>
          <w:trHeight w:val="454" w:hRule="atLeast"/>
          <w:jc w:val="center"/>
        </w:trPr>
        <w:tc>
          <w:tcPr>
            <w:tcW w:w="224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化妆室</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一般活动</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0.75m水平面</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2.0m×2.0m</w:t>
            </w:r>
          </w:p>
        </w:tc>
      </w:tr>
      <w:tr>
        <w:tblPrEx>
          <w:tblCellMar>
            <w:top w:w="0" w:type="dxa"/>
            <w:left w:w="108" w:type="dxa"/>
            <w:bottom w:w="0" w:type="dxa"/>
            <w:right w:w="108" w:type="dxa"/>
          </w:tblCellMar>
        </w:tblPrEx>
        <w:trPr>
          <w:trHeight w:val="454"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auto"/>
                <w:sz w:val="18"/>
                <w:szCs w:val="18"/>
                <w:highlight w:val="none"/>
              </w:rPr>
            </w:pP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化妆台</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台面</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0.5m×0.5m</w:t>
            </w:r>
          </w:p>
        </w:tc>
      </w:tr>
      <w:tr>
        <w:tblPrEx>
          <w:tblCellMar>
            <w:top w:w="0" w:type="dxa"/>
            <w:left w:w="108" w:type="dxa"/>
            <w:bottom w:w="0" w:type="dxa"/>
            <w:right w:w="108" w:type="dxa"/>
          </w:tblCellMar>
        </w:tblPrEx>
        <w:trPr>
          <w:trHeight w:val="454" w:hRule="atLeast"/>
          <w:jc w:val="center"/>
        </w:trPr>
        <w:tc>
          <w:tcPr>
            <w:tcW w:w="448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卫生间</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0.75m水平面</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2.0m×2.0m</w:t>
            </w:r>
          </w:p>
        </w:tc>
      </w:tr>
      <w:tr>
        <w:tblPrEx>
          <w:tblCellMar>
            <w:top w:w="0" w:type="dxa"/>
            <w:left w:w="108" w:type="dxa"/>
            <w:bottom w:w="0" w:type="dxa"/>
            <w:right w:w="108" w:type="dxa"/>
          </w:tblCellMar>
        </w:tblPrEx>
        <w:trPr>
          <w:trHeight w:val="454" w:hRule="atLeast"/>
          <w:jc w:val="center"/>
        </w:trPr>
        <w:tc>
          <w:tcPr>
            <w:tcW w:w="448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（礼堂）主席台</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0.75m水平面</w:t>
            </w:r>
          </w:p>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1.20m水平面</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2.0m×2.0m</w:t>
            </w:r>
          </w:p>
        </w:tc>
      </w:tr>
    </w:tbl>
    <w:p>
      <w:pPr>
        <w:ind w:firstLine="360" w:firstLineChars="200"/>
        <w:rPr>
          <w:color w:val="auto"/>
          <w:sz w:val="21"/>
          <w:szCs w:val="21"/>
          <w:highlight w:val="none"/>
        </w:rPr>
      </w:pPr>
      <w:r>
        <w:rPr>
          <w:rFonts w:hint="eastAsia" w:ascii="宋体" w:hAnsi="宋体" w:eastAsia="宋体" w:cs="宋体"/>
          <w:color w:val="auto"/>
          <w:kern w:val="0"/>
          <w:sz w:val="18"/>
          <w:szCs w:val="18"/>
          <w:highlight w:val="none"/>
          <w:lang w:bidi="ar"/>
        </w:rPr>
        <w:t>注：观众厅照度测点高度应等于或高于座椅背，表中测点高度为推荐高度，可适当调整。</w:t>
      </w:r>
    </w:p>
    <w:p>
      <w:pPr>
        <w:pStyle w:val="38"/>
        <w:rPr>
          <w:rFonts w:cs="Times New Roman"/>
          <w:color w:val="auto"/>
          <w:highlight w:val="none"/>
        </w:rPr>
      </w:pPr>
      <w:r>
        <w:rPr>
          <w:rFonts w:hint="eastAsia" w:cs="Times New Roman"/>
          <w:color w:val="auto"/>
          <w:highlight w:val="none"/>
          <w:lang w:eastAsia="zh-CN"/>
        </w:rPr>
        <w:t>表B.0.1-</w:t>
      </w:r>
      <w:r>
        <w:rPr>
          <w:rFonts w:hint="eastAsia" w:cs="Times New Roman"/>
          <w:color w:val="auto"/>
          <w:highlight w:val="none"/>
          <w:lang w:val="en-US" w:eastAsia="zh-CN"/>
        </w:rPr>
        <w:t xml:space="preserve">6  </w:t>
      </w:r>
      <w:r>
        <w:rPr>
          <w:rFonts w:hint="eastAsia" w:cs="Times New Roman"/>
          <w:color w:val="auto"/>
          <w:highlight w:val="none"/>
        </w:rPr>
        <w:t xml:space="preserve"> 旅馆建筑照明检测测点位置、高度及间距</w:t>
      </w:r>
    </w:p>
    <w:tbl>
      <w:tblPr>
        <w:tblStyle w:val="11"/>
        <w:tblW w:w="8976" w:type="dxa"/>
        <w:jc w:val="center"/>
        <w:tblLayout w:type="fixed"/>
        <w:tblCellMar>
          <w:top w:w="0" w:type="dxa"/>
          <w:left w:w="108" w:type="dxa"/>
          <w:bottom w:w="0" w:type="dxa"/>
          <w:right w:w="108" w:type="dxa"/>
        </w:tblCellMar>
      </w:tblPr>
      <w:tblGrid>
        <w:gridCol w:w="2244"/>
        <w:gridCol w:w="2244"/>
        <w:gridCol w:w="2244"/>
        <w:gridCol w:w="2244"/>
      </w:tblGrid>
      <w:tr>
        <w:tblPrEx>
          <w:tblCellMar>
            <w:top w:w="0" w:type="dxa"/>
            <w:left w:w="108" w:type="dxa"/>
            <w:bottom w:w="0" w:type="dxa"/>
            <w:right w:w="108" w:type="dxa"/>
          </w:tblCellMar>
        </w:tblPrEx>
        <w:trPr>
          <w:trHeight w:val="454" w:hRule="atLeast"/>
          <w:tblHeader/>
          <w:jc w:val="center"/>
        </w:trPr>
        <w:tc>
          <w:tcPr>
            <w:tcW w:w="448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房间或场所</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照度测点高度</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照度测点间距</w:t>
            </w:r>
          </w:p>
        </w:tc>
      </w:tr>
      <w:tr>
        <w:tblPrEx>
          <w:tblCellMar>
            <w:top w:w="0" w:type="dxa"/>
            <w:left w:w="108" w:type="dxa"/>
            <w:bottom w:w="0" w:type="dxa"/>
            <w:right w:w="108" w:type="dxa"/>
          </w:tblCellMar>
        </w:tblPrEx>
        <w:trPr>
          <w:trHeight w:val="454" w:hRule="atLeast"/>
          <w:jc w:val="center"/>
        </w:trPr>
        <w:tc>
          <w:tcPr>
            <w:tcW w:w="224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客房</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一般活动</w:t>
            </w:r>
          </w:p>
        </w:tc>
        <w:tc>
          <w:tcPr>
            <w:tcW w:w="224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0.75m水平面</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1.0m×1.0m</w:t>
            </w:r>
          </w:p>
        </w:tc>
      </w:tr>
      <w:tr>
        <w:tblPrEx>
          <w:tblCellMar>
            <w:top w:w="0" w:type="dxa"/>
            <w:left w:w="108" w:type="dxa"/>
            <w:bottom w:w="0" w:type="dxa"/>
            <w:right w:w="108" w:type="dxa"/>
          </w:tblCellMar>
        </w:tblPrEx>
        <w:trPr>
          <w:trHeight w:val="454"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auto"/>
                <w:sz w:val="18"/>
                <w:szCs w:val="18"/>
                <w:highlight w:val="none"/>
              </w:rPr>
            </w:pP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床头</w:t>
            </w:r>
          </w:p>
        </w:tc>
        <w:tc>
          <w:tcPr>
            <w:tcW w:w="224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auto"/>
                <w:sz w:val="18"/>
                <w:szCs w:val="18"/>
                <w:highlight w:val="none"/>
              </w:rPr>
            </w:pP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0.5m×0.5m</w:t>
            </w:r>
          </w:p>
        </w:tc>
      </w:tr>
      <w:tr>
        <w:tblPrEx>
          <w:tblCellMar>
            <w:top w:w="0" w:type="dxa"/>
            <w:left w:w="108" w:type="dxa"/>
            <w:bottom w:w="0" w:type="dxa"/>
            <w:right w:w="108" w:type="dxa"/>
          </w:tblCellMar>
        </w:tblPrEx>
        <w:trPr>
          <w:trHeight w:val="454"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auto"/>
                <w:sz w:val="18"/>
                <w:szCs w:val="18"/>
                <w:highlight w:val="none"/>
              </w:rPr>
            </w:pP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写字台</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台面</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0.5m×0.5m</w:t>
            </w:r>
          </w:p>
        </w:tc>
      </w:tr>
      <w:tr>
        <w:tblPrEx>
          <w:tblCellMar>
            <w:top w:w="0" w:type="dxa"/>
            <w:left w:w="108" w:type="dxa"/>
            <w:bottom w:w="0" w:type="dxa"/>
            <w:right w:w="108" w:type="dxa"/>
          </w:tblCellMar>
        </w:tblPrEx>
        <w:trPr>
          <w:trHeight w:val="454"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auto"/>
                <w:sz w:val="18"/>
                <w:szCs w:val="18"/>
                <w:highlight w:val="none"/>
              </w:rPr>
            </w:pP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卫生间</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0.75m水平面</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1.0m×1.0m</w:t>
            </w:r>
          </w:p>
        </w:tc>
      </w:tr>
      <w:tr>
        <w:tblPrEx>
          <w:tblCellMar>
            <w:top w:w="0" w:type="dxa"/>
            <w:left w:w="108" w:type="dxa"/>
            <w:bottom w:w="0" w:type="dxa"/>
            <w:right w:w="108" w:type="dxa"/>
          </w:tblCellMar>
        </w:tblPrEx>
        <w:trPr>
          <w:trHeight w:val="454" w:hRule="atLeast"/>
          <w:jc w:val="center"/>
        </w:trPr>
        <w:tc>
          <w:tcPr>
            <w:tcW w:w="448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餐厅</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0.75m水平面</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2.0m×2.0m</w:t>
            </w:r>
          </w:p>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 xml:space="preserve">4.0m×4.0m      </w:t>
            </w:r>
          </w:p>
        </w:tc>
      </w:tr>
      <w:tr>
        <w:tblPrEx>
          <w:tblCellMar>
            <w:top w:w="0" w:type="dxa"/>
            <w:left w:w="108" w:type="dxa"/>
            <w:bottom w:w="0" w:type="dxa"/>
            <w:right w:w="108" w:type="dxa"/>
          </w:tblCellMar>
        </w:tblPrEx>
        <w:trPr>
          <w:trHeight w:val="454" w:hRule="atLeast"/>
          <w:jc w:val="center"/>
        </w:trPr>
        <w:tc>
          <w:tcPr>
            <w:tcW w:w="224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多功能厅</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一般活动</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0.75m水平面</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1.0m×1.0m</w:t>
            </w:r>
          </w:p>
        </w:tc>
      </w:tr>
      <w:tr>
        <w:tblPrEx>
          <w:tblCellMar>
            <w:top w:w="0" w:type="dxa"/>
            <w:left w:w="108" w:type="dxa"/>
            <w:bottom w:w="0" w:type="dxa"/>
            <w:right w:w="108" w:type="dxa"/>
          </w:tblCellMar>
        </w:tblPrEx>
        <w:trPr>
          <w:trHeight w:val="454"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auto"/>
                <w:sz w:val="18"/>
                <w:szCs w:val="18"/>
                <w:highlight w:val="none"/>
              </w:rPr>
            </w:pP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主席台</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0.75m水平面</w:t>
            </w:r>
          </w:p>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1.20m水平面</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2.0m×2.0m</w:t>
            </w:r>
          </w:p>
        </w:tc>
      </w:tr>
    </w:tbl>
    <w:p>
      <w:pPr>
        <w:pStyle w:val="38"/>
        <w:ind w:firstLine="2700" w:firstLineChars="1500"/>
        <w:jc w:val="left"/>
        <w:rPr>
          <w:rFonts w:hint="eastAsia" w:cs="Times New Roman"/>
          <w:color w:val="auto"/>
          <w:highlight w:val="none"/>
        </w:rPr>
      </w:pPr>
    </w:p>
    <w:p>
      <w:pPr>
        <w:pStyle w:val="38"/>
        <w:ind w:left="0" w:leftChars="0" w:firstLine="0" w:firstLineChars="0"/>
        <w:jc w:val="center"/>
        <w:rPr>
          <w:rFonts w:hint="default" w:eastAsia="黑体" w:cs="Times New Roman"/>
          <w:color w:val="auto"/>
          <w:highlight w:val="none"/>
          <w:lang w:val="en-US" w:eastAsia="zh-CN"/>
        </w:rPr>
      </w:pPr>
      <w:r>
        <w:rPr>
          <w:rFonts w:hint="eastAsia" w:cs="Times New Roman"/>
          <w:color w:val="auto"/>
          <w:highlight w:val="none"/>
          <w:lang w:val="en-US" w:eastAsia="zh-CN"/>
        </w:rPr>
        <w:t>续</w:t>
      </w:r>
      <w:r>
        <w:rPr>
          <w:rFonts w:hint="eastAsia" w:cs="Times New Roman"/>
          <w:color w:val="auto"/>
          <w:highlight w:val="none"/>
          <w:lang w:eastAsia="zh-CN"/>
        </w:rPr>
        <w:t>表B.0.1-</w:t>
      </w:r>
      <w:r>
        <w:rPr>
          <w:rFonts w:cs="Times New Roman"/>
          <w:color w:val="auto"/>
          <w:highlight w:val="none"/>
        </w:rPr>
        <w:t>.</w:t>
      </w:r>
      <w:r>
        <w:rPr>
          <w:rFonts w:hint="eastAsia" w:cs="Times New Roman"/>
          <w:color w:val="auto"/>
          <w:highlight w:val="none"/>
          <w:lang w:val="en-US" w:eastAsia="zh-CN"/>
        </w:rPr>
        <w:t>6</w:t>
      </w:r>
    </w:p>
    <w:tbl>
      <w:tblPr>
        <w:tblStyle w:val="11"/>
        <w:tblW w:w="8976" w:type="dxa"/>
        <w:jc w:val="center"/>
        <w:tblLayout w:type="fixed"/>
        <w:tblCellMar>
          <w:top w:w="0" w:type="dxa"/>
          <w:left w:w="108" w:type="dxa"/>
          <w:bottom w:w="0" w:type="dxa"/>
          <w:right w:w="108" w:type="dxa"/>
        </w:tblCellMar>
      </w:tblPr>
      <w:tblGrid>
        <w:gridCol w:w="2244"/>
        <w:gridCol w:w="2244"/>
        <w:gridCol w:w="2244"/>
        <w:gridCol w:w="2244"/>
      </w:tblGrid>
      <w:tr>
        <w:tblPrEx>
          <w:tblCellMar>
            <w:top w:w="0" w:type="dxa"/>
            <w:left w:w="108" w:type="dxa"/>
            <w:bottom w:w="0" w:type="dxa"/>
            <w:right w:w="108" w:type="dxa"/>
          </w:tblCellMar>
        </w:tblPrEx>
        <w:trPr>
          <w:trHeight w:val="454" w:hRule="atLeast"/>
          <w:tblHeader/>
          <w:jc w:val="center"/>
        </w:trPr>
        <w:tc>
          <w:tcPr>
            <w:tcW w:w="448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房间或场所</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照度测点高度</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照度测点间距</w:t>
            </w:r>
          </w:p>
        </w:tc>
      </w:tr>
      <w:tr>
        <w:tblPrEx>
          <w:tblCellMar>
            <w:top w:w="0" w:type="dxa"/>
            <w:left w:w="108" w:type="dxa"/>
            <w:bottom w:w="0" w:type="dxa"/>
            <w:right w:w="108" w:type="dxa"/>
          </w:tblCellMar>
        </w:tblPrEx>
        <w:trPr>
          <w:trHeight w:val="454" w:hRule="atLeast"/>
          <w:jc w:val="center"/>
        </w:trPr>
        <w:tc>
          <w:tcPr>
            <w:tcW w:w="448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总服务台</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0.75m水平面</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1.0m×1.0m</w:t>
            </w:r>
          </w:p>
        </w:tc>
      </w:tr>
      <w:tr>
        <w:tblPrEx>
          <w:tblCellMar>
            <w:top w:w="0" w:type="dxa"/>
            <w:left w:w="108" w:type="dxa"/>
            <w:bottom w:w="0" w:type="dxa"/>
            <w:right w:w="108" w:type="dxa"/>
          </w:tblCellMar>
        </w:tblPrEx>
        <w:trPr>
          <w:trHeight w:val="454" w:hRule="atLeast"/>
          <w:jc w:val="center"/>
        </w:trPr>
        <w:tc>
          <w:tcPr>
            <w:tcW w:w="448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门厅、休息厅</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地面</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2.0m×2.0m</w:t>
            </w:r>
          </w:p>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 xml:space="preserve">4.0m×4.0m      </w:t>
            </w:r>
          </w:p>
        </w:tc>
      </w:tr>
      <w:tr>
        <w:tblPrEx>
          <w:tblCellMar>
            <w:top w:w="0" w:type="dxa"/>
            <w:left w:w="108" w:type="dxa"/>
            <w:bottom w:w="0" w:type="dxa"/>
            <w:right w:w="108" w:type="dxa"/>
          </w:tblCellMar>
        </w:tblPrEx>
        <w:trPr>
          <w:trHeight w:val="454" w:hRule="atLeast"/>
          <w:jc w:val="center"/>
        </w:trPr>
        <w:tc>
          <w:tcPr>
            <w:tcW w:w="448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客房层走廊</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地面</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走廊中心线，间隔2.0m</w:t>
            </w:r>
          </w:p>
        </w:tc>
      </w:tr>
      <w:tr>
        <w:tblPrEx>
          <w:tblCellMar>
            <w:top w:w="0" w:type="dxa"/>
            <w:left w:w="108" w:type="dxa"/>
            <w:bottom w:w="0" w:type="dxa"/>
            <w:right w:w="108" w:type="dxa"/>
          </w:tblCellMar>
        </w:tblPrEx>
        <w:trPr>
          <w:trHeight w:val="454" w:hRule="atLeast"/>
          <w:jc w:val="center"/>
        </w:trPr>
        <w:tc>
          <w:tcPr>
            <w:tcW w:w="224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厨房</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一般活动</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0.75m水平面</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2.0m×2.0m</w:t>
            </w:r>
          </w:p>
        </w:tc>
      </w:tr>
      <w:tr>
        <w:tblPrEx>
          <w:tblCellMar>
            <w:top w:w="0" w:type="dxa"/>
            <w:left w:w="108" w:type="dxa"/>
            <w:bottom w:w="0" w:type="dxa"/>
            <w:right w:w="108" w:type="dxa"/>
          </w:tblCellMar>
        </w:tblPrEx>
        <w:trPr>
          <w:trHeight w:val="454"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auto"/>
                <w:sz w:val="18"/>
                <w:szCs w:val="18"/>
                <w:highlight w:val="none"/>
              </w:rPr>
            </w:pP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操作台</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台面</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0.5m×0.5m</w:t>
            </w:r>
          </w:p>
        </w:tc>
      </w:tr>
      <w:tr>
        <w:tblPrEx>
          <w:tblCellMar>
            <w:top w:w="0" w:type="dxa"/>
            <w:left w:w="108" w:type="dxa"/>
            <w:bottom w:w="0" w:type="dxa"/>
            <w:right w:w="108" w:type="dxa"/>
          </w:tblCellMar>
        </w:tblPrEx>
        <w:trPr>
          <w:trHeight w:val="454" w:hRule="atLeast"/>
          <w:jc w:val="center"/>
        </w:trPr>
        <w:tc>
          <w:tcPr>
            <w:tcW w:w="448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洗衣房</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0.75m水平面</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2.0m×2.0m</w:t>
            </w:r>
          </w:p>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 xml:space="preserve">4.0m×4.0m      </w:t>
            </w:r>
          </w:p>
        </w:tc>
      </w:tr>
    </w:tbl>
    <w:p>
      <w:pPr>
        <w:rPr>
          <w:color w:val="auto"/>
          <w:sz w:val="21"/>
          <w:szCs w:val="21"/>
          <w:highlight w:val="none"/>
        </w:rPr>
      </w:pPr>
    </w:p>
    <w:p>
      <w:pPr>
        <w:pStyle w:val="38"/>
        <w:rPr>
          <w:rFonts w:cs="Times New Roman"/>
          <w:color w:val="auto"/>
          <w:highlight w:val="none"/>
        </w:rPr>
      </w:pPr>
      <w:r>
        <w:rPr>
          <w:rFonts w:hint="eastAsia" w:cs="Times New Roman"/>
          <w:color w:val="auto"/>
          <w:highlight w:val="none"/>
          <w:lang w:eastAsia="zh-CN"/>
        </w:rPr>
        <w:t>表B.0.1-</w:t>
      </w:r>
      <w:r>
        <w:rPr>
          <w:rFonts w:hint="eastAsia" w:cs="Times New Roman"/>
          <w:color w:val="auto"/>
          <w:highlight w:val="none"/>
          <w:lang w:val="en-US" w:eastAsia="zh-CN"/>
        </w:rPr>
        <w:t xml:space="preserve">7  </w:t>
      </w:r>
      <w:r>
        <w:rPr>
          <w:rFonts w:hint="eastAsia" w:cs="Times New Roman"/>
          <w:color w:val="auto"/>
          <w:highlight w:val="none"/>
        </w:rPr>
        <w:t xml:space="preserve"> 医院建筑照明检测测点位置、高度及间距</w:t>
      </w:r>
    </w:p>
    <w:tbl>
      <w:tblPr>
        <w:tblStyle w:val="11"/>
        <w:tblW w:w="8976" w:type="dxa"/>
        <w:jc w:val="center"/>
        <w:tblLayout w:type="fixed"/>
        <w:tblCellMar>
          <w:top w:w="0" w:type="dxa"/>
          <w:left w:w="108" w:type="dxa"/>
          <w:bottom w:w="0" w:type="dxa"/>
          <w:right w:w="108" w:type="dxa"/>
        </w:tblCellMar>
      </w:tblPr>
      <w:tblGrid>
        <w:gridCol w:w="2244"/>
        <w:gridCol w:w="2244"/>
        <w:gridCol w:w="2244"/>
        <w:gridCol w:w="2244"/>
      </w:tblGrid>
      <w:tr>
        <w:tblPrEx>
          <w:tblCellMar>
            <w:top w:w="0" w:type="dxa"/>
            <w:left w:w="108" w:type="dxa"/>
            <w:bottom w:w="0" w:type="dxa"/>
            <w:right w:w="108" w:type="dxa"/>
          </w:tblCellMar>
        </w:tblPrEx>
        <w:trPr>
          <w:trHeight w:val="454" w:hRule="atLeast"/>
          <w:jc w:val="center"/>
        </w:trPr>
        <w:tc>
          <w:tcPr>
            <w:tcW w:w="448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房间或场所</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照度测点高度</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照度测点间距</w:t>
            </w:r>
          </w:p>
        </w:tc>
      </w:tr>
      <w:tr>
        <w:tblPrEx>
          <w:tblCellMar>
            <w:top w:w="0" w:type="dxa"/>
            <w:left w:w="108" w:type="dxa"/>
            <w:bottom w:w="0" w:type="dxa"/>
            <w:right w:w="108" w:type="dxa"/>
          </w:tblCellMar>
        </w:tblPrEx>
        <w:trPr>
          <w:trHeight w:val="454" w:hRule="atLeast"/>
          <w:jc w:val="center"/>
        </w:trPr>
        <w:tc>
          <w:tcPr>
            <w:tcW w:w="448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诊室、治疗室、化验室、手术室</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0.75m水平面</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1.0m×1.0m</w:t>
            </w:r>
          </w:p>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 xml:space="preserve">2.0m×2.0m      </w:t>
            </w:r>
          </w:p>
        </w:tc>
      </w:tr>
      <w:tr>
        <w:tblPrEx>
          <w:tblCellMar>
            <w:top w:w="0" w:type="dxa"/>
            <w:left w:w="108" w:type="dxa"/>
            <w:bottom w:w="0" w:type="dxa"/>
            <w:right w:w="108" w:type="dxa"/>
          </w:tblCellMar>
        </w:tblPrEx>
        <w:trPr>
          <w:trHeight w:val="454" w:hRule="atLeast"/>
          <w:jc w:val="center"/>
        </w:trPr>
        <w:tc>
          <w:tcPr>
            <w:tcW w:w="448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门厅、通道</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地面</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2.0m×2.0m</w:t>
            </w:r>
          </w:p>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 xml:space="preserve">4.0m×4.0m      </w:t>
            </w:r>
          </w:p>
        </w:tc>
      </w:tr>
      <w:tr>
        <w:tblPrEx>
          <w:tblCellMar>
            <w:top w:w="0" w:type="dxa"/>
            <w:left w:w="108" w:type="dxa"/>
            <w:bottom w:w="0" w:type="dxa"/>
            <w:right w:w="108" w:type="dxa"/>
          </w:tblCellMar>
        </w:tblPrEx>
        <w:trPr>
          <w:trHeight w:val="454" w:hRule="atLeast"/>
          <w:jc w:val="center"/>
        </w:trPr>
        <w:tc>
          <w:tcPr>
            <w:tcW w:w="224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挂号厅</w:t>
            </w:r>
          </w:p>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收费厅</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一般活动</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0.75m水平面</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2.0m×2.0m</w:t>
            </w:r>
          </w:p>
        </w:tc>
      </w:tr>
      <w:tr>
        <w:tblPrEx>
          <w:tblCellMar>
            <w:top w:w="0" w:type="dxa"/>
            <w:left w:w="108" w:type="dxa"/>
            <w:bottom w:w="0" w:type="dxa"/>
            <w:right w:w="108" w:type="dxa"/>
          </w:tblCellMar>
        </w:tblPrEx>
        <w:trPr>
          <w:trHeight w:val="454"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auto"/>
                <w:sz w:val="18"/>
                <w:szCs w:val="18"/>
                <w:highlight w:val="none"/>
              </w:rPr>
            </w:pP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收银台</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台面</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1.0m×1.0m</w:t>
            </w:r>
          </w:p>
        </w:tc>
      </w:tr>
      <w:tr>
        <w:tblPrEx>
          <w:tblCellMar>
            <w:top w:w="0" w:type="dxa"/>
            <w:left w:w="108" w:type="dxa"/>
            <w:bottom w:w="0" w:type="dxa"/>
            <w:right w:w="108" w:type="dxa"/>
          </w:tblCellMar>
        </w:tblPrEx>
        <w:trPr>
          <w:trHeight w:val="454" w:hRule="atLeast"/>
          <w:jc w:val="center"/>
        </w:trPr>
        <w:tc>
          <w:tcPr>
            <w:tcW w:w="448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候诊厅</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0.75m水平面</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2.0m×2.0m</w:t>
            </w:r>
          </w:p>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 xml:space="preserve">4.0m×4.0m      </w:t>
            </w:r>
          </w:p>
        </w:tc>
      </w:tr>
      <w:tr>
        <w:tblPrEx>
          <w:tblCellMar>
            <w:top w:w="0" w:type="dxa"/>
            <w:left w:w="108" w:type="dxa"/>
            <w:bottom w:w="0" w:type="dxa"/>
            <w:right w:w="108" w:type="dxa"/>
          </w:tblCellMar>
        </w:tblPrEx>
        <w:trPr>
          <w:trHeight w:val="454" w:hRule="atLeast"/>
          <w:jc w:val="center"/>
        </w:trPr>
        <w:tc>
          <w:tcPr>
            <w:tcW w:w="224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病房</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一般活动</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地面</w:t>
            </w:r>
          </w:p>
        </w:tc>
        <w:tc>
          <w:tcPr>
            <w:tcW w:w="224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1.0m×1.0m</w:t>
            </w:r>
          </w:p>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 xml:space="preserve">2.0m×2.0m      </w:t>
            </w:r>
          </w:p>
        </w:tc>
      </w:tr>
      <w:tr>
        <w:tblPrEx>
          <w:tblCellMar>
            <w:top w:w="0" w:type="dxa"/>
            <w:left w:w="108" w:type="dxa"/>
            <w:bottom w:w="0" w:type="dxa"/>
            <w:right w:w="108" w:type="dxa"/>
          </w:tblCellMar>
        </w:tblPrEx>
        <w:trPr>
          <w:trHeight w:val="454"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auto"/>
                <w:sz w:val="18"/>
                <w:szCs w:val="18"/>
                <w:highlight w:val="none"/>
              </w:rPr>
            </w:pP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床头</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0.75m水平面</w:t>
            </w:r>
          </w:p>
        </w:tc>
        <w:tc>
          <w:tcPr>
            <w:tcW w:w="224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auto"/>
                <w:sz w:val="18"/>
                <w:szCs w:val="18"/>
                <w:highlight w:val="none"/>
              </w:rPr>
            </w:pPr>
          </w:p>
        </w:tc>
      </w:tr>
      <w:tr>
        <w:tblPrEx>
          <w:tblCellMar>
            <w:top w:w="0" w:type="dxa"/>
            <w:left w:w="108" w:type="dxa"/>
            <w:bottom w:w="0" w:type="dxa"/>
            <w:right w:w="108" w:type="dxa"/>
          </w:tblCellMar>
        </w:tblPrEx>
        <w:trPr>
          <w:trHeight w:val="454" w:hRule="atLeast"/>
          <w:jc w:val="center"/>
        </w:trPr>
        <w:tc>
          <w:tcPr>
            <w:tcW w:w="448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护士站</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0.75m水平面</w:t>
            </w:r>
          </w:p>
        </w:tc>
        <w:tc>
          <w:tcPr>
            <w:tcW w:w="224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1.0m×1.0m</w:t>
            </w:r>
          </w:p>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 xml:space="preserve">2.0m×2.0m      </w:t>
            </w:r>
          </w:p>
        </w:tc>
      </w:tr>
      <w:tr>
        <w:tblPrEx>
          <w:tblCellMar>
            <w:top w:w="0" w:type="dxa"/>
            <w:left w:w="108" w:type="dxa"/>
            <w:bottom w:w="0" w:type="dxa"/>
            <w:right w:w="108" w:type="dxa"/>
          </w:tblCellMar>
        </w:tblPrEx>
        <w:trPr>
          <w:trHeight w:val="454" w:hRule="atLeast"/>
          <w:jc w:val="center"/>
        </w:trPr>
        <w:tc>
          <w:tcPr>
            <w:tcW w:w="448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药房</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0.75m水平面</w:t>
            </w:r>
          </w:p>
        </w:tc>
        <w:tc>
          <w:tcPr>
            <w:tcW w:w="224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auto"/>
                <w:sz w:val="18"/>
                <w:szCs w:val="18"/>
                <w:highlight w:val="none"/>
              </w:rPr>
            </w:pPr>
          </w:p>
        </w:tc>
      </w:tr>
    </w:tbl>
    <w:p>
      <w:pPr>
        <w:rPr>
          <w:color w:val="auto"/>
          <w:sz w:val="21"/>
          <w:szCs w:val="21"/>
          <w:highlight w:val="none"/>
        </w:rPr>
      </w:pPr>
    </w:p>
    <w:p>
      <w:pPr>
        <w:pStyle w:val="38"/>
        <w:rPr>
          <w:rFonts w:cs="Times New Roman"/>
          <w:color w:val="auto"/>
          <w:highlight w:val="none"/>
        </w:rPr>
      </w:pPr>
      <w:r>
        <w:rPr>
          <w:rFonts w:hint="eastAsia" w:cs="Times New Roman"/>
          <w:color w:val="auto"/>
          <w:highlight w:val="none"/>
          <w:lang w:eastAsia="zh-CN"/>
        </w:rPr>
        <w:t>表B.0.1-</w:t>
      </w:r>
      <w:r>
        <w:rPr>
          <w:rFonts w:hint="eastAsia" w:cs="Times New Roman"/>
          <w:color w:val="auto"/>
          <w:highlight w:val="none"/>
          <w:lang w:val="en-US" w:eastAsia="zh-CN"/>
        </w:rPr>
        <w:t xml:space="preserve">8  </w:t>
      </w:r>
      <w:r>
        <w:rPr>
          <w:rFonts w:hint="eastAsia" w:cs="Times New Roman"/>
          <w:color w:val="auto"/>
          <w:highlight w:val="none"/>
        </w:rPr>
        <w:t xml:space="preserve"> 学校建筑照明检测测点位置、高度及间距</w:t>
      </w:r>
    </w:p>
    <w:tbl>
      <w:tblPr>
        <w:tblStyle w:val="11"/>
        <w:tblW w:w="8892" w:type="dxa"/>
        <w:jc w:val="center"/>
        <w:tblLayout w:type="fixed"/>
        <w:tblCellMar>
          <w:top w:w="0" w:type="dxa"/>
          <w:left w:w="108" w:type="dxa"/>
          <w:bottom w:w="0" w:type="dxa"/>
          <w:right w:w="108" w:type="dxa"/>
        </w:tblCellMar>
      </w:tblPr>
      <w:tblGrid>
        <w:gridCol w:w="2964"/>
        <w:gridCol w:w="2964"/>
        <w:gridCol w:w="2964"/>
      </w:tblGrid>
      <w:tr>
        <w:tblPrEx>
          <w:tblCellMar>
            <w:top w:w="0" w:type="dxa"/>
            <w:left w:w="108" w:type="dxa"/>
            <w:bottom w:w="0" w:type="dxa"/>
            <w:right w:w="108" w:type="dxa"/>
          </w:tblCellMar>
        </w:tblPrEx>
        <w:trPr>
          <w:trHeight w:val="454" w:hRule="atLeast"/>
          <w:jc w:val="center"/>
        </w:trPr>
        <w:tc>
          <w:tcPr>
            <w:tcW w:w="2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房间或场所</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照度测点高度</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照度测点间距</w:t>
            </w:r>
          </w:p>
        </w:tc>
      </w:tr>
      <w:tr>
        <w:tblPrEx>
          <w:tblCellMar>
            <w:top w:w="0" w:type="dxa"/>
            <w:left w:w="108" w:type="dxa"/>
            <w:bottom w:w="0" w:type="dxa"/>
            <w:right w:w="108" w:type="dxa"/>
          </w:tblCellMar>
        </w:tblPrEx>
        <w:trPr>
          <w:trHeight w:val="454" w:hRule="atLeast"/>
          <w:jc w:val="center"/>
        </w:trPr>
        <w:tc>
          <w:tcPr>
            <w:tcW w:w="2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教室、实验室、美术教室</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桌面</w:t>
            </w:r>
          </w:p>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地面</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2.0m×2.0m</w:t>
            </w:r>
          </w:p>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4.0m×4.0m</w:t>
            </w:r>
          </w:p>
        </w:tc>
      </w:tr>
      <w:tr>
        <w:tblPrEx>
          <w:tblCellMar>
            <w:top w:w="0" w:type="dxa"/>
            <w:left w:w="108" w:type="dxa"/>
            <w:bottom w:w="0" w:type="dxa"/>
            <w:right w:w="108" w:type="dxa"/>
          </w:tblCellMar>
        </w:tblPrEx>
        <w:trPr>
          <w:trHeight w:val="454" w:hRule="atLeast"/>
          <w:jc w:val="center"/>
        </w:trPr>
        <w:tc>
          <w:tcPr>
            <w:tcW w:w="2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多媒体教室</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0.75m水平面</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2.0m×2.0m</w:t>
            </w:r>
          </w:p>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4.0m×4.0m</w:t>
            </w:r>
          </w:p>
        </w:tc>
      </w:tr>
      <w:tr>
        <w:tblPrEx>
          <w:tblCellMar>
            <w:top w:w="0" w:type="dxa"/>
            <w:left w:w="108" w:type="dxa"/>
            <w:bottom w:w="0" w:type="dxa"/>
            <w:right w:w="108" w:type="dxa"/>
          </w:tblCellMar>
        </w:tblPrEx>
        <w:trPr>
          <w:trHeight w:val="454" w:hRule="atLeast"/>
          <w:jc w:val="center"/>
        </w:trPr>
        <w:tc>
          <w:tcPr>
            <w:tcW w:w="2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教室黑板</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黑板面（垂直面）</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0.5m×0.5m</w:t>
            </w:r>
          </w:p>
        </w:tc>
      </w:tr>
      <w:tr>
        <w:tblPrEx>
          <w:tblCellMar>
            <w:top w:w="0" w:type="dxa"/>
            <w:left w:w="108" w:type="dxa"/>
            <w:bottom w:w="0" w:type="dxa"/>
            <w:right w:w="108" w:type="dxa"/>
          </w:tblCellMar>
        </w:tblPrEx>
        <w:trPr>
          <w:trHeight w:val="454" w:hRule="atLeast"/>
          <w:jc w:val="center"/>
        </w:trPr>
        <w:tc>
          <w:tcPr>
            <w:tcW w:w="2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走廊、楼梯</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地面</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中心线，间隔2.0m～4.0m</w:t>
            </w:r>
          </w:p>
        </w:tc>
      </w:tr>
    </w:tbl>
    <w:p>
      <w:pPr>
        <w:rPr>
          <w:color w:val="auto"/>
          <w:sz w:val="21"/>
          <w:szCs w:val="21"/>
          <w:highlight w:val="none"/>
        </w:rPr>
      </w:pPr>
    </w:p>
    <w:p>
      <w:pPr>
        <w:pStyle w:val="38"/>
        <w:rPr>
          <w:rFonts w:hint="eastAsia" w:cs="Times New Roman"/>
          <w:color w:val="auto"/>
          <w:highlight w:val="none"/>
        </w:rPr>
      </w:pPr>
    </w:p>
    <w:p>
      <w:pPr>
        <w:pStyle w:val="38"/>
        <w:rPr>
          <w:rFonts w:hint="eastAsia" w:cs="Times New Roman"/>
          <w:color w:val="auto"/>
          <w:highlight w:val="none"/>
        </w:rPr>
      </w:pPr>
    </w:p>
    <w:p>
      <w:pPr>
        <w:pStyle w:val="38"/>
        <w:rPr>
          <w:rFonts w:cs="Times New Roman"/>
          <w:color w:val="auto"/>
          <w:highlight w:val="none"/>
        </w:rPr>
      </w:pPr>
      <w:r>
        <w:rPr>
          <w:rFonts w:hint="eastAsia" w:cs="Times New Roman"/>
          <w:color w:val="auto"/>
          <w:highlight w:val="none"/>
          <w:lang w:eastAsia="zh-CN"/>
        </w:rPr>
        <w:t>表B.0.1-</w:t>
      </w:r>
      <w:r>
        <w:rPr>
          <w:rFonts w:hint="eastAsia" w:cs="Times New Roman"/>
          <w:color w:val="auto"/>
          <w:highlight w:val="none"/>
          <w:lang w:val="en-US" w:eastAsia="zh-CN"/>
        </w:rPr>
        <w:t xml:space="preserve">9  </w:t>
      </w:r>
      <w:r>
        <w:rPr>
          <w:rFonts w:hint="eastAsia" w:cs="Times New Roman"/>
          <w:color w:val="auto"/>
          <w:highlight w:val="none"/>
        </w:rPr>
        <w:t xml:space="preserve"> 博物馆、展览馆建筑照明检测测点位置、高度及间距</w:t>
      </w:r>
    </w:p>
    <w:tbl>
      <w:tblPr>
        <w:tblStyle w:val="11"/>
        <w:tblW w:w="8976" w:type="dxa"/>
        <w:jc w:val="center"/>
        <w:tblLayout w:type="fixed"/>
        <w:tblCellMar>
          <w:top w:w="0" w:type="dxa"/>
          <w:left w:w="108" w:type="dxa"/>
          <w:bottom w:w="0" w:type="dxa"/>
          <w:right w:w="108" w:type="dxa"/>
        </w:tblCellMar>
      </w:tblPr>
      <w:tblGrid>
        <w:gridCol w:w="2244"/>
        <w:gridCol w:w="2244"/>
        <w:gridCol w:w="2244"/>
        <w:gridCol w:w="2244"/>
      </w:tblGrid>
      <w:tr>
        <w:tblPrEx>
          <w:tblCellMar>
            <w:top w:w="0" w:type="dxa"/>
            <w:left w:w="108" w:type="dxa"/>
            <w:bottom w:w="0" w:type="dxa"/>
            <w:right w:w="108" w:type="dxa"/>
          </w:tblCellMar>
        </w:tblPrEx>
        <w:trPr>
          <w:trHeight w:val="454" w:hRule="atLeast"/>
          <w:tblHeader/>
          <w:jc w:val="center"/>
        </w:trPr>
        <w:tc>
          <w:tcPr>
            <w:tcW w:w="448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房间或场所</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照度测点高度</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照度测点间距</w:t>
            </w:r>
          </w:p>
        </w:tc>
      </w:tr>
      <w:tr>
        <w:tblPrEx>
          <w:tblCellMar>
            <w:top w:w="0" w:type="dxa"/>
            <w:left w:w="108" w:type="dxa"/>
            <w:bottom w:w="0" w:type="dxa"/>
            <w:right w:w="108" w:type="dxa"/>
          </w:tblCellMar>
        </w:tblPrEx>
        <w:trPr>
          <w:trHeight w:val="454" w:hRule="atLeast"/>
          <w:jc w:val="center"/>
        </w:trPr>
        <w:tc>
          <w:tcPr>
            <w:tcW w:w="448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中央大厅、展厅</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地面</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5.0m×5.0m</w:t>
            </w:r>
          </w:p>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 xml:space="preserve">10.0m×10.0m      </w:t>
            </w:r>
          </w:p>
        </w:tc>
      </w:tr>
      <w:tr>
        <w:tblPrEx>
          <w:tblCellMar>
            <w:top w:w="0" w:type="dxa"/>
            <w:left w:w="108" w:type="dxa"/>
            <w:bottom w:w="0" w:type="dxa"/>
            <w:right w:w="108" w:type="dxa"/>
          </w:tblCellMar>
        </w:tblPrEx>
        <w:trPr>
          <w:trHeight w:val="454" w:hRule="atLeast"/>
          <w:jc w:val="center"/>
        </w:trPr>
        <w:tc>
          <w:tcPr>
            <w:tcW w:w="448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文物整理室</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0.75m水平面</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2.0m×2.0m</w:t>
            </w:r>
          </w:p>
        </w:tc>
      </w:tr>
      <w:tr>
        <w:tblPrEx>
          <w:tblCellMar>
            <w:top w:w="0" w:type="dxa"/>
            <w:left w:w="108" w:type="dxa"/>
            <w:bottom w:w="0" w:type="dxa"/>
            <w:right w:w="108" w:type="dxa"/>
          </w:tblCellMar>
        </w:tblPrEx>
        <w:trPr>
          <w:trHeight w:val="454" w:hRule="atLeast"/>
          <w:jc w:val="center"/>
        </w:trPr>
        <w:tc>
          <w:tcPr>
            <w:tcW w:w="224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文物库房</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通道</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地面</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中心线，间隔2.0m</w:t>
            </w:r>
          </w:p>
        </w:tc>
      </w:tr>
      <w:tr>
        <w:tblPrEx>
          <w:tblCellMar>
            <w:top w:w="0" w:type="dxa"/>
            <w:left w:w="108" w:type="dxa"/>
            <w:bottom w:w="0" w:type="dxa"/>
            <w:right w:w="108" w:type="dxa"/>
          </w:tblCellMar>
        </w:tblPrEx>
        <w:trPr>
          <w:trHeight w:val="454"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auto"/>
                <w:sz w:val="18"/>
                <w:szCs w:val="18"/>
                <w:highlight w:val="none"/>
              </w:rPr>
            </w:pP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文物柜</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柜（垂直）面</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每间隔2m，按上、中、下各取一点</w:t>
            </w:r>
          </w:p>
        </w:tc>
      </w:tr>
    </w:tbl>
    <w:p>
      <w:pPr>
        <w:widowControl/>
        <w:ind w:firstLine="360" w:firstLineChars="200"/>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注</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1</w:t>
      </w:r>
      <w:r>
        <w:rPr>
          <w:rFonts w:hint="eastAsia" w:ascii="宋体" w:hAnsi="宋体" w:eastAsia="宋体" w:cs="宋体"/>
          <w:color w:val="auto"/>
          <w:kern w:val="0"/>
          <w:sz w:val="18"/>
          <w:szCs w:val="18"/>
          <w:highlight w:val="none"/>
          <w:lang w:val="en-US" w:eastAsia="zh-CN" w:bidi="ar"/>
        </w:rPr>
        <w:t xml:space="preserve"> </w:t>
      </w:r>
      <w:r>
        <w:rPr>
          <w:rFonts w:hint="eastAsia" w:ascii="宋体" w:hAnsi="宋体" w:eastAsia="宋体" w:cs="宋体"/>
          <w:color w:val="auto"/>
          <w:kern w:val="0"/>
          <w:sz w:val="18"/>
          <w:szCs w:val="18"/>
          <w:highlight w:val="none"/>
          <w:lang w:bidi="ar"/>
        </w:rPr>
        <w:t>展厅除</w:t>
      </w:r>
      <w:r>
        <w:rPr>
          <w:rFonts w:hint="eastAsia" w:ascii="宋体" w:hAnsi="宋体" w:cs="宋体"/>
          <w:color w:val="auto"/>
          <w:kern w:val="0"/>
          <w:sz w:val="18"/>
          <w:szCs w:val="18"/>
          <w:highlight w:val="none"/>
          <w:lang w:bidi="ar"/>
        </w:rPr>
        <w:t>检测</w:t>
      </w:r>
      <w:r>
        <w:rPr>
          <w:rFonts w:hint="eastAsia" w:ascii="宋体" w:hAnsi="宋体" w:eastAsia="宋体" w:cs="宋体"/>
          <w:color w:val="auto"/>
          <w:kern w:val="0"/>
          <w:sz w:val="18"/>
          <w:szCs w:val="18"/>
          <w:highlight w:val="none"/>
          <w:lang w:bidi="ar"/>
        </w:rPr>
        <w:t>地面照度，还应根据展出内容</w:t>
      </w:r>
      <w:r>
        <w:rPr>
          <w:rFonts w:hint="eastAsia" w:ascii="宋体" w:hAnsi="宋体" w:cs="宋体"/>
          <w:color w:val="auto"/>
          <w:kern w:val="0"/>
          <w:sz w:val="18"/>
          <w:szCs w:val="18"/>
          <w:highlight w:val="none"/>
          <w:lang w:bidi="ar"/>
        </w:rPr>
        <w:t>检测</w:t>
      </w:r>
      <w:r>
        <w:rPr>
          <w:rFonts w:hint="eastAsia" w:ascii="宋体" w:hAnsi="宋体" w:eastAsia="宋体" w:cs="宋体"/>
          <w:color w:val="auto"/>
          <w:kern w:val="0"/>
          <w:sz w:val="18"/>
          <w:szCs w:val="18"/>
          <w:highlight w:val="none"/>
          <w:lang w:bidi="ar"/>
        </w:rPr>
        <w:t>展柜立面、展品和画面的垂直照度。</w:t>
      </w:r>
    </w:p>
    <w:p>
      <w:pPr>
        <w:ind w:firstLine="720" w:firstLineChars="400"/>
        <w:rPr>
          <w:color w:val="auto"/>
          <w:sz w:val="21"/>
          <w:szCs w:val="21"/>
          <w:highlight w:val="none"/>
        </w:rPr>
      </w:pPr>
      <w:r>
        <w:rPr>
          <w:rFonts w:hint="eastAsia" w:ascii="宋体" w:hAnsi="宋体" w:eastAsia="宋体" w:cs="宋体"/>
          <w:color w:val="auto"/>
          <w:kern w:val="0"/>
          <w:sz w:val="18"/>
          <w:szCs w:val="18"/>
          <w:highlight w:val="none"/>
          <w:lang w:bidi="ar"/>
        </w:rPr>
        <w:t>2</w:t>
      </w:r>
      <w:r>
        <w:rPr>
          <w:rFonts w:hint="eastAsia" w:ascii="宋体" w:hAnsi="宋体" w:eastAsia="宋体" w:cs="宋体"/>
          <w:color w:val="auto"/>
          <w:kern w:val="0"/>
          <w:sz w:val="18"/>
          <w:szCs w:val="18"/>
          <w:highlight w:val="none"/>
          <w:lang w:val="en-US" w:eastAsia="zh-CN" w:bidi="ar"/>
        </w:rPr>
        <w:t xml:space="preserve"> </w:t>
      </w:r>
      <w:r>
        <w:rPr>
          <w:rFonts w:hint="eastAsia" w:ascii="宋体" w:hAnsi="宋体" w:eastAsia="宋体" w:cs="宋体"/>
          <w:color w:val="auto"/>
          <w:kern w:val="0"/>
          <w:sz w:val="18"/>
          <w:szCs w:val="18"/>
          <w:highlight w:val="none"/>
          <w:lang w:bidi="ar"/>
        </w:rPr>
        <w:t>对于光敏感的展品还应</w:t>
      </w:r>
      <w:r>
        <w:rPr>
          <w:rFonts w:hint="eastAsia" w:ascii="宋体" w:hAnsi="宋体" w:cs="宋体"/>
          <w:color w:val="auto"/>
          <w:kern w:val="0"/>
          <w:sz w:val="18"/>
          <w:szCs w:val="18"/>
          <w:highlight w:val="none"/>
          <w:lang w:bidi="ar"/>
        </w:rPr>
        <w:t>检测</w:t>
      </w:r>
      <w:r>
        <w:rPr>
          <w:rFonts w:hint="eastAsia" w:ascii="宋体" w:hAnsi="宋体" w:eastAsia="宋体" w:cs="宋体"/>
          <w:color w:val="auto"/>
          <w:kern w:val="0"/>
          <w:sz w:val="18"/>
          <w:szCs w:val="18"/>
          <w:highlight w:val="none"/>
          <w:lang w:bidi="ar"/>
        </w:rPr>
        <w:t>展品处的紫外照度及紫外光、可见光照度比例。</w:t>
      </w:r>
    </w:p>
    <w:p>
      <w:pPr>
        <w:pStyle w:val="38"/>
        <w:rPr>
          <w:rFonts w:cs="Times New Roman"/>
          <w:color w:val="auto"/>
          <w:highlight w:val="none"/>
        </w:rPr>
      </w:pPr>
      <w:r>
        <w:rPr>
          <w:rFonts w:hint="eastAsia" w:cs="Times New Roman"/>
          <w:color w:val="auto"/>
          <w:highlight w:val="none"/>
          <w:lang w:eastAsia="zh-CN"/>
        </w:rPr>
        <w:t>表B.0.1-</w:t>
      </w:r>
      <w:r>
        <w:rPr>
          <w:rFonts w:hint="eastAsia" w:cs="Times New Roman"/>
          <w:color w:val="auto"/>
          <w:highlight w:val="none"/>
          <w:lang w:val="en-US" w:eastAsia="zh-CN"/>
        </w:rPr>
        <w:t xml:space="preserve">10  </w:t>
      </w:r>
      <w:r>
        <w:rPr>
          <w:rFonts w:hint="eastAsia" w:cs="Times New Roman"/>
          <w:color w:val="auto"/>
          <w:highlight w:val="none"/>
        </w:rPr>
        <w:t xml:space="preserve"> 交通建筑照明检测测点位置、高度及间距</w:t>
      </w:r>
    </w:p>
    <w:tbl>
      <w:tblPr>
        <w:tblStyle w:val="11"/>
        <w:tblW w:w="8976" w:type="dxa"/>
        <w:jc w:val="center"/>
        <w:tblLayout w:type="fixed"/>
        <w:tblCellMar>
          <w:top w:w="0" w:type="dxa"/>
          <w:left w:w="108" w:type="dxa"/>
          <w:bottom w:w="0" w:type="dxa"/>
          <w:right w:w="108" w:type="dxa"/>
        </w:tblCellMar>
      </w:tblPr>
      <w:tblGrid>
        <w:gridCol w:w="2244"/>
        <w:gridCol w:w="2244"/>
        <w:gridCol w:w="2244"/>
        <w:gridCol w:w="2244"/>
      </w:tblGrid>
      <w:tr>
        <w:tblPrEx>
          <w:tblCellMar>
            <w:top w:w="0" w:type="dxa"/>
            <w:left w:w="108" w:type="dxa"/>
            <w:bottom w:w="0" w:type="dxa"/>
            <w:right w:w="108" w:type="dxa"/>
          </w:tblCellMar>
        </w:tblPrEx>
        <w:trPr>
          <w:trHeight w:val="454" w:hRule="atLeast"/>
          <w:jc w:val="center"/>
        </w:trPr>
        <w:tc>
          <w:tcPr>
            <w:tcW w:w="448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房间或场所</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照度测点高度</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照度测点间距</w:t>
            </w:r>
          </w:p>
        </w:tc>
      </w:tr>
      <w:tr>
        <w:tblPrEx>
          <w:tblCellMar>
            <w:top w:w="0" w:type="dxa"/>
            <w:left w:w="108" w:type="dxa"/>
            <w:bottom w:w="0" w:type="dxa"/>
            <w:right w:w="108" w:type="dxa"/>
          </w:tblCellMar>
        </w:tblPrEx>
        <w:trPr>
          <w:trHeight w:val="454" w:hRule="atLeast"/>
          <w:jc w:val="center"/>
        </w:trPr>
        <w:tc>
          <w:tcPr>
            <w:tcW w:w="448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中央大厅、售票大厅、行李认领大厅、到达及出发大厅、候车（机、船）大厅、站台、通道、连接区</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地面</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5.0m×5.0m</w:t>
            </w:r>
          </w:p>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 xml:space="preserve">10.0m×10.0m      </w:t>
            </w:r>
          </w:p>
        </w:tc>
      </w:tr>
      <w:tr>
        <w:tblPrEx>
          <w:tblCellMar>
            <w:top w:w="0" w:type="dxa"/>
            <w:left w:w="108" w:type="dxa"/>
            <w:bottom w:w="0" w:type="dxa"/>
            <w:right w:w="108" w:type="dxa"/>
          </w:tblCellMar>
        </w:tblPrEx>
        <w:trPr>
          <w:trHeight w:val="454" w:hRule="atLeast"/>
          <w:jc w:val="center"/>
        </w:trPr>
        <w:tc>
          <w:tcPr>
            <w:tcW w:w="448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扶梯</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踏板（水平面）</w:t>
            </w:r>
          </w:p>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踢板（垂直面）</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中心线，间隔2.0m</w:t>
            </w:r>
          </w:p>
        </w:tc>
      </w:tr>
      <w:tr>
        <w:tblPrEx>
          <w:tblCellMar>
            <w:top w:w="0" w:type="dxa"/>
            <w:left w:w="108" w:type="dxa"/>
            <w:bottom w:w="0" w:type="dxa"/>
            <w:right w:w="108" w:type="dxa"/>
          </w:tblCellMar>
        </w:tblPrEx>
        <w:trPr>
          <w:trHeight w:val="454" w:hRule="atLeast"/>
          <w:jc w:val="center"/>
        </w:trPr>
        <w:tc>
          <w:tcPr>
            <w:tcW w:w="224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安全检查</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通道</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地面</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2.0m</w:t>
            </w:r>
          </w:p>
        </w:tc>
      </w:tr>
      <w:tr>
        <w:tblPrEx>
          <w:tblCellMar>
            <w:top w:w="0" w:type="dxa"/>
            <w:left w:w="108" w:type="dxa"/>
            <w:bottom w:w="0" w:type="dxa"/>
            <w:right w:w="108" w:type="dxa"/>
          </w:tblCellMar>
        </w:tblPrEx>
        <w:trPr>
          <w:trHeight w:val="454"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auto"/>
                <w:sz w:val="18"/>
                <w:szCs w:val="18"/>
                <w:highlight w:val="none"/>
              </w:rPr>
            </w:pP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护照检查</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工作面</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0.5m×0.5m</w:t>
            </w:r>
          </w:p>
        </w:tc>
      </w:tr>
      <w:tr>
        <w:tblPrEx>
          <w:tblCellMar>
            <w:top w:w="0" w:type="dxa"/>
            <w:left w:w="108" w:type="dxa"/>
            <w:bottom w:w="0" w:type="dxa"/>
            <w:right w:w="108" w:type="dxa"/>
          </w:tblCellMar>
        </w:tblPrEx>
        <w:trPr>
          <w:trHeight w:val="454" w:hRule="atLeast"/>
          <w:jc w:val="center"/>
        </w:trPr>
        <w:tc>
          <w:tcPr>
            <w:tcW w:w="448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问讯处、换票、行李托运</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0.75m水平面</w:t>
            </w:r>
          </w:p>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地面</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2.0m×2.0m</w:t>
            </w:r>
          </w:p>
        </w:tc>
      </w:tr>
      <w:tr>
        <w:tblPrEx>
          <w:tblCellMar>
            <w:top w:w="0" w:type="dxa"/>
            <w:left w:w="108" w:type="dxa"/>
            <w:bottom w:w="0" w:type="dxa"/>
            <w:right w:w="108" w:type="dxa"/>
          </w:tblCellMar>
        </w:tblPrEx>
        <w:trPr>
          <w:trHeight w:val="454" w:hRule="atLeast"/>
          <w:jc w:val="center"/>
        </w:trPr>
        <w:tc>
          <w:tcPr>
            <w:tcW w:w="448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售票台</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台面</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0.5m×0.5m</w:t>
            </w:r>
          </w:p>
        </w:tc>
      </w:tr>
    </w:tbl>
    <w:p>
      <w:pPr>
        <w:tabs>
          <w:tab w:val="left" w:pos="1218"/>
        </w:tabs>
        <w:rPr>
          <w:color w:val="auto"/>
          <w:sz w:val="21"/>
          <w:szCs w:val="21"/>
          <w:highlight w:val="none"/>
        </w:rPr>
      </w:pPr>
      <w:r>
        <w:rPr>
          <w:rFonts w:hint="eastAsia"/>
          <w:color w:val="auto"/>
          <w:sz w:val="21"/>
          <w:szCs w:val="21"/>
          <w:highlight w:val="none"/>
        </w:rPr>
        <w:tab/>
      </w:r>
    </w:p>
    <w:p>
      <w:pPr>
        <w:pStyle w:val="38"/>
        <w:rPr>
          <w:rFonts w:cs="Times New Roman"/>
          <w:color w:val="auto"/>
          <w:highlight w:val="none"/>
        </w:rPr>
      </w:pPr>
      <w:r>
        <w:rPr>
          <w:rFonts w:hint="eastAsia" w:cs="Times New Roman"/>
          <w:color w:val="auto"/>
          <w:highlight w:val="none"/>
          <w:lang w:eastAsia="zh-CN"/>
        </w:rPr>
        <w:t>表B.0.1-</w:t>
      </w:r>
      <w:r>
        <w:rPr>
          <w:rFonts w:hint="eastAsia" w:cs="Times New Roman"/>
          <w:color w:val="auto"/>
          <w:highlight w:val="none"/>
          <w:lang w:val="en-US" w:eastAsia="zh-CN"/>
        </w:rPr>
        <w:t xml:space="preserve">11  </w:t>
      </w:r>
      <w:r>
        <w:rPr>
          <w:rFonts w:hint="eastAsia" w:cs="Times New Roman"/>
          <w:color w:val="auto"/>
          <w:highlight w:val="none"/>
        </w:rPr>
        <w:t>工业建筑照明检测测点位置、高度及间距</w:t>
      </w:r>
    </w:p>
    <w:tbl>
      <w:tblPr>
        <w:tblStyle w:val="11"/>
        <w:tblW w:w="8976" w:type="dxa"/>
        <w:jc w:val="center"/>
        <w:tblLayout w:type="fixed"/>
        <w:tblCellMar>
          <w:top w:w="0" w:type="dxa"/>
          <w:left w:w="108" w:type="dxa"/>
          <w:bottom w:w="0" w:type="dxa"/>
          <w:right w:w="108" w:type="dxa"/>
        </w:tblCellMar>
      </w:tblPr>
      <w:tblGrid>
        <w:gridCol w:w="2244"/>
        <w:gridCol w:w="2244"/>
        <w:gridCol w:w="2244"/>
        <w:gridCol w:w="2244"/>
      </w:tblGrid>
      <w:tr>
        <w:tblPrEx>
          <w:tblCellMar>
            <w:top w:w="0" w:type="dxa"/>
            <w:left w:w="108" w:type="dxa"/>
            <w:bottom w:w="0" w:type="dxa"/>
            <w:right w:w="108" w:type="dxa"/>
          </w:tblCellMar>
        </w:tblPrEx>
        <w:trPr>
          <w:trHeight w:val="454" w:hRule="atLeast"/>
          <w:jc w:val="center"/>
        </w:trPr>
        <w:tc>
          <w:tcPr>
            <w:tcW w:w="448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房间或场所</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照度测点高度</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照度测点间距</w:t>
            </w:r>
          </w:p>
        </w:tc>
      </w:tr>
      <w:tr>
        <w:tblPrEx>
          <w:tblCellMar>
            <w:top w:w="0" w:type="dxa"/>
            <w:left w:w="108" w:type="dxa"/>
            <w:bottom w:w="0" w:type="dxa"/>
            <w:right w:w="108" w:type="dxa"/>
          </w:tblCellMar>
        </w:tblPrEx>
        <w:trPr>
          <w:trHeight w:val="454" w:hRule="atLeast"/>
          <w:jc w:val="center"/>
        </w:trPr>
        <w:tc>
          <w:tcPr>
            <w:tcW w:w="224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工业厂房</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局部照明</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工作面</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按工艺要求确定</w:t>
            </w:r>
          </w:p>
        </w:tc>
      </w:tr>
      <w:tr>
        <w:tblPrEx>
          <w:tblCellMar>
            <w:top w:w="0" w:type="dxa"/>
            <w:left w:w="108" w:type="dxa"/>
            <w:bottom w:w="0" w:type="dxa"/>
            <w:right w:w="108" w:type="dxa"/>
          </w:tblCellMar>
        </w:tblPrEx>
        <w:trPr>
          <w:trHeight w:val="454"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auto"/>
                <w:sz w:val="18"/>
                <w:szCs w:val="18"/>
                <w:highlight w:val="none"/>
              </w:rPr>
            </w:pP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一般照明</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地面</w:t>
            </w:r>
          </w:p>
        </w:tc>
        <w:tc>
          <w:tcPr>
            <w:tcW w:w="224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2.0m×2.0m</w:t>
            </w:r>
          </w:p>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5.0m×5.0m</w:t>
            </w:r>
          </w:p>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10.0m×10.0m</w:t>
            </w:r>
          </w:p>
        </w:tc>
      </w:tr>
      <w:tr>
        <w:tblPrEx>
          <w:tblCellMar>
            <w:top w:w="0" w:type="dxa"/>
            <w:left w:w="108" w:type="dxa"/>
            <w:bottom w:w="0" w:type="dxa"/>
            <w:right w:w="108" w:type="dxa"/>
          </w:tblCellMar>
        </w:tblPrEx>
        <w:trPr>
          <w:trHeight w:val="454" w:hRule="atLeast"/>
          <w:jc w:val="center"/>
        </w:trPr>
        <w:tc>
          <w:tcPr>
            <w:tcW w:w="448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通道、连接区、动力站、加油站</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地面</w:t>
            </w:r>
          </w:p>
        </w:tc>
        <w:tc>
          <w:tcPr>
            <w:tcW w:w="224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auto"/>
                <w:sz w:val="18"/>
                <w:szCs w:val="18"/>
                <w:highlight w:val="none"/>
              </w:rPr>
            </w:pPr>
          </w:p>
        </w:tc>
      </w:tr>
      <w:tr>
        <w:tblPrEx>
          <w:tblCellMar>
            <w:top w:w="0" w:type="dxa"/>
            <w:left w:w="108" w:type="dxa"/>
            <w:bottom w:w="0" w:type="dxa"/>
            <w:right w:w="108" w:type="dxa"/>
          </w:tblCellMar>
        </w:tblPrEx>
        <w:trPr>
          <w:trHeight w:val="454" w:hRule="atLeast"/>
          <w:jc w:val="center"/>
        </w:trPr>
        <w:tc>
          <w:tcPr>
            <w:tcW w:w="224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控制室、配电装置室</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控制柜           仪表盘</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柜面、盘面的里面</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0.5m×0.5m</w:t>
            </w:r>
          </w:p>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 xml:space="preserve">2.0m×2.0m      </w:t>
            </w:r>
          </w:p>
        </w:tc>
      </w:tr>
      <w:tr>
        <w:tblPrEx>
          <w:tblCellMar>
            <w:top w:w="0" w:type="dxa"/>
            <w:left w:w="108" w:type="dxa"/>
            <w:bottom w:w="0" w:type="dxa"/>
            <w:right w:w="108" w:type="dxa"/>
          </w:tblCellMar>
        </w:tblPrEx>
        <w:trPr>
          <w:trHeight w:val="454" w:hRule="atLeast"/>
          <w:jc w:val="center"/>
        </w:trPr>
        <w:tc>
          <w:tcPr>
            <w:tcW w:w="224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auto"/>
                <w:sz w:val="18"/>
                <w:szCs w:val="18"/>
                <w:highlight w:val="none"/>
              </w:rPr>
            </w:pP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一般照明</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0.75m水平面</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2.0m×2.0m</w:t>
            </w:r>
          </w:p>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 xml:space="preserve">4.0m×4.0m      </w:t>
            </w:r>
          </w:p>
        </w:tc>
      </w:tr>
      <w:tr>
        <w:tblPrEx>
          <w:tblCellMar>
            <w:top w:w="0" w:type="dxa"/>
            <w:left w:w="108" w:type="dxa"/>
            <w:bottom w:w="0" w:type="dxa"/>
            <w:right w:w="108" w:type="dxa"/>
          </w:tblCellMar>
        </w:tblPrEx>
        <w:trPr>
          <w:trHeight w:val="454" w:hRule="atLeast"/>
          <w:jc w:val="center"/>
        </w:trPr>
        <w:tc>
          <w:tcPr>
            <w:tcW w:w="448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试验室、检验室、计量室、电话站、网络中心、计算站</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0.75m水平面</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2.0m×2.0m</w:t>
            </w:r>
          </w:p>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 xml:space="preserve">4.0m×4.0m      </w:t>
            </w:r>
          </w:p>
        </w:tc>
      </w:tr>
      <w:tr>
        <w:tblPrEx>
          <w:tblCellMar>
            <w:top w:w="0" w:type="dxa"/>
            <w:left w:w="108" w:type="dxa"/>
            <w:bottom w:w="0" w:type="dxa"/>
            <w:right w:w="108" w:type="dxa"/>
          </w:tblCellMar>
        </w:tblPrEx>
        <w:trPr>
          <w:trHeight w:val="454" w:hRule="atLeast"/>
          <w:jc w:val="center"/>
        </w:trPr>
        <w:tc>
          <w:tcPr>
            <w:tcW w:w="448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仓库</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1.00m水平面</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5.0m×5.0m</w:t>
            </w:r>
          </w:p>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 xml:space="preserve">10.0m×10.0m      </w:t>
            </w:r>
          </w:p>
        </w:tc>
      </w:tr>
      <w:tr>
        <w:tblPrEx>
          <w:tblCellMar>
            <w:top w:w="0" w:type="dxa"/>
            <w:left w:w="108" w:type="dxa"/>
            <w:bottom w:w="0" w:type="dxa"/>
            <w:right w:w="108" w:type="dxa"/>
          </w:tblCellMar>
        </w:tblPrEx>
        <w:trPr>
          <w:trHeight w:val="454" w:hRule="atLeast"/>
          <w:jc w:val="center"/>
        </w:trPr>
        <w:tc>
          <w:tcPr>
            <w:tcW w:w="448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热处理、铸造、精密铸造的制模脱壳、锻工</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地面～0.50m水平面</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5.0m×5.0m</w:t>
            </w:r>
          </w:p>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 xml:space="preserve">10.0m×10.0m      </w:t>
            </w:r>
          </w:p>
        </w:tc>
      </w:tr>
    </w:tbl>
    <w:p>
      <w:pPr>
        <w:rPr>
          <w:color w:val="auto"/>
          <w:sz w:val="21"/>
          <w:szCs w:val="21"/>
          <w:highlight w:val="none"/>
        </w:rPr>
      </w:pPr>
    </w:p>
    <w:p>
      <w:pPr>
        <w:pStyle w:val="38"/>
        <w:rPr>
          <w:rFonts w:hint="eastAsia" w:cs="Times New Roman"/>
          <w:color w:val="auto"/>
          <w:highlight w:val="none"/>
        </w:rPr>
      </w:pPr>
    </w:p>
    <w:p>
      <w:pPr>
        <w:pStyle w:val="38"/>
        <w:rPr>
          <w:rFonts w:hint="eastAsia" w:cs="Times New Roman"/>
          <w:color w:val="auto"/>
          <w:highlight w:val="none"/>
        </w:rPr>
      </w:pPr>
    </w:p>
    <w:p>
      <w:pPr>
        <w:pStyle w:val="38"/>
        <w:rPr>
          <w:rFonts w:hint="eastAsia" w:cs="Times New Roman"/>
          <w:color w:val="auto"/>
          <w:highlight w:val="none"/>
        </w:rPr>
      </w:pPr>
    </w:p>
    <w:p>
      <w:pPr>
        <w:pStyle w:val="38"/>
        <w:rPr>
          <w:rFonts w:cs="Times New Roman"/>
          <w:color w:val="auto"/>
          <w:highlight w:val="none"/>
        </w:rPr>
      </w:pPr>
      <w:r>
        <w:rPr>
          <w:rFonts w:hint="eastAsia" w:cs="Times New Roman"/>
          <w:color w:val="auto"/>
          <w:highlight w:val="none"/>
          <w:lang w:eastAsia="zh-CN"/>
        </w:rPr>
        <w:t>表B.0.1-</w:t>
      </w:r>
      <w:r>
        <w:rPr>
          <w:rFonts w:hint="eastAsia" w:cs="Times New Roman"/>
          <w:color w:val="auto"/>
          <w:highlight w:val="none"/>
          <w:lang w:val="en-US" w:eastAsia="zh-CN"/>
        </w:rPr>
        <w:t xml:space="preserve">12  </w:t>
      </w:r>
      <w:r>
        <w:rPr>
          <w:rFonts w:hint="eastAsia" w:cs="Times New Roman"/>
          <w:color w:val="auto"/>
          <w:highlight w:val="none"/>
        </w:rPr>
        <w:t>公用区照明检测测点位置、高度及间距</w:t>
      </w:r>
    </w:p>
    <w:tbl>
      <w:tblPr>
        <w:tblStyle w:val="11"/>
        <w:tblW w:w="8892" w:type="dxa"/>
        <w:jc w:val="center"/>
        <w:tblLayout w:type="fixed"/>
        <w:tblCellMar>
          <w:top w:w="0" w:type="dxa"/>
          <w:left w:w="108" w:type="dxa"/>
          <w:bottom w:w="0" w:type="dxa"/>
          <w:right w:w="108" w:type="dxa"/>
        </w:tblCellMar>
      </w:tblPr>
      <w:tblGrid>
        <w:gridCol w:w="2964"/>
        <w:gridCol w:w="2964"/>
        <w:gridCol w:w="2964"/>
      </w:tblGrid>
      <w:tr>
        <w:tblPrEx>
          <w:tblCellMar>
            <w:top w:w="0" w:type="dxa"/>
            <w:left w:w="108" w:type="dxa"/>
            <w:bottom w:w="0" w:type="dxa"/>
            <w:right w:w="108" w:type="dxa"/>
          </w:tblCellMar>
        </w:tblPrEx>
        <w:trPr>
          <w:trHeight w:val="454" w:hRule="atLeast"/>
          <w:tblHeader/>
          <w:jc w:val="center"/>
        </w:trPr>
        <w:tc>
          <w:tcPr>
            <w:tcW w:w="2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房间或场所</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照度测点高度</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照度测点间距</w:t>
            </w:r>
          </w:p>
        </w:tc>
      </w:tr>
      <w:tr>
        <w:tblPrEx>
          <w:tblCellMar>
            <w:top w:w="0" w:type="dxa"/>
            <w:left w:w="108" w:type="dxa"/>
            <w:bottom w:w="0" w:type="dxa"/>
            <w:right w:w="108" w:type="dxa"/>
          </w:tblCellMar>
        </w:tblPrEx>
        <w:trPr>
          <w:trHeight w:val="454" w:hRule="atLeast"/>
          <w:jc w:val="center"/>
        </w:trPr>
        <w:tc>
          <w:tcPr>
            <w:tcW w:w="2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门厅、流动区域</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地面</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2.0m×2.0m</w:t>
            </w:r>
          </w:p>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5.0m×5.0m</w:t>
            </w:r>
          </w:p>
        </w:tc>
      </w:tr>
      <w:tr>
        <w:tblPrEx>
          <w:tblCellMar>
            <w:top w:w="0" w:type="dxa"/>
            <w:left w:w="108" w:type="dxa"/>
            <w:bottom w:w="0" w:type="dxa"/>
            <w:right w:w="108" w:type="dxa"/>
          </w:tblCellMar>
        </w:tblPrEx>
        <w:trPr>
          <w:trHeight w:val="454" w:hRule="atLeast"/>
          <w:jc w:val="center"/>
        </w:trPr>
        <w:tc>
          <w:tcPr>
            <w:tcW w:w="2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走廊、楼梯、自动扶梯</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地面</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中心线，间隔2.0m～4.0m</w:t>
            </w:r>
          </w:p>
        </w:tc>
      </w:tr>
      <w:tr>
        <w:tblPrEx>
          <w:tblCellMar>
            <w:top w:w="0" w:type="dxa"/>
            <w:left w:w="108" w:type="dxa"/>
            <w:bottom w:w="0" w:type="dxa"/>
            <w:right w:w="108" w:type="dxa"/>
          </w:tblCellMar>
        </w:tblPrEx>
        <w:trPr>
          <w:trHeight w:val="454" w:hRule="atLeast"/>
          <w:jc w:val="center"/>
        </w:trPr>
        <w:tc>
          <w:tcPr>
            <w:tcW w:w="2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休息室、洗漱室、卫生间、浴室</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地面</w:t>
            </w:r>
          </w:p>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0.75m台面</w:t>
            </w:r>
          </w:p>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1.5m镜前（垂直）</w:t>
            </w:r>
          </w:p>
        </w:tc>
        <w:tc>
          <w:tcPr>
            <w:tcW w:w="296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1.0m×1.0m</w:t>
            </w:r>
          </w:p>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2.0m×2.0m</w:t>
            </w:r>
          </w:p>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4.0m×4.0m</w:t>
            </w:r>
          </w:p>
        </w:tc>
      </w:tr>
      <w:tr>
        <w:tblPrEx>
          <w:tblCellMar>
            <w:top w:w="0" w:type="dxa"/>
            <w:left w:w="108" w:type="dxa"/>
            <w:bottom w:w="0" w:type="dxa"/>
            <w:right w:w="108" w:type="dxa"/>
          </w:tblCellMar>
        </w:tblPrEx>
        <w:trPr>
          <w:trHeight w:val="454" w:hRule="atLeast"/>
          <w:jc w:val="center"/>
        </w:trPr>
        <w:tc>
          <w:tcPr>
            <w:tcW w:w="2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电梯前厅、储藏室</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地面</w:t>
            </w:r>
          </w:p>
        </w:tc>
        <w:tc>
          <w:tcPr>
            <w:tcW w:w="296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auto"/>
                <w:sz w:val="18"/>
                <w:szCs w:val="18"/>
                <w:highlight w:val="none"/>
              </w:rPr>
            </w:pPr>
          </w:p>
        </w:tc>
      </w:tr>
      <w:tr>
        <w:tblPrEx>
          <w:tblCellMar>
            <w:top w:w="0" w:type="dxa"/>
            <w:left w:w="108" w:type="dxa"/>
            <w:bottom w:w="0" w:type="dxa"/>
            <w:right w:w="108" w:type="dxa"/>
          </w:tblCellMar>
        </w:tblPrEx>
        <w:trPr>
          <w:trHeight w:val="454" w:hRule="atLeast"/>
          <w:jc w:val="center"/>
        </w:trPr>
        <w:tc>
          <w:tcPr>
            <w:tcW w:w="2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车库、仓库</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地面</w:t>
            </w:r>
          </w:p>
        </w:tc>
        <w:tc>
          <w:tcPr>
            <w:tcW w:w="2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2.0m×2.0m</w:t>
            </w:r>
          </w:p>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4.0m×4.0m</w:t>
            </w:r>
          </w:p>
        </w:tc>
      </w:tr>
    </w:tbl>
    <w:p>
      <w:pPr>
        <w:rPr>
          <w:color w:val="auto"/>
          <w:sz w:val="21"/>
          <w:szCs w:val="21"/>
          <w:highlight w:val="none"/>
        </w:rPr>
      </w:pPr>
    </w:p>
    <w:p>
      <w:pPr>
        <w:pStyle w:val="38"/>
        <w:rPr>
          <w:rFonts w:hint="eastAsia" w:cs="Times New Roman"/>
          <w:color w:val="auto"/>
          <w:highlight w:val="none"/>
        </w:rPr>
      </w:pPr>
      <w:r>
        <w:rPr>
          <w:rFonts w:hint="eastAsia" w:cs="Times New Roman"/>
          <w:color w:val="auto"/>
          <w:highlight w:val="none"/>
          <w:lang w:eastAsia="zh-CN"/>
        </w:rPr>
        <w:t>表B.0.1-</w:t>
      </w:r>
      <w:r>
        <w:rPr>
          <w:rFonts w:hint="eastAsia" w:cs="Times New Roman"/>
          <w:color w:val="auto"/>
          <w:highlight w:val="none"/>
          <w:lang w:val="en-US" w:eastAsia="zh-CN"/>
        </w:rPr>
        <w:t>13  体育场馆</w:t>
      </w:r>
      <w:r>
        <w:rPr>
          <w:rFonts w:hint="eastAsia" w:cs="Times New Roman"/>
          <w:color w:val="auto"/>
          <w:highlight w:val="none"/>
        </w:rPr>
        <w:t>照度计算</w:t>
      </w:r>
      <w:r>
        <w:rPr>
          <w:rFonts w:hint="eastAsia" w:cs="Times New Roman"/>
          <w:color w:val="auto"/>
          <w:highlight w:val="none"/>
          <w:lang w:val="en-US" w:eastAsia="zh-CN"/>
        </w:rPr>
        <w:t>网格</w:t>
      </w:r>
      <w:r>
        <w:rPr>
          <w:rFonts w:hint="eastAsia" w:cs="Times New Roman"/>
          <w:color w:val="auto"/>
          <w:highlight w:val="none"/>
        </w:rPr>
        <w:t>和检测网格及摄像机位置</w:t>
      </w:r>
    </w:p>
    <w:tbl>
      <w:tblPr>
        <w:tblStyle w:val="12"/>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1710"/>
        <w:gridCol w:w="1110"/>
        <w:gridCol w:w="1180"/>
        <w:gridCol w:w="750"/>
        <w:gridCol w:w="6"/>
        <w:gridCol w:w="794"/>
        <w:gridCol w:w="3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0" w:type="dxa"/>
            <w:vMerge w:val="restart"/>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运动项目</w:t>
            </w:r>
          </w:p>
        </w:tc>
        <w:tc>
          <w:tcPr>
            <w:tcW w:w="1710" w:type="dxa"/>
            <w:vMerge w:val="restart"/>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场地尺寸（m×m）</w:t>
            </w:r>
          </w:p>
        </w:tc>
        <w:tc>
          <w:tcPr>
            <w:tcW w:w="1110" w:type="dxa"/>
            <w:vMerge w:val="restart"/>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照度计算网格（m×m）</w:t>
            </w:r>
          </w:p>
        </w:tc>
        <w:tc>
          <w:tcPr>
            <w:tcW w:w="1180" w:type="dxa"/>
            <w:vMerge w:val="restart"/>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照度</w:t>
            </w:r>
            <w:r>
              <w:rPr>
                <w:rFonts w:hint="eastAsia" w:ascii="宋体" w:hAnsi="宋体" w:cs="宋体"/>
                <w:color w:val="auto"/>
                <w:kern w:val="0"/>
                <w:sz w:val="18"/>
                <w:szCs w:val="18"/>
                <w:highlight w:val="none"/>
                <w:lang w:bidi="ar"/>
              </w:rPr>
              <w:t>检测</w:t>
            </w:r>
            <w:r>
              <w:rPr>
                <w:rFonts w:hint="eastAsia" w:ascii="宋体" w:hAnsi="宋体" w:eastAsia="宋体" w:cs="宋体"/>
                <w:color w:val="auto"/>
                <w:kern w:val="0"/>
                <w:sz w:val="18"/>
                <w:szCs w:val="18"/>
                <w:highlight w:val="none"/>
                <w:lang w:bidi="ar"/>
              </w:rPr>
              <w:t>网格（m×m）</w:t>
            </w:r>
          </w:p>
        </w:tc>
        <w:tc>
          <w:tcPr>
            <w:tcW w:w="1550" w:type="dxa"/>
            <w:gridSpan w:val="3"/>
            <w:vAlign w:val="center"/>
          </w:tcPr>
          <w:p>
            <w:pPr>
              <w:widowControl/>
              <w:jc w:val="center"/>
              <w:textAlignment w:val="center"/>
              <w:rPr>
                <w:rFonts w:hint="eastAsia" w:cs="Times New Roman"/>
                <w:color w:val="auto"/>
                <w:highlight w:val="none"/>
                <w:vertAlign w:val="baseline"/>
              </w:rPr>
            </w:pPr>
            <w:r>
              <w:rPr>
                <w:rFonts w:hint="eastAsia" w:ascii="宋体" w:hAnsi="宋体" w:eastAsia="宋体" w:cs="宋体"/>
                <w:color w:val="auto"/>
                <w:kern w:val="0"/>
                <w:sz w:val="18"/>
                <w:szCs w:val="18"/>
                <w:highlight w:val="none"/>
                <w:lang w:bidi="ar"/>
              </w:rPr>
              <w:t>参考高度</w:t>
            </w:r>
          </w:p>
        </w:tc>
        <w:tc>
          <w:tcPr>
            <w:tcW w:w="3080" w:type="dxa"/>
            <w:vMerge w:val="restart"/>
            <w:vAlign w:val="center"/>
          </w:tcPr>
          <w:p>
            <w:pPr>
              <w:pStyle w:val="38"/>
              <w:jc w:val="center"/>
              <w:rPr>
                <w:rFonts w:hint="eastAsia" w:cs="Times New Roman"/>
                <w:color w:val="auto"/>
                <w:highlight w:val="none"/>
                <w:vertAlign w:val="baseline"/>
              </w:rPr>
            </w:pPr>
            <w:r>
              <w:rPr>
                <w:rFonts w:hint="eastAsia" w:ascii="宋体" w:hAnsi="宋体" w:eastAsia="宋体" w:cs="宋体"/>
                <w:color w:val="auto"/>
                <w:kern w:val="0"/>
                <w:sz w:val="18"/>
                <w:szCs w:val="18"/>
                <w:highlight w:val="none"/>
                <w:lang w:bidi="ar"/>
              </w:rPr>
              <w:t>摄像机典型位置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0" w:type="dxa"/>
            <w:vMerge w:val="continue"/>
          </w:tcPr>
          <w:p>
            <w:pPr>
              <w:pStyle w:val="38"/>
              <w:rPr>
                <w:rFonts w:hint="eastAsia" w:cs="Times New Roman"/>
                <w:color w:val="auto"/>
                <w:highlight w:val="none"/>
                <w:vertAlign w:val="baseline"/>
              </w:rPr>
            </w:pPr>
          </w:p>
        </w:tc>
        <w:tc>
          <w:tcPr>
            <w:tcW w:w="1710" w:type="dxa"/>
            <w:vMerge w:val="continue"/>
          </w:tcPr>
          <w:p>
            <w:pPr>
              <w:pStyle w:val="38"/>
              <w:rPr>
                <w:rFonts w:hint="eastAsia" w:cs="Times New Roman"/>
                <w:color w:val="auto"/>
                <w:highlight w:val="none"/>
                <w:vertAlign w:val="baseline"/>
              </w:rPr>
            </w:pPr>
          </w:p>
        </w:tc>
        <w:tc>
          <w:tcPr>
            <w:tcW w:w="1110" w:type="dxa"/>
            <w:vMerge w:val="continue"/>
          </w:tcPr>
          <w:p>
            <w:pPr>
              <w:pStyle w:val="38"/>
              <w:rPr>
                <w:rFonts w:hint="eastAsia" w:cs="Times New Roman"/>
                <w:color w:val="auto"/>
                <w:highlight w:val="none"/>
                <w:vertAlign w:val="baseline"/>
              </w:rPr>
            </w:pPr>
          </w:p>
        </w:tc>
        <w:tc>
          <w:tcPr>
            <w:tcW w:w="1180" w:type="dxa"/>
            <w:vMerge w:val="continue"/>
          </w:tcPr>
          <w:p>
            <w:pPr>
              <w:pStyle w:val="38"/>
              <w:rPr>
                <w:rFonts w:hint="eastAsia" w:cs="Times New Roman"/>
                <w:color w:val="auto"/>
                <w:highlight w:val="none"/>
                <w:vertAlign w:val="baseline"/>
              </w:rPr>
            </w:pPr>
          </w:p>
        </w:tc>
        <w:tc>
          <w:tcPr>
            <w:tcW w:w="756" w:type="dxa"/>
            <w:gridSpan w:val="2"/>
            <w:vAlign w:val="center"/>
          </w:tcPr>
          <w:p>
            <w:pPr>
              <w:widowControl/>
              <w:jc w:val="center"/>
              <w:textAlignment w:val="center"/>
              <w:rPr>
                <w:rFonts w:hint="eastAsia" w:cs="Times New Roman"/>
                <w:color w:val="auto"/>
                <w:highlight w:val="none"/>
                <w:vertAlign w:val="baseline"/>
              </w:rPr>
            </w:pPr>
            <w:r>
              <w:rPr>
                <w:rFonts w:hint="eastAsia" w:ascii="宋体" w:hAnsi="宋体" w:eastAsia="宋体" w:cs="宋体"/>
                <w:color w:val="auto"/>
                <w:kern w:val="0"/>
                <w:sz w:val="18"/>
                <w:szCs w:val="18"/>
                <w:highlight w:val="none"/>
                <w:lang w:bidi="ar"/>
              </w:rPr>
              <w:t>水平</w:t>
            </w:r>
          </w:p>
        </w:tc>
        <w:tc>
          <w:tcPr>
            <w:tcW w:w="794" w:type="dxa"/>
            <w:vAlign w:val="center"/>
          </w:tcPr>
          <w:p>
            <w:pPr>
              <w:widowControl/>
              <w:jc w:val="center"/>
              <w:textAlignment w:val="center"/>
              <w:rPr>
                <w:rFonts w:hint="eastAsia" w:cs="Times New Roman"/>
                <w:color w:val="auto"/>
                <w:highlight w:val="none"/>
                <w:vertAlign w:val="baseline"/>
              </w:rPr>
            </w:pPr>
            <w:r>
              <w:rPr>
                <w:rFonts w:hint="eastAsia" w:ascii="宋体" w:hAnsi="宋体" w:eastAsia="宋体" w:cs="宋体"/>
                <w:color w:val="auto"/>
                <w:kern w:val="0"/>
                <w:sz w:val="18"/>
                <w:szCs w:val="18"/>
                <w:highlight w:val="none"/>
                <w:lang w:bidi="ar"/>
              </w:rPr>
              <w:t>垂直</w:t>
            </w:r>
          </w:p>
        </w:tc>
        <w:tc>
          <w:tcPr>
            <w:tcW w:w="3080" w:type="dxa"/>
            <w:vMerge w:val="continue"/>
          </w:tcPr>
          <w:p>
            <w:pPr>
              <w:pStyle w:val="38"/>
              <w:rPr>
                <w:rFonts w:hint="eastAsia" w:cs="Times New Roman"/>
                <w:color w:val="auto"/>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篮球</w:t>
            </w:r>
          </w:p>
        </w:tc>
        <w:tc>
          <w:tcPr>
            <w:tcW w:w="171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28×15</w:t>
            </w:r>
          </w:p>
        </w:tc>
        <w:tc>
          <w:tcPr>
            <w:tcW w:w="111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1×1</w:t>
            </w:r>
          </w:p>
        </w:tc>
        <w:tc>
          <w:tcPr>
            <w:tcW w:w="118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2×2</w:t>
            </w:r>
          </w:p>
        </w:tc>
        <w:tc>
          <w:tcPr>
            <w:tcW w:w="75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1.0</w:t>
            </w:r>
          </w:p>
        </w:tc>
        <w:tc>
          <w:tcPr>
            <w:tcW w:w="800" w:type="dxa"/>
            <w:gridSpan w:val="2"/>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1.5</w:t>
            </w:r>
          </w:p>
        </w:tc>
        <w:tc>
          <w:tcPr>
            <w:tcW w:w="3080" w:type="dxa"/>
            <w:shd w:val="clear" w:color="auto" w:fill="auto"/>
            <w:vAlign w:val="center"/>
          </w:tcPr>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主摄像机设置在赛场两侧看台上；</w:t>
            </w:r>
          </w:p>
          <w:p>
            <w:pPr>
              <w:widowControl/>
              <w:jc w:val="left"/>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辅摄像机用作篮区动作特写，放在赛场两端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排球</w:t>
            </w:r>
          </w:p>
        </w:tc>
        <w:tc>
          <w:tcPr>
            <w:tcW w:w="171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18×9</w:t>
            </w:r>
          </w:p>
        </w:tc>
        <w:tc>
          <w:tcPr>
            <w:tcW w:w="111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1×1</w:t>
            </w:r>
          </w:p>
        </w:tc>
        <w:tc>
          <w:tcPr>
            <w:tcW w:w="118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2×2</w:t>
            </w:r>
          </w:p>
        </w:tc>
        <w:tc>
          <w:tcPr>
            <w:tcW w:w="75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1.0</w:t>
            </w:r>
          </w:p>
        </w:tc>
        <w:tc>
          <w:tcPr>
            <w:tcW w:w="800" w:type="dxa"/>
            <w:gridSpan w:val="2"/>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1.5</w:t>
            </w:r>
          </w:p>
        </w:tc>
        <w:tc>
          <w:tcPr>
            <w:tcW w:w="3080" w:type="dxa"/>
            <w:shd w:val="clear" w:color="auto" w:fill="auto"/>
            <w:vAlign w:val="center"/>
          </w:tcPr>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主摄像机位于赛场中心线延长线的看台上；</w:t>
            </w:r>
          </w:p>
          <w:p>
            <w:pPr>
              <w:widowControl/>
              <w:jc w:val="left"/>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辅摄像机设置在赛场两端的看台上，在地面上靠近端线，用于发球特写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手球</w:t>
            </w:r>
          </w:p>
        </w:tc>
        <w:tc>
          <w:tcPr>
            <w:tcW w:w="171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40×20</w:t>
            </w:r>
          </w:p>
        </w:tc>
        <w:tc>
          <w:tcPr>
            <w:tcW w:w="111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2×2</w:t>
            </w:r>
          </w:p>
        </w:tc>
        <w:tc>
          <w:tcPr>
            <w:tcW w:w="118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4×4</w:t>
            </w:r>
          </w:p>
        </w:tc>
        <w:tc>
          <w:tcPr>
            <w:tcW w:w="75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1.0</w:t>
            </w:r>
          </w:p>
        </w:tc>
        <w:tc>
          <w:tcPr>
            <w:tcW w:w="800" w:type="dxa"/>
            <w:gridSpan w:val="2"/>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1.5</w:t>
            </w:r>
          </w:p>
        </w:tc>
        <w:tc>
          <w:tcPr>
            <w:tcW w:w="3080" w:type="dxa"/>
            <w:shd w:val="clear" w:color="auto" w:fill="auto"/>
            <w:vAlign w:val="center"/>
          </w:tcPr>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主摄像机设置在赛场两侧看台上；</w:t>
            </w:r>
          </w:p>
          <w:p>
            <w:pPr>
              <w:widowControl/>
              <w:jc w:val="left"/>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辅摄像机设置在赛场两端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室内足球</w:t>
            </w:r>
          </w:p>
        </w:tc>
        <w:tc>
          <w:tcPr>
            <w:tcW w:w="171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（38～42）×（18～22）</w:t>
            </w:r>
          </w:p>
        </w:tc>
        <w:tc>
          <w:tcPr>
            <w:tcW w:w="111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2×2</w:t>
            </w:r>
          </w:p>
        </w:tc>
        <w:tc>
          <w:tcPr>
            <w:tcW w:w="118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4×4</w:t>
            </w:r>
          </w:p>
        </w:tc>
        <w:tc>
          <w:tcPr>
            <w:tcW w:w="75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1.0</w:t>
            </w:r>
          </w:p>
        </w:tc>
        <w:tc>
          <w:tcPr>
            <w:tcW w:w="800" w:type="dxa"/>
            <w:gridSpan w:val="2"/>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1.5</w:t>
            </w:r>
          </w:p>
        </w:tc>
        <w:tc>
          <w:tcPr>
            <w:tcW w:w="3080" w:type="dxa"/>
            <w:shd w:val="clear" w:color="auto" w:fill="auto"/>
            <w:vAlign w:val="center"/>
          </w:tcPr>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主摄像机设置在赛场两侧着台上；</w:t>
            </w:r>
          </w:p>
          <w:p>
            <w:pPr>
              <w:widowControl/>
              <w:jc w:val="left"/>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辅摄像机设置在球门边线，端线的后面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羽毛球</w:t>
            </w:r>
          </w:p>
        </w:tc>
        <w:tc>
          <w:tcPr>
            <w:tcW w:w="1710" w:type="dxa"/>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PA：13.4×6.1</w:t>
            </w:r>
          </w:p>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TA：19.4×10.1</w:t>
            </w:r>
          </w:p>
        </w:tc>
        <w:tc>
          <w:tcPr>
            <w:tcW w:w="111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1×1</w:t>
            </w:r>
          </w:p>
        </w:tc>
        <w:tc>
          <w:tcPr>
            <w:tcW w:w="118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2×2</w:t>
            </w:r>
          </w:p>
        </w:tc>
        <w:tc>
          <w:tcPr>
            <w:tcW w:w="75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1.0</w:t>
            </w:r>
          </w:p>
        </w:tc>
        <w:tc>
          <w:tcPr>
            <w:tcW w:w="800" w:type="dxa"/>
            <w:gridSpan w:val="2"/>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1.5</w:t>
            </w:r>
          </w:p>
        </w:tc>
        <w:tc>
          <w:tcPr>
            <w:tcW w:w="3080" w:type="dxa"/>
            <w:shd w:val="clear" w:color="auto" w:fill="auto"/>
            <w:vAlign w:val="center"/>
          </w:tcPr>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主摄像机设置在赛场两端；</w:t>
            </w:r>
          </w:p>
          <w:p>
            <w:pPr>
              <w:widowControl/>
              <w:jc w:val="left"/>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辅摄像机设置在球网处、服务位置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乒乓球</w:t>
            </w:r>
          </w:p>
        </w:tc>
        <w:tc>
          <w:tcPr>
            <w:tcW w:w="171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台面:1.525×2.72</w:t>
            </w:r>
          </w:p>
        </w:tc>
        <w:tc>
          <w:tcPr>
            <w:tcW w:w="111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1×1</w:t>
            </w:r>
          </w:p>
        </w:tc>
        <w:tc>
          <w:tcPr>
            <w:tcW w:w="118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1×1</w:t>
            </w:r>
          </w:p>
        </w:tc>
        <w:tc>
          <w:tcPr>
            <w:tcW w:w="75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台面</w:t>
            </w:r>
          </w:p>
        </w:tc>
        <w:tc>
          <w:tcPr>
            <w:tcW w:w="800" w:type="dxa"/>
            <w:gridSpan w:val="2"/>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1.5</w:t>
            </w:r>
          </w:p>
        </w:tc>
        <w:tc>
          <w:tcPr>
            <w:tcW w:w="3080" w:type="dxa"/>
            <w:shd w:val="clear" w:color="auto" w:fill="auto"/>
            <w:vAlign w:val="center"/>
          </w:tcPr>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主摄像机设置在看台高处和地面上每个比赛区的角区；</w:t>
            </w:r>
          </w:p>
          <w:p>
            <w:pPr>
              <w:widowControl/>
              <w:jc w:val="left"/>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辅摄像机设置在记分牌区域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体操</w:t>
            </w:r>
          </w:p>
        </w:tc>
        <w:tc>
          <w:tcPr>
            <w:tcW w:w="171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52×26</w:t>
            </w:r>
          </w:p>
        </w:tc>
        <w:tc>
          <w:tcPr>
            <w:tcW w:w="111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2×2</w:t>
            </w:r>
          </w:p>
        </w:tc>
        <w:tc>
          <w:tcPr>
            <w:tcW w:w="118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4×4</w:t>
            </w:r>
          </w:p>
        </w:tc>
        <w:tc>
          <w:tcPr>
            <w:tcW w:w="75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1.0</w:t>
            </w:r>
          </w:p>
        </w:tc>
        <w:tc>
          <w:tcPr>
            <w:tcW w:w="800" w:type="dxa"/>
            <w:gridSpan w:val="2"/>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1.5</w:t>
            </w:r>
          </w:p>
        </w:tc>
        <w:tc>
          <w:tcPr>
            <w:tcW w:w="3080" w:type="dxa"/>
            <w:shd w:val="clear" w:color="auto" w:fill="auto"/>
            <w:vAlign w:val="center"/>
          </w:tcPr>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主摄像机设置在主席台后上方和各单项比赛场地重要位置；</w:t>
            </w:r>
          </w:p>
          <w:p>
            <w:pPr>
              <w:widowControl/>
              <w:jc w:val="left"/>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辅摄像机设置在各单项比赛场地周边位置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艺术体操</w:t>
            </w:r>
          </w:p>
        </w:tc>
        <w:tc>
          <w:tcPr>
            <w:tcW w:w="171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12×12</w:t>
            </w:r>
          </w:p>
        </w:tc>
        <w:tc>
          <w:tcPr>
            <w:tcW w:w="111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1×1</w:t>
            </w:r>
          </w:p>
        </w:tc>
        <w:tc>
          <w:tcPr>
            <w:tcW w:w="118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2×2</w:t>
            </w:r>
          </w:p>
        </w:tc>
        <w:tc>
          <w:tcPr>
            <w:tcW w:w="75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1.0</w:t>
            </w:r>
          </w:p>
        </w:tc>
        <w:tc>
          <w:tcPr>
            <w:tcW w:w="800" w:type="dxa"/>
            <w:gridSpan w:val="2"/>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1.5</w:t>
            </w:r>
          </w:p>
        </w:tc>
        <w:tc>
          <w:tcPr>
            <w:tcW w:w="3080" w:type="dxa"/>
            <w:shd w:val="clear" w:color="auto" w:fill="auto"/>
            <w:vAlign w:val="center"/>
          </w:tcPr>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主摄像机设置在主席台后上方；</w:t>
            </w:r>
          </w:p>
          <w:p>
            <w:pPr>
              <w:widowControl/>
              <w:jc w:val="left"/>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辅摄像机设置在比赛场地周边位置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拳击</w:t>
            </w:r>
          </w:p>
        </w:tc>
        <w:tc>
          <w:tcPr>
            <w:tcW w:w="171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7.1×7.1</w:t>
            </w:r>
          </w:p>
        </w:tc>
        <w:tc>
          <w:tcPr>
            <w:tcW w:w="111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1×1</w:t>
            </w:r>
          </w:p>
        </w:tc>
        <w:tc>
          <w:tcPr>
            <w:tcW w:w="118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1×1</w:t>
            </w:r>
          </w:p>
        </w:tc>
        <w:tc>
          <w:tcPr>
            <w:tcW w:w="75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1.0</w:t>
            </w:r>
          </w:p>
        </w:tc>
        <w:tc>
          <w:tcPr>
            <w:tcW w:w="800" w:type="dxa"/>
            <w:gridSpan w:val="2"/>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1.5</w:t>
            </w:r>
          </w:p>
        </w:tc>
        <w:tc>
          <w:tcPr>
            <w:tcW w:w="3080" w:type="dxa"/>
            <w:shd w:val="clear" w:color="auto" w:fill="auto"/>
            <w:vAlign w:val="center"/>
          </w:tcPr>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主摄像机设置在绳索水平上方栏圈的一侧上；</w:t>
            </w:r>
          </w:p>
          <w:p>
            <w:pPr>
              <w:widowControl/>
              <w:jc w:val="left"/>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辅摄像机设置在赛场栏圈的转角处和低角度处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柔道</w:t>
            </w:r>
          </w:p>
        </w:tc>
        <w:tc>
          <w:tcPr>
            <w:tcW w:w="171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（8～10）×（8～10）</w:t>
            </w:r>
          </w:p>
        </w:tc>
        <w:tc>
          <w:tcPr>
            <w:tcW w:w="111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1×1</w:t>
            </w:r>
          </w:p>
        </w:tc>
        <w:tc>
          <w:tcPr>
            <w:tcW w:w="118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2×2</w:t>
            </w:r>
          </w:p>
        </w:tc>
        <w:tc>
          <w:tcPr>
            <w:tcW w:w="75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1.0</w:t>
            </w:r>
          </w:p>
        </w:tc>
        <w:tc>
          <w:tcPr>
            <w:tcW w:w="800" w:type="dxa"/>
            <w:gridSpan w:val="2"/>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1.5</w:t>
            </w:r>
          </w:p>
        </w:tc>
        <w:tc>
          <w:tcPr>
            <w:tcW w:w="3080" w:type="dxa"/>
            <w:shd w:val="clear" w:color="auto" w:fill="auto"/>
            <w:vAlign w:val="center"/>
          </w:tcPr>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主摄像机（一部及以上）设置在赛场的上方和一侧；</w:t>
            </w:r>
          </w:p>
          <w:p>
            <w:pPr>
              <w:widowControl/>
              <w:jc w:val="left"/>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辅摄像机设置在赛场的另一侧及靠近赛场的位置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摔跤</w:t>
            </w:r>
          </w:p>
        </w:tc>
        <w:tc>
          <w:tcPr>
            <w:tcW w:w="171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（8～10）×（8～10）</w:t>
            </w:r>
          </w:p>
        </w:tc>
        <w:tc>
          <w:tcPr>
            <w:tcW w:w="111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1×1</w:t>
            </w:r>
          </w:p>
        </w:tc>
        <w:tc>
          <w:tcPr>
            <w:tcW w:w="118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2×2</w:t>
            </w:r>
          </w:p>
        </w:tc>
        <w:tc>
          <w:tcPr>
            <w:tcW w:w="75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1.0</w:t>
            </w:r>
          </w:p>
        </w:tc>
        <w:tc>
          <w:tcPr>
            <w:tcW w:w="800" w:type="dxa"/>
            <w:gridSpan w:val="2"/>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1.5</w:t>
            </w:r>
          </w:p>
        </w:tc>
        <w:tc>
          <w:tcPr>
            <w:tcW w:w="3080" w:type="dxa"/>
            <w:shd w:val="clear" w:color="auto" w:fill="auto"/>
            <w:vAlign w:val="center"/>
          </w:tcPr>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主摄像机（一部及以上）设置在赛场的上方和一侧；</w:t>
            </w:r>
          </w:p>
          <w:p>
            <w:pPr>
              <w:widowControl/>
              <w:jc w:val="left"/>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辅摄像机设置在赛场的另一侧及靠近赛场的位置</w:t>
            </w:r>
          </w:p>
        </w:tc>
      </w:tr>
    </w:tbl>
    <w:p>
      <w:pPr>
        <w:pStyle w:val="38"/>
        <w:ind w:left="0" w:leftChars="0" w:firstLine="0" w:firstLineChars="0"/>
        <w:jc w:val="center"/>
        <w:rPr>
          <w:rFonts w:hint="eastAsia" w:cs="Times New Roman"/>
          <w:strike/>
          <w:dstrike w:val="0"/>
          <w:color w:val="auto"/>
          <w:highlight w:val="none"/>
          <w:lang w:val="en-US" w:eastAsia="zh-CN"/>
        </w:rPr>
      </w:pPr>
      <w:r>
        <w:rPr>
          <w:rFonts w:hint="eastAsia" w:cs="Times New Roman"/>
          <w:color w:val="auto"/>
          <w:highlight w:val="none"/>
          <w:lang w:val="en-US" w:eastAsia="zh-CN"/>
        </w:rPr>
        <w:t>续</w:t>
      </w:r>
      <w:r>
        <w:rPr>
          <w:rFonts w:hint="eastAsia" w:cs="Times New Roman"/>
          <w:color w:val="auto"/>
          <w:highlight w:val="none"/>
          <w:lang w:eastAsia="zh-CN"/>
        </w:rPr>
        <w:t>表B.0.1-</w:t>
      </w:r>
      <w:r>
        <w:rPr>
          <w:rFonts w:hint="eastAsia" w:cs="Times New Roman"/>
          <w:color w:val="auto"/>
          <w:highlight w:val="none"/>
          <w:lang w:val="en-US" w:eastAsia="zh-CN"/>
        </w:rPr>
        <w:t xml:space="preserve">13  </w:t>
      </w:r>
    </w:p>
    <w:tbl>
      <w:tblPr>
        <w:tblStyle w:val="12"/>
        <w:tblpPr w:leftFromText="180" w:rightFromText="180" w:vertAnchor="text" w:horzAnchor="page" w:tblpX="1382" w:tblpY="22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1710"/>
        <w:gridCol w:w="1110"/>
        <w:gridCol w:w="1180"/>
        <w:gridCol w:w="770"/>
        <w:gridCol w:w="780"/>
        <w:gridCol w:w="3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0" w:type="dxa"/>
            <w:vMerge w:val="restart"/>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运动项目</w:t>
            </w:r>
          </w:p>
        </w:tc>
        <w:tc>
          <w:tcPr>
            <w:tcW w:w="1710" w:type="dxa"/>
            <w:vMerge w:val="restart"/>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场地尺寸（m×m）</w:t>
            </w:r>
          </w:p>
        </w:tc>
        <w:tc>
          <w:tcPr>
            <w:tcW w:w="1110" w:type="dxa"/>
            <w:vMerge w:val="restart"/>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照度计算网格（m×m）</w:t>
            </w:r>
          </w:p>
        </w:tc>
        <w:tc>
          <w:tcPr>
            <w:tcW w:w="1180" w:type="dxa"/>
            <w:vMerge w:val="restart"/>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照度</w:t>
            </w:r>
            <w:r>
              <w:rPr>
                <w:rFonts w:hint="eastAsia" w:ascii="宋体" w:hAnsi="宋体" w:cs="宋体"/>
                <w:color w:val="auto"/>
                <w:kern w:val="0"/>
                <w:sz w:val="18"/>
                <w:szCs w:val="18"/>
                <w:highlight w:val="none"/>
                <w:lang w:bidi="ar"/>
              </w:rPr>
              <w:t>检测</w:t>
            </w:r>
            <w:r>
              <w:rPr>
                <w:rFonts w:hint="eastAsia" w:ascii="宋体" w:hAnsi="宋体" w:eastAsia="宋体" w:cs="宋体"/>
                <w:color w:val="auto"/>
                <w:kern w:val="0"/>
                <w:sz w:val="18"/>
                <w:szCs w:val="18"/>
                <w:highlight w:val="none"/>
                <w:lang w:bidi="ar"/>
              </w:rPr>
              <w:t>网格（m×m）</w:t>
            </w:r>
          </w:p>
        </w:tc>
        <w:tc>
          <w:tcPr>
            <w:tcW w:w="1550" w:type="dxa"/>
            <w:gridSpan w:val="2"/>
            <w:vAlign w:val="center"/>
          </w:tcPr>
          <w:p>
            <w:pPr>
              <w:widowControl/>
              <w:jc w:val="center"/>
              <w:textAlignment w:val="center"/>
              <w:rPr>
                <w:rFonts w:hint="eastAsia" w:cs="Times New Roman"/>
                <w:color w:val="auto"/>
                <w:highlight w:val="none"/>
                <w:vertAlign w:val="baseline"/>
              </w:rPr>
            </w:pPr>
            <w:r>
              <w:rPr>
                <w:rFonts w:hint="eastAsia" w:ascii="宋体" w:hAnsi="宋体" w:eastAsia="宋体" w:cs="宋体"/>
                <w:color w:val="auto"/>
                <w:kern w:val="0"/>
                <w:sz w:val="18"/>
                <w:szCs w:val="18"/>
                <w:highlight w:val="none"/>
                <w:lang w:bidi="ar"/>
              </w:rPr>
              <w:t>参考高度</w:t>
            </w:r>
          </w:p>
        </w:tc>
        <w:tc>
          <w:tcPr>
            <w:tcW w:w="3080" w:type="dxa"/>
            <w:vMerge w:val="restart"/>
            <w:vAlign w:val="center"/>
          </w:tcPr>
          <w:p>
            <w:pPr>
              <w:pStyle w:val="38"/>
              <w:jc w:val="center"/>
              <w:rPr>
                <w:rFonts w:hint="eastAsia" w:cs="Times New Roman"/>
                <w:color w:val="auto"/>
                <w:highlight w:val="none"/>
                <w:vertAlign w:val="baseline"/>
              </w:rPr>
            </w:pPr>
            <w:r>
              <w:rPr>
                <w:rFonts w:hint="eastAsia" w:ascii="宋体" w:hAnsi="宋体" w:eastAsia="宋体" w:cs="宋体"/>
                <w:color w:val="auto"/>
                <w:kern w:val="0"/>
                <w:sz w:val="18"/>
                <w:szCs w:val="18"/>
                <w:highlight w:val="none"/>
                <w:lang w:bidi="ar"/>
              </w:rPr>
              <w:t>摄像机典型位置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0" w:type="dxa"/>
            <w:vMerge w:val="continue"/>
          </w:tcPr>
          <w:p>
            <w:pPr>
              <w:pStyle w:val="38"/>
              <w:rPr>
                <w:rFonts w:hint="eastAsia" w:cs="Times New Roman"/>
                <w:color w:val="auto"/>
                <w:highlight w:val="none"/>
                <w:vertAlign w:val="baseline"/>
              </w:rPr>
            </w:pPr>
          </w:p>
        </w:tc>
        <w:tc>
          <w:tcPr>
            <w:tcW w:w="1710" w:type="dxa"/>
            <w:vMerge w:val="continue"/>
          </w:tcPr>
          <w:p>
            <w:pPr>
              <w:pStyle w:val="38"/>
              <w:rPr>
                <w:rFonts w:hint="eastAsia" w:cs="Times New Roman"/>
                <w:color w:val="auto"/>
                <w:highlight w:val="none"/>
                <w:vertAlign w:val="baseline"/>
              </w:rPr>
            </w:pPr>
          </w:p>
        </w:tc>
        <w:tc>
          <w:tcPr>
            <w:tcW w:w="1110" w:type="dxa"/>
            <w:vMerge w:val="continue"/>
          </w:tcPr>
          <w:p>
            <w:pPr>
              <w:pStyle w:val="38"/>
              <w:rPr>
                <w:rFonts w:hint="eastAsia" w:cs="Times New Roman"/>
                <w:color w:val="auto"/>
                <w:highlight w:val="none"/>
                <w:vertAlign w:val="baseline"/>
              </w:rPr>
            </w:pPr>
          </w:p>
        </w:tc>
        <w:tc>
          <w:tcPr>
            <w:tcW w:w="1180" w:type="dxa"/>
            <w:vMerge w:val="continue"/>
          </w:tcPr>
          <w:p>
            <w:pPr>
              <w:pStyle w:val="38"/>
              <w:rPr>
                <w:rFonts w:hint="eastAsia" w:cs="Times New Roman"/>
                <w:color w:val="auto"/>
                <w:highlight w:val="none"/>
                <w:vertAlign w:val="baseline"/>
              </w:rPr>
            </w:pPr>
          </w:p>
        </w:tc>
        <w:tc>
          <w:tcPr>
            <w:tcW w:w="770" w:type="dxa"/>
            <w:vAlign w:val="center"/>
          </w:tcPr>
          <w:p>
            <w:pPr>
              <w:widowControl/>
              <w:jc w:val="center"/>
              <w:textAlignment w:val="center"/>
              <w:rPr>
                <w:rFonts w:hint="eastAsia" w:cs="Times New Roman"/>
                <w:color w:val="auto"/>
                <w:highlight w:val="none"/>
                <w:vertAlign w:val="baseline"/>
              </w:rPr>
            </w:pPr>
            <w:r>
              <w:rPr>
                <w:rFonts w:hint="eastAsia" w:ascii="宋体" w:hAnsi="宋体" w:eastAsia="宋体" w:cs="宋体"/>
                <w:color w:val="auto"/>
                <w:kern w:val="0"/>
                <w:sz w:val="18"/>
                <w:szCs w:val="18"/>
                <w:highlight w:val="none"/>
                <w:lang w:bidi="ar"/>
              </w:rPr>
              <w:t>水平</w:t>
            </w:r>
          </w:p>
        </w:tc>
        <w:tc>
          <w:tcPr>
            <w:tcW w:w="780" w:type="dxa"/>
            <w:vAlign w:val="center"/>
          </w:tcPr>
          <w:p>
            <w:pPr>
              <w:widowControl/>
              <w:jc w:val="center"/>
              <w:textAlignment w:val="center"/>
              <w:rPr>
                <w:rFonts w:hint="eastAsia" w:cs="Times New Roman"/>
                <w:color w:val="auto"/>
                <w:highlight w:val="none"/>
                <w:vertAlign w:val="baseline"/>
              </w:rPr>
            </w:pPr>
            <w:r>
              <w:rPr>
                <w:rFonts w:hint="eastAsia" w:ascii="宋体" w:hAnsi="宋体" w:eastAsia="宋体" w:cs="宋体"/>
                <w:color w:val="auto"/>
                <w:kern w:val="0"/>
                <w:sz w:val="18"/>
                <w:szCs w:val="18"/>
                <w:highlight w:val="none"/>
                <w:lang w:bidi="ar"/>
              </w:rPr>
              <w:t>垂直</w:t>
            </w:r>
          </w:p>
        </w:tc>
        <w:tc>
          <w:tcPr>
            <w:tcW w:w="3080" w:type="dxa"/>
            <w:vMerge w:val="continue"/>
          </w:tcPr>
          <w:p>
            <w:pPr>
              <w:pStyle w:val="38"/>
              <w:rPr>
                <w:rFonts w:hint="eastAsia" w:cs="Times New Roman"/>
                <w:color w:val="auto"/>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跆拳道</w:t>
            </w:r>
          </w:p>
        </w:tc>
        <w:tc>
          <w:tcPr>
            <w:tcW w:w="171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8×8</w:t>
            </w:r>
          </w:p>
        </w:tc>
        <w:tc>
          <w:tcPr>
            <w:tcW w:w="111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1×1</w:t>
            </w:r>
          </w:p>
        </w:tc>
        <w:tc>
          <w:tcPr>
            <w:tcW w:w="118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2×2</w:t>
            </w:r>
          </w:p>
        </w:tc>
        <w:tc>
          <w:tcPr>
            <w:tcW w:w="77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1.0</w:t>
            </w:r>
          </w:p>
        </w:tc>
        <w:tc>
          <w:tcPr>
            <w:tcW w:w="78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1.5</w:t>
            </w:r>
          </w:p>
        </w:tc>
        <w:tc>
          <w:tcPr>
            <w:tcW w:w="3080" w:type="dxa"/>
            <w:shd w:val="clear" w:color="auto" w:fill="auto"/>
            <w:vAlign w:val="center"/>
          </w:tcPr>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主摄像机设置在赛场的上方和一侧；</w:t>
            </w:r>
          </w:p>
          <w:p>
            <w:pPr>
              <w:widowControl/>
              <w:jc w:val="left"/>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辅摄像机设置在赛场的另一侧及靠近赛场的位置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空手道</w:t>
            </w:r>
          </w:p>
        </w:tc>
        <w:tc>
          <w:tcPr>
            <w:tcW w:w="171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8×8</w:t>
            </w:r>
          </w:p>
        </w:tc>
        <w:tc>
          <w:tcPr>
            <w:tcW w:w="111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1×1</w:t>
            </w:r>
          </w:p>
        </w:tc>
        <w:tc>
          <w:tcPr>
            <w:tcW w:w="118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2×2</w:t>
            </w:r>
          </w:p>
        </w:tc>
        <w:tc>
          <w:tcPr>
            <w:tcW w:w="77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1.0</w:t>
            </w:r>
          </w:p>
        </w:tc>
        <w:tc>
          <w:tcPr>
            <w:tcW w:w="78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1.5</w:t>
            </w:r>
          </w:p>
        </w:tc>
        <w:tc>
          <w:tcPr>
            <w:tcW w:w="3080" w:type="dxa"/>
            <w:shd w:val="clear" w:color="auto" w:fill="auto"/>
            <w:vAlign w:val="center"/>
          </w:tcPr>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主摄像机（一部及以上）设置在赛场的上方和一侧；</w:t>
            </w:r>
          </w:p>
          <w:p>
            <w:pPr>
              <w:widowControl/>
              <w:jc w:val="left"/>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辅摄像机设置在赛场的另一侧及靠近赛场的位置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0" w:type="dxa"/>
            <w:vMerge w:val="restart"/>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武术</w:t>
            </w:r>
          </w:p>
        </w:tc>
        <w:tc>
          <w:tcPr>
            <w:tcW w:w="171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8×8（散打）</w:t>
            </w:r>
          </w:p>
        </w:tc>
        <w:tc>
          <w:tcPr>
            <w:tcW w:w="1110" w:type="dxa"/>
            <w:vMerge w:val="restart"/>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1×1</w:t>
            </w:r>
          </w:p>
        </w:tc>
        <w:tc>
          <w:tcPr>
            <w:tcW w:w="1180" w:type="dxa"/>
            <w:vMerge w:val="restart"/>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2×2</w:t>
            </w:r>
          </w:p>
        </w:tc>
        <w:tc>
          <w:tcPr>
            <w:tcW w:w="77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1.0</w:t>
            </w:r>
          </w:p>
        </w:tc>
        <w:tc>
          <w:tcPr>
            <w:tcW w:w="780" w:type="dxa"/>
            <w:vMerge w:val="restart"/>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1.5</w:t>
            </w:r>
          </w:p>
        </w:tc>
        <w:tc>
          <w:tcPr>
            <w:tcW w:w="3080" w:type="dxa"/>
            <w:vMerge w:val="restart"/>
            <w:shd w:val="clear" w:color="auto" w:fill="auto"/>
            <w:vAlign w:val="center"/>
          </w:tcPr>
          <w:p>
            <w:pPr>
              <w:widowControl/>
              <w:jc w:val="left"/>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主摄像机设置在对角线的延长线上及设置在官员评判桌和区域的后方或附近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0" w:type="dxa"/>
            <w:vMerge w:val="continue"/>
            <w:shd w:val="clear" w:color="auto" w:fill="auto"/>
            <w:vAlign w:val="center"/>
          </w:tcPr>
          <w:p>
            <w:pPr>
              <w:jc w:val="center"/>
              <w:rPr>
                <w:rFonts w:hint="eastAsia" w:ascii="宋体" w:hAnsi="宋体" w:eastAsia="宋体" w:cs="宋体"/>
                <w:color w:val="auto"/>
                <w:kern w:val="2"/>
                <w:sz w:val="18"/>
                <w:szCs w:val="18"/>
                <w:highlight w:val="none"/>
                <w:lang w:val="en-US" w:eastAsia="zh-CN" w:bidi="ar-SA"/>
              </w:rPr>
            </w:pPr>
          </w:p>
        </w:tc>
        <w:tc>
          <w:tcPr>
            <w:tcW w:w="171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w:t>
            </w:r>
            <w:r>
              <w:rPr>
                <w:rFonts w:hint="eastAsia" w:ascii="宋体" w:hAnsi="宋体" w:cs="宋体"/>
                <w:color w:val="auto"/>
                <w:kern w:val="0"/>
                <w:sz w:val="18"/>
                <w:szCs w:val="18"/>
                <w:highlight w:val="none"/>
                <w:lang w:bidi="ar"/>
              </w:rPr>
              <w:t>4</w:t>
            </w:r>
            <w:r>
              <w:rPr>
                <w:rFonts w:hint="eastAsia" w:ascii="宋体" w:hAnsi="宋体" w:eastAsia="宋体" w:cs="宋体"/>
                <w:color w:val="auto"/>
                <w:kern w:val="0"/>
                <w:sz w:val="18"/>
                <w:szCs w:val="18"/>
                <w:highlight w:val="none"/>
                <w:lang w:bidi="ar"/>
              </w:rPr>
              <w:t>×8（套路）</w:t>
            </w:r>
          </w:p>
        </w:tc>
        <w:tc>
          <w:tcPr>
            <w:tcW w:w="1110" w:type="dxa"/>
            <w:vMerge w:val="continue"/>
            <w:shd w:val="clear" w:color="auto" w:fill="auto"/>
            <w:vAlign w:val="center"/>
          </w:tcPr>
          <w:p>
            <w:pPr>
              <w:jc w:val="center"/>
              <w:rPr>
                <w:rFonts w:hint="eastAsia" w:ascii="宋体" w:hAnsi="宋体" w:eastAsia="宋体" w:cs="宋体"/>
                <w:color w:val="auto"/>
                <w:kern w:val="2"/>
                <w:sz w:val="18"/>
                <w:szCs w:val="18"/>
                <w:highlight w:val="none"/>
                <w:lang w:val="en-US" w:eastAsia="zh-CN" w:bidi="ar-SA"/>
              </w:rPr>
            </w:pPr>
          </w:p>
        </w:tc>
        <w:tc>
          <w:tcPr>
            <w:tcW w:w="1180" w:type="dxa"/>
            <w:vMerge w:val="continue"/>
            <w:shd w:val="clear" w:color="auto" w:fill="auto"/>
            <w:vAlign w:val="center"/>
          </w:tcPr>
          <w:p>
            <w:pPr>
              <w:jc w:val="center"/>
              <w:rPr>
                <w:rFonts w:hint="eastAsia" w:ascii="宋体" w:hAnsi="宋体" w:eastAsia="宋体" w:cs="宋体"/>
                <w:color w:val="auto"/>
                <w:kern w:val="2"/>
                <w:sz w:val="18"/>
                <w:szCs w:val="18"/>
                <w:highlight w:val="none"/>
                <w:lang w:val="en-US" w:eastAsia="zh-CN" w:bidi="ar-SA"/>
              </w:rPr>
            </w:pPr>
          </w:p>
        </w:tc>
        <w:tc>
          <w:tcPr>
            <w:tcW w:w="77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1.0</w:t>
            </w:r>
          </w:p>
        </w:tc>
        <w:tc>
          <w:tcPr>
            <w:tcW w:w="780" w:type="dxa"/>
            <w:vMerge w:val="continue"/>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p>
        </w:tc>
        <w:tc>
          <w:tcPr>
            <w:tcW w:w="3080" w:type="dxa"/>
            <w:vMerge w:val="continue"/>
            <w:shd w:val="clear" w:color="auto" w:fill="auto"/>
            <w:vAlign w:val="center"/>
          </w:tcPr>
          <w:p>
            <w:pPr>
              <w:widowControl/>
              <w:jc w:val="left"/>
              <w:textAlignment w:val="center"/>
              <w:rPr>
                <w:rFonts w:hint="eastAsia" w:ascii="宋体" w:hAnsi="宋体" w:eastAsia="宋体" w:cs="宋体"/>
                <w:color w:val="auto"/>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举重</w:t>
            </w:r>
          </w:p>
        </w:tc>
        <w:tc>
          <w:tcPr>
            <w:tcW w:w="171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12×12</w:t>
            </w:r>
          </w:p>
        </w:tc>
        <w:tc>
          <w:tcPr>
            <w:tcW w:w="111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1×1</w:t>
            </w:r>
          </w:p>
        </w:tc>
        <w:tc>
          <w:tcPr>
            <w:tcW w:w="118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1×1</w:t>
            </w:r>
          </w:p>
        </w:tc>
        <w:tc>
          <w:tcPr>
            <w:tcW w:w="77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1.0</w:t>
            </w:r>
          </w:p>
        </w:tc>
        <w:tc>
          <w:tcPr>
            <w:tcW w:w="78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1.5</w:t>
            </w:r>
          </w:p>
        </w:tc>
        <w:tc>
          <w:tcPr>
            <w:tcW w:w="3080" w:type="dxa"/>
            <w:shd w:val="clear" w:color="auto" w:fill="auto"/>
            <w:vAlign w:val="center"/>
          </w:tcPr>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主摄像机面向参赛者；</w:t>
            </w:r>
          </w:p>
          <w:p>
            <w:pPr>
              <w:widowControl/>
              <w:jc w:val="left"/>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辅摄像机设置在热身区和举重台入口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击剑</w:t>
            </w:r>
          </w:p>
        </w:tc>
        <w:tc>
          <w:tcPr>
            <w:tcW w:w="171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14×2</w:t>
            </w:r>
          </w:p>
        </w:tc>
        <w:tc>
          <w:tcPr>
            <w:tcW w:w="111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1×1</w:t>
            </w:r>
          </w:p>
        </w:tc>
        <w:tc>
          <w:tcPr>
            <w:tcW w:w="118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1×1</w:t>
            </w:r>
          </w:p>
        </w:tc>
        <w:tc>
          <w:tcPr>
            <w:tcW w:w="77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1.0</w:t>
            </w:r>
          </w:p>
        </w:tc>
        <w:tc>
          <w:tcPr>
            <w:tcW w:w="78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1.5</w:t>
            </w:r>
          </w:p>
        </w:tc>
        <w:tc>
          <w:tcPr>
            <w:tcW w:w="3080" w:type="dxa"/>
            <w:shd w:val="clear" w:color="auto" w:fill="auto"/>
            <w:vAlign w:val="center"/>
          </w:tcPr>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主摄像机设置在长台侧面；</w:t>
            </w:r>
          </w:p>
          <w:p>
            <w:pPr>
              <w:widowControl/>
              <w:jc w:val="left"/>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辅摄像机设置在长台两端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速度滑冰</w:t>
            </w:r>
          </w:p>
        </w:tc>
        <w:tc>
          <w:tcPr>
            <w:tcW w:w="171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赛道:(333.3～400)×10</w:t>
            </w:r>
          </w:p>
        </w:tc>
        <w:tc>
          <w:tcPr>
            <w:tcW w:w="111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5×2</w:t>
            </w:r>
          </w:p>
        </w:tc>
        <w:tc>
          <w:tcPr>
            <w:tcW w:w="118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10×4</w:t>
            </w:r>
          </w:p>
        </w:tc>
        <w:tc>
          <w:tcPr>
            <w:tcW w:w="77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1.0</w:t>
            </w:r>
          </w:p>
        </w:tc>
        <w:tc>
          <w:tcPr>
            <w:tcW w:w="78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1.5</w:t>
            </w:r>
          </w:p>
        </w:tc>
        <w:tc>
          <w:tcPr>
            <w:tcW w:w="3080" w:type="dxa"/>
            <w:shd w:val="clear" w:color="auto" w:fill="auto"/>
            <w:vAlign w:val="center"/>
          </w:tcPr>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主摄像机设置在全场中央主看台上和终点线的延长线上；</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辅摄像机设置在两角用来拍摄赛道的直线段，给出运动员的前视镜头（逆时针转圈）；</w:t>
            </w:r>
          </w:p>
          <w:p>
            <w:pPr>
              <w:widowControl/>
              <w:jc w:val="left"/>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辅摄像机悬挂在场地顶棚中间，跟随运动员转动拍摄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冰球、短道速滑、花样滑冰</w:t>
            </w:r>
          </w:p>
        </w:tc>
        <w:tc>
          <w:tcPr>
            <w:tcW w:w="171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60×30</w:t>
            </w:r>
          </w:p>
        </w:tc>
        <w:tc>
          <w:tcPr>
            <w:tcW w:w="111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5×5</w:t>
            </w:r>
          </w:p>
        </w:tc>
        <w:tc>
          <w:tcPr>
            <w:tcW w:w="118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10×10</w:t>
            </w:r>
          </w:p>
        </w:tc>
        <w:tc>
          <w:tcPr>
            <w:tcW w:w="77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1.0</w:t>
            </w:r>
          </w:p>
        </w:tc>
        <w:tc>
          <w:tcPr>
            <w:tcW w:w="78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1.5</w:t>
            </w:r>
          </w:p>
        </w:tc>
        <w:tc>
          <w:tcPr>
            <w:tcW w:w="3080" w:type="dxa"/>
            <w:shd w:val="clear" w:color="auto" w:fill="auto"/>
            <w:vAlign w:val="center"/>
          </w:tcPr>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主摄像机设置在场地中心延长线的看台上；</w:t>
            </w:r>
          </w:p>
          <w:p>
            <w:pPr>
              <w:widowControl/>
              <w:jc w:val="left"/>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冰球辅摄像机设置在球门区后面，花样滑冰和短道速滑辅摄像机设置在角区和等候区中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冰壶</w:t>
            </w:r>
          </w:p>
        </w:tc>
        <w:tc>
          <w:tcPr>
            <w:tcW w:w="171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46×5（每道）</w:t>
            </w:r>
          </w:p>
        </w:tc>
        <w:tc>
          <w:tcPr>
            <w:tcW w:w="111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2.5×1.25</w:t>
            </w:r>
          </w:p>
        </w:tc>
        <w:tc>
          <w:tcPr>
            <w:tcW w:w="118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5×2.5</w:t>
            </w:r>
          </w:p>
        </w:tc>
        <w:tc>
          <w:tcPr>
            <w:tcW w:w="77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冰面</w:t>
            </w:r>
          </w:p>
        </w:tc>
        <w:tc>
          <w:tcPr>
            <w:tcW w:w="78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1.5</w:t>
            </w:r>
          </w:p>
        </w:tc>
        <w:tc>
          <w:tcPr>
            <w:tcW w:w="3080" w:type="dxa"/>
            <w:shd w:val="clear" w:color="auto" w:fill="auto"/>
            <w:vAlign w:val="center"/>
          </w:tcPr>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主摄像机设置在运动员正面方向延长线上和开壶区侧面；</w:t>
            </w:r>
          </w:p>
          <w:p>
            <w:pPr>
              <w:widowControl/>
              <w:jc w:val="left"/>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辅摄像机设置在比赛场地周边位置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0" w:type="dxa"/>
            <w:vMerge w:val="restart"/>
            <w:shd w:val="clear" w:color="auto" w:fill="auto"/>
            <w:vAlign w:val="center"/>
          </w:tcPr>
          <w:p>
            <w:pPr>
              <w:widowControl/>
              <w:jc w:val="center"/>
              <w:textAlignment w:val="center"/>
              <w:rPr>
                <w:rFonts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射击</w:t>
            </w:r>
          </w:p>
          <w:p>
            <w:pPr>
              <w:widowControl/>
              <w:jc w:val="center"/>
              <w:textAlignment w:val="center"/>
              <w:rPr>
                <w:rFonts w:hint="eastAsia" w:ascii="宋体" w:hAnsi="宋体" w:eastAsia="宋体" w:cs="宋体"/>
                <w:color w:val="auto"/>
                <w:kern w:val="0"/>
                <w:sz w:val="18"/>
                <w:szCs w:val="18"/>
                <w:highlight w:val="none"/>
                <w:lang w:bidi="ar"/>
              </w:rPr>
            </w:pPr>
          </w:p>
        </w:tc>
        <w:tc>
          <w:tcPr>
            <w:tcW w:w="171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靶面</w:t>
            </w:r>
          </w:p>
        </w:tc>
        <w:tc>
          <w:tcPr>
            <w:tcW w:w="111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0.1×0.1</w:t>
            </w:r>
          </w:p>
        </w:tc>
        <w:tc>
          <w:tcPr>
            <w:tcW w:w="118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0.2×0.2</w:t>
            </w:r>
          </w:p>
        </w:tc>
        <w:tc>
          <w:tcPr>
            <w:tcW w:w="770" w:type="dxa"/>
            <w:vMerge w:val="restart"/>
            <w:shd w:val="clear" w:color="auto" w:fill="auto"/>
            <w:vAlign w:val="center"/>
          </w:tcPr>
          <w:p>
            <w:pPr>
              <w:widowControl/>
              <w:jc w:val="center"/>
              <w:textAlignment w:val="center"/>
              <w:rPr>
                <w:rFonts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1.0</w:t>
            </w:r>
          </w:p>
          <w:p>
            <w:pPr>
              <w:widowControl/>
              <w:jc w:val="center"/>
              <w:textAlignment w:val="center"/>
              <w:rPr>
                <w:rFonts w:hint="eastAsia" w:ascii="宋体" w:hAnsi="宋体" w:eastAsia="宋体" w:cs="宋体"/>
                <w:color w:val="auto"/>
                <w:kern w:val="0"/>
                <w:sz w:val="18"/>
                <w:szCs w:val="18"/>
                <w:highlight w:val="none"/>
                <w:lang w:bidi="ar"/>
              </w:rPr>
            </w:pPr>
          </w:p>
        </w:tc>
        <w:tc>
          <w:tcPr>
            <w:tcW w:w="78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靶面</w:t>
            </w:r>
          </w:p>
        </w:tc>
        <w:tc>
          <w:tcPr>
            <w:tcW w:w="3080" w:type="dxa"/>
            <w:vMerge w:val="restart"/>
            <w:shd w:val="clear" w:color="auto" w:fill="auto"/>
            <w:vAlign w:val="center"/>
          </w:tcPr>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主摄像机设置在射手的正上方、侧前方和比赛场地尽端；</w:t>
            </w:r>
          </w:p>
          <w:p>
            <w:pPr>
              <w:widowControl/>
              <w:jc w:val="left"/>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辅摄像机设置在看台侧后方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0" w:type="dxa"/>
            <w:vMerge w:val="continue"/>
            <w:shd w:val="clear" w:color="auto" w:fill="auto"/>
            <w:vAlign w:val="center"/>
          </w:tcPr>
          <w:p>
            <w:pPr>
              <w:widowControl/>
              <w:jc w:val="center"/>
              <w:textAlignment w:val="center"/>
              <w:rPr>
                <w:rFonts w:hint="eastAsia" w:ascii="宋体" w:hAnsi="宋体" w:eastAsia="宋体" w:cs="宋体"/>
                <w:color w:val="auto"/>
                <w:kern w:val="0"/>
                <w:sz w:val="18"/>
                <w:szCs w:val="18"/>
                <w:highlight w:val="none"/>
                <w:lang w:bidi="ar"/>
              </w:rPr>
            </w:pPr>
          </w:p>
        </w:tc>
        <w:tc>
          <w:tcPr>
            <w:tcW w:w="171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靶位</w:t>
            </w:r>
          </w:p>
        </w:tc>
        <w:tc>
          <w:tcPr>
            <w:tcW w:w="111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1×1</w:t>
            </w:r>
          </w:p>
        </w:tc>
        <w:tc>
          <w:tcPr>
            <w:tcW w:w="118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1×1</w:t>
            </w:r>
          </w:p>
        </w:tc>
        <w:tc>
          <w:tcPr>
            <w:tcW w:w="770" w:type="dxa"/>
            <w:vMerge w:val="continue"/>
            <w:shd w:val="clear" w:color="auto" w:fill="auto"/>
            <w:vAlign w:val="center"/>
          </w:tcPr>
          <w:p>
            <w:pPr>
              <w:widowControl/>
              <w:jc w:val="center"/>
              <w:textAlignment w:val="center"/>
              <w:rPr>
                <w:rFonts w:hint="eastAsia" w:ascii="宋体" w:hAnsi="宋体" w:eastAsia="宋体" w:cs="宋体"/>
                <w:color w:val="auto"/>
                <w:kern w:val="0"/>
                <w:sz w:val="18"/>
                <w:szCs w:val="18"/>
                <w:highlight w:val="none"/>
                <w:lang w:bidi="ar"/>
              </w:rPr>
            </w:pPr>
          </w:p>
        </w:tc>
        <w:tc>
          <w:tcPr>
            <w:tcW w:w="78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靶位</w:t>
            </w:r>
          </w:p>
        </w:tc>
        <w:tc>
          <w:tcPr>
            <w:tcW w:w="3080" w:type="dxa"/>
            <w:vMerge w:val="continue"/>
            <w:shd w:val="clear" w:color="auto" w:fill="auto"/>
            <w:vAlign w:val="center"/>
          </w:tcPr>
          <w:p>
            <w:pPr>
              <w:widowControl/>
              <w:jc w:val="left"/>
              <w:textAlignment w:val="center"/>
              <w:rPr>
                <w:rFonts w:hint="eastAsia" w:ascii="宋体" w:hAnsi="宋体" w:eastAsia="宋体" w:cs="宋体"/>
                <w:color w:val="auto"/>
                <w:kern w:val="0"/>
                <w:sz w:val="18"/>
                <w:szCs w:val="1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0" w:type="dxa"/>
            <w:vMerge w:val="continue"/>
            <w:shd w:val="clear" w:color="auto" w:fill="auto"/>
            <w:vAlign w:val="center"/>
          </w:tcPr>
          <w:p>
            <w:pPr>
              <w:widowControl/>
              <w:jc w:val="center"/>
              <w:textAlignment w:val="center"/>
              <w:rPr>
                <w:rFonts w:hint="eastAsia" w:ascii="宋体" w:hAnsi="宋体" w:eastAsia="宋体" w:cs="宋体"/>
                <w:color w:val="auto"/>
                <w:kern w:val="0"/>
                <w:sz w:val="18"/>
                <w:szCs w:val="18"/>
                <w:highlight w:val="none"/>
                <w:lang w:bidi="ar"/>
              </w:rPr>
            </w:pPr>
          </w:p>
        </w:tc>
        <w:tc>
          <w:tcPr>
            <w:tcW w:w="171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弹道</w:t>
            </w:r>
          </w:p>
        </w:tc>
        <w:tc>
          <w:tcPr>
            <w:tcW w:w="111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2×2</w:t>
            </w:r>
          </w:p>
        </w:tc>
        <w:tc>
          <w:tcPr>
            <w:tcW w:w="118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4×4</w:t>
            </w:r>
          </w:p>
        </w:tc>
        <w:tc>
          <w:tcPr>
            <w:tcW w:w="770" w:type="dxa"/>
            <w:vMerge w:val="continue"/>
            <w:shd w:val="clear" w:color="auto" w:fill="auto"/>
            <w:vAlign w:val="center"/>
          </w:tcPr>
          <w:p>
            <w:pPr>
              <w:widowControl/>
              <w:jc w:val="center"/>
              <w:textAlignment w:val="center"/>
              <w:rPr>
                <w:rFonts w:hint="eastAsia" w:ascii="宋体" w:hAnsi="宋体" w:eastAsia="宋体" w:cs="宋体"/>
                <w:color w:val="auto"/>
                <w:kern w:val="0"/>
                <w:sz w:val="18"/>
                <w:szCs w:val="18"/>
                <w:highlight w:val="none"/>
                <w:lang w:bidi="ar"/>
              </w:rPr>
            </w:pPr>
          </w:p>
        </w:tc>
        <w:tc>
          <w:tcPr>
            <w:tcW w:w="78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弹道</w:t>
            </w:r>
          </w:p>
        </w:tc>
        <w:tc>
          <w:tcPr>
            <w:tcW w:w="3080" w:type="dxa"/>
            <w:vMerge w:val="continue"/>
            <w:shd w:val="clear" w:color="auto" w:fill="auto"/>
            <w:vAlign w:val="center"/>
          </w:tcPr>
          <w:p>
            <w:pPr>
              <w:widowControl/>
              <w:jc w:val="left"/>
              <w:textAlignment w:val="center"/>
              <w:rPr>
                <w:rFonts w:hint="eastAsia" w:ascii="宋体" w:hAnsi="宋体" w:eastAsia="宋体" w:cs="宋体"/>
                <w:color w:val="auto"/>
                <w:kern w:val="0"/>
                <w:sz w:val="18"/>
                <w:szCs w:val="1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射箭</w:t>
            </w:r>
          </w:p>
        </w:tc>
        <w:tc>
          <w:tcPr>
            <w:tcW w:w="171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90m～45m，90m～70m（8道，13道）</w:t>
            </w:r>
          </w:p>
        </w:tc>
        <w:tc>
          <w:tcPr>
            <w:tcW w:w="111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5×5</w:t>
            </w:r>
          </w:p>
        </w:tc>
        <w:tc>
          <w:tcPr>
            <w:tcW w:w="118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10×10</w:t>
            </w:r>
          </w:p>
        </w:tc>
        <w:tc>
          <w:tcPr>
            <w:tcW w:w="77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1.0</w:t>
            </w:r>
          </w:p>
        </w:tc>
        <w:tc>
          <w:tcPr>
            <w:tcW w:w="780" w:type="dxa"/>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 xml:space="preserve">1.5 </w:t>
            </w:r>
          </w:p>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2.0</w:t>
            </w:r>
          </w:p>
        </w:tc>
        <w:tc>
          <w:tcPr>
            <w:tcW w:w="3080" w:type="dxa"/>
            <w:shd w:val="clear" w:color="auto" w:fill="auto"/>
            <w:vAlign w:val="center"/>
          </w:tcPr>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主摄像机设置在运动员后方看台上和运动员侧前方；</w:t>
            </w:r>
          </w:p>
          <w:p>
            <w:pPr>
              <w:widowControl/>
              <w:jc w:val="left"/>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辅摄像机设置在看台侧后方、沿射箭线的不同位置和等候线与射箭线之间的区域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自行车</w:t>
            </w:r>
          </w:p>
        </w:tc>
        <w:tc>
          <w:tcPr>
            <w:tcW w:w="171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赛道:250×(6～8)</w:t>
            </w:r>
            <w:r>
              <w:rPr>
                <w:rFonts w:hint="eastAsia" w:ascii="宋体" w:hAnsi="宋体" w:cs="宋体"/>
                <w:color w:val="auto"/>
                <w:kern w:val="0"/>
                <w:sz w:val="18"/>
                <w:szCs w:val="18"/>
                <w:highlight w:val="none"/>
                <w:lang w:bidi="ar"/>
              </w:rPr>
              <w:t>，</w:t>
            </w:r>
            <w:r>
              <w:rPr>
                <w:rFonts w:hint="eastAsia" w:ascii="宋体" w:hAnsi="宋体" w:eastAsia="宋体" w:cs="宋体"/>
                <w:color w:val="auto"/>
                <w:kern w:val="0"/>
                <w:sz w:val="18"/>
                <w:szCs w:val="18"/>
                <w:highlight w:val="none"/>
                <w:lang w:bidi="ar"/>
              </w:rPr>
              <w:t xml:space="preserve">     333.3×</w:t>
            </w:r>
            <w:r>
              <w:rPr>
                <w:rFonts w:hint="eastAsia" w:ascii="宋体" w:hAnsi="宋体" w:cs="宋体"/>
                <w:color w:val="auto"/>
                <w:kern w:val="0"/>
                <w:sz w:val="18"/>
                <w:szCs w:val="18"/>
                <w:highlight w:val="none"/>
                <w:lang w:bidi="ar"/>
              </w:rPr>
              <w:t>（8-10）</w:t>
            </w:r>
          </w:p>
        </w:tc>
        <w:tc>
          <w:tcPr>
            <w:tcW w:w="111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5×2.5</w:t>
            </w:r>
          </w:p>
        </w:tc>
        <w:tc>
          <w:tcPr>
            <w:tcW w:w="118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10×2.5</w:t>
            </w:r>
          </w:p>
        </w:tc>
        <w:tc>
          <w:tcPr>
            <w:tcW w:w="77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赛道上1.0m</w:t>
            </w:r>
          </w:p>
        </w:tc>
        <w:tc>
          <w:tcPr>
            <w:tcW w:w="78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1.5</w:t>
            </w:r>
          </w:p>
        </w:tc>
        <w:tc>
          <w:tcPr>
            <w:tcW w:w="3080" w:type="dxa"/>
            <w:shd w:val="clear" w:color="auto" w:fill="auto"/>
            <w:vAlign w:val="center"/>
          </w:tcPr>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主摄像机设置在与赛道终点直道平行的主看台上。终点摄像机放在中央横轴延长线上（追逐比赛）和通常的终点位置（如短距比赛）。</w:t>
            </w:r>
          </w:p>
          <w:p>
            <w:pPr>
              <w:widowControl/>
              <w:jc w:val="left"/>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辅摄像机设置在两角用来拍摄赛道的直线段，给出骑手的前视镜头（逆时针转圈）</w:t>
            </w:r>
          </w:p>
        </w:tc>
      </w:tr>
    </w:tbl>
    <w:p>
      <w:pPr>
        <w:pStyle w:val="38"/>
        <w:ind w:firstLine="2700" w:firstLineChars="1500"/>
        <w:jc w:val="left"/>
        <w:rPr>
          <w:rFonts w:hint="eastAsia" w:cs="Times New Roman"/>
          <w:color w:val="auto"/>
          <w:highlight w:val="none"/>
        </w:rPr>
      </w:pPr>
    </w:p>
    <w:p>
      <w:pPr>
        <w:pStyle w:val="38"/>
        <w:ind w:left="0" w:leftChars="0" w:firstLine="0" w:firstLineChars="0"/>
        <w:jc w:val="center"/>
        <w:rPr>
          <w:rFonts w:hint="default" w:eastAsia="黑体" w:cs="Times New Roman"/>
          <w:color w:val="auto"/>
          <w:highlight w:val="none"/>
          <w:lang w:val="en-US" w:eastAsia="zh-CN"/>
        </w:rPr>
      </w:pPr>
      <w:r>
        <w:rPr>
          <w:rFonts w:hint="eastAsia" w:cs="Times New Roman"/>
          <w:color w:val="auto"/>
          <w:highlight w:val="none"/>
          <w:lang w:val="en-US" w:eastAsia="zh-CN"/>
        </w:rPr>
        <w:t>续</w:t>
      </w:r>
      <w:r>
        <w:rPr>
          <w:rFonts w:hint="eastAsia" w:cs="Times New Roman"/>
          <w:color w:val="auto"/>
          <w:highlight w:val="none"/>
          <w:lang w:eastAsia="zh-CN"/>
        </w:rPr>
        <w:t>表B.0.1-</w:t>
      </w:r>
      <w:r>
        <w:rPr>
          <w:rFonts w:hint="eastAsia" w:cs="Times New Roman"/>
          <w:color w:val="auto"/>
          <w:highlight w:val="none"/>
          <w:lang w:val="en-US" w:eastAsia="zh-CN"/>
        </w:rPr>
        <w:t>13</w:t>
      </w:r>
    </w:p>
    <w:tbl>
      <w:tblPr>
        <w:tblStyle w:val="12"/>
        <w:tblW w:w="0" w:type="auto"/>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709"/>
        <w:gridCol w:w="1109"/>
        <w:gridCol w:w="1179"/>
        <w:gridCol w:w="769"/>
        <w:gridCol w:w="780"/>
        <w:gridCol w:w="3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vMerge w:val="restart"/>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运动项目</w:t>
            </w:r>
          </w:p>
        </w:tc>
        <w:tc>
          <w:tcPr>
            <w:tcW w:w="1709" w:type="dxa"/>
            <w:vMerge w:val="restart"/>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场地尺寸（m×m）</w:t>
            </w:r>
          </w:p>
        </w:tc>
        <w:tc>
          <w:tcPr>
            <w:tcW w:w="1109" w:type="dxa"/>
            <w:vMerge w:val="restart"/>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照度计算网格（m×m）</w:t>
            </w:r>
          </w:p>
        </w:tc>
        <w:tc>
          <w:tcPr>
            <w:tcW w:w="1179" w:type="dxa"/>
            <w:vMerge w:val="restart"/>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照度</w:t>
            </w:r>
            <w:r>
              <w:rPr>
                <w:rFonts w:hint="eastAsia" w:ascii="宋体" w:hAnsi="宋体" w:cs="宋体"/>
                <w:color w:val="auto"/>
                <w:kern w:val="0"/>
                <w:sz w:val="18"/>
                <w:szCs w:val="18"/>
                <w:highlight w:val="none"/>
                <w:lang w:bidi="ar"/>
              </w:rPr>
              <w:t>检测</w:t>
            </w:r>
            <w:r>
              <w:rPr>
                <w:rFonts w:hint="eastAsia" w:ascii="宋体" w:hAnsi="宋体" w:eastAsia="宋体" w:cs="宋体"/>
                <w:color w:val="auto"/>
                <w:kern w:val="0"/>
                <w:sz w:val="18"/>
                <w:szCs w:val="18"/>
                <w:highlight w:val="none"/>
                <w:lang w:bidi="ar"/>
              </w:rPr>
              <w:t>网格（m×m）</w:t>
            </w:r>
          </w:p>
        </w:tc>
        <w:tc>
          <w:tcPr>
            <w:tcW w:w="1549" w:type="dxa"/>
            <w:gridSpan w:val="2"/>
            <w:vAlign w:val="center"/>
          </w:tcPr>
          <w:p>
            <w:pPr>
              <w:widowControl/>
              <w:jc w:val="center"/>
              <w:textAlignment w:val="center"/>
              <w:rPr>
                <w:rFonts w:hint="eastAsia" w:cs="Times New Roman"/>
                <w:color w:val="auto"/>
                <w:highlight w:val="none"/>
                <w:vertAlign w:val="baseline"/>
              </w:rPr>
            </w:pPr>
            <w:r>
              <w:rPr>
                <w:rFonts w:hint="eastAsia" w:ascii="宋体" w:hAnsi="宋体" w:eastAsia="宋体" w:cs="宋体"/>
                <w:color w:val="auto"/>
                <w:kern w:val="0"/>
                <w:sz w:val="18"/>
                <w:szCs w:val="18"/>
                <w:highlight w:val="none"/>
                <w:lang w:bidi="ar"/>
              </w:rPr>
              <w:t>参考高度</w:t>
            </w:r>
          </w:p>
        </w:tc>
        <w:tc>
          <w:tcPr>
            <w:tcW w:w="3079" w:type="dxa"/>
            <w:vMerge w:val="restart"/>
            <w:vAlign w:val="center"/>
          </w:tcPr>
          <w:p>
            <w:pPr>
              <w:pStyle w:val="38"/>
              <w:jc w:val="center"/>
              <w:rPr>
                <w:rFonts w:hint="eastAsia" w:cs="Times New Roman"/>
                <w:color w:val="auto"/>
                <w:highlight w:val="none"/>
                <w:vertAlign w:val="baseline"/>
              </w:rPr>
            </w:pPr>
            <w:r>
              <w:rPr>
                <w:rFonts w:hint="eastAsia" w:ascii="宋体" w:hAnsi="宋体" w:eastAsia="宋体" w:cs="宋体"/>
                <w:color w:val="auto"/>
                <w:kern w:val="0"/>
                <w:sz w:val="18"/>
                <w:szCs w:val="18"/>
                <w:highlight w:val="none"/>
                <w:lang w:bidi="ar"/>
              </w:rPr>
              <w:t>摄像机典型位置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vMerge w:val="continue"/>
          </w:tcPr>
          <w:p>
            <w:pPr>
              <w:pStyle w:val="38"/>
              <w:rPr>
                <w:rFonts w:hint="eastAsia" w:cs="Times New Roman"/>
                <w:color w:val="auto"/>
                <w:highlight w:val="none"/>
                <w:vertAlign w:val="baseline"/>
              </w:rPr>
            </w:pPr>
          </w:p>
        </w:tc>
        <w:tc>
          <w:tcPr>
            <w:tcW w:w="1709" w:type="dxa"/>
            <w:vMerge w:val="continue"/>
          </w:tcPr>
          <w:p>
            <w:pPr>
              <w:pStyle w:val="38"/>
              <w:rPr>
                <w:rFonts w:hint="eastAsia" w:cs="Times New Roman"/>
                <w:color w:val="auto"/>
                <w:highlight w:val="none"/>
                <w:vertAlign w:val="baseline"/>
              </w:rPr>
            </w:pPr>
          </w:p>
        </w:tc>
        <w:tc>
          <w:tcPr>
            <w:tcW w:w="1109" w:type="dxa"/>
            <w:vMerge w:val="continue"/>
          </w:tcPr>
          <w:p>
            <w:pPr>
              <w:pStyle w:val="38"/>
              <w:rPr>
                <w:rFonts w:hint="eastAsia" w:cs="Times New Roman"/>
                <w:color w:val="auto"/>
                <w:highlight w:val="none"/>
                <w:vertAlign w:val="baseline"/>
              </w:rPr>
            </w:pPr>
          </w:p>
        </w:tc>
        <w:tc>
          <w:tcPr>
            <w:tcW w:w="1179" w:type="dxa"/>
            <w:vMerge w:val="continue"/>
          </w:tcPr>
          <w:p>
            <w:pPr>
              <w:pStyle w:val="38"/>
              <w:rPr>
                <w:rFonts w:hint="eastAsia" w:cs="Times New Roman"/>
                <w:color w:val="auto"/>
                <w:highlight w:val="none"/>
                <w:vertAlign w:val="baseline"/>
              </w:rPr>
            </w:pPr>
          </w:p>
        </w:tc>
        <w:tc>
          <w:tcPr>
            <w:tcW w:w="769" w:type="dxa"/>
            <w:vAlign w:val="center"/>
          </w:tcPr>
          <w:p>
            <w:pPr>
              <w:widowControl/>
              <w:jc w:val="center"/>
              <w:textAlignment w:val="center"/>
              <w:rPr>
                <w:rFonts w:hint="eastAsia" w:cs="Times New Roman"/>
                <w:color w:val="auto"/>
                <w:highlight w:val="none"/>
                <w:vertAlign w:val="baseline"/>
              </w:rPr>
            </w:pPr>
            <w:r>
              <w:rPr>
                <w:rFonts w:hint="eastAsia" w:ascii="宋体" w:hAnsi="宋体" w:eastAsia="宋体" w:cs="宋体"/>
                <w:color w:val="auto"/>
                <w:kern w:val="0"/>
                <w:sz w:val="18"/>
                <w:szCs w:val="18"/>
                <w:highlight w:val="none"/>
                <w:lang w:bidi="ar"/>
              </w:rPr>
              <w:t>水平</w:t>
            </w:r>
          </w:p>
        </w:tc>
        <w:tc>
          <w:tcPr>
            <w:tcW w:w="780" w:type="dxa"/>
            <w:vAlign w:val="center"/>
          </w:tcPr>
          <w:p>
            <w:pPr>
              <w:widowControl/>
              <w:jc w:val="center"/>
              <w:textAlignment w:val="center"/>
              <w:rPr>
                <w:rFonts w:hint="eastAsia" w:cs="Times New Roman"/>
                <w:color w:val="auto"/>
                <w:highlight w:val="none"/>
                <w:vertAlign w:val="baseline"/>
              </w:rPr>
            </w:pPr>
            <w:r>
              <w:rPr>
                <w:rFonts w:hint="eastAsia" w:ascii="宋体" w:hAnsi="宋体" w:eastAsia="宋体" w:cs="宋体"/>
                <w:color w:val="auto"/>
                <w:kern w:val="0"/>
                <w:sz w:val="18"/>
                <w:szCs w:val="18"/>
                <w:highlight w:val="none"/>
                <w:lang w:bidi="ar"/>
              </w:rPr>
              <w:t>垂直</w:t>
            </w:r>
          </w:p>
        </w:tc>
        <w:tc>
          <w:tcPr>
            <w:tcW w:w="3079" w:type="dxa"/>
            <w:vMerge w:val="continue"/>
          </w:tcPr>
          <w:p>
            <w:pPr>
              <w:pStyle w:val="38"/>
              <w:rPr>
                <w:rFonts w:hint="eastAsia" w:cs="Times New Roman"/>
                <w:color w:val="auto"/>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Merge w:val="restart"/>
            <w:shd w:val="clear" w:color="auto" w:fill="auto"/>
            <w:vAlign w:val="center"/>
          </w:tcPr>
          <w:p>
            <w:pPr>
              <w:widowControl/>
              <w:jc w:val="center"/>
              <w:textAlignment w:val="center"/>
              <w:rPr>
                <w:rFonts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游泳</w:t>
            </w:r>
          </w:p>
          <w:p>
            <w:pPr>
              <w:widowControl/>
              <w:jc w:val="center"/>
              <w:textAlignment w:val="center"/>
              <w:rPr>
                <w:rFonts w:hint="eastAsia" w:ascii="宋体" w:hAnsi="宋体" w:eastAsia="宋体" w:cs="宋体"/>
                <w:color w:val="auto"/>
                <w:kern w:val="0"/>
                <w:sz w:val="18"/>
                <w:szCs w:val="18"/>
                <w:highlight w:val="none"/>
                <w:lang w:val="en-US" w:eastAsia="zh-CN" w:bidi="ar"/>
              </w:rPr>
            </w:pPr>
          </w:p>
          <w:p>
            <w:pPr>
              <w:widowControl/>
              <w:jc w:val="center"/>
              <w:textAlignment w:val="center"/>
              <w:rPr>
                <w:rFonts w:hint="eastAsia" w:ascii="宋体" w:hAnsi="宋体" w:eastAsia="宋体" w:cs="宋体"/>
                <w:color w:val="auto"/>
                <w:kern w:val="2"/>
                <w:sz w:val="18"/>
                <w:szCs w:val="18"/>
                <w:highlight w:val="none"/>
                <w:lang w:val="en-US" w:eastAsia="zh-CN" w:bidi="ar-SA"/>
              </w:rPr>
            </w:pPr>
          </w:p>
        </w:tc>
        <w:tc>
          <w:tcPr>
            <w:tcW w:w="1709"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泳池:50×25</w:t>
            </w:r>
          </w:p>
        </w:tc>
        <w:tc>
          <w:tcPr>
            <w:tcW w:w="1109"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2.5×2.5</w:t>
            </w:r>
          </w:p>
        </w:tc>
        <w:tc>
          <w:tcPr>
            <w:tcW w:w="1179"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5×5</w:t>
            </w:r>
          </w:p>
        </w:tc>
        <w:tc>
          <w:tcPr>
            <w:tcW w:w="769"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水面上0.2m</w:t>
            </w:r>
          </w:p>
        </w:tc>
        <w:tc>
          <w:tcPr>
            <w:tcW w:w="78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水面上0.2m</w:t>
            </w:r>
          </w:p>
        </w:tc>
        <w:tc>
          <w:tcPr>
            <w:tcW w:w="3079" w:type="dxa"/>
            <w:vMerge w:val="restart"/>
            <w:shd w:val="clear" w:color="auto" w:fill="auto"/>
            <w:vAlign w:val="center"/>
          </w:tcPr>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主摄像机设置在平行于泳池纵轴的主看台上，与游泳者平行的跑动摄像机跟随游泳者运动；</w:t>
            </w:r>
          </w:p>
          <w:p>
            <w:pPr>
              <w:widowControl/>
              <w:jc w:val="left"/>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辅摄像机设置在泳池两端用来拍摄起跳和转身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Merge w:val="continue"/>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p>
        </w:tc>
        <w:tc>
          <w:tcPr>
            <w:tcW w:w="1709"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出发台和颁奖区</w:t>
            </w:r>
          </w:p>
        </w:tc>
        <w:tc>
          <w:tcPr>
            <w:tcW w:w="1109"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1×1</w:t>
            </w:r>
          </w:p>
        </w:tc>
        <w:tc>
          <w:tcPr>
            <w:tcW w:w="1179"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1×1</w:t>
            </w:r>
          </w:p>
        </w:tc>
        <w:tc>
          <w:tcPr>
            <w:tcW w:w="769"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地面</w:t>
            </w:r>
          </w:p>
        </w:tc>
        <w:tc>
          <w:tcPr>
            <w:tcW w:w="78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1.5</w:t>
            </w:r>
          </w:p>
        </w:tc>
        <w:tc>
          <w:tcPr>
            <w:tcW w:w="3079" w:type="dxa"/>
            <w:vMerge w:val="continue"/>
            <w:shd w:val="clear" w:color="auto" w:fill="auto"/>
            <w:vAlign w:val="center"/>
          </w:tcPr>
          <w:p>
            <w:pPr>
              <w:widowControl/>
              <w:jc w:val="left"/>
              <w:textAlignment w:val="center"/>
              <w:rPr>
                <w:rFonts w:hint="eastAsia" w:ascii="宋体" w:hAnsi="宋体" w:eastAsia="宋体" w:cs="宋体"/>
                <w:color w:val="auto"/>
                <w:kern w:val="0"/>
                <w:sz w:val="18"/>
                <w:szCs w:val="1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restart"/>
            <w:shd w:val="clear" w:color="auto" w:fill="auto"/>
            <w:vAlign w:val="center"/>
          </w:tcPr>
          <w:p>
            <w:pPr>
              <w:widowControl/>
              <w:jc w:val="center"/>
              <w:textAlignment w:val="center"/>
              <w:rPr>
                <w:rFonts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跳水</w:t>
            </w:r>
          </w:p>
          <w:p>
            <w:pPr>
              <w:widowControl/>
              <w:jc w:val="center"/>
              <w:textAlignment w:val="center"/>
              <w:rPr>
                <w:rFonts w:hint="eastAsia" w:ascii="宋体" w:hAnsi="宋体" w:eastAsia="宋体" w:cs="宋体"/>
                <w:color w:val="auto"/>
                <w:kern w:val="2"/>
                <w:sz w:val="18"/>
                <w:szCs w:val="18"/>
                <w:highlight w:val="none"/>
                <w:lang w:val="en-US" w:eastAsia="zh-CN" w:bidi="ar-SA"/>
              </w:rPr>
            </w:pPr>
          </w:p>
        </w:tc>
        <w:tc>
          <w:tcPr>
            <w:tcW w:w="1709"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泳池:25×21</w:t>
            </w:r>
          </w:p>
        </w:tc>
        <w:tc>
          <w:tcPr>
            <w:tcW w:w="1109"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2.5×2.5</w:t>
            </w:r>
          </w:p>
        </w:tc>
        <w:tc>
          <w:tcPr>
            <w:tcW w:w="1179"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5×5</w:t>
            </w:r>
          </w:p>
        </w:tc>
        <w:tc>
          <w:tcPr>
            <w:tcW w:w="769"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水面上0.2m</w:t>
            </w:r>
          </w:p>
        </w:tc>
        <w:tc>
          <w:tcPr>
            <w:tcW w:w="78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水面上0.2m</w:t>
            </w:r>
          </w:p>
        </w:tc>
        <w:tc>
          <w:tcPr>
            <w:tcW w:w="3079" w:type="dxa"/>
            <w:vMerge w:val="restart"/>
            <w:shd w:val="clear" w:color="auto" w:fill="auto"/>
            <w:vAlign w:val="center"/>
          </w:tcPr>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主摄像机设置在平行于跳水平台长轴的看台上；</w:t>
            </w:r>
          </w:p>
          <w:p>
            <w:pPr>
              <w:widowControl/>
              <w:jc w:val="left"/>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辅摄像机设置在跳水池的对角上和跳水池纵轴的前、后位置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p>
        </w:tc>
        <w:tc>
          <w:tcPr>
            <w:tcW w:w="1709"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跳台及跳板(0.5～2)×(4.8～6)</w:t>
            </w:r>
          </w:p>
        </w:tc>
        <w:tc>
          <w:tcPr>
            <w:tcW w:w="1109"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1×1</w:t>
            </w:r>
          </w:p>
        </w:tc>
        <w:tc>
          <w:tcPr>
            <w:tcW w:w="1179"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1×1</w:t>
            </w:r>
          </w:p>
        </w:tc>
        <w:tc>
          <w:tcPr>
            <w:tcW w:w="769"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台面和面板上1.0m</w:t>
            </w:r>
          </w:p>
        </w:tc>
        <w:tc>
          <w:tcPr>
            <w:tcW w:w="78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正前方0.6m，宽2m至水面区域</w:t>
            </w:r>
          </w:p>
        </w:tc>
        <w:tc>
          <w:tcPr>
            <w:tcW w:w="3079" w:type="dxa"/>
            <w:vMerge w:val="continue"/>
            <w:shd w:val="clear" w:color="auto" w:fill="auto"/>
            <w:vAlign w:val="center"/>
          </w:tcPr>
          <w:p>
            <w:pPr>
              <w:widowControl/>
              <w:jc w:val="left"/>
              <w:textAlignment w:val="center"/>
              <w:rPr>
                <w:rFonts w:hint="eastAsia" w:ascii="宋体" w:hAnsi="宋体" w:eastAsia="宋体" w:cs="宋体"/>
                <w:color w:val="auto"/>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网球</w:t>
            </w:r>
          </w:p>
        </w:tc>
        <w:tc>
          <w:tcPr>
            <w:tcW w:w="1709" w:type="dxa"/>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PA：10.97×23.77</w:t>
            </w:r>
          </w:p>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 xml:space="preserve"> TA：18.29×36.57</w:t>
            </w:r>
          </w:p>
        </w:tc>
        <w:tc>
          <w:tcPr>
            <w:tcW w:w="1109"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1×1</w:t>
            </w:r>
          </w:p>
        </w:tc>
        <w:tc>
          <w:tcPr>
            <w:tcW w:w="1179"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2×2</w:t>
            </w:r>
          </w:p>
        </w:tc>
        <w:tc>
          <w:tcPr>
            <w:tcW w:w="769"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1.0</w:t>
            </w:r>
          </w:p>
        </w:tc>
        <w:tc>
          <w:tcPr>
            <w:tcW w:w="78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1.5</w:t>
            </w:r>
          </w:p>
        </w:tc>
        <w:tc>
          <w:tcPr>
            <w:tcW w:w="3079" w:type="dxa"/>
            <w:shd w:val="clear" w:color="auto" w:fill="auto"/>
            <w:vAlign w:val="center"/>
          </w:tcPr>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 xml:space="preserve">主摄像机设置在赛场一段端的看台上； </w:t>
            </w:r>
          </w:p>
          <w:p>
            <w:pPr>
              <w:widowControl/>
              <w:jc w:val="left"/>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辅摄像机设置在底线和球网之间，用于特写、回放及采访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室外足球</w:t>
            </w:r>
          </w:p>
        </w:tc>
        <w:tc>
          <w:tcPr>
            <w:tcW w:w="1709"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105×68</w:t>
            </w:r>
          </w:p>
        </w:tc>
        <w:tc>
          <w:tcPr>
            <w:tcW w:w="1109"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5×5</w:t>
            </w:r>
          </w:p>
        </w:tc>
        <w:tc>
          <w:tcPr>
            <w:tcW w:w="1179"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10×10</w:t>
            </w:r>
          </w:p>
        </w:tc>
        <w:tc>
          <w:tcPr>
            <w:tcW w:w="769"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1.0</w:t>
            </w:r>
          </w:p>
        </w:tc>
        <w:tc>
          <w:tcPr>
            <w:tcW w:w="78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1.5</w:t>
            </w:r>
          </w:p>
        </w:tc>
        <w:tc>
          <w:tcPr>
            <w:tcW w:w="3079" w:type="dxa"/>
            <w:shd w:val="clear" w:color="auto" w:fill="auto"/>
            <w:vAlign w:val="center"/>
          </w:tcPr>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主摄像机设置在赛场中心线延长线主看台上的重要位置；</w:t>
            </w:r>
          </w:p>
          <w:p>
            <w:pPr>
              <w:jc w:val="left"/>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辅摄像机中球门区摄像机设置在看台上或地面上回放16m区内精彩比赛</w:t>
            </w:r>
            <w:r>
              <w:rPr>
                <w:rFonts w:hint="eastAsia" w:ascii="宋体" w:hAnsi="宋体" w:eastAsia="宋体" w:cs="宋体"/>
                <w:color w:val="auto"/>
                <w:kern w:val="0"/>
                <w:sz w:val="18"/>
                <w:szCs w:val="18"/>
                <w:highlight w:val="none"/>
                <w:lang w:eastAsia="zh-CN" w:bidi="ar"/>
              </w:rPr>
              <w:t>和</w:t>
            </w:r>
            <w:r>
              <w:rPr>
                <w:rFonts w:hint="eastAsia" w:ascii="宋体" w:hAnsi="宋体" w:eastAsia="宋体" w:cs="宋体"/>
                <w:color w:val="auto"/>
                <w:kern w:val="0"/>
                <w:sz w:val="18"/>
                <w:szCs w:val="18"/>
                <w:highlight w:val="none"/>
                <w:lang w:bidi="ar"/>
              </w:rPr>
              <w:t>设置在边线作采访和报道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9" w:type="dxa"/>
            <w:vMerge w:val="restart"/>
            <w:shd w:val="clear" w:color="auto" w:fill="auto"/>
            <w:vAlign w:val="center"/>
          </w:tcPr>
          <w:p>
            <w:pPr>
              <w:widowControl/>
              <w:jc w:val="center"/>
              <w:textAlignment w:val="center"/>
              <w:rPr>
                <w:rFonts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田径</w:t>
            </w:r>
          </w:p>
          <w:p>
            <w:pPr>
              <w:widowControl/>
              <w:jc w:val="center"/>
              <w:textAlignment w:val="center"/>
              <w:rPr>
                <w:rFonts w:hint="eastAsia" w:ascii="宋体" w:hAnsi="宋体" w:eastAsia="宋体" w:cs="宋体"/>
                <w:color w:val="auto"/>
                <w:kern w:val="2"/>
                <w:sz w:val="18"/>
                <w:szCs w:val="18"/>
                <w:highlight w:val="none"/>
                <w:lang w:val="en-US" w:eastAsia="zh-CN" w:bidi="ar-SA"/>
              </w:rPr>
            </w:pPr>
          </w:p>
        </w:tc>
        <w:tc>
          <w:tcPr>
            <w:tcW w:w="1709"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181×102</w:t>
            </w:r>
          </w:p>
        </w:tc>
        <w:tc>
          <w:tcPr>
            <w:tcW w:w="1109"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5×5</w:t>
            </w:r>
          </w:p>
        </w:tc>
        <w:tc>
          <w:tcPr>
            <w:tcW w:w="1179"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10×10</w:t>
            </w:r>
          </w:p>
        </w:tc>
        <w:tc>
          <w:tcPr>
            <w:tcW w:w="769" w:type="dxa"/>
            <w:vMerge w:val="restart"/>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1.0</w:t>
            </w:r>
          </w:p>
        </w:tc>
        <w:tc>
          <w:tcPr>
            <w:tcW w:w="780" w:type="dxa"/>
            <w:vMerge w:val="restart"/>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1.5</w:t>
            </w:r>
          </w:p>
        </w:tc>
        <w:tc>
          <w:tcPr>
            <w:tcW w:w="3079" w:type="dxa"/>
            <w:vMerge w:val="restart"/>
            <w:shd w:val="clear" w:color="auto" w:fill="auto"/>
            <w:vAlign w:val="center"/>
          </w:tcPr>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主摄像机设置在有足够高度的看台上以拍摄整场全景，另有主摄像机设置在横轴上、起点与终点；</w:t>
            </w:r>
          </w:p>
          <w:p>
            <w:pPr>
              <w:widowControl/>
              <w:jc w:val="left"/>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辅摄像机有12个或以上，用来拍摄各单项赛事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9" w:type="dxa"/>
            <w:vMerge w:val="continue"/>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p>
        </w:tc>
        <w:tc>
          <w:tcPr>
            <w:tcW w:w="1709"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跑道宽12.5m</w:t>
            </w:r>
          </w:p>
        </w:tc>
        <w:tc>
          <w:tcPr>
            <w:tcW w:w="1109"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2×5</w:t>
            </w:r>
          </w:p>
        </w:tc>
        <w:tc>
          <w:tcPr>
            <w:tcW w:w="1179"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4×10</w:t>
            </w:r>
          </w:p>
        </w:tc>
        <w:tc>
          <w:tcPr>
            <w:tcW w:w="769" w:type="dxa"/>
            <w:vMerge w:val="continue"/>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p>
        </w:tc>
        <w:tc>
          <w:tcPr>
            <w:tcW w:w="780" w:type="dxa"/>
            <w:vMerge w:val="continue"/>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p>
        </w:tc>
        <w:tc>
          <w:tcPr>
            <w:tcW w:w="3079" w:type="dxa"/>
            <w:vMerge w:val="continue"/>
            <w:shd w:val="clear" w:color="auto" w:fill="auto"/>
            <w:vAlign w:val="center"/>
          </w:tcPr>
          <w:p>
            <w:pPr>
              <w:widowControl/>
              <w:jc w:val="left"/>
              <w:textAlignment w:val="center"/>
              <w:rPr>
                <w:rFonts w:hint="eastAsia" w:ascii="宋体" w:hAnsi="宋体" w:eastAsia="宋体" w:cs="宋体"/>
                <w:color w:val="auto"/>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9" w:type="dxa"/>
            <w:vMerge w:val="continue"/>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p>
        </w:tc>
        <w:tc>
          <w:tcPr>
            <w:tcW w:w="1709"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百米终点12×12</w:t>
            </w:r>
          </w:p>
        </w:tc>
        <w:tc>
          <w:tcPr>
            <w:tcW w:w="1109"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2×2</w:t>
            </w:r>
          </w:p>
        </w:tc>
        <w:tc>
          <w:tcPr>
            <w:tcW w:w="1179"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2×2</w:t>
            </w:r>
          </w:p>
        </w:tc>
        <w:tc>
          <w:tcPr>
            <w:tcW w:w="769" w:type="dxa"/>
            <w:vMerge w:val="continue"/>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p>
        </w:tc>
        <w:tc>
          <w:tcPr>
            <w:tcW w:w="780" w:type="dxa"/>
            <w:vMerge w:val="continue"/>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p>
        </w:tc>
        <w:tc>
          <w:tcPr>
            <w:tcW w:w="3079" w:type="dxa"/>
            <w:vMerge w:val="continue"/>
            <w:shd w:val="clear" w:color="auto" w:fill="auto"/>
            <w:vAlign w:val="center"/>
          </w:tcPr>
          <w:p>
            <w:pPr>
              <w:widowControl/>
              <w:jc w:val="left"/>
              <w:textAlignment w:val="center"/>
              <w:rPr>
                <w:rFonts w:hint="eastAsia" w:ascii="宋体" w:hAnsi="宋体" w:eastAsia="宋体" w:cs="宋体"/>
                <w:color w:val="auto"/>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棒球</w:t>
            </w:r>
          </w:p>
        </w:tc>
        <w:tc>
          <w:tcPr>
            <w:tcW w:w="1709"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内场45×45，外场90</w:t>
            </w:r>
            <w:r>
              <w:rPr>
                <w:rStyle w:val="31"/>
                <w:color w:val="auto"/>
                <w:sz w:val="18"/>
                <w:szCs w:val="18"/>
                <w:highlight w:val="none"/>
                <w:lang w:bidi="ar"/>
              </w:rPr>
              <w:t>°</w:t>
            </w:r>
            <w:r>
              <w:rPr>
                <w:rStyle w:val="32"/>
                <w:rFonts w:hint="default"/>
                <w:color w:val="auto"/>
                <w:sz w:val="18"/>
                <w:szCs w:val="18"/>
                <w:highlight w:val="none"/>
                <w:lang w:bidi="ar"/>
              </w:rPr>
              <w:t>扇形，R=120扇形和扇形两边线外18.29m围栏以内的区域</w:t>
            </w:r>
          </w:p>
        </w:tc>
        <w:tc>
          <w:tcPr>
            <w:tcW w:w="1109" w:type="dxa"/>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内场2.5×2.5</w:t>
            </w:r>
          </w:p>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外场5×5</w:t>
            </w:r>
          </w:p>
        </w:tc>
        <w:tc>
          <w:tcPr>
            <w:tcW w:w="1179" w:type="dxa"/>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内场5×5</w:t>
            </w:r>
          </w:p>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外场10×10</w:t>
            </w:r>
          </w:p>
        </w:tc>
        <w:tc>
          <w:tcPr>
            <w:tcW w:w="769"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1.0</w:t>
            </w:r>
          </w:p>
        </w:tc>
        <w:tc>
          <w:tcPr>
            <w:tcW w:w="78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1.5</w:t>
            </w:r>
          </w:p>
        </w:tc>
        <w:tc>
          <w:tcPr>
            <w:tcW w:w="3079" w:type="dxa"/>
            <w:shd w:val="clear" w:color="auto" w:fill="auto"/>
            <w:vAlign w:val="center"/>
          </w:tcPr>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主摄像机设置在1垒与3垒连线击球方向延长线上和3垒与1垒、2垒、4垒连线延长线的看台上；</w:t>
            </w:r>
          </w:p>
          <w:p>
            <w:pPr>
              <w:widowControl/>
              <w:jc w:val="left"/>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辅摄像机设置在场地周边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曲棍球</w:t>
            </w:r>
          </w:p>
        </w:tc>
        <w:tc>
          <w:tcPr>
            <w:tcW w:w="1709"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91.4×54.84</w:t>
            </w:r>
          </w:p>
        </w:tc>
        <w:tc>
          <w:tcPr>
            <w:tcW w:w="1109"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5×5</w:t>
            </w:r>
          </w:p>
        </w:tc>
        <w:tc>
          <w:tcPr>
            <w:tcW w:w="1179"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10×10</w:t>
            </w:r>
          </w:p>
        </w:tc>
        <w:tc>
          <w:tcPr>
            <w:tcW w:w="769"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1.0</w:t>
            </w:r>
          </w:p>
        </w:tc>
        <w:tc>
          <w:tcPr>
            <w:tcW w:w="78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1.5</w:t>
            </w:r>
          </w:p>
        </w:tc>
        <w:tc>
          <w:tcPr>
            <w:tcW w:w="3079" w:type="dxa"/>
            <w:shd w:val="clear" w:color="auto" w:fill="auto"/>
            <w:vAlign w:val="center"/>
          </w:tcPr>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主摄像机设置在场地中心线延长线主看台上的重要位置；</w:t>
            </w:r>
          </w:p>
          <w:p>
            <w:pPr>
              <w:widowControl/>
              <w:jc w:val="left"/>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辅摄像机可用来回放赛场上重要的动作，如球门区和角区击球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垒球</w:t>
            </w:r>
          </w:p>
        </w:tc>
        <w:tc>
          <w:tcPr>
            <w:tcW w:w="1709"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内场30×30</w:t>
            </w:r>
            <w:r>
              <w:rPr>
                <w:rFonts w:hint="eastAsia" w:ascii="宋体" w:hAnsi="宋体" w:cs="宋体"/>
                <w:color w:val="auto"/>
                <w:kern w:val="0"/>
                <w:sz w:val="18"/>
                <w:szCs w:val="18"/>
                <w:highlight w:val="none"/>
                <w:lang w:bidi="ar"/>
              </w:rPr>
              <w:t>；</w:t>
            </w:r>
            <w:r>
              <w:rPr>
                <w:rFonts w:hint="eastAsia" w:ascii="宋体" w:hAnsi="宋体" w:eastAsia="宋体" w:cs="宋体"/>
                <w:color w:val="auto"/>
                <w:kern w:val="0"/>
                <w:sz w:val="18"/>
                <w:szCs w:val="18"/>
                <w:highlight w:val="none"/>
                <w:lang w:bidi="ar"/>
              </w:rPr>
              <w:t>外场90</w:t>
            </w:r>
            <w:r>
              <w:rPr>
                <w:rStyle w:val="31"/>
                <w:color w:val="auto"/>
                <w:sz w:val="18"/>
                <w:szCs w:val="18"/>
                <w:highlight w:val="none"/>
                <w:lang w:bidi="ar"/>
              </w:rPr>
              <w:t>°</w:t>
            </w:r>
            <w:r>
              <w:rPr>
                <w:rStyle w:val="32"/>
                <w:rFonts w:hint="default"/>
                <w:color w:val="auto"/>
                <w:sz w:val="18"/>
                <w:szCs w:val="18"/>
                <w:highlight w:val="none"/>
                <w:lang w:bidi="ar"/>
              </w:rPr>
              <w:t>扇形，R=61m</w:t>
            </w:r>
            <w:r>
              <w:rPr>
                <w:rFonts w:hint="eastAsia" w:ascii="宋体" w:hAnsi="宋体" w:eastAsia="宋体" w:cs="宋体"/>
                <w:color w:val="auto"/>
                <w:kern w:val="0"/>
                <w:sz w:val="18"/>
                <w:szCs w:val="18"/>
                <w:highlight w:val="none"/>
                <w:lang w:bidi="ar"/>
              </w:rPr>
              <w:t>～</w:t>
            </w:r>
            <w:r>
              <w:rPr>
                <w:rStyle w:val="32"/>
                <w:rFonts w:hint="default"/>
                <w:color w:val="auto"/>
                <w:sz w:val="18"/>
                <w:szCs w:val="18"/>
                <w:highlight w:val="none"/>
                <w:lang w:bidi="ar"/>
              </w:rPr>
              <w:t>70m扇形和扇形两边线外7.62m围栏以内的区域</w:t>
            </w:r>
          </w:p>
        </w:tc>
        <w:tc>
          <w:tcPr>
            <w:tcW w:w="1109" w:type="dxa"/>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内场2.5×2.5</w:t>
            </w:r>
          </w:p>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外场5×5</w:t>
            </w:r>
          </w:p>
        </w:tc>
        <w:tc>
          <w:tcPr>
            <w:tcW w:w="1179" w:type="dxa"/>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内场5×5</w:t>
            </w:r>
          </w:p>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外场10×10</w:t>
            </w:r>
          </w:p>
        </w:tc>
        <w:tc>
          <w:tcPr>
            <w:tcW w:w="769"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1.0</w:t>
            </w:r>
          </w:p>
        </w:tc>
        <w:tc>
          <w:tcPr>
            <w:tcW w:w="78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1.5</w:t>
            </w:r>
          </w:p>
        </w:tc>
        <w:tc>
          <w:tcPr>
            <w:tcW w:w="3079" w:type="dxa"/>
            <w:shd w:val="clear" w:color="auto" w:fill="auto"/>
            <w:vAlign w:val="center"/>
          </w:tcPr>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主摄像机设置在1垒与3垒连线击球方向延长线上和3垒与1垒、2垒、4垒连线延长线的看台上；</w:t>
            </w:r>
          </w:p>
          <w:p>
            <w:pPr>
              <w:widowControl/>
              <w:jc w:val="left"/>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辅摄像机设置在场地周边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橄榄球</w:t>
            </w:r>
          </w:p>
        </w:tc>
        <w:tc>
          <w:tcPr>
            <w:tcW w:w="1709"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120×68</w:t>
            </w:r>
          </w:p>
        </w:tc>
        <w:tc>
          <w:tcPr>
            <w:tcW w:w="1109"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5×5</w:t>
            </w:r>
          </w:p>
        </w:tc>
        <w:tc>
          <w:tcPr>
            <w:tcW w:w="1179"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10×10</w:t>
            </w:r>
          </w:p>
        </w:tc>
        <w:tc>
          <w:tcPr>
            <w:tcW w:w="769"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1.0</w:t>
            </w:r>
          </w:p>
        </w:tc>
        <w:tc>
          <w:tcPr>
            <w:tcW w:w="78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1.5</w:t>
            </w:r>
          </w:p>
        </w:tc>
        <w:tc>
          <w:tcPr>
            <w:tcW w:w="3079" w:type="dxa"/>
            <w:shd w:val="clear" w:color="auto" w:fill="auto"/>
            <w:vAlign w:val="center"/>
          </w:tcPr>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主摄像机设置在中心线的延长线上主看台上的重要位置；</w:t>
            </w:r>
          </w:p>
          <w:p>
            <w:pPr>
              <w:widowControl/>
              <w:jc w:val="left"/>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辅摄像机设置在边线和球门后面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沙滩排球</w:t>
            </w:r>
          </w:p>
        </w:tc>
        <w:tc>
          <w:tcPr>
            <w:tcW w:w="1709"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16×8四周有5m宽活动区，外加围栏</w:t>
            </w:r>
          </w:p>
        </w:tc>
        <w:tc>
          <w:tcPr>
            <w:tcW w:w="1109"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1×1</w:t>
            </w:r>
          </w:p>
        </w:tc>
        <w:tc>
          <w:tcPr>
            <w:tcW w:w="1179"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2×2</w:t>
            </w:r>
          </w:p>
        </w:tc>
        <w:tc>
          <w:tcPr>
            <w:tcW w:w="769"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1.0</w:t>
            </w:r>
          </w:p>
        </w:tc>
        <w:tc>
          <w:tcPr>
            <w:tcW w:w="780" w:type="dxa"/>
            <w:shd w:val="clear" w:color="auto" w:fill="auto"/>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1.5</w:t>
            </w:r>
          </w:p>
        </w:tc>
        <w:tc>
          <w:tcPr>
            <w:tcW w:w="3079" w:type="dxa"/>
            <w:shd w:val="clear" w:color="auto" w:fill="auto"/>
            <w:vAlign w:val="center"/>
          </w:tcPr>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主摄像机设置在主看台、中央看台左右侧；</w:t>
            </w:r>
          </w:p>
          <w:p>
            <w:pPr>
              <w:widowControl/>
              <w:jc w:val="left"/>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辅摄像机设置在东、西侧底线、球网处</w:t>
            </w:r>
          </w:p>
        </w:tc>
      </w:tr>
    </w:tbl>
    <w:p>
      <w:pPr>
        <w:pStyle w:val="38"/>
        <w:ind w:firstLine="2700" w:firstLineChars="1500"/>
        <w:jc w:val="left"/>
        <w:rPr>
          <w:rFonts w:hint="eastAsia" w:cs="Times New Roman"/>
          <w:color w:val="auto"/>
          <w:highlight w:val="none"/>
          <w:lang w:val="en-US" w:eastAsia="zh-CN"/>
        </w:rPr>
      </w:pPr>
    </w:p>
    <w:p>
      <w:pPr>
        <w:pStyle w:val="38"/>
        <w:ind w:firstLine="2700" w:firstLineChars="1500"/>
        <w:jc w:val="left"/>
        <w:rPr>
          <w:rFonts w:hint="default" w:cs="Times New Roman"/>
          <w:color w:val="auto"/>
          <w:highlight w:val="none"/>
          <w:lang w:val="en-US" w:eastAsia="zh-CN"/>
        </w:rPr>
      </w:pPr>
    </w:p>
    <w:p>
      <w:pPr>
        <w:keepNext/>
        <w:keepLines/>
        <w:widowControl w:val="0"/>
        <w:spacing w:before="480" w:after="240" w:line="276" w:lineRule="auto"/>
        <w:jc w:val="center"/>
        <w:outlineLvl w:val="0"/>
        <w:rPr>
          <w:rFonts w:ascii="Times New Roman" w:hAnsi="Times New Roman" w:eastAsia="宋体" w:cs="Times New Roman"/>
          <w:b/>
          <w:bCs/>
          <w:color w:val="auto"/>
          <w:kern w:val="44"/>
          <w:sz w:val="28"/>
          <w:szCs w:val="44"/>
          <w:highlight w:val="none"/>
          <w:lang w:val="en-US" w:eastAsia="zh-CN" w:bidi="ar-SA"/>
        </w:rPr>
      </w:pPr>
      <w:bookmarkStart w:id="328" w:name="_Toc24316"/>
      <w:bookmarkStart w:id="329" w:name="_Toc55682890"/>
      <w:bookmarkStart w:id="330" w:name="_Toc12655"/>
      <w:bookmarkStart w:id="331" w:name="_Toc55684440"/>
      <w:bookmarkStart w:id="332" w:name="_Toc58161670"/>
      <w:bookmarkStart w:id="333" w:name="_Toc15607"/>
      <w:bookmarkStart w:id="334" w:name="_Toc24462"/>
      <w:bookmarkStart w:id="335" w:name="_Toc345101979"/>
      <w:bookmarkStart w:id="336" w:name="_Toc19660"/>
      <w:bookmarkStart w:id="337" w:name="_Toc26041686"/>
      <w:bookmarkStart w:id="338" w:name="_Toc23672515"/>
      <w:r>
        <w:rPr>
          <w:rFonts w:ascii="Times New Roman" w:hAnsi="Times New Roman" w:eastAsia="宋体" w:cs="Times New Roman"/>
          <w:b/>
          <w:bCs/>
          <w:color w:val="auto"/>
          <w:kern w:val="44"/>
          <w:sz w:val="28"/>
          <w:szCs w:val="44"/>
          <w:highlight w:val="none"/>
          <w:lang w:val="en-US" w:eastAsia="zh-CN" w:bidi="ar-SA"/>
        </w:rPr>
        <w:t>本标准用词说明</w:t>
      </w:r>
      <w:bookmarkEnd w:id="328"/>
      <w:bookmarkEnd w:id="329"/>
      <w:bookmarkEnd w:id="330"/>
      <w:bookmarkEnd w:id="331"/>
      <w:bookmarkEnd w:id="332"/>
      <w:bookmarkEnd w:id="333"/>
      <w:bookmarkEnd w:id="334"/>
      <w:bookmarkEnd w:id="335"/>
      <w:bookmarkEnd w:id="336"/>
      <w:bookmarkEnd w:id="337"/>
      <w:bookmarkEnd w:id="338"/>
    </w:p>
    <w:p>
      <w:pPr>
        <w:widowControl w:val="0"/>
        <w:autoSpaceDE w:val="0"/>
        <w:autoSpaceDN w:val="0"/>
        <w:adjustRightInd w:val="0"/>
        <w:spacing w:line="276" w:lineRule="auto"/>
        <w:ind w:left="424" w:leftChars="202"/>
        <w:rPr>
          <w:rFonts w:ascii="Times New Roman" w:hAnsi="Times New Roman" w:eastAsia="宋体" w:cs="Times New Roman"/>
          <w:color w:val="auto"/>
          <w:sz w:val="21"/>
          <w:szCs w:val="21"/>
          <w:highlight w:val="none"/>
          <w:lang w:val="en-US" w:eastAsia="zh-CN" w:bidi="ar-SA"/>
        </w:rPr>
      </w:pPr>
      <w:r>
        <w:rPr>
          <w:rFonts w:ascii="Times New Roman" w:hAnsi="Times New Roman" w:eastAsia="宋体" w:cs="Times New Roman"/>
          <w:b/>
          <w:color w:val="auto"/>
          <w:sz w:val="21"/>
          <w:szCs w:val="21"/>
          <w:highlight w:val="none"/>
          <w:lang w:val="en-US" w:eastAsia="zh-CN" w:bidi="ar-SA"/>
        </w:rPr>
        <w:t>1</w:t>
      </w:r>
      <w:r>
        <w:rPr>
          <w:rFonts w:ascii="Times New Roman" w:hAnsi="Times New Roman" w:eastAsia="宋体" w:cs="Times New Roman"/>
          <w:color w:val="auto"/>
          <w:sz w:val="21"/>
          <w:szCs w:val="21"/>
          <w:highlight w:val="none"/>
          <w:lang w:val="en-US" w:eastAsia="zh-CN" w:bidi="ar-SA"/>
        </w:rPr>
        <w:t xml:space="preserve">  为便于在执行本标准条文时区别对待，对于要求严格程度不同的用词说明如下：</w:t>
      </w:r>
    </w:p>
    <w:p>
      <w:pPr>
        <w:widowControl w:val="0"/>
        <w:autoSpaceDE w:val="0"/>
        <w:autoSpaceDN w:val="0"/>
        <w:adjustRightInd w:val="0"/>
        <w:spacing w:line="276" w:lineRule="auto"/>
        <w:ind w:left="424" w:leftChars="202" w:firstLine="422" w:firstLineChars="200"/>
        <w:textAlignment w:val="center"/>
        <w:rPr>
          <w:rFonts w:ascii="Times New Roman" w:hAnsi="Times New Roman" w:eastAsia="宋体" w:cs="Times New Roman"/>
          <w:color w:val="auto"/>
          <w:sz w:val="21"/>
          <w:szCs w:val="21"/>
          <w:highlight w:val="none"/>
          <w:lang w:val="en-US" w:eastAsia="zh-CN" w:bidi="ar-SA"/>
        </w:rPr>
      </w:pPr>
      <w:r>
        <w:rPr>
          <w:rFonts w:ascii="Times New Roman" w:hAnsi="Times New Roman" w:eastAsia="宋体" w:cs="Times New Roman"/>
          <w:b/>
          <w:color w:val="auto"/>
          <w:sz w:val="21"/>
          <w:szCs w:val="21"/>
          <w:highlight w:val="none"/>
          <w:lang w:val="en-US" w:eastAsia="zh-CN" w:bidi="ar-SA"/>
        </w:rPr>
        <w:t>1）</w:t>
      </w:r>
      <w:r>
        <w:rPr>
          <w:rFonts w:ascii="Times New Roman" w:hAnsi="Times New Roman" w:eastAsia="宋体" w:cs="Times New Roman"/>
          <w:color w:val="auto"/>
          <w:sz w:val="21"/>
          <w:szCs w:val="21"/>
          <w:highlight w:val="none"/>
          <w:lang w:val="en-US" w:eastAsia="zh-CN" w:bidi="ar-SA"/>
        </w:rPr>
        <w:t>表示很严格，非这样做不可的：</w:t>
      </w:r>
    </w:p>
    <w:p>
      <w:pPr>
        <w:widowControl w:val="0"/>
        <w:autoSpaceDE w:val="0"/>
        <w:autoSpaceDN w:val="0"/>
        <w:adjustRightInd w:val="0"/>
        <w:spacing w:line="276" w:lineRule="auto"/>
        <w:ind w:left="424" w:leftChars="202" w:firstLine="735" w:firstLineChars="350"/>
        <w:textAlignment w:val="center"/>
        <w:rPr>
          <w:rFonts w:ascii="Times New Roman" w:hAnsi="Times New Roman" w:eastAsia="宋体" w:cs="Times New Roman"/>
          <w:color w:val="auto"/>
          <w:sz w:val="21"/>
          <w:szCs w:val="21"/>
          <w:highlight w:val="none"/>
          <w:lang w:val="en-US" w:eastAsia="zh-CN" w:bidi="ar-SA"/>
        </w:rPr>
      </w:pPr>
      <w:r>
        <w:rPr>
          <w:rFonts w:ascii="Times New Roman" w:hAnsi="Times New Roman" w:eastAsia="宋体" w:cs="Times New Roman"/>
          <w:color w:val="auto"/>
          <w:sz w:val="21"/>
          <w:szCs w:val="21"/>
          <w:highlight w:val="none"/>
          <w:lang w:val="en-US" w:eastAsia="zh-CN" w:bidi="ar-SA"/>
        </w:rPr>
        <w:t>正面词采用“必须”，反面词采用“严禁”；</w:t>
      </w:r>
    </w:p>
    <w:p>
      <w:pPr>
        <w:widowControl w:val="0"/>
        <w:autoSpaceDE w:val="0"/>
        <w:autoSpaceDN w:val="0"/>
        <w:adjustRightInd w:val="0"/>
        <w:spacing w:line="276" w:lineRule="auto"/>
        <w:ind w:left="424" w:leftChars="202" w:firstLine="422" w:firstLineChars="200"/>
        <w:textAlignment w:val="center"/>
        <w:rPr>
          <w:rFonts w:ascii="Times New Roman" w:hAnsi="Times New Roman" w:eastAsia="宋体" w:cs="Times New Roman"/>
          <w:color w:val="auto"/>
          <w:sz w:val="21"/>
          <w:szCs w:val="21"/>
          <w:highlight w:val="none"/>
          <w:lang w:val="en-US" w:eastAsia="zh-CN" w:bidi="ar-SA"/>
        </w:rPr>
      </w:pPr>
      <w:r>
        <w:rPr>
          <w:rFonts w:ascii="Times New Roman" w:hAnsi="Times New Roman" w:eastAsia="宋体" w:cs="Times New Roman"/>
          <w:b/>
          <w:color w:val="auto"/>
          <w:sz w:val="21"/>
          <w:szCs w:val="21"/>
          <w:highlight w:val="none"/>
          <w:lang w:val="en-US" w:eastAsia="zh-CN" w:bidi="ar-SA"/>
        </w:rPr>
        <w:t>2）</w:t>
      </w:r>
      <w:r>
        <w:rPr>
          <w:rFonts w:ascii="Times New Roman" w:hAnsi="Times New Roman" w:eastAsia="宋体" w:cs="Times New Roman"/>
          <w:color w:val="auto"/>
          <w:sz w:val="21"/>
          <w:szCs w:val="21"/>
          <w:highlight w:val="none"/>
          <w:lang w:val="en-US" w:eastAsia="zh-CN" w:bidi="ar-SA"/>
        </w:rPr>
        <w:t>表示严格，在正常情况下均应这样做的：</w:t>
      </w:r>
    </w:p>
    <w:p>
      <w:pPr>
        <w:widowControl w:val="0"/>
        <w:autoSpaceDE w:val="0"/>
        <w:autoSpaceDN w:val="0"/>
        <w:adjustRightInd w:val="0"/>
        <w:spacing w:line="276" w:lineRule="auto"/>
        <w:ind w:left="424" w:leftChars="202" w:firstLine="735" w:firstLineChars="350"/>
        <w:textAlignment w:val="center"/>
        <w:rPr>
          <w:rFonts w:ascii="Times New Roman" w:hAnsi="Times New Roman" w:eastAsia="宋体" w:cs="Times New Roman"/>
          <w:color w:val="auto"/>
          <w:sz w:val="21"/>
          <w:szCs w:val="21"/>
          <w:highlight w:val="none"/>
          <w:lang w:val="en-US" w:eastAsia="zh-CN" w:bidi="ar-SA"/>
        </w:rPr>
      </w:pPr>
      <w:r>
        <w:rPr>
          <w:rFonts w:ascii="Times New Roman" w:hAnsi="Times New Roman" w:eastAsia="宋体" w:cs="Times New Roman"/>
          <w:color w:val="auto"/>
          <w:sz w:val="21"/>
          <w:szCs w:val="21"/>
          <w:highlight w:val="none"/>
          <w:lang w:val="en-US" w:eastAsia="zh-CN" w:bidi="ar-SA"/>
        </w:rPr>
        <w:t>正面词采用“应”，反面词采用“不应”或“不得”；</w:t>
      </w:r>
    </w:p>
    <w:p>
      <w:pPr>
        <w:widowControl w:val="0"/>
        <w:autoSpaceDE w:val="0"/>
        <w:autoSpaceDN w:val="0"/>
        <w:adjustRightInd w:val="0"/>
        <w:spacing w:line="276" w:lineRule="auto"/>
        <w:ind w:left="424" w:leftChars="202" w:firstLine="422" w:firstLineChars="200"/>
        <w:textAlignment w:val="center"/>
        <w:rPr>
          <w:rFonts w:ascii="Times New Roman" w:hAnsi="Times New Roman" w:eastAsia="宋体" w:cs="Times New Roman"/>
          <w:color w:val="auto"/>
          <w:sz w:val="21"/>
          <w:szCs w:val="21"/>
          <w:highlight w:val="none"/>
          <w:lang w:val="en-US" w:eastAsia="zh-CN" w:bidi="ar-SA"/>
        </w:rPr>
      </w:pPr>
      <w:r>
        <w:rPr>
          <w:rFonts w:ascii="Times New Roman" w:hAnsi="Times New Roman" w:eastAsia="宋体" w:cs="Times New Roman"/>
          <w:b/>
          <w:color w:val="auto"/>
          <w:sz w:val="21"/>
          <w:szCs w:val="21"/>
          <w:highlight w:val="none"/>
          <w:lang w:val="en-US" w:eastAsia="zh-CN" w:bidi="ar-SA"/>
        </w:rPr>
        <w:t>3）</w:t>
      </w:r>
      <w:r>
        <w:rPr>
          <w:rFonts w:ascii="Times New Roman" w:hAnsi="Times New Roman" w:eastAsia="宋体" w:cs="Times New Roman"/>
          <w:color w:val="auto"/>
          <w:sz w:val="21"/>
          <w:szCs w:val="21"/>
          <w:highlight w:val="none"/>
          <w:lang w:val="en-US" w:eastAsia="zh-CN" w:bidi="ar-SA"/>
        </w:rPr>
        <w:t>表示允许稍有选择，在条件许可时，首先应这样做的：</w:t>
      </w:r>
    </w:p>
    <w:p>
      <w:pPr>
        <w:widowControl w:val="0"/>
        <w:autoSpaceDE w:val="0"/>
        <w:autoSpaceDN w:val="0"/>
        <w:adjustRightInd w:val="0"/>
        <w:spacing w:line="276" w:lineRule="auto"/>
        <w:ind w:left="424" w:leftChars="202" w:firstLine="735" w:firstLineChars="350"/>
        <w:textAlignment w:val="center"/>
        <w:rPr>
          <w:rFonts w:ascii="Times New Roman" w:hAnsi="Times New Roman" w:eastAsia="宋体" w:cs="Times New Roman"/>
          <w:color w:val="auto"/>
          <w:sz w:val="21"/>
          <w:szCs w:val="21"/>
          <w:highlight w:val="none"/>
          <w:lang w:val="en-US" w:eastAsia="zh-CN" w:bidi="ar-SA"/>
        </w:rPr>
      </w:pPr>
      <w:r>
        <w:rPr>
          <w:rFonts w:ascii="Times New Roman" w:hAnsi="Times New Roman" w:eastAsia="宋体" w:cs="Times New Roman"/>
          <w:color w:val="auto"/>
          <w:sz w:val="21"/>
          <w:szCs w:val="21"/>
          <w:highlight w:val="none"/>
          <w:lang w:val="en-US" w:eastAsia="zh-CN" w:bidi="ar-SA"/>
        </w:rPr>
        <w:t>正面词采用“宜”，反面词采用“不宜”；</w:t>
      </w:r>
    </w:p>
    <w:p>
      <w:pPr>
        <w:widowControl w:val="0"/>
        <w:autoSpaceDE w:val="0"/>
        <w:autoSpaceDN w:val="0"/>
        <w:adjustRightInd w:val="0"/>
        <w:spacing w:line="276" w:lineRule="auto"/>
        <w:ind w:left="424" w:leftChars="202" w:firstLine="420" w:firstLineChars="199"/>
        <w:textAlignment w:val="center"/>
        <w:rPr>
          <w:rFonts w:ascii="Times New Roman" w:hAnsi="Times New Roman" w:eastAsia="宋体" w:cs="Times New Roman"/>
          <w:color w:val="auto"/>
          <w:sz w:val="21"/>
          <w:szCs w:val="21"/>
          <w:highlight w:val="none"/>
          <w:lang w:val="en-US" w:eastAsia="zh-CN" w:bidi="ar-SA"/>
        </w:rPr>
      </w:pPr>
      <w:r>
        <w:rPr>
          <w:rFonts w:ascii="Times New Roman" w:hAnsi="Times New Roman" w:eastAsia="宋体" w:cs="Times New Roman"/>
          <w:b/>
          <w:color w:val="auto"/>
          <w:sz w:val="21"/>
          <w:szCs w:val="21"/>
          <w:highlight w:val="none"/>
          <w:lang w:val="en-US" w:eastAsia="zh-CN" w:bidi="ar-SA"/>
        </w:rPr>
        <w:t>4）</w:t>
      </w:r>
      <w:r>
        <w:rPr>
          <w:rFonts w:ascii="Times New Roman" w:hAnsi="Times New Roman" w:eastAsia="宋体" w:cs="Times New Roman"/>
          <w:color w:val="auto"/>
          <w:sz w:val="21"/>
          <w:szCs w:val="21"/>
          <w:highlight w:val="none"/>
          <w:lang w:val="en-US" w:eastAsia="zh-CN" w:bidi="ar-SA"/>
        </w:rPr>
        <w:t>表示有选择，在一定条件下可以这样做的，采用“可”。</w:t>
      </w:r>
    </w:p>
    <w:p>
      <w:pPr>
        <w:rPr>
          <w:rFonts w:hint="default"/>
          <w:color w:val="auto"/>
          <w:sz w:val="21"/>
          <w:szCs w:val="21"/>
          <w:highlight w:val="none"/>
          <w:lang w:val="en-US" w:eastAsia="zh-CN"/>
        </w:rPr>
      </w:pPr>
      <w:r>
        <w:rPr>
          <w:rFonts w:ascii="Times New Roman" w:hAnsi="Times New Roman" w:eastAsia="宋体" w:cs="Times New Roman"/>
          <w:b/>
          <w:color w:val="auto"/>
          <w:sz w:val="21"/>
          <w:szCs w:val="21"/>
          <w:highlight w:val="none"/>
          <w:lang w:val="en-US" w:eastAsia="zh-CN" w:bidi="ar-SA"/>
        </w:rPr>
        <w:t>2</w:t>
      </w:r>
      <w:r>
        <w:rPr>
          <w:rFonts w:ascii="Times New Roman" w:hAnsi="Times New Roman" w:eastAsia="宋体" w:cs="Times New Roman"/>
          <w:color w:val="auto"/>
          <w:sz w:val="21"/>
          <w:szCs w:val="21"/>
          <w:highlight w:val="none"/>
          <w:lang w:val="en-US" w:eastAsia="zh-CN" w:bidi="ar-SA"/>
        </w:rPr>
        <w:t xml:space="preserve">  标准中指明应按其他标准、规范执行的写法为：“应按……执行”或“应符合……的规定（或要求）”。</w:t>
      </w:r>
      <w:r>
        <w:rPr>
          <w:rFonts w:hint="default"/>
          <w:color w:val="auto"/>
          <w:sz w:val="21"/>
          <w:szCs w:val="21"/>
          <w:highlight w:val="none"/>
          <w:lang w:val="en-US" w:eastAsia="zh-CN"/>
        </w:rPr>
        <w:br w:type="page"/>
      </w:r>
    </w:p>
    <w:p>
      <w:pPr>
        <w:keepNext/>
        <w:keepLines/>
        <w:widowControl w:val="0"/>
        <w:spacing w:before="480" w:after="240" w:line="276" w:lineRule="auto"/>
        <w:jc w:val="center"/>
        <w:outlineLvl w:val="0"/>
        <w:rPr>
          <w:rFonts w:ascii="Times New Roman" w:hAnsi="Times New Roman" w:eastAsia="宋体" w:cs="Times New Roman"/>
          <w:b/>
          <w:bCs/>
          <w:color w:val="auto"/>
          <w:kern w:val="44"/>
          <w:sz w:val="28"/>
          <w:szCs w:val="44"/>
          <w:highlight w:val="none"/>
          <w:lang w:val="en-US" w:eastAsia="zh-CN" w:bidi="ar-SA"/>
        </w:rPr>
      </w:pPr>
      <w:bookmarkStart w:id="339" w:name="_Toc26041687"/>
      <w:bookmarkStart w:id="340" w:name="_Toc55684441"/>
      <w:bookmarkStart w:id="341" w:name="_Toc6606"/>
      <w:bookmarkStart w:id="342" w:name="_Toc345101980"/>
      <w:bookmarkStart w:id="343" w:name="_Toc58161671"/>
      <w:bookmarkStart w:id="344" w:name="_Toc55682891"/>
      <w:bookmarkStart w:id="345" w:name="_Toc23672516"/>
      <w:bookmarkStart w:id="346" w:name="_Toc30862"/>
      <w:bookmarkStart w:id="347" w:name="_Toc18686"/>
      <w:bookmarkStart w:id="348" w:name="_Toc17344"/>
      <w:bookmarkStart w:id="349" w:name="_Toc2465"/>
      <w:r>
        <w:rPr>
          <w:rFonts w:ascii="Times New Roman" w:hAnsi="Times New Roman" w:eastAsia="宋体" w:cs="Times New Roman"/>
          <w:b/>
          <w:bCs/>
          <w:color w:val="auto"/>
          <w:kern w:val="44"/>
          <w:sz w:val="28"/>
          <w:szCs w:val="44"/>
          <w:highlight w:val="none"/>
          <w:lang w:val="en-US" w:eastAsia="zh-CN" w:bidi="ar-SA"/>
        </w:rPr>
        <w:t>引用标准名录</w:t>
      </w:r>
      <w:bookmarkEnd w:id="339"/>
      <w:bookmarkEnd w:id="340"/>
      <w:bookmarkEnd w:id="341"/>
      <w:bookmarkEnd w:id="342"/>
      <w:bookmarkEnd w:id="343"/>
      <w:bookmarkEnd w:id="344"/>
      <w:bookmarkEnd w:id="345"/>
      <w:bookmarkEnd w:id="346"/>
      <w:bookmarkEnd w:id="347"/>
      <w:bookmarkEnd w:id="348"/>
      <w:bookmarkEnd w:id="349"/>
    </w:p>
    <w:p>
      <w:pPr>
        <w:widowControl w:val="0"/>
        <w:autoSpaceDE w:val="0"/>
        <w:autoSpaceDN w:val="0"/>
        <w:adjustRightInd w:val="0"/>
        <w:spacing w:line="276" w:lineRule="auto"/>
        <w:rPr>
          <w:rFonts w:hint="eastAsia" w:ascii="Times New Roman" w:hAnsi="Times New Roman" w:eastAsia="宋体" w:cs="Times New Roman"/>
          <w:color w:val="auto"/>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bidi="ar-SA"/>
        </w:rPr>
        <w:t>《建筑物防雷设计规范》GB 50057</w:t>
      </w:r>
    </w:p>
    <w:p>
      <w:pPr>
        <w:widowControl w:val="0"/>
        <w:autoSpaceDE w:val="0"/>
        <w:autoSpaceDN w:val="0"/>
        <w:adjustRightInd w:val="0"/>
        <w:spacing w:line="276" w:lineRule="auto"/>
        <w:rPr>
          <w:rFonts w:hint="eastAsia" w:ascii="Times New Roman" w:hAnsi="Times New Roman" w:eastAsia="宋体" w:cs="Times New Roman"/>
          <w:color w:val="auto"/>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bidi="ar-SA"/>
        </w:rPr>
        <w:t>《低压配电设计规范》GB 50054</w:t>
      </w:r>
    </w:p>
    <w:p>
      <w:pPr>
        <w:widowControl w:val="0"/>
        <w:autoSpaceDE w:val="0"/>
        <w:autoSpaceDN w:val="0"/>
        <w:adjustRightInd w:val="0"/>
        <w:spacing w:line="276" w:lineRule="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《建筑照明设计标准》GB 50034</w:t>
      </w:r>
    </w:p>
    <w:p>
      <w:pPr>
        <w:widowControl w:val="0"/>
        <w:autoSpaceDE w:val="0"/>
        <w:autoSpaceDN w:val="0"/>
        <w:adjustRightInd w:val="0"/>
        <w:spacing w:line="276" w:lineRule="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《照明测量方法》GB/T 5700</w:t>
      </w:r>
    </w:p>
    <w:p>
      <w:pPr>
        <w:widowControl w:val="0"/>
        <w:autoSpaceDE w:val="0"/>
        <w:autoSpaceDN w:val="0"/>
        <w:adjustRightInd w:val="0"/>
        <w:spacing w:line="276" w:lineRule="auto"/>
        <w:rPr>
          <w:rFonts w:hint="eastAsia" w:ascii="Times New Roman" w:hAnsi="Times New Roman" w:eastAsia="宋体" w:cs="Times New Roman"/>
          <w:color w:val="auto"/>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bidi="ar-SA"/>
        </w:rPr>
        <w:t>《建筑物雷电防护装置检测技术规范》GB/T 21431</w:t>
      </w:r>
    </w:p>
    <w:p>
      <w:pPr>
        <w:widowControl w:val="0"/>
        <w:autoSpaceDE w:val="0"/>
        <w:autoSpaceDN w:val="0"/>
        <w:adjustRightInd w:val="0"/>
        <w:spacing w:line="276"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《交流1000V和直流1500V及以下低压配电系统电气安全 防护措施的试验、测量或监控设备 第3部分：环路阻抗》GB/T 18216.3</w:t>
      </w:r>
    </w:p>
    <w:p>
      <w:pPr>
        <w:widowControl w:val="0"/>
        <w:autoSpaceDE w:val="0"/>
        <w:autoSpaceDN w:val="0"/>
        <w:adjustRightInd w:val="0"/>
        <w:spacing w:line="276" w:lineRule="auto"/>
        <w:rPr>
          <w:rFonts w:hint="default" w:ascii="Times New Roman" w:hAnsi="Times New Roman" w:eastAsia="宋体" w:cs="Times New Roman"/>
          <w:color w:val="auto"/>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bidi="ar-SA"/>
        </w:rPr>
        <w:t>《低压电气装置 第4-41部分：安全防护 电击防护》GB/T 16895.21</w:t>
      </w:r>
    </w:p>
    <w:p>
      <w:pPr>
        <w:widowControl w:val="0"/>
        <w:autoSpaceDE w:val="0"/>
        <w:autoSpaceDN w:val="0"/>
        <w:adjustRightInd w:val="0"/>
        <w:spacing w:line="276"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lang w:eastAsia="zh-CN"/>
        </w:rPr>
        <w:t>《工业检测型红外热像仪》</w:t>
      </w:r>
      <w:r>
        <w:rPr>
          <w:rFonts w:hint="eastAsia" w:ascii="宋体" w:hAnsi="宋体" w:eastAsia="宋体"/>
          <w:color w:val="auto"/>
          <w:sz w:val="21"/>
          <w:szCs w:val="21"/>
          <w:highlight w:val="none"/>
        </w:rPr>
        <w:t>GB/T 19870</w:t>
      </w:r>
    </w:p>
    <w:p>
      <w:pPr>
        <w:widowControl w:val="0"/>
        <w:autoSpaceDE w:val="0"/>
        <w:autoSpaceDN w:val="0"/>
        <w:adjustRightInd w:val="0"/>
        <w:spacing w:line="276" w:lineRule="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《光照度计检定标准》JJG 245</w:t>
      </w:r>
    </w:p>
    <w:p>
      <w:pPr>
        <w:widowControl w:val="0"/>
        <w:autoSpaceDE w:val="0"/>
        <w:autoSpaceDN w:val="0"/>
        <w:adjustRightInd w:val="0"/>
        <w:spacing w:line="276" w:lineRule="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《电流表、电压表、功率表及电阻表》JJG 124</w:t>
      </w:r>
    </w:p>
    <w:p>
      <w:pPr>
        <w:widowControl w:val="0"/>
        <w:autoSpaceDE w:val="0"/>
        <w:autoSpaceDN w:val="0"/>
        <w:adjustRightInd w:val="0"/>
        <w:spacing w:line="276" w:lineRule="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《体育场馆照明设计及检测标准》JGJ 153</w:t>
      </w:r>
    </w:p>
    <w:p>
      <w:pPr>
        <w:widowControl w:val="0"/>
        <w:autoSpaceDE w:val="0"/>
        <w:autoSpaceDN w:val="0"/>
        <w:adjustRightInd w:val="0"/>
        <w:spacing w:line="276" w:lineRule="auto"/>
        <w:rPr>
          <w:rFonts w:hint="eastAsia" w:ascii="宋体" w:hAnsi="宋体" w:eastAsia="宋体"/>
          <w:color w:val="auto"/>
          <w:sz w:val="21"/>
          <w:szCs w:val="21"/>
          <w:highlight w:val="none"/>
          <w:lang w:val="en-US" w:eastAsia="zh-CN"/>
        </w:rPr>
      </w:pPr>
    </w:p>
    <w:p>
      <w:pPr>
        <w:numPr>
          <w:ilvl w:val="0"/>
          <w:numId w:val="0"/>
        </w:numPr>
        <w:rPr>
          <w:rFonts w:hint="default"/>
          <w:color w:val="auto"/>
          <w:sz w:val="21"/>
          <w:szCs w:val="21"/>
          <w:highlight w:val="none"/>
          <w:lang w:val="en-US" w:eastAsia="zh-CN"/>
        </w:rPr>
      </w:pPr>
    </w:p>
    <w:p>
      <w:pPr>
        <w:rPr>
          <w:rFonts w:hint="default"/>
          <w:color w:val="auto"/>
          <w:sz w:val="21"/>
          <w:szCs w:val="21"/>
          <w:highlight w:val="none"/>
          <w:lang w:val="en-US" w:eastAsia="zh-CN"/>
        </w:rPr>
      </w:pPr>
      <w:r>
        <w:rPr>
          <w:rFonts w:hint="default"/>
          <w:color w:val="auto"/>
          <w:sz w:val="21"/>
          <w:szCs w:val="21"/>
          <w:highlight w:val="none"/>
          <w:lang w:val="en-US" w:eastAsia="zh-CN"/>
        </w:rPr>
        <w:br w:type="page"/>
      </w:r>
    </w:p>
    <w:tbl>
      <w:tblPr>
        <w:tblStyle w:val="11"/>
        <w:tblW w:w="9322" w:type="dxa"/>
        <w:jc w:val="center"/>
        <w:tblLayout w:type="fixed"/>
        <w:tblCellMar>
          <w:top w:w="0" w:type="dxa"/>
          <w:left w:w="108" w:type="dxa"/>
          <w:bottom w:w="0" w:type="dxa"/>
          <w:right w:w="108" w:type="dxa"/>
        </w:tblCellMar>
      </w:tblPr>
      <w:tblGrid>
        <w:gridCol w:w="9322"/>
      </w:tblGrid>
      <w:tr>
        <w:tblPrEx>
          <w:tblCellMar>
            <w:top w:w="0" w:type="dxa"/>
            <w:left w:w="108" w:type="dxa"/>
            <w:bottom w:w="0" w:type="dxa"/>
            <w:right w:w="108" w:type="dxa"/>
          </w:tblCellMar>
        </w:tblPrEx>
        <w:trPr>
          <w:trHeight w:val="2268" w:hRule="atLeast"/>
          <w:jc w:val="center"/>
        </w:trPr>
        <w:tc>
          <w:tcPr>
            <w:tcW w:w="9322" w:type="dxa"/>
            <w:vAlign w:val="center"/>
          </w:tcPr>
          <w:p>
            <w:pPr>
              <w:pStyle w:val="34"/>
              <w:wordWrap w:val="0"/>
              <w:spacing w:line="360" w:lineRule="auto"/>
              <w:jc w:val="both"/>
              <w:rPr>
                <w:b/>
                <w:bCs/>
                <w:color w:val="auto"/>
                <w:kern w:val="2"/>
                <w:sz w:val="72"/>
                <w:szCs w:val="72"/>
                <w:highlight w:val="none"/>
              </w:rPr>
            </w:pPr>
          </w:p>
        </w:tc>
      </w:tr>
      <w:tr>
        <w:tblPrEx>
          <w:tblCellMar>
            <w:top w:w="0" w:type="dxa"/>
            <w:left w:w="108" w:type="dxa"/>
            <w:bottom w:w="0" w:type="dxa"/>
            <w:right w:w="108" w:type="dxa"/>
          </w:tblCellMar>
        </w:tblPrEx>
        <w:trPr>
          <w:trHeight w:val="850" w:hRule="atLeast"/>
          <w:jc w:val="center"/>
        </w:trPr>
        <w:tc>
          <w:tcPr>
            <w:tcW w:w="9322" w:type="dxa"/>
            <w:vAlign w:val="center"/>
          </w:tcPr>
          <w:p>
            <w:pPr>
              <w:pStyle w:val="34"/>
              <w:spacing w:line="360" w:lineRule="auto"/>
              <w:jc w:val="center"/>
              <w:rPr>
                <w:rFonts w:ascii="黑体" w:hAnsi="黑体" w:eastAsia="黑体"/>
                <w:b/>
                <w:bCs/>
                <w:color w:val="auto"/>
                <w:kern w:val="2"/>
                <w:sz w:val="32"/>
                <w:szCs w:val="32"/>
                <w:highlight w:val="none"/>
              </w:rPr>
            </w:pPr>
            <w:r>
              <w:rPr>
                <w:rFonts w:ascii="黑体" w:hAnsi="黑体" w:eastAsia="黑体"/>
                <w:color w:val="auto"/>
                <w:kern w:val="2"/>
                <w:sz w:val="32"/>
                <w:szCs w:val="32"/>
                <w:highlight w:val="none"/>
              </w:rPr>
              <w:t>广东省标准</w:t>
            </w:r>
          </w:p>
        </w:tc>
      </w:tr>
      <w:tr>
        <w:tblPrEx>
          <w:tblCellMar>
            <w:top w:w="0" w:type="dxa"/>
            <w:left w:w="108" w:type="dxa"/>
            <w:bottom w:w="0" w:type="dxa"/>
            <w:right w:w="108" w:type="dxa"/>
          </w:tblCellMar>
        </w:tblPrEx>
        <w:trPr>
          <w:trHeight w:val="1134" w:hRule="atLeast"/>
          <w:jc w:val="center"/>
        </w:trPr>
        <w:tc>
          <w:tcPr>
            <w:tcW w:w="9322" w:type="dxa"/>
            <w:vAlign w:val="center"/>
          </w:tcPr>
          <w:p>
            <w:pPr>
              <w:pStyle w:val="34"/>
              <w:spacing w:line="360" w:lineRule="auto"/>
              <w:jc w:val="center"/>
              <w:rPr>
                <w:rFonts w:hint="eastAsia" w:eastAsia="宋体"/>
                <w:b/>
                <w:bCs/>
                <w:color w:val="auto"/>
                <w:kern w:val="2"/>
                <w:sz w:val="44"/>
                <w:szCs w:val="44"/>
                <w:highlight w:val="none"/>
                <w:lang w:eastAsia="zh-CN"/>
              </w:rPr>
            </w:pPr>
            <w:r>
              <w:rPr>
                <w:rFonts w:hint="eastAsia"/>
                <w:b/>
                <w:bCs/>
                <w:color w:val="auto"/>
                <w:kern w:val="2"/>
                <w:sz w:val="44"/>
                <w:szCs w:val="44"/>
                <w:highlight w:val="none"/>
              </w:rPr>
              <w:t>建筑电气工程现场检测技术</w:t>
            </w:r>
            <w:r>
              <w:rPr>
                <w:rFonts w:hint="eastAsia"/>
                <w:b/>
                <w:bCs/>
                <w:color w:val="auto"/>
                <w:kern w:val="2"/>
                <w:sz w:val="44"/>
                <w:szCs w:val="44"/>
                <w:highlight w:val="none"/>
                <w:lang w:eastAsia="zh-CN"/>
              </w:rPr>
              <w:t>标准</w:t>
            </w:r>
          </w:p>
        </w:tc>
      </w:tr>
      <w:tr>
        <w:tblPrEx>
          <w:tblCellMar>
            <w:top w:w="0" w:type="dxa"/>
            <w:left w:w="108" w:type="dxa"/>
            <w:bottom w:w="0" w:type="dxa"/>
            <w:right w:w="108" w:type="dxa"/>
          </w:tblCellMar>
        </w:tblPrEx>
        <w:trPr>
          <w:trHeight w:val="1134" w:hRule="atLeast"/>
          <w:jc w:val="center"/>
        </w:trPr>
        <w:tc>
          <w:tcPr>
            <w:tcW w:w="9322" w:type="dxa"/>
            <w:vAlign w:val="center"/>
          </w:tcPr>
          <w:p>
            <w:pPr>
              <w:pStyle w:val="34"/>
              <w:spacing w:line="360" w:lineRule="auto"/>
              <w:jc w:val="center"/>
              <w:rPr>
                <w:bCs/>
                <w:color w:val="auto"/>
                <w:kern w:val="2"/>
                <w:sz w:val="28"/>
                <w:szCs w:val="28"/>
                <w:highlight w:val="none"/>
              </w:rPr>
            </w:pPr>
            <w:r>
              <w:rPr>
                <w:rFonts w:hint="eastAsia"/>
                <w:bCs/>
                <w:color w:val="auto"/>
                <w:kern w:val="2"/>
                <w:sz w:val="28"/>
                <w:szCs w:val="28"/>
                <w:highlight w:val="none"/>
              </w:rPr>
              <w:t xml:space="preserve">Technical Code for in-site testing of building electrical engineering </w:t>
            </w:r>
          </w:p>
        </w:tc>
      </w:tr>
      <w:tr>
        <w:tblPrEx>
          <w:tblCellMar>
            <w:top w:w="0" w:type="dxa"/>
            <w:left w:w="108" w:type="dxa"/>
            <w:bottom w:w="0" w:type="dxa"/>
            <w:right w:w="108" w:type="dxa"/>
          </w:tblCellMar>
        </w:tblPrEx>
        <w:trPr>
          <w:trHeight w:val="850" w:hRule="atLeast"/>
          <w:jc w:val="center"/>
        </w:trPr>
        <w:tc>
          <w:tcPr>
            <w:tcW w:w="9322" w:type="dxa"/>
            <w:vAlign w:val="center"/>
          </w:tcPr>
          <w:p>
            <w:pPr>
              <w:pStyle w:val="34"/>
              <w:spacing w:line="360" w:lineRule="auto"/>
              <w:jc w:val="center"/>
              <w:rPr>
                <w:rFonts w:hint="eastAsia" w:eastAsia="宋体"/>
                <w:b/>
                <w:bCs/>
                <w:color w:val="auto"/>
                <w:kern w:val="2"/>
                <w:sz w:val="10"/>
                <w:szCs w:val="10"/>
                <w:highlight w:val="none"/>
                <w:lang w:eastAsia="zh-CN"/>
              </w:rPr>
            </w:pPr>
            <w:r>
              <w:rPr>
                <w:b/>
                <w:bCs/>
                <w:color w:val="auto"/>
                <w:kern w:val="2"/>
                <w:highlight w:val="none"/>
              </w:rPr>
              <w:t>DBJ</w:t>
            </w:r>
            <w:r>
              <w:rPr>
                <w:rFonts w:hint="eastAsia"/>
                <w:b/>
                <w:bCs/>
                <w:color w:val="auto"/>
                <w:kern w:val="2"/>
                <w:highlight w:val="none"/>
              </w:rPr>
              <w:t>/T</w:t>
            </w:r>
            <w:r>
              <w:rPr>
                <w:b/>
                <w:bCs/>
                <w:color w:val="auto"/>
                <w:kern w:val="2"/>
                <w:highlight w:val="none"/>
              </w:rPr>
              <w:t xml:space="preserve"> 15-</w:t>
            </w:r>
            <w:r>
              <w:rPr>
                <w:rFonts w:hint="eastAsia"/>
                <w:b/>
                <w:bCs/>
                <w:color w:val="auto"/>
                <w:kern w:val="2"/>
                <w:highlight w:val="none"/>
                <w:lang w:val="en-US" w:eastAsia="zh-CN"/>
              </w:rPr>
              <w:t>**</w:t>
            </w:r>
            <w:r>
              <w:rPr>
                <w:b/>
                <w:bCs/>
                <w:color w:val="auto"/>
                <w:kern w:val="2"/>
                <w:highlight w:val="none"/>
              </w:rPr>
              <w:t>-20</w:t>
            </w:r>
            <w:r>
              <w:rPr>
                <w:rFonts w:hint="eastAsia"/>
                <w:b/>
                <w:bCs/>
                <w:color w:val="auto"/>
                <w:kern w:val="2"/>
                <w:highlight w:val="none"/>
              </w:rPr>
              <w:t>2</w:t>
            </w:r>
            <w:r>
              <w:rPr>
                <w:rFonts w:hint="eastAsia"/>
                <w:b/>
                <w:bCs/>
                <w:color w:val="auto"/>
                <w:kern w:val="2"/>
                <w:highlight w:val="none"/>
                <w:lang w:val="en-US" w:eastAsia="zh-CN"/>
              </w:rPr>
              <w:t>*</w:t>
            </w:r>
          </w:p>
        </w:tc>
      </w:tr>
    </w:tbl>
    <w:p>
      <w:pPr>
        <w:pStyle w:val="37"/>
        <w:spacing w:line="276" w:lineRule="auto"/>
        <w:rPr>
          <w:b w:val="0"/>
          <w:color w:val="auto"/>
          <w:sz w:val="32"/>
          <w:szCs w:val="32"/>
          <w:highlight w:val="none"/>
        </w:rPr>
      </w:pPr>
      <w:bookmarkStart w:id="350" w:name="_Toc55684172"/>
      <w:bookmarkStart w:id="351" w:name="_Toc55684442"/>
      <w:bookmarkStart w:id="352" w:name="_Toc58161672"/>
      <w:bookmarkStart w:id="353" w:name="_Toc27909"/>
      <w:bookmarkStart w:id="354" w:name="_Toc5528"/>
      <w:bookmarkStart w:id="355" w:name="_Toc4445"/>
      <w:bookmarkStart w:id="356" w:name="_Toc6785"/>
      <w:bookmarkStart w:id="357" w:name="_Toc29648"/>
      <w:bookmarkStart w:id="358" w:name="_Toc55682892"/>
      <w:r>
        <w:rPr>
          <w:b w:val="0"/>
          <w:color w:val="auto"/>
          <w:sz w:val="32"/>
          <w:szCs w:val="32"/>
          <w:highlight w:val="none"/>
        </w:rPr>
        <w:t>条文说明</w:t>
      </w:r>
      <w:bookmarkEnd w:id="350"/>
      <w:bookmarkEnd w:id="351"/>
      <w:bookmarkEnd w:id="352"/>
      <w:bookmarkEnd w:id="353"/>
      <w:bookmarkEnd w:id="354"/>
      <w:bookmarkEnd w:id="355"/>
      <w:bookmarkEnd w:id="356"/>
      <w:bookmarkEnd w:id="357"/>
      <w:bookmarkEnd w:id="358"/>
    </w:p>
    <w:p>
      <w:pPr>
        <w:numPr>
          <w:ilvl w:val="0"/>
          <w:numId w:val="0"/>
        </w:numPr>
        <w:jc w:val="center"/>
        <w:rPr>
          <w:rFonts w:hint="eastAsia"/>
          <w:color w:val="auto"/>
          <w:sz w:val="21"/>
          <w:szCs w:val="21"/>
          <w:highlight w:val="none"/>
          <w:lang w:val="en-US" w:eastAsia="zh-CN"/>
        </w:rPr>
      </w:pPr>
    </w:p>
    <w:p>
      <w:pPr>
        <w:numPr>
          <w:ilvl w:val="0"/>
          <w:numId w:val="0"/>
        </w:numPr>
        <w:jc w:val="center"/>
        <w:rPr>
          <w:rFonts w:hint="eastAsia"/>
          <w:color w:val="auto"/>
          <w:sz w:val="21"/>
          <w:szCs w:val="21"/>
          <w:highlight w:val="none"/>
          <w:lang w:val="en-US" w:eastAsia="zh-CN"/>
        </w:rPr>
      </w:pPr>
    </w:p>
    <w:p>
      <w:pPr>
        <w:numPr>
          <w:ilvl w:val="0"/>
          <w:numId w:val="0"/>
        </w:numPr>
        <w:jc w:val="center"/>
        <w:rPr>
          <w:rFonts w:hint="eastAsia"/>
          <w:color w:val="auto"/>
          <w:sz w:val="21"/>
          <w:szCs w:val="21"/>
          <w:highlight w:val="none"/>
          <w:lang w:val="en-US" w:eastAsia="zh-CN"/>
        </w:rPr>
      </w:pPr>
    </w:p>
    <w:p>
      <w:pPr>
        <w:numPr>
          <w:ilvl w:val="0"/>
          <w:numId w:val="0"/>
        </w:numPr>
        <w:jc w:val="center"/>
        <w:rPr>
          <w:rFonts w:hint="eastAsia"/>
          <w:color w:val="auto"/>
          <w:sz w:val="21"/>
          <w:szCs w:val="21"/>
          <w:highlight w:val="none"/>
          <w:lang w:val="en-US" w:eastAsia="zh-CN"/>
        </w:rPr>
      </w:pPr>
    </w:p>
    <w:p>
      <w:pPr>
        <w:rPr>
          <w:rFonts w:hint="default"/>
          <w:color w:val="auto"/>
          <w:sz w:val="21"/>
          <w:szCs w:val="21"/>
          <w:highlight w:val="none"/>
          <w:lang w:val="en-US" w:eastAsia="zh-CN"/>
        </w:rPr>
      </w:pPr>
      <w:r>
        <w:rPr>
          <w:rFonts w:hint="default"/>
          <w:color w:val="auto"/>
          <w:sz w:val="21"/>
          <w:szCs w:val="21"/>
          <w:highlight w:val="none"/>
          <w:lang w:val="en-US" w:eastAsia="zh-CN"/>
        </w:rPr>
        <w:br w:type="page"/>
      </w:r>
    </w:p>
    <w:p>
      <w:pPr>
        <w:pStyle w:val="37"/>
        <w:rPr>
          <w:rFonts w:eastAsia="宋体" w:cs="Times New Roman"/>
          <w:bCs/>
          <w:color w:val="auto"/>
          <w:szCs w:val="44"/>
          <w:highlight w:val="none"/>
        </w:rPr>
      </w:pPr>
      <w:bookmarkStart w:id="359" w:name="_Toc58161673"/>
      <w:bookmarkStart w:id="360" w:name="_Toc26280"/>
      <w:bookmarkStart w:id="361" w:name="_Toc22239"/>
      <w:bookmarkStart w:id="362" w:name="_Toc8169"/>
      <w:bookmarkStart w:id="363" w:name="_Toc26202"/>
      <w:bookmarkStart w:id="364" w:name="_Toc31024"/>
      <w:r>
        <w:rPr>
          <w:rFonts w:hint="eastAsia" w:eastAsia="宋体" w:cs="Times New Roman"/>
          <w:bCs/>
          <w:color w:val="auto"/>
          <w:szCs w:val="44"/>
          <w:highlight w:val="none"/>
          <w:lang w:val="en-US" w:eastAsia="zh-CN"/>
        </w:rPr>
        <w:t>制</w:t>
      </w:r>
      <w:r>
        <w:rPr>
          <w:rFonts w:eastAsia="宋体" w:cs="Times New Roman"/>
          <w:bCs/>
          <w:color w:val="auto"/>
          <w:szCs w:val="44"/>
          <w:highlight w:val="none"/>
        </w:rPr>
        <w:t xml:space="preserve">  </w:t>
      </w:r>
      <w:r>
        <w:rPr>
          <w:rFonts w:hint="eastAsia" w:eastAsia="宋体" w:cs="Times New Roman"/>
          <w:bCs/>
          <w:color w:val="auto"/>
          <w:szCs w:val="44"/>
          <w:highlight w:val="none"/>
          <w:lang w:val="en-US" w:eastAsia="zh-CN"/>
        </w:rPr>
        <w:t>定</w:t>
      </w:r>
      <w:r>
        <w:rPr>
          <w:rFonts w:eastAsia="宋体" w:cs="Times New Roman"/>
          <w:bCs/>
          <w:color w:val="auto"/>
          <w:szCs w:val="44"/>
          <w:highlight w:val="none"/>
        </w:rPr>
        <w:t xml:space="preserve">  说  明</w:t>
      </w:r>
      <w:bookmarkEnd w:id="359"/>
      <w:bookmarkEnd w:id="360"/>
      <w:bookmarkEnd w:id="361"/>
      <w:bookmarkEnd w:id="362"/>
      <w:bookmarkEnd w:id="363"/>
      <w:bookmarkEnd w:id="364"/>
    </w:p>
    <w:p>
      <w:pPr>
        <w:widowControl w:val="0"/>
        <w:autoSpaceDE w:val="0"/>
        <w:autoSpaceDN w:val="0"/>
        <w:adjustRightInd w:val="0"/>
        <w:spacing w:line="276" w:lineRule="auto"/>
        <w:ind w:firstLine="420" w:firstLineChars="200"/>
        <w:textAlignment w:val="center"/>
        <w:rPr>
          <w:rFonts w:ascii="Times New Roman" w:hAnsi="Times New Roman" w:eastAsia="宋体" w:cs="Times New Roman"/>
          <w:color w:val="auto"/>
          <w:sz w:val="21"/>
          <w:szCs w:val="21"/>
          <w:highlight w:val="none"/>
          <w:lang w:val="en-US" w:eastAsia="zh-CN" w:bidi="ar-SA"/>
        </w:rPr>
      </w:pPr>
      <w:r>
        <w:rPr>
          <w:rFonts w:ascii="Times New Roman" w:hAnsi="Times New Roman" w:eastAsia="宋体" w:cs="Times New Roman"/>
          <w:color w:val="auto"/>
          <w:sz w:val="21"/>
          <w:szCs w:val="21"/>
          <w:highlight w:val="none"/>
          <w:lang w:val="en-US" w:eastAsia="zh-CN" w:bidi="ar-SA"/>
        </w:rPr>
        <w:t>《</w:t>
      </w:r>
      <w:r>
        <w:rPr>
          <w:rFonts w:hint="eastAsia" w:ascii="Times New Roman" w:hAnsi="Times New Roman" w:eastAsia="宋体" w:cs="Times New Roman"/>
          <w:color w:val="auto"/>
          <w:sz w:val="21"/>
          <w:szCs w:val="21"/>
          <w:highlight w:val="none"/>
          <w:lang w:val="en-US" w:eastAsia="zh-CN" w:bidi="ar-SA"/>
        </w:rPr>
        <w:t>建筑电气工程现场检测技术标准</w:t>
      </w:r>
      <w:r>
        <w:rPr>
          <w:rFonts w:ascii="Times New Roman" w:hAnsi="Times New Roman" w:eastAsia="宋体" w:cs="Times New Roman"/>
          <w:color w:val="auto"/>
          <w:sz w:val="21"/>
          <w:szCs w:val="21"/>
          <w:highlight w:val="none"/>
          <w:lang w:val="en-US" w:eastAsia="zh-CN" w:bidi="ar-SA"/>
        </w:rPr>
        <w:t>》DBJ 15-</w:t>
      </w:r>
      <w:r>
        <w:rPr>
          <w:rFonts w:hint="eastAsia" w:ascii="Times New Roman" w:hAnsi="Times New Roman" w:eastAsia="宋体" w:cs="Times New Roman"/>
          <w:color w:val="auto"/>
          <w:sz w:val="21"/>
          <w:szCs w:val="21"/>
          <w:highlight w:val="none"/>
          <w:lang w:val="en-US" w:eastAsia="zh-CN" w:bidi="ar-SA"/>
        </w:rPr>
        <w:t>**</w:t>
      </w:r>
      <w:r>
        <w:rPr>
          <w:rFonts w:ascii="Times New Roman" w:hAnsi="Times New Roman" w:eastAsia="宋体" w:cs="Times New Roman"/>
          <w:color w:val="auto"/>
          <w:sz w:val="21"/>
          <w:szCs w:val="21"/>
          <w:highlight w:val="none"/>
          <w:lang w:val="en-US" w:eastAsia="zh-CN" w:bidi="ar-SA"/>
        </w:rPr>
        <w:t>-20</w:t>
      </w:r>
      <w:r>
        <w:rPr>
          <w:rFonts w:hint="eastAsia" w:ascii="Times New Roman" w:hAnsi="Times New Roman" w:eastAsia="宋体" w:cs="Times New Roman"/>
          <w:color w:val="auto"/>
          <w:sz w:val="21"/>
          <w:szCs w:val="21"/>
          <w:highlight w:val="none"/>
          <w:lang w:val="en-US" w:eastAsia="zh-CN" w:bidi="ar-SA"/>
        </w:rPr>
        <w:t>2*经广东省住房和城乡建设厅202*年**月**日以第**号文公告批准、发布。</w:t>
      </w:r>
    </w:p>
    <w:p>
      <w:pPr>
        <w:widowControl w:val="0"/>
        <w:spacing w:line="276" w:lineRule="auto"/>
        <w:ind w:firstLine="420" w:firstLineChars="200"/>
        <w:jc w:val="both"/>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本标准在制定过程中，编制组进行了广泛的调研，结合工程实际需求，总结了国内建筑电气工程检测实践经验，借鉴国内先进技术和方法并通过大量的验证性试验，制定了有关建筑电气工程质量相关的10项技术指标的现场检测方法。</w:t>
      </w:r>
    </w:p>
    <w:p>
      <w:pPr>
        <w:ind w:firstLine="420" w:firstLineChars="200"/>
        <w:rPr>
          <w:rFonts w:hint="eastAsia" w:eastAsia="宋体" w:cs="Times New Roman"/>
          <w:bCs/>
          <w:color w:val="auto"/>
          <w:szCs w:val="44"/>
          <w:highlight w:val="none"/>
          <w:lang w:val="zh-CN" w:eastAsia="zh-CN"/>
        </w:rPr>
      </w:pPr>
      <w:r>
        <w:rPr>
          <w:rFonts w:hint="eastAsia" w:ascii="Times New Roman" w:hAnsi="Times New Roman" w:eastAsia="宋体" w:cs="Times New Roman"/>
          <w:color w:val="auto"/>
          <w:kern w:val="0"/>
          <w:sz w:val="21"/>
          <w:szCs w:val="21"/>
          <w:highlight w:val="none"/>
          <w:lang w:val="en-US" w:eastAsia="zh-CN" w:bidi="ar-SA"/>
        </w:rPr>
        <w:t>为便于广大工程设计、施工、监理、检测、咨询、科研、教学、管理等单位有关人员在使用本标准时能正确理解和执行条文规定，</w:t>
      </w:r>
      <w:r>
        <w:rPr>
          <w:rFonts w:ascii="Times New Roman" w:hAnsi="Times New Roman" w:eastAsia="宋体" w:cs="Times New Roman"/>
          <w:color w:val="auto"/>
          <w:sz w:val="21"/>
          <w:szCs w:val="21"/>
          <w:highlight w:val="none"/>
          <w:lang w:val="en-US" w:eastAsia="zh-CN" w:bidi="ar-SA"/>
        </w:rPr>
        <w:t>《</w:t>
      </w:r>
      <w:r>
        <w:rPr>
          <w:rFonts w:hint="eastAsia" w:ascii="Times New Roman" w:hAnsi="Times New Roman" w:eastAsia="宋体" w:cs="Times New Roman"/>
          <w:color w:val="auto"/>
          <w:sz w:val="21"/>
          <w:szCs w:val="21"/>
          <w:highlight w:val="none"/>
          <w:lang w:val="en-US" w:eastAsia="zh-CN" w:bidi="ar-SA"/>
        </w:rPr>
        <w:t>建筑电气工程现场检测技术标准</w:t>
      </w:r>
      <w:r>
        <w:rPr>
          <w:rFonts w:ascii="Times New Roman" w:hAnsi="Times New Roman" w:eastAsia="宋体" w:cs="Times New Roman"/>
          <w:color w:val="auto"/>
          <w:sz w:val="21"/>
          <w:szCs w:val="21"/>
          <w:highlight w:val="none"/>
          <w:lang w:val="en-US" w:eastAsia="zh-CN" w:bidi="ar-SA"/>
        </w:rPr>
        <w:t>》</w:t>
      </w:r>
      <w:r>
        <w:rPr>
          <w:rFonts w:hint="eastAsia" w:ascii="Times New Roman" w:hAnsi="Times New Roman" w:eastAsia="宋体" w:cs="Times New Roman"/>
          <w:color w:val="auto"/>
          <w:sz w:val="21"/>
          <w:szCs w:val="21"/>
          <w:highlight w:val="none"/>
          <w:lang w:val="en-US" w:eastAsia="zh-CN" w:bidi="ar-SA"/>
        </w:rPr>
        <w:t>编制组按章、节、条顺序编制本标准的条文说明，对条文规定的目的、依据以及执行中需注意的有关事项进行了说明。但是，本条文说明不具备与标准正文同等的法律效力，仅供使用者作为理解和把握标准规定的参考。</w:t>
      </w:r>
      <w:r>
        <w:rPr>
          <w:rFonts w:hint="eastAsia" w:eastAsia="宋体" w:cs="Times New Roman"/>
          <w:bCs/>
          <w:color w:val="auto"/>
          <w:szCs w:val="44"/>
          <w:highlight w:val="none"/>
          <w:lang w:val="zh-CN" w:eastAsia="zh-CN"/>
        </w:rPr>
        <w:br w:type="page"/>
      </w:r>
    </w:p>
    <w:p>
      <w:pPr>
        <w:pStyle w:val="37"/>
        <w:tabs>
          <w:tab w:val="right" w:pos="5161"/>
        </w:tabs>
        <w:ind w:firstLine="4216" w:firstLineChars="1500"/>
        <w:jc w:val="both"/>
        <w:rPr>
          <w:rFonts w:hint="eastAsia" w:eastAsia="宋体" w:cs="Times New Roman"/>
          <w:bCs/>
          <w:color w:val="auto"/>
          <w:sz w:val="21"/>
          <w:szCs w:val="21"/>
          <w:highlight w:val="none"/>
        </w:rPr>
      </w:pPr>
      <w:bookmarkStart w:id="365" w:name="_Toc7688"/>
      <w:bookmarkStart w:id="366" w:name="_Toc7995"/>
      <w:bookmarkStart w:id="367" w:name="_Toc2718"/>
      <w:bookmarkStart w:id="368" w:name="_Toc24597"/>
      <w:r>
        <w:rPr>
          <w:rFonts w:hint="eastAsia" w:eastAsia="宋体" w:cs="Times New Roman"/>
          <w:bCs/>
          <w:color w:val="auto"/>
          <w:szCs w:val="44"/>
          <w:highlight w:val="none"/>
          <w:lang w:val="zh-CN" w:eastAsia="zh-CN"/>
        </w:rPr>
        <w:t xml:space="preserve">目 </w:t>
      </w:r>
      <w:r>
        <w:rPr>
          <w:rFonts w:hint="eastAsia" w:eastAsia="宋体" w:cs="Times New Roman"/>
          <w:bCs/>
          <w:color w:val="auto"/>
          <w:szCs w:val="44"/>
          <w:highlight w:val="none"/>
          <w:lang w:val="en-US" w:eastAsia="zh-CN"/>
        </w:rPr>
        <w:t xml:space="preserve">     </w:t>
      </w:r>
      <w:r>
        <w:rPr>
          <w:rFonts w:hint="eastAsia" w:eastAsia="宋体" w:cs="Times New Roman"/>
          <w:bCs/>
          <w:color w:val="auto"/>
          <w:szCs w:val="44"/>
          <w:highlight w:val="none"/>
          <w:lang w:val="zh-CN" w:eastAsia="zh-CN"/>
        </w:rPr>
        <w:t xml:space="preserve"> </w:t>
      </w:r>
      <w:r>
        <w:rPr>
          <w:rFonts w:hint="eastAsia" w:eastAsia="宋体" w:cs="Times New Roman"/>
          <w:bCs/>
          <w:color w:val="auto"/>
          <w:szCs w:val="44"/>
          <w:highlight w:val="none"/>
          <w:lang w:val="en-US" w:eastAsia="zh-CN"/>
        </w:rPr>
        <w:t>次</w:t>
      </w:r>
      <w:bookmarkEnd w:id="365"/>
      <w:bookmarkEnd w:id="366"/>
      <w:bookmarkEnd w:id="367"/>
      <w:bookmarkEnd w:id="368"/>
      <w:r>
        <w:rPr>
          <w:rFonts w:hint="eastAsia" w:eastAsia="宋体" w:cs="Times New Roman"/>
          <w:bCs/>
          <w:color w:val="auto"/>
          <w:sz w:val="21"/>
          <w:szCs w:val="21"/>
          <w:highlight w:val="none"/>
          <w:lang w:val="en-US" w:eastAsia="zh-CN"/>
        </w:rPr>
        <w:tab/>
      </w:r>
    </w:p>
    <w:sdt>
      <w:sdtPr>
        <w:rPr>
          <w:bCs/>
          <w:color w:val="auto"/>
          <w:sz w:val="21"/>
          <w:szCs w:val="21"/>
          <w:highlight w:val="none"/>
          <w:lang w:val="zh-CN" w:eastAsia="zh-CN"/>
        </w:rPr>
        <w:id w:val="147462463"/>
        <w:docPartObj>
          <w:docPartGallery w:val="Table of Contents"/>
          <w:docPartUnique/>
        </w:docPartObj>
      </w:sdtPr>
      <w:sdtEndPr>
        <w:rPr>
          <w:rFonts w:asciiTheme="minorHAnsi" w:hAnsiTheme="minorHAnsi" w:eastAsiaTheme="minorEastAsia" w:cstheme="minorBidi"/>
          <w:b/>
          <w:bCs/>
          <w:color w:val="auto"/>
          <w:kern w:val="2"/>
          <w:sz w:val="21"/>
          <w:szCs w:val="21"/>
          <w:highlight w:val="none"/>
          <w:lang w:val="zh-CN" w:eastAsia="zh-CN"/>
        </w:rPr>
      </w:sdtEndPr>
      <w:sdtContent>
        <w:p>
          <w:pPr>
            <w:pStyle w:val="8"/>
            <w:tabs>
              <w:tab w:val="right" w:leader="dot" w:pos="9377"/>
            </w:tabs>
            <w:rPr>
              <w:color w:val="auto"/>
              <w:highlight w:val="none"/>
            </w:rPr>
          </w:pPr>
          <w:r>
            <w:rPr>
              <w:bCs/>
              <w:color w:val="auto"/>
              <w:sz w:val="21"/>
              <w:szCs w:val="21"/>
              <w:highlight w:val="none"/>
              <w:lang w:val="zh-CN"/>
            </w:rPr>
            <w:fldChar w:fldCharType="begin"/>
          </w:r>
          <w:r>
            <w:rPr>
              <w:bCs/>
              <w:color w:val="auto"/>
              <w:sz w:val="21"/>
              <w:szCs w:val="21"/>
              <w:highlight w:val="none"/>
              <w:lang w:val="zh-CN"/>
            </w:rPr>
            <w:instrText xml:space="preserve"> TOC \o "1-3" \h \z \u </w:instrText>
          </w:r>
          <w:r>
            <w:rPr>
              <w:bCs/>
              <w:color w:val="auto"/>
              <w:sz w:val="21"/>
              <w:szCs w:val="21"/>
              <w:highlight w:val="none"/>
              <w:lang w:val="zh-CN"/>
            </w:rPr>
            <w:fldChar w:fldCharType="separate"/>
          </w:r>
          <w:r>
            <w:rPr>
              <w:bCs/>
              <w:color w:val="auto"/>
              <w:szCs w:val="21"/>
              <w:highlight w:val="none"/>
              <w:lang w:val="zh-CN"/>
            </w:rPr>
            <w:fldChar w:fldCharType="begin"/>
          </w:r>
          <w:r>
            <w:rPr>
              <w:bCs/>
              <w:color w:val="auto"/>
              <w:szCs w:val="21"/>
              <w:highlight w:val="none"/>
              <w:lang w:val="zh-CN"/>
            </w:rPr>
            <w:instrText xml:space="preserve"> HYPERLINK \l _Toc15846 </w:instrText>
          </w:r>
          <w:r>
            <w:rPr>
              <w:bCs/>
              <w:color w:val="auto"/>
              <w:szCs w:val="21"/>
              <w:highlight w:val="none"/>
              <w:lang w:val="zh-CN"/>
            </w:rPr>
            <w:fldChar w:fldCharType="separate"/>
          </w:r>
          <w:r>
            <w:rPr>
              <w:rFonts w:hint="eastAsia" w:eastAsia="宋体" w:cs="Times New Roman"/>
              <w:bCs/>
              <w:color w:val="auto"/>
              <w:szCs w:val="44"/>
              <w:highlight w:val="none"/>
            </w:rPr>
            <w:t>1</w:t>
          </w:r>
          <w:r>
            <w:rPr>
              <w:rFonts w:hint="eastAsia" w:eastAsia="宋体" w:cs="Times New Roman"/>
              <w:bCs/>
              <w:color w:val="auto"/>
              <w:szCs w:val="44"/>
              <w:highlight w:val="none"/>
              <w:lang w:val="en-US" w:eastAsia="zh-CN"/>
            </w:rPr>
            <w:t xml:space="preserve"> </w:t>
          </w:r>
          <w:r>
            <w:rPr>
              <w:rFonts w:eastAsia="宋体" w:cs="Times New Roman"/>
              <w:bCs/>
              <w:color w:val="auto"/>
              <w:szCs w:val="44"/>
              <w:highlight w:val="none"/>
            </w:rPr>
            <w:t xml:space="preserve"> </w:t>
          </w:r>
          <w:r>
            <w:rPr>
              <w:rFonts w:hint="eastAsia" w:eastAsia="宋体" w:cs="Times New Roman"/>
              <w:bCs/>
              <w:color w:val="auto"/>
              <w:szCs w:val="44"/>
              <w:highlight w:val="none"/>
            </w:rPr>
            <w:t>总</w:t>
          </w:r>
          <w:r>
            <w:rPr>
              <w:rFonts w:hint="eastAsia" w:eastAsia="宋体" w:cs="Times New Roman"/>
              <w:bCs/>
              <w:color w:val="auto"/>
              <w:szCs w:val="44"/>
              <w:highlight w:val="none"/>
              <w:lang w:val="en-US" w:eastAsia="zh-CN"/>
            </w:rPr>
            <w:t xml:space="preserve">    </w:t>
          </w:r>
          <w:r>
            <w:rPr>
              <w:rFonts w:hint="eastAsia" w:eastAsia="宋体" w:cs="Times New Roman"/>
              <w:bCs/>
              <w:color w:val="auto"/>
              <w:szCs w:val="44"/>
              <w:highlight w:val="none"/>
            </w:rPr>
            <w:t>则</w:t>
          </w:r>
          <w:r>
            <w:rPr>
              <w:color w:val="auto"/>
              <w:highlight w:val="none"/>
            </w:rPr>
            <w:tab/>
          </w:r>
          <w:r>
            <w:rPr>
              <w:color w:val="auto"/>
              <w:highlight w:val="none"/>
            </w:rPr>
            <w:fldChar w:fldCharType="begin"/>
          </w:r>
          <w:r>
            <w:rPr>
              <w:color w:val="auto"/>
              <w:highlight w:val="none"/>
            </w:rPr>
            <w:instrText xml:space="preserve"> PAGEREF _Toc15846 \h </w:instrText>
          </w:r>
          <w:r>
            <w:rPr>
              <w:color w:val="auto"/>
              <w:highlight w:val="none"/>
            </w:rPr>
            <w:fldChar w:fldCharType="separate"/>
          </w:r>
          <w:r>
            <w:rPr>
              <w:color w:val="auto"/>
              <w:highlight w:val="none"/>
            </w:rPr>
            <w:t>51</w:t>
          </w:r>
          <w:r>
            <w:rPr>
              <w:color w:val="auto"/>
              <w:highlight w:val="none"/>
            </w:rPr>
            <w:fldChar w:fldCharType="end"/>
          </w:r>
          <w:r>
            <w:rPr>
              <w:bCs/>
              <w:color w:val="auto"/>
              <w:szCs w:val="21"/>
              <w:highlight w:val="none"/>
              <w:lang w:val="zh-CN"/>
            </w:rPr>
            <w:fldChar w:fldCharType="end"/>
          </w:r>
        </w:p>
        <w:p>
          <w:pPr>
            <w:pStyle w:val="8"/>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_Toc3811 </w:instrText>
          </w:r>
          <w:r>
            <w:rPr>
              <w:bCs/>
              <w:color w:val="auto"/>
              <w:szCs w:val="21"/>
              <w:highlight w:val="none"/>
              <w:lang w:val="zh-CN"/>
            </w:rPr>
            <w:fldChar w:fldCharType="separate"/>
          </w:r>
          <w:r>
            <w:rPr>
              <w:rFonts w:hint="eastAsia" w:eastAsia="宋体" w:cs="Times New Roman"/>
              <w:bCs/>
              <w:color w:val="auto"/>
              <w:szCs w:val="44"/>
              <w:highlight w:val="none"/>
            </w:rPr>
            <w:t>2</w:t>
          </w:r>
          <w:r>
            <w:rPr>
              <w:rFonts w:hint="eastAsia" w:eastAsia="宋体" w:cs="Times New Roman"/>
              <w:bCs/>
              <w:color w:val="auto"/>
              <w:szCs w:val="44"/>
              <w:highlight w:val="none"/>
              <w:lang w:val="en-US" w:eastAsia="zh-CN"/>
            </w:rPr>
            <w:t xml:space="preserve">  </w:t>
          </w:r>
          <w:r>
            <w:rPr>
              <w:rFonts w:hint="eastAsia" w:eastAsia="宋体" w:cs="Times New Roman"/>
              <w:bCs/>
              <w:color w:val="auto"/>
              <w:szCs w:val="44"/>
              <w:highlight w:val="none"/>
            </w:rPr>
            <w:t>术</w:t>
          </w:r>
          <w:r>
            <w:rPr>
              <w:rFonts w:hint="eastAsia" w:eastAsia="宋体" w:cs="Times New Roman"/>
              <w:bCs/>
              <w:color w:val="auto"/>
              <w:szCs w:val="44"/>
              <w:highlight w:val="none"/>
              <w:lang w:val="en-US" w:eastAsia="zh-CN"/>
            </w:rPr>
            <w:t xml:space="preserve">    </w:t>
          </w:r>
          <w:r>
            <w:rPr>
              <w:rFonts w:hint="eastAsia" w:eastAsia="宋体" w:cs="Times New Roman"/>
              <w:bCs/>
              <w:color w:val="auto"/>
              <w:szCs w:val="44"/>
              <w:highlight w:val="none"/>
            </w:rPr>
            <w:t>语</w:t>
          </w:r>
          <w:r>
            <w:rPr>
              <w:color w:val="auto"/>
              <w:highlight w:val="none"/>
            </w:rPr>
            <w:tab/>
          </w:r>
          <w:r>
            <w:rPr>
              <w:color w:val="auto"/>
              <w:highlight w:val="none"/>
            </w:rPr>
            <w:fldChar w:fldCharType="begin"/>
          </w:r>
          <w:r>
            <w:rPr>
              <w:color w:val="auto"/>
              <w:highlight w:val="none"/>
            </w:rPr>
            <w:instrText xml:space="preserve"> PAGEREF _Toc3811 \h </w:instrText>
          </w:r>
          <w:r>
            <w:rPr>
              <w:color w:val="auto"/>
              <w:highlight w:val="none"/>
            </w:rPr>
            <w:fldChar w:fldCharType="separate"/>
          </w:r>
          <w:r>
            <w:rPr>
              <w:color w:val="auto"/>
              <w:highlight w:val="none"/>
            </w:rPr>
            <w:t>52</w:t>
          </w:r>
          <w:r>
            <w:rPr>
              <w:color w:val="auto"/>
              <w:highlight w:val="none"/>
            </w:rPr>
            <w:fldChar w:fldCharType="end"/>
          </w:r>
          <w:r>
            <w:rPr>
              <w:bCs/>
              <w:color w:val="auto"/>
              <w:szCs w:val="21"/>
              <w:highlight w:val="none"/>
              <w:lang w:val="zh-CN"/>
            </w:rPr>
            <w:fldChar w:fldCharType="end"/>
          </w:r>
        </w:p>
        <w:p>
          <w:pPr>
            <w:pStyle w:val="8"/>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_Toc14027 </w:instrText>
          </w:r>
          <w:r>
            <w:rPr>
              <w:bCs/>
              <w:color w:val="auto"/>
              <w:szCs w:val="21"/>
              <w:highlight w:val="none"/>
              <w:lang w:val="zh-CN"/>
            </w:rPr>
            <w:fldChar w:fldCharType="separate"/>
          </w:r>
          <w:r>
            <w:rPr>
              <w:rFonts w:eastAsia="宋体" w:cs="Times New Roman"/>
              <w:bCs/>
              <w:color w:val="auto"/>
              <w:szCs w:val="44"/>
              <w:highlight w:val="none"/>
            </w:rPr>
            <w:t>3</w:t>
          </w:r>
          <w:r>
            <w:rPr>
              <w:rFonts w:hint="eastAsia" w:eastAsia="宋体" w:cs="Times New Roman"/>
              <w:bCs/>
              <w:color w:val="auto"/>
              <w:szCs w:val="44"/>
              <w:highlight w:val="none"/>
              <w:lang w:val="en-US" w:eastAsia="zh-CN"/>
            </w:rPr>
            <w:t xml:space="preserve"> </w:t>
          </w:r>
          <w:r>
            <w:rPr>
              <w:rFonts w:eastAsia="宋体" w:cs="Times New Roman"/>
              <w:bCs/>
              <w:color w:val="auto"/>
              <w:szCs w:val="44"/>
              <w:highlight w:val="none"/>
            </w:rPr>
            <w:t xml:space="preserve"> </w:t>
          </w:r>
          <w:r>
            <w:rPr>
              <w:rFonts w:hint="eastAsia" w:eastAsia="宋体" w:cs="Times New Roman"/>
              <w:bCs/>
              <w:color w:val="auto"/>
              <w:szCs w:val="44"/>
              <w:highlight w:val="none"/>
            </w:rPr>
            <w:t>基本规定</w:t>
          </w:r>
          <w:r>
            <w:rPr>
              <w:color w:val="auto"/>
              <w:highlight w:val="none"/>
            </w:rPr>
            <w:tab/>
          </w:r>
          <w:r>
            <w:rPr>
              <w:color w:val="auto"/>
              <w:highlight w:val="none"/>
            </w:rPr>
            <w:fldChar w:fldCharType="begin"/>
          </w:r>
          <w:r>
            <w:rPr>
              <w:color w:val="auto"/>
              <w:highlight w:val="none"/>
            </w:rPr>
            <w:instrText xml:space="preserve"> PAGEREF _Toc14027 \h </w:instrText>
          </w:r>
          <w:r>
            <w:rPr>
              <w:color w:val="auto"/>
              <w:highlight w:val="none"/>
            </w:rPr>
            <w:fldChar w:fldCharType="separate"/>
          </w:r>
          <w:r>
            <w:rPr>
              <w:color w:val="auto"/>
              <w:highlight w:val="none"/>
            </w:rPr>
            <w:t>53</w:t>
          </w:r>
          <w:r>
            <w:rPr>
              <w:color w:val="auto"/>
              <w:highlight w:val="none"/>
            </w:rPr>
            <w:fldChar w:fldCharType="end"/>
          </w:r>
          <w:r>
            <w:rPr>
              <w:bCs/>
              <w:color w:val="auto"/>
              <w:szCs w:val="21"/>
              <w:highlight w:val="none"/>
              <w:lang w:val="zh-CN"/>
            </w:rPr>
            <w:fldChar w:fldCharType="end"/>
          </w:r>
        </w:p>
        <w:p>
          <w:pPr>
            <w:pStyle w:val="8"/>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_Toc8170 </w:instrText>
          </w:r>
          <w:r>
            <w:rPr>
              <w:bCs/>
              <w:color w:val="auto"/>
              <w:szCs w:val="21"/>
              <w:highlight w:val="none"/>
              <w:lang w:val="zh-CN"/>
            </w:rPr>
            <w:fldChar w:fldCharType="separate"/>
          </w:r>
          <w:r>
            <w:rPr>
              <w:rFonts w:hint="eastAsia" w:eastAsia="宋体" w:cs="Times New Roman"/>
              <w:bCs/>
              <w:color w:val="auto"/>
              <w:szCs w:val="44"/>
              <w:highlight w:val="none"/>
              <w:lang w:val="en-US" w:eastAsia="zh-CN"/>
            </w:rPr>
            <w:t>4</w:t>
          </w:r>
          <w:r>
            <w:rPr>
              <w:rFonts w:hint="default" w:eastAsia="宋体" w:cs="Times New Roman"/>
              <w:bCs/>
              <w:color w:val="auto"/>
              <w:szCs w:val="44"/>
              <w:highlight w:val="none"/>
              <w:lang w:val="en-US"/>
            </w:rPr>
            <w:t xml:space="preserve"> </w:t>
          </w:r>
          <w:r>
            <w:rPr>
              <w:rFonts w:hint="eastAsia" w:eastAsia="宋体" w:cs="Times New Roman"/>
              <w:bCs/>
              <w:color w:val="auto"/>
              <w:szCs w:val="44"/>
              <w:highlight w:val="none"/>
              <w:lang w:val="en-US" w:eastAsia="zh-CN"/>
            </w:rPr>
            <w:t xml:space="preserve"> 接地电阻检测</w:t>
          </w:r>
          <w:r>
            <w:rPr>
              <w:color w:val="auto"/>
              <w:highlight w:val="none"/>
            </w:rPr>
            <w:tab/>
          </w:r>
          <w:r>
            <w:rPr>
              <w:color w:val="auto"/>
              <w:highlight w:val="none"/>
            </w:rPr>
            <w:fldChar w:fldCharType="begin"/>
          </w:r>
          <w:r>
            <w:rPr>
              <w:color w:val="auto"/>
              <w:highlight w:val="none"/>
            </w:rPr>
            <w:instrText xml:space="preserve"> PAGEREF _Toc8170 \h </w:instrText>
          </w:r>
          <w:r>
            <w:rPr>
              <w:color w:val="auto"/>
              <w:highlight w:val="none"/>
            </w:rPr>
            <w:fldChar w:fldCharType="separate"/>
          </w:r>
          <w:r>
            <w:rPr>
              <w:color w:val="auto"/>
              <w:highlight w:val="none"/>
            </w:rPr>
            <w:t>54</w:t>
          </w:r>
          <w:r>
            <w:rPr>
              <w:color w:val="auto"/>
              <w:highlight w:val="none"/>
            </w:rPr>
            <w:fldChar w:fldCharType="end"/>
          </w:r>
          <w:r>
            <w:rPr>
              <w:bCs/>
              <w:color w:val="auto"/>
              <w:szCs w:val="21"/>
              <w:highlight w:val="none"/>
              <w:lang w:val="zh-CN"/>
            </w:rPr>
            <w:fldChar w:fldCharType="end"/>
          </w:r>
        </w:p>
        <w:p>
          <w:pPr>
            <w:pStyle w:val="9"/>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_Toc28088 </w:instrText>
          </w:r>
          <w:r>
            <w:rPr>
              <w:bCs/>
              <w:color w:val="auto"/>
              <w:szCs w:val="21"/>
              <w:highlight w:val="none"/>
              <w:lang w:val="zh-CN"/>
            </w:rPr>
            <w:fldChar w:fldCharType="separate"/>
          </w:r>
          <w:r>
            <w:rPr>
              <w:rFonts w:hint="eastAsia" w:cs="Times New Roman"/>
              <w:bCs/>
              <w:color w:val="auto"/>
              <w:szCs w:val="32"/>
              <w:highlight w:val="none"/>
              <w:lang w:val="en-US" w:eastAsia="zh-CN"/>
            </w:rPr>
            <w:t>4</w:t>
          </w:r>
          <w:r>
            <w:rPr>
              <w:rFonts w:hint="default" w:cs="Times New Roman"/>
              <w:bCs/>
              <w:color w:val="auto"/>
              <w:szCs w:val="32"/>
              <w:highlight w:val="none"/>
              <w:lang w:val="en-US" w:eastAsia="zh-CN"/>
            </w:rPr>
            <w:t xml:space="preserve">.1 </w:t>
          </w:r>
          <w:r>
            <w:rPr>
              <w:rFonts w:hint="eastAsia" w:cs="Times New Roman"/>
              <w:bCs/>
              <w:color w:val="auto"/>
              <w:szCs w:val="32"/>
              <w:highlight w:val="none"/>
              <w:lang w:val="en-US" w:eastAsia="zh-CN"/>
            </w:rPr>
            <w:t>一般规定</w:t>
          </w:r>
          <w:r>
            <w:rPr>
              <w:color w:val="auto"/>
              <w:highlight w:val="none"/>
            </w:rPr>
            <w:tab/>
          </w:r>
          <w:r>
            <w:rPr>
              <w:color w:val="auto"/>
              <w:highlight w:val="none"/>
            </w:rPr>
            <w:fldChar w:fldCharType="begin"/>
          </w:r>
          <w:r>
            <w:rPr>
              <w:color w:val="auto"/>
              <w:highlight w:val="none"/>
            </w:rPr>
            <w:instrText xml:space="preserve"> PAGEREF _Toc28088 \h </w:instrText>
          </w:r>
          <w:r>
            <w:rPr>
              <w:color w:val="auto"/>
              <w:highlight w:val="none"/>
            </w:rPr>
            <w:fldChar w:fldCharType="separate"/>
          </w:r>
          <w:r>
            <w:rPr>
              <w:color w:val="auto"/>
              <w:highlight w:val="none"/>
            </w:rPr>
            <w:t>54</w:t>
          </w:r>
          <w:r>
            <w:rPr>
              <w:color w:val="auto"/>
              <w:highlight w:val="none"/>
            </w:rPr>
            <w:fldChar w:fldCharType="end"/>
          </w:r>
          <w:r>
            <w:rPr>
              <w:bCs/>
              <w:color w:val="auto"/>
              <w:szCs w:val="21"/>
              <w:highlight w:val="none"/>
              <w:lang w:val="zh-CN"/>
            </w:rPr>
            <w:fldChar w:fldCharType="end"/>
          </w:r>
        </w:p>
        <w:p>
          <w:pPr>
            <w:pStyle w:val="9"/>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_Toc8839 </w:instrText>
          </w:r>
          <w:r>
            <w:rPr>
              <w:bCs/>
              <w:color w:val="auto"/>
              <w:szCs w:val="21"/>
              <w:highlight w:val="none"/>
              <w:lang w:val="zh-CN"/>
            </w:rPr>
            <w:fldChar w:fldCharType="separate"/>
          </w:r>
          <w:r>
            <w:rPr>
              <w:rFonts w:hint="eastAsia" w:cs="Times New Roman"/>
              <w:bCs/>
              <w:color w:val="auto"/>
              <w:szCs w:val="32"/>
              <w:highlight w:val="none"/>
              <w:lang w:val="en-US" w:eastAsia="zh-CN"/>
            </w:rPr>
            <w:t>4</w:t>
          </w:r>
          <w:r>
            <w:rPr>
              <w:rFonts w:hint="default" w:cs="Times New Roman"/>
              <w:bCs/>
              <w:color w:val="auto"/>
              <w:szCs w:val="32"/>
              <w:highlight w:val="none"/>
              <w:lang w:val="en-US" w:eastAsia="zh-CN"/>
            </w:rPr>
            <w:t>.</w:t>
          </w:r>
          <w:r>
            <w:rPr>
              <w:rFonts w:hint="eastAsia" w:cs="Times New Roman"/>
              <w:bCs/>
              <w:color w:val="auto"/>
              <w:szCs w:val="32"/>
              <w:highlight w:val="none"/>
              <w:lang w:val="en-US" w:eastAsia="zh-CN"/>
            </w:rPr>
            <w:t>2</w:t>
          </w:r>
          <w:r>
            <w:rPr>
              <w:rFonts w:hint="default" w:cs="Times New Roman"/>
              <w:bCs/>
              <w:color w:val="auto"/>
              <w:szCs w:val="32"/>
              <w:highlight w:val="none"/>
              <w:lang w:val="en-US" w:eastAsia="zh-CN"/>
            </w:rPr>
            <w:t xml:space="preserve"> </w:t>
          </w:r>
          <w:r>
            <w:rPr>
              <w:rFonts w:hint="eastAsia" w:cs="Times New Roman"/>
              <w:bCs/>
              <w:color w:val="auto"/>
              <w:szCs w:val="32"/>
              <w:highlight w:val="none"/>
              <w:lang w:val="en-US" w:eastAsia="zh-CN"/>
            </w:rPr>
            <w:t>检测部位和检测数量</w:t>
          </w:r>
          <w:r>
            <w:rPr>
              <w:color w:val="auto"/>
              <w:highlight w:val="none"/>
            </w:rPr>
            <w:tab/>
          </w:r>
          <w:r>
            <w:rPr>
              <w:color w:val="auto"/>
              <w:highlight w:val="none"/>
            </w:rPr>
            <w:fldChar w:fldCharType="begin"/>
          </w:r>
          <w:r>
            <w:rPr>
              <w:color w:val="auto"/>
              <w:highlight w:val="none"/>
            </w:rPr>
            <w:instrText xml:space="preserve"> PAGEREF _Toc8839 \h </w:instrText>
          </w:r>
          <w:r>
            <w:rPr>
              <w:color w:val="auto"/>
              <w:highlight w:val="none"/>
            </w:rPr>
            <w:fldChar w:fldCharType="separate"/>
          </w:r>
          <w:r>
            <w:rPr>
              <w:color w:val="auto"/>
              <w:highlight w:val="none"/>
            </w:rPr>
            <w:t>54</w:t>
          </w:r>
          <w:r>
            <w:rPr>
              <w:color w:val="auto"/>
              <w:highlight w:val="none"/>
            </w:rPr>
            <w:fldChar w:fldCharType="end"/>
          </w:r>
          <w:r>
            <w:rPr>
              <w:bCs/>
              <w:color w:val="auto"/>
              <w:szCs w:val="21"/>
              <w:highlight w:val="none"/>
              <w:lang w:val="zh-CN"/>
            </w:rPr>
            <w:fldChar w:fldCharType="end"/>
          </w:r>
        </w:p>
        <w:p>
          <w:pPr>
            <w:pStyle w:val="9"/>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_Toc25093 </w:instrText>
          </w:r>
          <w:r>
            <w:rPr>
              <w:bCs/>
              <w:color w:val="auto"/>
              <w:szCs w:val="21"/>
              <w:highlight w:val="none"/>
              <w:lang w:val="zh-CN"/>
            </w:rPr>
            <w:fldChar w:fldCharType="separate"/>
          </w:r>
          <w:r>
            <w:rPr>
              <w:rFonts w:hint="eastAsia" w:cs="Times New Roman"/>
              <w:bCs/>
              <w:color w:val="auto"/>
              <w:szCs w:val="32"/>
              <w:highlight w:val="none"/>
              <w:lang w:val="en-US" w:eastAsia="zh-CN"/>
            </w:rPr>
            <w:t>4.3检测方法</w:t>
          </w:r>
          <w:r>
            <w:rPr>
              <w:color w:val="auto"/>
              <w:highlight w:val="none"/>
            </w:rPr>
            <w:tab/>
          </w:r>
          <w:r>
            <w:rPr>
              <w:color w:val="auto"/>
              <w:highlight w:val="none"/>
            </w:rPr>
            <w:fldChar w:fldCharType="begin"/>
          </w:r>
          <w:r>
            <w:rPr>
              <w:color w:val="auto"/>
              <w:highlight w:val="none"/>
            </w:rPr>
            <w:instrText xml:space="preserve"> PAGEREF _Toc25093 \h </w:instrText>
          </w:r>
          <w:r>
            <w:rPr>
              <w:color w:val="auto"/>
              <w:highlight w:val="none"/>
            </w:rPr>
            <w:fldChar w:fldCharType="separate"/>
          </w:r>
          <w:r>
            <w:rPr>
              <w:color w:val="auto"/>
              <w:highlight w:val="none"/>
            </w:rPr>
            <w:t>54</w:t>
          </w:r>
          <w:r>
            <w:rPr>
              <w:color w:val="auto"/>
              <w:highlight w:val="none"/>
            </w:rPr>
            <w:fldChar w:fldCharType="end"/>
          </w:r>
          <w:r>
            <w:rPr>
              <w:bCs/>
              <w:color w:val="auto"/>
              <w:szCs w:val="21"/>
              <w:highlight w:val="none"/>
              <w:lang w:val="zh-CN"/>
            </w:rPr>
            <w:fldChar w:fldCharType="end"/>
          </w:r>
        </w:p>
        <w:p>
          <w:pPr>
            <w:pStyle w:val="8"/>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_Toc21693 </w:instrText>
          </w:r>
          <w:r>
            <w:rPr>
              <w:bCs/>
              <w:color w:val="auto"/>
              <w:szCs w:val="21"/>
              <w:highlight w:val="none"/>
              <w:lang w:val="zh-CN"/>
            </w:rPr>
            <w:fldChar w:fldCharType="separate"/>
          </w:r>
          <w:r>
            <w:rPr>
              <w:rFonts w:hint="eastAsia" w:eastAsia="宋体" w:cs="Times New Roman"/>
              <w:bCs/>
              <w:color w:val="auto"/>
              <w:szCs w:val="44"/>
              <w:highlight w:val="none"/>
            </w:rPr>
            <w:t>5</w:t>
          </w:r>
          <w:r>
            <w:rPr>
              <w:rFonts w:eastAsia="宋体" w:cs="Times New Roman"/>
              <w:bCs/>
              <w:color w:val="auto"/>
              <w:szCs w:val="44"/>
              <w:highlight w:val="none"/>
            </w:rPr>
            <w:t xml:space="preserve"> </w:t>
          </w:r>
          <w:r>
            <w:rPr>
              <w:rFonts w:hint="eastAsia" w:eastAsia="宋体" w:cs="Times New Roman"/>
              <w:bCs/>
              <w:color w:val="auto"/>
              <w:szCs w:val="44"/>
              <w:highlight w:val="none"/>
            </w:rPr>
            <w:t xml:space="preserve"> </w:t>
          </w:r>
          <w:r>
            <w:rPr>
              <w:rFonts w:hint="eastAsia" w:eastAsia="宋体" w:cs="Times New Roman"/>
              <w:bCs/>
              <w:color w:val="auto"/>
              <w:szCs w:val="44"/>
              <w:highlight w:val="none"/>
              <w:lang w:val="en-US" w:eastAsia="zh-CN"/>
            </w:rPr>
            <w:t xml:space="preserve"> </w:t>
          </w:r>
          <w:r>
            <w:rPr>
              <w:rFonts w:hint="eastAsia" w:eastAsia="宋体" w:cs="Times New Roman"/>
              <w:bCs/>
              <w:color w:val="auto"/>
              <w:szCs w:val="44"/>
              <w:highlight w:val="none"/>
            </w:rPr>
            <w:t>过渡电阻检测</w:t>
          </w:r>
          <w:r>
            <w:rPr>
              <w:color w:val="auto"/>
              <w:highlight w:val="none"/>
            </w:rPr>
            <w:tab/>
          </w:r>
          <w:r>
            <w:rPr>
              <w:color w:val="auto"/>
              <w:highlight w:val="none"/>
            </w:rPr>
            <w:fldChar w:fldCharType="begin"/>
          </w:r>
          <w:r>
            <w:rPr>
              <w:color w:val="auto"/>
              <w:highlight w:val="none"/>
            </w:rPr>
            <w:instrText xml:space="preserve"> PAGEREF _Toc21693 \h </w:instrText>
          </w:r>
          <w:r>
            <w:rPr>
              <w:color w:val="auto"/>
              <w:highlight w:val="none"/>
            </w:rPr>
            <w:fldChar w:fldCharType="separate"/>
          </w:r>
          <w:r>
            <w:rPr>
              <w:color w:val="auto"/>
              <w:highlight w:val="none"/>
            </w:rPr>
            <w:t>55</w:t>
          </w:r>
          <w:r>
            <w:rPr>
              <w:color w:val="auto"/>
              <w:highlight w:val="none"/>
            </w:rPr>
            <w:fldChar w:fldCharType="end"/>
          </w:r>
          <w:r>
            <w:rPr>
              <w:bCs/>
              <w:color w:val="auto"/>
              <w:szCs w:val="21"/>
              <w:highlight w:val="none"/>
              <w:lang w:val="zh-CN"/>
            </w:rPr>
            <w:fldChar w:fldCharType="end"/>
          </w:r>
        </w:p>
        <w:p>
          <w:pPr>
            <w:pStyle w:val="9"/>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_Toc12529 </w:instrText>
          </w:r>
          <w:r>
            <w:rPr>
              <w:bCs/>
              <w:color w:val="auto"/>
              <w:szCs w:val="21"/>
              <w:highlight w:val="none"/>
              <w:lang w:val="zh-CN"/>
            </w:rPr>
            <w:fldChar w:fldCharType="separate"/>
          </w:r>
          <w:r>
            <w:rPr>
              <w:rFonts w:hint="eastAsia" w:cs="Times New Roman"/>
              <w:bCs/>
              <w:color w:val="auto"/>
              <w:szCs w:val="32"/>
              <w:highlight w:val="none"/>
            </w:rPr>
            <w:t>5</w:t>
          </w:r>
          <w:r>
            <w:rPr>
              <w:rFonts w:cs="Times New Roman"/>
              <w:bCs/>
              <w:color w:val="auto"/>
              <w:szCs w:val="32"/>
              <w:highlight w:val="none"/>
            </w:rPr>
            <w:t xml:space="preserve">.1 </w:t>
          </w:r>
          <w:r>
            <w:rPr>
              <w:rFonts w:hint="eastAsia" w:cs="Times New Roman"/>
              <w:bCs/>
              <w:color w:val="auto"/>
              <w:szCs w:val="32"/>
              <w:highlight w:val="none"/>
              <w:lang w:val="en-US" w:eastAsia="zh-CN"/>
            </w:rPr>
            <w:t xml:space="preserve">  一般规定</w:t>
          </w:r>
          <w:r>
            <w:rPr>
              <w:color w:val="auto"/>
              <w:highlight w:val="none"/>
            </w:rPr>
            <w:tab/>
          </w:r>
          <w:r>
            <w:rPr>
              <w:color w:val="auto"/>
              <w:highlight w:val="none"/>
            </w:rPr>
            <w:fldChar w:fldCharType="begin"/>
          </w:r>
          <w:r>
            <w:rPr>
              <w:color w:val="auto"/>
              <w:highlight w:val="none"/>
            </w:rPr>
            <w:instrText xml:space="preserve"> PAGEREF _Toc12529 \h </w:instrText>
          </w:r>
          <w:r>
            <w:rPr>
              <w:color w:val="auto"/>
              <w:highlight w:val="none"/>
            </w:rPr>
            <w:fldChar w:fldCharType="separate"/>
          </w:r>
          <w:r>
            <w:rPr>
              <w:color w:val="auto"/>
              <w:highlight w:val="none"/>
            </w:rPr>
            <w:t>55</w:t>
          </w:r>
          <w:r>
            <w:rPr>
              <w:color w:val="auto"/>
              <w:highlight w:val="none"/>
            </w:rPr>
            <w:fldChar w:fldCharType="end"/>
          </w:r>
          <w:r>
            <w:rPr>
              <w:bCs/>
              <w:color w:val="auto"/>
              <w:szCs w:val="21"/>
              <w:highlight w:val="none"/>
              <w:lang w:val="zh-CN"/>
            </w:rPr>
            <w:fldChar w:fldCharType="end"/>
          </w:r>
        </w:p>
        <w:p>
          <w:pPr>
            <w:pStyle w:val="9"/>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_Toc26479 </w:instrText>
          </w:r>
          <w:r>
            <w:rPr>
              <w:bCs/>
              <w:color w:val="auto"/>
              <w:szCs w:val="21"/>
              <w:highlight w:val="none"/>
              <w:lang w:val="zh-CN"/>
            </w:rPr>
            <w:fldChar w:fldCharType="separate"/>
          </w:r>
          <w:r>
            <w:rPr>
              <w:rFonts w:hint="eastAsia" w:cs="Times New Roman"/>
              <w:bCs/>
              <w:color w:val="auto"/>
              <w:szCs w:val="32"/>
              <w:highlight w:val="none"/>
            </w:rPr>
            <w:t>5</w:t>
          </w:r>
          <w:r>
            <w:rPr>
              <w:rFonts w:cs="Times New Roman"/>
              <w:bCs/>
              <w:color w:val="auto"/>
              <w:szCs w:val="32"/>
              <w:highlight w:val="none"/>
            </w:rPr>
            <w:t>.</w:t>
          </w:r>
          <w:r>
            <w:rPr>
              <w:rFonts w:hint="eastAsia" w:cs="Times New Roman"/>
              <w:bCs/>
              <w:color w:val="auto"/>
              <w:szCs w:val="32"/>
              <w:highlight w:val="none"/>
              <w:lang w:val="en-US" w:eastAsia="zh-CN"/>
            </w:rPr>
            <w:t>2</w:t>
          </w:r>
          <w:r>
            <w:rPr>
              <w:rFonts w:cs="Times New Roman"/>
              <w:bCs/>
              <w:color w:val="auto"/>
              <w:szCs w:val="32"/>
              <w:highlight w:val="none"/>
            </w:rPr>
            <w:t xml:space="preserve"> </w:t>
          </w:r>
          <w:r>
            <w:rPr>
              <w:rFonts w:hint="eastAsia" w:cs="Times New Roman"/>
              <w:bCs/>
              <w:color w:val="auto"/>
              <w:szCs w:val="32"/>
              <w:highlight w:val="none"/>
              <w:lang w:val="en-US" w:eastAsia="zh-CN"/>
            </w:rPr>
            <w:t xml:space="preserve">  一般规定</w:t>
          </w:r>
          <w:r>
            <w:rPr>
              <w:color w:val="auto"/>
              <w:highlight w:val="none"/>
            </w:rPr>
            <w:tab/>
          </w:r>
          <w:r>
            <w:rPr>
              <w:color w:val="auto"/>
              <w:highlight w:val="none"/>
            </w:rPr>
            <w:fldChar w:fldCharType="begin"/>
          </w:r>
          <w:r>
            <w:rPr>
              <w:color w:val="auto"/>
              <w:highlight w:val="none"/>
            </w:rPr>
            <w:instrText xml:space="preserve"> PAGEREF _Toc26479 \h </w:instrText>
          </w:r>
          <w:r>
            <w:rPr>
              <w:color w:val="auto"/>
              <w:highlight w:val="none"/>
            </w:rPr>
            <w:fldChar w:fldCharType="separate"/>
          </w:r>
          <w:r>
            <w:rPr>
              <w:color w:val="auto"/>
              <w:highlight w:val="none"/>
            </w:rPr>
            <w:t>55</w:t>
          </w:r>
          <w:r>
            <w:rPr>
              <w:color w:val="auto"/>
              <w:highlight w:val="none"/>
            </w:rPr>
            <w:fldChar w:fldCharType="end"/>
          </w:r>
          <w:r>
            <w:rPr>
              <w:bCs/>
              <w:color w:val="auto"/>
              <w:szCs w:val="21"/>
              <w:highlight w:val="none"/>
              <w:lang w:val="zh-CN"/>
            </w:rPr>
            <w:fldChar w:fldCharType="end"/>
          </w:r>
        </w:p>
        <w:p>
          <w:pPr>
            <w:pStyle w:val="9"/>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_Toc27156 </w:instrText>
          </w:r>
          <w:r>
            <w:rPr>
              <w:bCs/>
              <w:color w:val="auto"/>
              <w:szCs w:val="21"/>
              <w:highlight w:val="none"/>
              <w:lang w:val="zh-CN"/>
            </w:rPr>
            <w:fldChar w:fldCharType="separate"/>
          </w:r>
          <w:r>
            <w:rPr>
              <w:rFonts w:hint="eastAsia" w:cs="Times New Roman"/>
              <w:bCs/>
              <w:color w:val="auto"/>
              <w:szCs w:val="32"/>
              <w:highlight w:val="none"/>
              <w:lang w:val="en-US" w:eastAsia="zh-CN"/>
            </w:rPr>
            <w:t>5.3    检测方法</w:t>
          </w:r>
          <w:r>
            <w:rPr>
              <w:color w:val="auto"/>
              <w:highlight w:val="none"/>
            </w:rPr>
            <w:tab/>
          </w:r>
          <w:r>
            <w:rPr>
              <w:color w:val="auto"/>
              <w:highlight w:val="none"/>
            </w:rPr>
            <w:fldChar w:fldCharType="begin"/>
          </w:r>
          <w:r>
            <w:rPr>
              <w:color w:val="auto"/>
              <w:highlight w:val="none"/>
            </w:rPr>
            <w:instrText xml:space="preserve"> PAGEREF _Toc27156 \h </w:instrText>
          </w:r>
          <w:r>
            <w:rPr>
              <w:color w:val="auto"/>
              <w:highlight w:val="none"/>
            </w:rPr>
            <w:fldChar w:fldCharType="separate"/>
          </w:r>
          <w:r>
            <w:rPr>
              <w:color w:val="auto"/>
              <w:highlight w:val="none"/>
            </w:rPr>
            <w:t>55</w:t>
          </w:r>
          <w:r>
            <w:rPr>
              <w:color w:val="auto"/>
              <w:highlight w:val="none"/>
            </w:rPr>
            <w:fldChar w:fldCharType="end"/>
          </w:r>
          <w:r>
            <w:rPr>
              <w:bCs/>
              <w:color w:val="auto"/>
              <w:szCs w:val="21"/>
              <w:highlight w:val="none"/>
              <w:lang w:val="zh-CN"/>
            </w:rPr>
            <w:fldChar w:fldCharType="end"/>
          </w:r>
        </w:p>
        <w:p>
          <w:pPr>
            <w:pStyle w:val="9"/>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_Toc6520 </w:instrText>
          </w:r>
          <w:r>
            <w:rPr>
              <w:bCs/>
              <w:color w:val="auto"/>
              <w:szCs w:val="21"/>
              <w:highlight w:val="none"/>
              <w:lang w:val="zh-CN"/>
            </w:rPr>
            <w:fldChar w:fldCharType="separate"/>
          </w:r>
          <w:r>
            <w:rPr>
              <w:rFonts w:hint="eastAsia" w:cs="Times New Roman"/>
              <w:bCs/>
              <w:color w:val="auto"/>
              <w:szCs w:val="32"/>
              <w:highlight w:val="none"/>
              <w:lang w:val="en-US" w:eastAsia="zh-CN"/>
            </w:rPr>
            <w:t>5.4  检测结果</w:t>
          </w:r>
          <w:r>
            <w:rPr>
              <w:rFonts w:hint="eastAsia" w:ascii="宋体" w:hAnsi="宋体" w:eastAsia="宋体" w:cs="宋体"/>
              <w:color w:val="auto"/>
              <w:szCs w:val="21"/>
              <w:highlight w:val="none"/>
              <w:lang w:val="en-US" w:eastAsia="zh-CN"/>
            </w:rPr>
            <w:t>的评价</w:t>
          </w:r>
          <w:r>
            <w:rPr>
              <w:color w:val="auto"/>
              <w:highlight w:val="none"/>
            </w:rPr>
            <w:tab/>
          </w:r>
          <w:r>
            <w:rPr>
              <w:color w:val="auto"/>
              <w:highlight w:val="none"/>
            </w:rPr>
            <w:fldChar w:fldCharType="begin"/>
          </w:r>
          <w:r>
            <w:rPr>
              <w:color w:val="auto"/>
              <w:highlight w:val="none"/>
            </w:rPr>
            <w:instrText xml:space="preserve"> PAGEREF _Toc6520 \h </w:instrText>
          </w:r>
          <w:r>
            <w:rPr>
              <w:color w:val="auto"/>
              <w:highlight w:val="none"/>
            </w:rPr>
            <w:fldChar w:fldCharType="separate"/>
          </w:r>
          <w:r>
            <w:rPr>
              <w:color w:val="auto"/>
              <w:highlight w:val="none"/>
            </w:rPr>
            <w:t>55</w:t>
          </w:r>
          <w:r>
            <w:rPr>
              <w:color w:val="auto"/>
              <w:highlight w:val="none"/>
            </w:rPr>
            <w:fldChar w:fldCharType="end"/>
          </w:r>
          <w:r>
            <w:rPr>
              <w:bCs/>
              <w:color w:val="auto"/>
              <w:szCs w:val="21"/>
              <w:highlight w:val="none"/>
              <w:lang w:val="zh-CN"/>
            </w:rPr>
            <w:fldChar w:fldCharType="end"/>
          </w:r>
        </w:p>
        <w:p>
          <w:pPr>
            <w:pStyle w:val="8"/>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_Toc10305 </w:instrText>
          </w:r>
          <w:r>
            <w:rPr>
              <w:bCs/>
              <w:color w:val="auto"/>
              <w:szCs w:val="21"/>
              <w:highlight w:val="none"/>
              <w:lang w:val="zh-CN"/>
            </w:rPr>
            <w:fldChar w:fldCharType="separate"/>
          </w:r>
          <w:r>
            <w:rPr>
              <w:rFonts w:eastAsia="宋体" w:cs="Times New Roman"/>
              <w:bCs/>
              <w:color w:val="auto"/>
              <w:szCs w:val="44"/>
              <w:highlight w:val="none"/>
            </w:rPr>
            <w:t>6</w:t>
          </w:r>
          <w:r>
            <w:rPr>
              <w:rFonts w:hint="eastAsia" w:eastAsia="宋体" w:cs="Times New Roman"/>
              <w:bCs/>
              <w:color w:val="auto"/>
              <w:szCs w:val="44"/>
              <w:highlight w:val="none"/>
              <w:lang w:val="en-US" w:eastAsia="zh-CN"/>
            </w:rPr>
            <w:t xml:space="preserve">    </w:t>
          </w:r>
          <w:r>
            <w:rPr>
              <w:rFonts w:hint="eastAsia" w:eastAsia="宋体" w:cs="Times New Roman"/>
              <w:bCs/>
              <w:color w:val="auto"/>
              <w:szCs w:val="44"/>
              <w:highlight w:val="none"/>
            </w:rPr>
            <w:t>绝缘电阻检测</w:t>
          </w:r>
          <w:r>
            <w:rPr>
              <w:color w:val="auto"/>
              <w:highlight w:val="none"/>
            </w:rPr>
            <w:tab/>
          </w:r>
          <w:r>
            <w:rPr>
              <w:color w:val="auto"/>
              <w:highlight w:val="none"/>
            </w:rPr>
            <w:fldChar w:fldCharType="begin"/>
          </w:r>
          <w:r>
            <w:rPr>
              <w:color w:val="auto"/>
              <w:highlight w:val="none"/>
            </w:rPr>
            <w:instrText xml:space="preserve"> PAGEREF _Toc10305 \h </w:instrText>
          </w:r>
          <w:r>
            <w:rPr>
              <w:color w:val="auto"/>
              <w:highlight w:val="none"/>
            </w:rPr>
            <w:fldChar w:fldCharType="separate"/>
          </w:r>
          <w:r>
            <w:rPr>
              <w:color w:val="auto"/>
              <w:highlight w:val="none"/>
            </w:rPr>
            <w:t>56</w:t>
          </w:r>
          <w:r>
            <w:rPr>
              <w:color w:val="auto"/>
              <w:highlight w:val="none"/>
            </w:rPr>
            <w:fldChar w:fldCharType="end"/>
          </w:r>
          <w:r>
            <w:rPr>
              <w:bCs/>
              <w:color w:val="auto"/>
              <w:szCs w:val="21"/>
              <w:highlight w:val="none"/>
              <w:lang w:val="zh-CN"/>
            </w:rPr>
            <w:fldChar w:fldCharType="end"/>
          </w:r>
        </w:p>
        <w:p>
          <w:pPr>
            <w:pStyle w:val="9"/>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_Toc7226 </w:instrText>
          </w:r>
          <w:r>
            <w:rPr>
              <w:bCs/>
              <w:color w:val="auto"/>
              <w:szCs w:val="21"/>
              <w:highlight w:val="none"/>
              <w:lang w:val="zh-CN"/>
            </w:rPr>
            <w:fldChar w:fldCharType="separate"/>
          </w:r>
          <w:r>
            <w:rPr>
              <w:rFonts w:hint="eastAsia" w:cs="Times New Roman"/>
              <w:bCs/>
              <w:color w:val="auto"/>
              <w:szCs w:val="32"/>
              <w:highlight w:val="none"/>
              <w:lang w:val="en-US" w:eastAsia="zh-CN"/>
            </w:rPr>
            <w:t>6</w:t>
          </w:r>
          <w:r>
            <w:rPr>
              <w:rFonts w:cs="Times New Roman"/>
              <w:bCs/>
              <w:color w:val="auto"/>
              <w:szCs w:val="32"/>
              <w:highlight w:val="none"/>
            </w:rPr>
            <w:t>.1</w:t>
          </w:r>
          <w:r>
            <w:rPr>
              <w:rFonts w:hint="eastAsia" w:cs="Times New Roman"/>
              <w:bCs/>
              <w:color w:val="auto"/>
              <w:szCs w:val="32"/>
              <w:highlight w:val="none"/>
              <w:lang w:val="en-US" w:eastAsia="zh-CN"/>
            </w:rPr>
            <w:t xml:space="preserve"> </w:t>
          </w:r>
          <w:r>
            <w:rPr>
              <w:rFonts w:cs="Times New Roman"/>
              <w:bCs/>
              <w:color w:val="auto"/>
              <w:szCs w:val="32"/>
              <w:highlight w:val="none"/>
            </w:rPr>
            <w:t xml:space="preserve"> </w:t>
          </w:r>
          <w:r>
            <w:rPr>
              <w:rFonts w:hint="eastAsia" w:cs="Times New Roman"/>
              <w:bCs/>
              <w:color w:val="auto"/>
              <w:szCs w:val="32"/>
              <w:highlight w:val="none"/>
              <w:lang w:val="en-US" w:eastAsia="zh-CN"/>
            </w:rPr>
            <w:t>一般规定</w:t>
          </w:r>
          <w:r>
            <w:rPr>
              <w:color w:val="auto"/>
              <w:highlight w:val="none"/>
            </w:rPr>
            <w:tab/>
          </w:r>
          <w:r>
            <w:rPr>
              <w:color w:val="auto"/>
              <w:highlight w:val="none"/>
            </w:rPr>
            <w:fldChar w:fldCharType="begin"/>
          </w:r>
          <w:r>
            <w:rPr>
              <w:color w:val="auto"/>
              <w:highlight w:val="none"/>
            </w:rPr>
            <w:instrText xml:space="preserve"> PAGEREF _Toc7226 \h </w:instrText>
          </w:r>
          <w:r>
            <w:rPr>
              <w:color w:val="auto"/>
              <w:highlight w:val="none"/>
            </w:rPr>
            <w:fldChar w:fldCharType="separate"/>
          </w:r>
          <w:r>
            <w:rPr>
              <w:color w:val="auto"/>
              <w:highlight w:val="none"/>
            </w:rPr>
            <w:t>56</w:t>
          </w:r>
          <w:r>
            <w:rPr>
              <w:color w:val="auto"/>
              <w:highlight w:val="none"/>
            </w:rPr>
            <w:fldChar w:fldCharType="end"/>
          </w:r>
          <w:r>
            <w:rPr>
              <w:bCs/>
              <w:color w:val="auto"/>
              <w:szCs w:val="21"/>
              <w:highlight w:val="none"/>
              <w:lang w:val="zh-CN"/>
            </w:rPr>
            <w:fldChar w:fldCharType="end"/>
          </w:r>
        </w:p>
        <w:p>
          <w:pPr>
            <w:pStyle w:val="9"/>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_Toc14787 </w:instrText>
          </w:r>
          <w:r>
            <w:rPr>
              <w:bCs/>
              <w:color w:val="auto"/>
              <w:szCs w:val="21"/>
              <w:highlight w:val="none"/>
              <w:lang w:val="zh-CN"/>
            </w:rPr>
            <w:fldChar w:fldCharType="separate"/>
          </w:r>
          <w:r>
            <w:rPr>
              <w:rFonts w:hint="eastAsia" w:cs="Times New Roman"/>
              <w:bCs/>
              <w:color w:val="auto"/>
              <w:szCs w:val="32"/>
              <w:highlight w:val="none"/>
              <w:lang w:val="en-US" w:eastAsia="zh-CN"/>
            </w:rPr>
            <w:t>6.3  检测方法</w:t>
          </w:r>
          <w:r>
            <w:rPr>
              <w:color w:val="auto"/>
              <w:highlight w:val="none"/>
            </w:rPr>
            <w:tab/>
          </w:r>
          <w:r>
            <w:rPr>
              <w:color w:val="auto"/>
              <w:highlight w:val="none"/>
            </w:rPr>
            <w:fldChar w:fldCharType="begin"/>
          </w:r>
          <w:r>
            <w:rPr>
              <w:color w:val="auto"/>
              <w:highlight w:val="none"/>
            </w:rPr>
            <w:instrText xml:space="preserve"> PAGEREF _Toc14787 \h </w:instrText>
          </w:r>
          <w:r>
            <w:rPr>
              <w:color w:val="auto"/>
              <w:highlight w:val="none"/>
            </w:rPr>
            <w:fldChar w:fldCharType="separate"/>
          </w:r>
          <w:r>
            <w:rPr>
              <w:color w:val="auto"/>
              <w:highlight w:val="none"/>
            </w:rPr>
            <w:t>56</w:t>
          </w:r>
          <w:r>
            <w:rPr>
              <w:color w:val="auto"/>
              <w:highlight w:val="none"/>
            </w:rPr>
            <w:fldChar w:fldCharType="end"/>
          </w:r>
          <w:r>
            <w:rPr>
              <w:bCs/>
              <w:color w:val="auto"/>
              <w:szCs w:val="21"/>
              <w:highlight w:val="none"/>
              <w:lang w:val="zh-CN"/>
            </w:rPr>
            <w:fldChar w:fldCharType="end"/>
          </w:r>
        </w:p>
        <w:p>
          <w:pPr>
            <w:pStyle w:val="9"/>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_Toc9595 </w:instrText>
          </w:r>
          <w:r>
            <w:rPr>
              <w:bCs/>
              <w:color w:val="auto"/>
              <w:szCs w:val="21"/>
              <w:highlight w:val="none"/>
              <w:lang w:val="zh-CN"/>
            </w:rPr>
            <w:fldChar w:fldCharType="separate"/>
          </w:r>
          <w:r>
            <w:rPr>
              <w:rFonts w:cs="Times New Roman"/>
              <w:bCs/>
              <w:color w:val="auto"/>
              <w:szCs w:val="32"/>
              <w:highlight w:val="none"/>
            </w:rPr>
            <w:t>6.</w:t>
          </w:r>
          <w:r>
            <w:rPr>
              <w:rFonts w:hint="eastAsia" w:cs="Times New Roman"/>
              <w:bCs/>
              <w:color w:val="auto"/>
              <w:szCs w:val="32"/>
              <w:highlight w:val="none"/>
              <w:lang w:val="en-US" w:eastAsia="zh-CN"/>
            </w:rPr>
            <w:t xml:space="preserve">4  </w:t>
          </w:r>
          <w:r>
            <w:rPr>
              <w:rFonts w:hint="eastAsia" w:cs="Times New Roman"/>
              <w:bCs/>
              <w:color w:val="auto"/>
              <w:szCs w:val="32"/>
              <w:highlight w:val="none"/>
            </w:rPr>
            <w:t>检测结果</w:t>
          </w:r>
          <w:r>
            <w:rPr>
              <w:rFonts w:hint="eastAsia" w:ascii="宋体" w:hAnsi="宋体" w:eastAsia="宋体" w:cs="宋体"/>
              <w:color w:val="auto"/>
              <w:szCs w:val="21"/>
              <w:highlight w:val="none"/>
              <w:lang w:val="en-US" w:eastAsia="zh-CN"/>
            </w:rPr>
            <w:t>的评价</w:t>
          </w:r>
          <w:r>
            <w:rPr>
              <w:color w:val="auto"/>
              <w:highlight w:val="none"/>
            </w:rPr>
            <w:tab/>
          </w:r>
          <w:r>
            <w:rPr>
              <w:color w:val="auto"/>
              <w:highlight w:val="none"/>
            </w:rPr>
            <w:fldChar w:fldCharType="begin"/>
          </w:r>
          <w:r>
            <w:rPr>
              <w:color w:val="auto"/>
              <w:highlight w:val="none"/>
            </w:rPr>
            <w:instrText xml:space="preserve"> PAGEREF _Toc9595 \h </w:instrText>
          </w:r>
          <w:r>
            <w:rPr>
              <w:color w:val="auto"/>
              <w:highlight w:val="none"/>
            </w:rPr>
            <w:fldChar w:fldCharType="separate"/>
          </w:r>
          <w:r>
            <w:rPr>
              <w:color w:val="auto"/>
              <w:highlight w:val="none"/>
            </w:rPr>
            <w:t>57</w:t>
          </w:r>
          <w:r>
            <w:rPr>
              <w:color w:val="auto"/>
              <w:highlight w:val="none"/>
            </w:rPr>
            <w:fldChar w:fldCharType="end"/>
          </w:r>
          <w:r>
            <w:rPr>
              <w:bCs/>
              <w:color w:val="auto"/>
              <w:szCs w:val="21"/>
              <w:highlight w:val="none"/>
              <w:lang w:val="zh-CN"/>
            </w:rPr>
            <w:fldChar w:fldCharType="end"/>
          </w:r>
        </w:p>
        <w:p>
          <w:pPr>
            <w:pStyle w:val="8"/>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_Toc17228 </w:instrText>
          </w:r>
          <w:r>
            <w:rPr>
              <w:bCs/>
              <w:color w:val="auto"/>
              <w:szCs w:val="21"/>
              <w:highlight w:val="none"/>
              <w:lang w:val="zh-CN"/>
            </w:rPr>
            <w:fldChar w:fldCharType="separate"/>
          </w:r>
          <w:r>
            <w:rPr>
              <w:rFonts w:hint="eastAsia" w:eastAsia="宋体" w:cs="Times New Roman"/>
              <w:bCs/>
              <w:color w:val="auto"/>
              <w:szCs w:val="44"/>
              <w:highlight w:val="none"/>
            </w:rPr>
            <w:t xml:space="preserve">7 </w:t>
          </w:r>
          <w:r>
            <w:rPr>
              <w:rFonts w:hint="eastAsia" w:eastAsia="宋体" w:cs="Times New Roman"/>
              <w:bCs/>
              <w:color w:val="auto"/>
              <w:szCs w:val="44"/>
              <w:highlight w:val="none"/>
              <w:lang w:val="en-US" w:eastAsia="zh-CN"/>
            </w:rPr>
            <w:t xml:space="preserve">  </w:t>
          </w:r>
          <w:r>
            <w:rPr>
              <w:rFonts w:hint="eastAsia" w:eastAsia="宋体" w:cs="Times New Roman"/>
              <w:bCs/>
              <w:color w:val="auto"/>
              <w:szCs w:val="44"/>
              <w:highlight w:val="none"/>
            </w:rPr>
            <w:t>交流工频耐压试验</w:t>
          </w:r>
          <w:r>
            <w:rPr>
              <w:color w:val="auto"/>
              <w:highlight w:val="none"/>
            </w:rPr>
            <w:tab/>
          </w:r>
          <w:r>
            <w:rPr>
              <w:color w:val="auto"/>
              <w:highlight w:val="none"/>
            </w:rPr>
            <w:fldChar w:fldCharType="begin"/>
          </w:r>
          <w:r>
            <w:rPr>
              <w:color w:val="auto"/>
              <w:highlight w:val="none"/>
            </w:rPr>
            <w:instrText xml:space="preserve"> PAGEREF _Toc17228 \h </w:instrText>
          </w:r>
          <w:r>
            <w:rPr>
              <w:color w:val="auto"/>
              <w:highlight w:val="none"/>
            </w:rPr>
            <w:fldChar w:fldCharType="separate"/>
          </w:r>
          <w:r>
            <w:rPr>
              <w:color w:val="auto"/>
              <w:highlight w:val="none"/>
            </w:rPr>
            <w:t>58</w:t>
          </w:r>
          <w:r>
            <w:rPr>
              <w:color w:val="auto"/>
              <w:highlight w:val="none"/>
            </w:rPr>
            <w:fldChar w:fldCharType="end"/>
          </w:r>
          <w:r>
            <w:rPr>
              <w:bCs/>
              <w:color w:val="auto"/>
              <w:szCs w:val="21"/>
              <w:highlight w:val="none"/>
              <w:lang w:val="zh-CN"/>
            </w:rPr>
            <w:fldChar w:fldCharType="end"/>
          </w:r>
        </w:p>
        <w:p>
          <w:pPr>
            <w:pStyle w:val="9"/>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_Toc32032 </w:instrText>
          </w:r>
          <w:r>
            <w:rPr>
              <w:bCs/>
              <w:color w:val="auto"/>
              <w:szCs w:val="21"/>
              <w:highlight w:val="none"/>
              <w:lang w:val="zh-CN"/>
            </w:rPr>
            <w:fldChar w:fldCharType="separate"/>
          </w:r>
          <w:r>
            <w:rPr>
              <w:rFonts w:hint="eastAsia" w:cs="Times New Roman"/>
              <w:bCs/>
              <w:color w:val="auto"/>
              <w:szCs w:val="32"/>
              <w:highlight w:val="none"/>
              <w:lang w:val="en-US" w:eastAsia="zh-CN"/>
            </w:rPr>
            <w:t>7.1    一般规定</w:t>
          </w:r>
          <w:r>
            <w:rPr>
              <w:color w:val="auto"/>
              <w:highlight w:val="none"/>
            </w:rPr>
            <w:tab/>
          </w:r>
          <w:r>
            <w:rPr>
              <w:color w:val="auto"/>
              <w:highlight w:val="none"/>
            </w:rPr>
            <w:fldChar w:fldCharType="begin"/>
          </w:r>
          <w:r>
            <w:rPr>
              <w:color w:val="auto"/>
              <w:highlight w:val="none"/>
            </w:rPr>
            <w:instrText xml:space="preserve"> PAGEREF _Toc32032 \h </w:instrText>
          </w:r>
          <w:r>
            <w:rPr>
              <w:color w:val="auto"/>
              <w:highlight w:val="none"/>
            </w:rPr>
            <w:fldChar w:fldCharType="separate"/>
          </w:r>
          <w:r>
            <w:rPr>
              <w:color w:val="auto"/>
              <w:highlight w:val="none"/>
            </w:rPr>
            <w:t>58</w:t>
          </w:r>
          <w:r>
            <w:rPr>
              <w:color w:val="auto"/>
              <w:highlight w:val="none"/>
            </w:rPr>
            <w:fldChar w:fldCharType="end"/>
          </w:r>
          <w:r>
            <w:rPr>
              <w:bCs/>
              <w:color w:val="auto"/>
              <w:szCs w:val="21"/>
              <w:highlight w:val="none"/>
              <w:lang w:val="zh-CN"/>
            </w:rPr>
            <w:fldChar w:fldCharType="end"/>
          </w:r>
        </w:p>
        <w:p>
          <w:pPr>
            <w:pStyle w:val="9"/>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_Toc13115 </w:instrText>
          </w:r>
          <w:r>
            <w:rPr>
              <w:bCs/>
              <w:color w:val="auto"/>
              <w:szCs w:val="21"/>
              <w:highlight w:val="none"/>
              <w:lang w:val="zh-CN"/>
            </w:rPr>
            <w:fldChar w:fldCharType="separate"/>
          </w:r>
          <w:r>
            <w:rPr>
              <w:rFonts w:hint="eastAsia" w:cs="Times New Roman"/>
              <w:bCs/>
              <w:color w:val="auto"/>
              <w:szCs w:val="32"/>
              <w:highlight w:val="none"/>
              <w:lang w:val="en-US" w:eastAsia="zh-CN"/>
            </w:rPr>
            <w:t>7.2   检测部位和检测数量</w:t>
          </w:r>
          <w:r>
            <w:rPr>
              <w:color w:val="auto"/>
              <w:highlight w:val="none"/>
            </w:rPr>
            <w:tab/>
          </w:r>
          <w:r>
            <w:rPr>
              <w:color w:val="auto"/>
              <w:highlight w:val="none"/>
            </w:rPr>
            <w:fldChar w:fldCharType="begin"/>
          </w:r>
          <w:r>
            <w:rPr>
              <w:color w:val="auto"/>
              <w:highlight w:val="none"/>
            </w:rPr>
            <w:instrText xml:space="preserve"> PAGEREF _Toc13115 \h </w:instrText>
          </w:r>
          <w:r>
            <w:rPr>
              <w:color w:val="auto"/>
              <w:highlight w:val="none"/>
            </w:rPr>
            <w:fldChar w:fldCharType="separate"/>
          </w:r>
          <w:r>
            <w:rPr>
              <w:color w:val="auto"/>
              <w:highlight w:val="none"/>
            </w:rPr>
            <w:t>58</w:t>
          </w:r>
          <w:r>
            <w:rPr>
              <w:color w:val="auto"/>
              <w:highlight w:val="none"/>
            </w:rPr>
            <w:fldChar w:fldCharType="end"/>
          </w:r>
          <w:r>
            <w:rPr>
              <w:bCs/>
              <w:color w:val="auto"/>
              <w:szCs w:val="21"/>
              <w:highlight w:val="none"/>
              <w:lang w:val="zh-CN"/>
            </w:rPr>
            <w:fldChar w:fldCharType="end"/>
          </w:r>
        </w:p>
        <w:p>
          <w:pPr>
            <w:pStyle w:val="9"/>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_Toc19927 </w:instrText>
          </w:r>
          <w:r>
            <w:rPr>
              <w:bCs/>
              <w:color w:val="auto"/>
              <w:szCs w:val="21"/>
              <w:highlight w:val="none"/>
              <w:lang w:val="zh-CN"/>
            </w:rPr>
            <w:fldChar w:fldCharType="separate"/>
          </w:r>
          <w:r>
            <w:rPr>
              <w:rFonts w:hint="eastAsia" w:ascii="宋体" w:hAnsi="宋体" w:eastAsia="宋体" w:cs="宋体"/>
              <w:color w:val="auto"/>
              <w:szCs w:val="21"/>
              <w:highlight w:val="none"/>
            </w:rPr>
            <w:t>7</w:t>
          </w:r>
          <w:r>
            <w:rPr>
              <w:rFonts w:hint="default" w:ascii="宋体" w:hAnsi="宋体" w:eastAsia="宋体" w:cs="宋体"/>
              <w:color w:val="auto"/>
              <w:szCs w:val="21"/>
              <w:highlight w:val="none"/>
              <w:lang w:val="en-US"/>
            </w:rPr>
            <w:t>.3</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检测方法</w:t>
          </w:r>
          <w:r>
            <w:rPr>
              <w:color w:val="auto"/>
              <w:highlight w:val="none"/>
            </w:rPr>
            <w:tab/>
          </w:r>
          <w:r>
            <w:rPr>
              <w:color w:val="auto"/>
              <w:highlight w:val="none"/>
            </w:rPr>
            <w:fldChar w:fldCharType="begin"/>
          </w:r>
          <w:r>
            <w:rPr>
              <w:color w:val="auto"/>
              <w:highlight w:val="none"/>
            </w:rPr>
            <w:instrText xml:space="preserve"> PAGEREF _Toc19927 \h </w:instrText>
          </w:r>
          <w:r>
            <w:rPr>
              <w:color w:val="auto"/>
              <w:highlight w:val="none"/>
            </w:rPr>
            <w:fldChar w:fldCharType="separate"/>
          </w:r>
          <w:r>
            <w:rPr>
              <w:color w:val="auto"/>
              <w:highlight w:val="none"/>
            </w:rPr>
            <w:t>58</w:t>
          </w:r>
          <w:r>
            <w:rPr>
              <w:color w:val="auto"/>
              <w:highlight w:val="none"/>
            </w:rPr>
            <w:fldChar w:fldCharType="end"/>
          </w:r>
          <w:r>
            <w:rPr>
              <w:bCs/>
              <w:color w:val="auto"/>
              <w:szCs w:val="21"/>
              <w:highlight w:val="none"/>
              <w:lang w:val="zh-CN"/>
            </w:rPr>
            <w:fldChar w:fldCharType="end"/>
          </w:r>
        </w:p>
        <w:p>
          <w:pPr>
            <w:pStyle w:val="9"/>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_Toc20522 </w:instrText>
          </w:r>
          <w:r>
            <w:rPr>
              <w:bCs/>
              <w:color w:val="auto"/>
              <w:szCs w:val="21"/>
              <w:highlight w:val="none"/>
              <w:lang w:val="zh-CN"/>
            </w:rPr>
            <w:fldChar w:fldCharType="separate"/>
          </w:r>
          <w:r>
            <w:rPr>
              <w:rFonts w:hint="eastAsia" w:cs="Times New Roman"/>
              <w:bCs/>
              <w:color w:val="auto"/>
              <w:szCs w:val="32"/>
              <w:highlight w:val="none"/>
              <w:lang w:val="en-US" w:eastAsia="zh-CN"/>
            </w:rPr>
            <w:t>7.4   检测结果</w:t>
          </w:r>
          <w:r>
            <w:rPr>
              <w:color w:val="auto"/>
              <w:highlight w:val="none"/>
            </w:rPr>
            <w:tab/>
          </w:r>
          <w:r>
            <w:rPr>
              <w:color w:val="auto"/>
              <w:highlight w:val="none"/>
            </w:rPr>
            <w:fldChar w:fldCharType="begin"/>
          </w:r>
          <w:r>
            <w:rPr>
              <w:color w:val="auto"/>
              <w:highlight w:val="none"/>
            </w:rPr>
            <w:instrText xml:space="preserve"> PAGEREF _Toc20522 \h </w:instrText>
          </w:r>
          <w:r>
            <w:rPr>
              <w:color w:val="auto"/>
              <w:highlight w:val="none"/>
            </w:rPr>
            <w:fldChar w:fldCharType="separate"/>
          </w:r>
          <w:r>
            <w:rPr>
              <w:color w:val="auto"/>
              <w:highlight w:val="none"/>
            </w:rPr>
            <w:t>58</w:t>
          </w:r>
          <w:r>
            <w:rPr>
              <w:color w:val="auto"/>
              <w:highlight w:val="none"/>
            </w:rPr>
            <w:fldChar w:fldCharType="end"/>
          </w:r>
          <w:r>
            <w:rPr>
              <w:bCs/>
              <w:color w:val="auto"/>
              <w:szCs w:val="21"/>
              <w:highlight w:val="none"/>
              <w:lang w:val="zh-CN"/>
            </w:rPr>
            <w:fldChar w:fldCharType="end"/>
          </w:r>
        </w:p>
        <w:p>
          <w:pPr>
            <w:pStyle w:val="8"/>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_Toc30700 </w:instrText>
          </w:r>
          <w:r>
            <w:rPr>
              <w:bCs/>
              <w:color w:val="auto"/>
              <w:szCs w:val="21"/>
              <w:highlight w:val="none"/>
              <w:lang w:val="zh-CN"/>
            </w:rPr>
            <w:fldChar w:fldCharType="separate"/>
          </w:r>
          <w:r>
            <w:rPr>
              <w:rFonts w:hint="eastAsia" w:eastAsia="宋体" w:cs="Times New Roman"/>
              <w:bCs/>
              <w:color w:val="auto"/>
              <w:szCs w:val="44"/>
              <w:highlight w:val="none"/>
            </w:rPr>
            <w:t>8</w:t>
          </w:r>
          <w:r>
            <w:rPr>
              <w:rFonts w:hint="eastAsia" w:eastAsia="宋体" w:cs="Times New Roman"/>
              <w:bCs/>
              <w:color w:val="auto"/>
              <w:szCs w:val="44"/>
              <w:highlight w:val="none"/>
              <w:lang w:val="en-US" w:eastAsia="zh-CN"/>
            </w:rPr>
            <w:t xml:space="preserve">   </w:t>
          </w:r>
          <w:r>
            <w:rPr>
              <w:rFonts w:hint="eastAsia" w:eastAsia="宋体" w:cs="Times New Roman"/>
              <w:bCs/>
              <w:color w:val="auto"/>
              <w:szCs w:val="44"/>
              <w:highlight w:val="none"/>
            </w:rPr>
            <w:t>接地故障回路阻抗检测</w:t>
          </w:r>
          <w:r>
            <w:rPr>
              <w:color w:val="auto"/>
              <w:highlight w:val="none"/>
            </w:rPr>
            <w:tab/>
          </w:r>
          <w:r>
            <w:rPr>
              <w:color w:val="auto"/>
              <w:highlight w:val="none"/>
            </w:rPr>
            <w:fldChar w:fldCharType="begin"/>
          </w:r>
          <w:r>
            <w:rPr>
              <w:color w:val="auto"/>
              <w:highlight w:val="none"/>
            </w:rPr>
            <w:instrText xml:space="preserve"> PAGEREF _Toc30700 \h </w:instrText>
          </w:r>
          <w:r>
            <w:rPr>
              <w:color w:val="auto"/>
              <w:highlight w:val="none"/>
            </w:rPr>
            <w:fldChar w:fldCharType="separate"/>
          </w:r>
          <w:r>
            <w:rPr>
              <w:color w:val="auto"/>
              <w:highlight w:val="none"/>
            </w:rPr>
            <w:t>59</w:t>
          </w:r>
          <w:r>
            <w:rPr>
              <w:color w:val="auto"/>
              <w:highlight w:val="none"/>
            </w:rPr>
            <w:fldChar w:fldCharType="end"/>
          </w:r>
          <w:r>
            <w:rPr>
              <w:bCs/>
              <w:color w:val="auto"/>
              <w:szCs w:val="21"/>
              <w:highlight w:val="none"/>
              <w:lang w:val="zh-CN"/>
            </w:rPr>
            <w:fldChar w:fldCharType="end"/>
          </w:r>
        </w:p>
        <w:p>
          <w:pPr>
            <w:pStyle w:val="9"/>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_Toc17640 </w:instrText>
          </w:r>
          <w:r>
            <w:rPr>
              <w:bCs/>
              <w:color w:val="auto"/>
              <w:szCs w:val="21"/>
              <w:highlight w:val="none"/>
              <w:lang w:val="zh-CN"/>
            </w:rPr>
            <w:fldChar w:fldCharType="separate"/>
          </w:r>
          <w:r>
            <w:rPr>
              <w:rFonts w:hint="eastAsia" w:cs="Times New Roman"/>
              <w:bCs/>
              <w:color w:val="auto"/>
              <w:szCs w:val="32"/>
              <w:highlight w:val="none"/>
              <w:lang w:val="en-US" w:eastAsia="zh-CN"/>
            </w:rPr>
            <w:t>8.1  一般规定</w:t>
          </w:r>
          <w:r>
            <w:rPr>
              <w:color w:val="auto"/>
              <w:highlight w:val="none"/>
            </w:rPr>
            <w:tab/>
          </w:r>
          <w:r>
            <w:rPr>
              <w:color w:val="auto"/>
              <w:highlight w:val="none"/>
            </w:rPr>
            <w:fldChar w:fldCharType="begin"/>
          </w:r>
          <w:r>
            <w:rPr>
              <w:color w:val="auto"/>
              <w:highlight w:val="none"/>
            </w:rPr>
            <w:instrText xml:space="preserve"> PAGEREF _Toc17640 \h </w:instrText>
          </w:r>
          <w:r>
            <w:rPr>
              <w:color w:val="auto"/>
              <w:highlight w:val="none"/>
            </w:rPr>
            <w:fldChar w:fldCharType="separate"/>
          </w:r>
          <w:r>
            <w:rPr>
              <w:color w:val="auto"/>
              <w:highlight w:val="none"/>
            </w:rPr>
            <w:t>59</w:t>
          </w:r>
          <w:r>
            <w:rPr>
              <w:color w:val="auto"/>
              <w:highlight w:val="none"/>
            </w:rPr>
            <w:fldChar w:fldCharType="end"/>
          </w:r>
          <w:r>
            <w:rPr>
              <w:bCs/>
              <w:color w:val="auto"/>
              <w:szCs w:val="21"/>
              <w:highlight w:val="none"/>
              <w:lang w:val="zh-CN"/>
            </w:rPr>
            <w:fldChar w:fldCharType="end"/>
          </w:r>
        </w:p>
        <w:p>
          <w:pPr>
            <w:pStyle w:val="9"/>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_Toc24536 </w:instrText>
          </w:r>
          <w:r>
            <w:rPr>
              <w:bCs/>
              <w:color w:val="auto"/>
              <w:szCs w:val="21"/>
              <w:highlight w:val="none"/>
              <w:lang w:val="zh-CN"/>
            </w:rPr>
            <w:fldChar w:fldCharType="separate"/>
          </w:r>
          <w:r>
            <w:rPr>
              <w:rFonts w:hint="eastAsia" w:cs="Times New Roman"/>
              <w:bCs/>
              <w:color w:val="auto"/>
              <w:szCs w:val="32"/>
              <w:highlight w:val="none"/>
            </w:rPr>
            <w:t>8.</w:t>
          </w:r>
          <w:r>
            <w:rPr>
              <w:rFonts w:hint="eastAsia" w:cs="Times New Roman"/>
              <w:bCs/>
              <w:color w:val="auto"/>
              <w:szCs w:val="32"/>
              <w:highlight w:val="none"/>
              <w:lang w:val="en-US" w:eastAsia="zh-CN"/>
            </w:rPr>
            <w:t xml:space="preserve">3  </w:t>
          </w:r>
          <w:r>
            <w:rPr>
              <w:rFonts w:hint="eastAsia" w:cs="Times New Roman"/>
              <w:bCs/>
              <w:color w:val="auto"/>
              <w:szCs w:val="32"/>
              <w:highlight w:val="none"/>
            </w:rPr>
            <w:t>检测方法</w:t>
          </w:r>
          <w:r>
            <w:rPr>
              <w:color w:val="auto"/>
              <w:highlight w:val="none"/>
            </w:rPr>
            <w:tab/>
          </w:r>
          <w:r>
            <w:rPr>
              <w:color w:val="auto"/>
              <w:highlight w:val="none"/>
            </w:rPr>
            <w:fldChar w:fldCharType="begin"/>
          </w:r>
          <w:r>
            <w:rPr>
              <w:color w:val="auto"/>
              <w:highlight w:val="none"/>
            </w:rPr>
            <w:instrText xml:space="preserve"> PAGEREF _Toc24536 \h </w:instrText>
          </w:r>
          <w:r>
            <w:rPr>
              <w:color w:val="auto"/>
              <w:highlight w:val="none"/>
            </w:rPr>
            <w:fldChar w:fldCharType="separate"/>
          </w:r>
          <w:r>
            <w:rPr>
              <w:color w:val="auto"/>
              <w:highlight w:val="none"/>
            </w:rPr>
            <w:t>59</w:t>
          </w:r>
          <w:r>
            <w:rPr>
              <w:color w:val="auto"/>
              <w:highlight w:val="none"/>
            </w:rPr>
            <w:fldChar w:fldCharType="end"/>
          </w:r>
          <w:r>
            <w:rPr>
              <w:bCs/>
              <w:color w:val="auto"/>
              <w:szCs w:val="21"/>
              <w:highlight w:val="none"/>
              <w:lang w:val="zh-CN"/>
            </w:rPr>
            <w:fldChar w:fldCharType="end"/>
          </w:r>
        </w:p>
        <w:p>
          <w:pPr>
            <w:pStyle w:val="9"/>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_Toc23885 </w:instrText>
          </w:r>
          <w:r>
            <w:rPr>
              <w:bCs/>
              <w:color w:val="auto"/>
              <w:szCs w:val="21"/>
              <w:highlight w:val="none"/>
              <w:lang w:val="zh-CN"/>
            </w:rPr>
            <w:fldChar w:fldCharType="separate"/>
          </w:r>
          <w:r>
            <w:rPr>
              <w:rFonts w:hint="eastAsia" w:cs="Times New Roman"/>
              <w:bCs/>
              <w:color w:val="auto"/>
              <w:szCs w:val="32"/>
              <w:highlight w:val="none"/>
            </w:rPr>
            <w:t>8.</w:t>
          </w:r>
          <w:r>
            <w:rPr>
              <w:rFonts w:hint="eastAsia" w:cs="Times New Roman"/>
              <w:bCs/>
              <w:color w:val="auto"/>
              <w:szCs w:val="32"/>
              <w:highlight w:val="none"/>
              <w:lang w:val="en-US" w:eastAsia="zh-CN"/>
            </w:rPr>
            <w:t xml:space="preserve">4  </w:t>
          </w:r>
          <w:r>
            <w:rPr>
              <w:rFonts w:hint="eastAsia" w:cs="Times New Roman"/>
              <w:bCs/>
              <w:color w:val="auto"/>
              <w:szCs w:val="32"/>
              <w:highlight w:val="none"/>
            </w:rPr>
            <w:t>检测结果</w:t>
          </w:r>
          <w:r>
            <w:rPr>
              <w:rFonts w:hint="eastAsia" w:ascii="宋体" w:hAnsi="宋体" w:eastAsia="宋体" w:cs="宋体"/>
              <w:color w:val="auto"/>
              <w:szCs w:val="21"/>
              <w:highlight w:val="none"/>
              <w:lang w:val="en-US" w:eastAsia="zh-CN"/>
            </w:rPr>
            <w:t>的评价</w:t>
          </w:r>
          <w:r>
            <w:rPr>
              <w:color w:val="auto"/>
              <w:highlight w:val="none"/>
            </w:rPr>
            <w:tab/>
          </w:r>
          <w:r>
            <w:rPr>
              <w:color w:val="auto"/>
              <w:highlight w:val="none"/>
            </w:rPr>
            <w:fldChar w:fldCharType="begin"/>
          </w:r>
          <w:r>
            <w:rPr>
              <w:color w:val="auto"/>
              <w:highlight w:val="none"/>
            </w:rPr>
            <w:instrText xml:space="preserve"> PAGEREF _Toc23885 \h </w:instrText>
          </w:r>
          <w:r>
            <w:rPr>
              <w:color w:val="auto"/>
              <w:highlight w:val="none"/>
            </w:rPr>
            <w:fldChar w:fldCharType="separate"/>
          </w:r>
          <w:r>
            <w:rPr>
              <w:color w:val="auto"/>
              <w:highlight w:val="none"/>
            </w:rPr>
            <w:t>60</w:t>
          </w:r>
          <w:r>
            <w:rPr>
              <w:color w:val="auto"/>
              <w:highlight w:val="none"/>
            </w:rPr>
            <w:fldChar w:fldCharType="end"/>
          </w:r>
          <w:r>
            <w:rPr>
              <w:bCs/>
              <w:color w:val="auto"/>
              <w:szCs w:val="21"/>
              <w:highlight w:val="none"/>
              <w:lang w:val="zh-CN"/>
            </w:rPr>
            <w:fldChar w:fldCharType="end"/>
          </w:r>
        </w:p>
        <w:p>
          <w:pPr>
            <w:pStyle w:val="8"/>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_Toc15955 </w:instrText>
          </w:r>
          <w:r>
            <w:rPr>
              <w:bCs/>
              <w:color w:val="auto"/>
              <w:szCs w:val="21"/>
              <w:highlight w:val="none"/>
              <w:lang w:val="zh-CN"/>
            </w:rPr>
            <w:fldChar w:fldCharType="separate"/>
          </w:r>
          <w:r>
            <w:rPr>
              <w:rFonts w:eastAsia="宋体" w:cs="Times New Roman"/>
              <w:bCs/>
              <w:color w:val="auto"/>
              <w:szCs w:val="44"/>
              <w:highlight w:val="none"/>
            </w:rPr>
            <w:t>9</w:t>
          </w:r>
          <w:r>
            <w:rPr>
              <w:rFonts w:hint="eastAsia" w:eastAsia="宋体" w:cs="Times New Roman"/>
              <w:bCs/>
              <w:color w:val="auto"/>
              <w:szCs w:val="44"/>
              <w:highlight w:val="none"/>
              <w:lang w:val="en-US" w:eastAsia="zh-CN"/>
            </w:rPr>
            <w:t xml:space="preserve">   </w:t>
          </w:r>
          <w:r>
            <w:rPr>
              <w:rFonts w:hint="eastAsia" w:eastAsia="宋体" w:cs="Times New Roman"/>
              <w:bCs/>
              <w:color w:val="auto"/>
              <w:szCs w:val="44"/>
              <w:highlight w:val="none"/>
            </w:rPr>
            <w:t>剩余电流动作保护</w:t>
          </w:r>
          <w:r>
            <w:rPr>
              <w:rFonts w:hint="eastAsia" w:eastAsia="宋体" w:cs="Times New Roman"/>
              <w:bCs/>
              <w:color w:val="auto"/>
              <w:szCs w:val="44"/>
              <w:highlight w:val="none"/>
              <w:lang w:val="en-US" w:eastAsia="zh-CN"/>
            </w:rPr>
            <w:t>器动作</w:t>
          </w:r>
          <w:r>
            <w:rPr>
              <w:rFonts w:hint="eastAsia" w:eastAsia="宋体" w:cs="Times New Roman"/>
              <w:bCs/>
              <w:color w:val="auto"/>
              <w:szCs w:val="44"/>
              <w:highlight w:val="none"/>
            </w:rPr>
            <w:t>特性检测</w:t>
          </w:r>
          <w:r>
            <w:rPr>
              <w:color w:val="auto"/>
              <w:highlight w:val="none"/>
            </w:rPr>
            <w:tab/>
          </w:r>
          <w:r>
            <w:rPr>
              <w:color w:val="auto"/>
              <w:highlight w:val="none"/>
            </w:rPr>
            <w:fldChar w:fldCharType="begin"/>
          </w:r>
          <w:r>
            <w:rPr>
              <w:color w:val="auto"/>
              <w:highlight w:val="none"/>
            </w:rPr>
            <w:instrText xml:space="preserve"> PAGEREF _Toc15955 \h </w:instrText>
          </w:r>
          <w:r>
            <w:rPr>
              <w:color w:val="auto"/>
              <w:highlight w:val="none"/>
            </w:rPr>
            <w:fldChar w:fldCharType="separate"/>
          </w:r>
          <w:r>
            <w:rPr>
              <w:color w:val="auto"/>
              <w:highlight w:val="none"/>
            </w:rPr>
            <w:t>61</w:t>
          </w:r>
          <w:r>
            <w:rPr>
              <w:color w:val="auto"/>
              <w:highlight w:val="none"/>
            </w:rPr>
            <w:fldChar w:fldCharType="end"/>
          </w:r>
          <w:r>
            <w:rPr>
              <w:bCs/>
              <w:color w:val="auto"/>
              <w:szCs w:val="21"/>
              <w:highlight w:val="none"/>
              <w:lang w:val="zh-CN"/>
            </w:rPr>
            <w:fldChar w:fldCharType="end"/>
          </w:r>
        </w:p>
        <w:p>
          <w:pPr>
            <w:pStyle w:val="9"/>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_Toc640 </w:instrText>
          </w:r>
          <w:r>
            <w:rPr>
              <w:bCs/>
              <w:color w:val="auto"/>
              <w:szCs w:val="21"/>
              <w:highlight w:val="none"/>
              <w:lang w:val="zh-CN"/>
            </w:rPr>
            <w:fldChar w:fldCharType="separate"/>
          </w:r>
          <w:r>
            <w:rPr>
              <w:rFonts w:hint="eastAsia" w:cs="Times New Roman"/>
              <w:bCs/>
              <w:color w:val="auto"/>
              <w:szCs w:val="32"/>
              <w:highlight w:val="none"/>
              <w:lang w:val="en-US" w:eastAsia="zh-CN"/>
            </w:rPr>
            <w:t>9</w:t>
          </w:r>
          <w:r>
            <w:rPr>
              <w:rFonts w:cs="Times New Roman"/>
              <w:bCs/>
              <w:color w:val="auto"/>
              <w:szCs w:val="32"/>
              <w:highlight w:val="none"/>
            </w:rPr>
            <w:t>.1</w:t>
          </w:r>
          <w:r>
            <w:rPr>
              <w:rFonts w:hint="eastAsia" w:cs="Times New Roman"/>
              <w:bCs/>
              <w:color w:val="auto"/>
              <w:szCs w:val="32"/>
              <w:highlight w:val="none"/>
              <w:lang w:val="en-US" w:eastAsia="zh-CN"/>
            </w:rPr>
            <w:t xml:space="preserve">  一般规定</w:t>
          </w:r>
          <w:r>
            <w:rPr>
              <w:color w:val="auto"/>
              <w:highlight w:val="none"/>
            </w:rPr>
            <w:tab/>
          </w:r>
          <w:r>
            <w:rPr>
              <w:color w:val="auto"/>
              <w:highlight w:val="none"/>
            </w:rPr>
            <w:fldChar w:fldCharType="begin"/>
          </w:r>
          <w:r>
            <w:rPr>
              <w:color w:val="auto"/>
              <w:highlight w:val="none"/>
            </w:rPr>
            <w:instrText xml:space="preserve"> PAGEREF _Toc640 \h </w:instrText>
          </w:r>
          <w:r>
            <w:rPr>
              <w:color w:val="auto"/>
              <w:highlight w:val="none"/>
            </w:rPr>
            <w:fldChar w:fldCharType="separate"/>
          </w:r>
          <w:r>
            <w:rPr>
              <w:color w:val="auto"/>
              <w:highlight w:val="none"/>
            </w:rPr>
            <w:t>61</w:t>
          </w:r>
          <w:r>
            <w:rPr>
              <w:color w:val="auto"/>
              <w:highlight w:val="none"/>
            </w:rPr>
            <w:fldChar w:fldCharType="end"/>
          </w:r>
          <w:r>
            <w:rPr>
              <w:bCs/>
              <w:color w:val="auto"/>
              <w:szCs w:val="21"/>
              <w:highlight w:val="none"/>
              <w:lang w:val="zh-CN"/>
            </w:rPr>
            <w:fldChar w:fldCharType="end"/>
          </w:r>
        </w:p>
        <w:p>
          <w:pPr>
            <w:pStyle w:val="9"/>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_Toc26095 </w:instrText>
          </w:r>
          <w:r>
            <w:rPr>
              <w:bCs/>
              <w:color w:val="auto"/>
              <w:szCs w:val="21"/>
              <w:highlight w:val="none"/>
              <w:lang w:val="zh-CN"/>
            </w:rPr>
            <w:fldChar w:fldCharType="separate"/>
          </w:r>
          <w:r>
            <w:rPr>
              <w:rFonts w:hint="eastAsia" w:cs="Times New Roman"/>
              <w:bCs/>
              <w:color w:val="auto"/>
              <w:szCs w:val="32"/>
              <w:highlight w:val="none"/>
              <w:lang w:val="en-US" w:eastAsia="zh-CN"/>
            </w:rPr>
            <w:t>9</w:t>
          </w:r>
          <w:r>
            <w:rPr>
              <w:rFonts w:hint="default" w:cs="Times New Roman"/>
              <w:bCs/>
              <w:color w:val="auto"/>
              <w:szCs w:val="32"/>
              <w:highlight w:val="none"/>
              <w:lang w:val="en-US" w:eastAsia="zh-CN"/>
            </w:rPr>
            <w:t>.</w:t>
          </w:r>
          <w:r>
            <w:rPr>
              <w:rFonts w:hint="eastAsia" w:cs="Times New Roman"/>
              <w:bCs/>
              <w:color w:val="auto"/>
              <w:szCs w:val="32"/>
              <w:highlight w:val="none"/>
              <w:lang w:val="en-US" w:eastAsia="zh-CN"/>
            </w:rPr>
            <w:t xml:space="preserve">2 </w:t>
          </w:r>
          <w:r>
            <w:rPr>
              <w:rFonts w:hint="default" w:cs="Times New Roman"/>
              <w:bCs/>
              <w:color w:val="auto"/>
              <w:szCs w:val="32"/>
              <w:highlight w:val="none"/>
              <w:lang w:val="en-US" w:eastAsia="zh-CN"/>
            </w:rPr>
            <w:t xml:space="preserve"> </w:t>
          </w:r>
          <w:r>
            <w:rPr>
              <w:rFonts w:hint="eastAsia" w:cs="Times New Roman"/>
              <w:bCs/>
              <w:color w:val="auto"/>
              <w:szCs w:val="32"/>
              <w:highlight w:val="none"/>
              <w:lang w:val="en-US" w:eastAsia="zh-CN"/>
            </w:rPr>
            <w:t>检测部位和检测数量</w:t>
          </w:r>
          <w:r>
            <w:rPr>
              <w:color w:val="auto"/>
              <w:highlight w:val="none"/>
            </w:rPr>
            <w:tab/>
          </w:r>
          <w:r>
            <w:rPr>
              <w:color w:val="auto"/>
              <w:highlight w:val="none"/>
            </w:rPr>
            <w:fldChar w:fldCharType="begin"/>
          </w:r>
          <w:r>
            <w:rPr>
              <w:color w:val="auto"/>
              <w:highlight w:val="none"/>
            </w:rPr>
            <w:instrText xml:space="preserve"> PAGEREF _Toc26095 \h </w:instrText>
          </w:r>
          <w:r>
            <w:rPr>
              <w:color w:val="auto"/>
              <w:highlight w:val="none"/>
            </w:rPr>
            <w:fldChar w:fldCharType="separate"/>
          </w:r>
          <w:r>
            <w:rPr>
              <w:color w:val="auto"/>
              <w:highlight w:val="none"/>
            </w:rPr>
            <w:t>61</w:t>
          </w:r>
          <w:r>
            <w:rPr>
              <w:color w:val="auto"/>
              <w:highlight w:val="none"/>
            </w:rPr>
            <w:fldChar w:fldCharType="end"/>
          </w:r>
          <w:r>
            <w:rPr>
              <w:bCs/>
              <w:color w:val="auto"/>
              <w:szCs w:val="21"/>
              <w:highlight w:val="none"/>
              <w:lang w:val="zh-CN"/>
            </w:rPr>
            <w:fldChar w:fldCharType="end"/>
          </w:r>
        </w:p>
        <w:p>
          <w:pPr>
            <w:pStyle w:val="9"/>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_Toc15020 </w:instrText>
          </w:r>
          <w:r>
            <w:rPr>
              <w:bCs/>
              <w:color w:val="auto"/>
              <w:szCs w:val="21"/>
              <w:highlight w:val="none"/>
              <w:lang w:val="zh-CN"/>
            </w:rPr>
            <w:fldChar w:fldCharType="separate"/>
          </w:r>
          <w:r>
            <w:rPr>
              <w:rFonts w:hint="eastAsia" w:cs="Times New Roman"/>
              <w:bCs/>
              <w:color w:val="auto"/>
              <w:szCs w:val="32"/>
              <w:highlight w:val="none"/>
              <w:lang w:val="en-US" w:eastAsia="zh-CN"/>
            </w:rPr>
            <w:t>9.3  检测方法</w:t>
          </w:r>
          <w:r>
            <w:rPr>
              <w:color w:val="auto"/>
              <w:highlight w:val="none"/>
            </w:rPr>
            <w:tab/>
          </w:r>
          <w:r>
            <w:rPr>
              <w:color w:val="auto"/>
              <w:highlight w:val="none"/>
            </w:rPr>
            <w:fldChar w:fldCharType="begin"/>
          </w:r>
          <w:r>
            <w:rPr>
              <w:color w:val="auto"/>
              <w:highlight w:val="none"/>
            </w:rPr>
            <w:instrText xml:space="preserve"> PAGEREF _Toc15020 \h </w:instrText>
          </w:r>
          <w:r>
            <w:rPr>
              <w:color w:val="auto"/>
              <w:highlight w:val="none"/>
            </w:rPr>
            <w:fldChar w:fldCharType="separate"/>
          </w:r>
          <w:r>
            <w:rPr>
              <w:color w:val="auto"/>
              <w:highlight w:val="none"/>
            </w:rPr>
            <w:t>61</w:t>
          </w:r>
          <w:r>
            <w:rPr>
              <w:color w:val="auto"/>
              <w:highlight w:val="none"/>
            </w:rPr>
            <w:fldChar w:fldCharType="end"/>
          </w:r>
          <w:r>
            <w:rPr>
              <w:bCs/>
              <w:color w:val="auto"/>
              <w:szCs w:val="21"/>
              <w:highlight w:val="none"/>
              <w:lang w:val="zh-CN"/>
            </w:rPr>
            <w:fldChar w:fldCharType="end"/>
          </w:r>
        </w:p>
        <w:p>
          <w:pPr>
            <w:pStyle w:val="9"/>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_Toc21124 </w:instrText>
          </w:r>
          <w:r>
            <w:rPr>
              <w:bCs/>
              <w:color w:val="auto"/>
              <w:szCs w:val="21"/>
              <w:highlight w:val="none"/>
              <w:lang w:val="zh-CN"/>
            </w:rPr>
            <w:fldChar w:fldCharType="separate"/>
          </w:r>
          <w:r>
            <w:rPr>
              <w:rFonts w:hint="eastAsia" w:cs="Times New Roman"/>
              <w:bCs/>
              <w:color w:val="auto"/>
              <w:szCs w:val="32"/>
              <w:highlight w:val="none"/>
              <w:lang w:val="en-US" w:eastAsia="zh-CN"/>
            </w:rPr>
            <w:t>9</w:t>
          </w:r>
          <w:r>
            <w:rPr>
              <w:rFonts w:cs="Times New Roman"/>
              <w:bCs/>
              <w:color w:val="auto"/>
              <w:szCs w:val="32"/>
              <w:highlight w:val="none"/>
            </w:rPr>
            <w:t>.</w:t>
          </w:r>
          <w:r>
            <w:rPr>
              <w:rFonts w:hint="eastAsia" w:cs="Times New Roman"/>
              <w:bCs/>
              <w:color w:val="auto"/>
              <w:szCs w:val="32"/>
              <w:highlight w:val="none"/>
              <w:lang w:val="en-US" w:eastAsia="zh-CN"/>
            </w:rPr>
            <w:t xml:space="preserve">4  </w:t>
          </w:r>
          <w:r>
            <w:rPr>
              <w:rFonts w:hint="eastAsia" w:cs="Times New Roman"/>
              <w:bCs/>
              <w:color w:val="auto"/>
              <w:szCs w:val="32"/>
              <w:highlight w:val="none"/>
            </w:rPr>
            <w:t>检测结果</w:t>
          </w:r>
          <w:r>
            <w:rPr>
              <w:rFonts w:hint="eastAsia" w:ascii="宋体" w:hAnsi="宋体" w:eastAsia="宋体" w:cs="宋体"/>
              <w:color w:val="auto"/>
              <w:szCs w:val="21"/>
              <w:highlight w:val="none"/>
              <w:lang w:val="en-US" w:eastAsia="zh-CN"/>
            </w:rPr>
            <w:t>的评价</w:t>
          </w:r>
          <w:r>
            <w:rPr>
              <w:color w:val="auto"/>
              <w:highlight w:val="none"/>
            </w:rPr>
            <w:tab/>
          </w:r>
          <w:r>
            <w:rPr>
              <w:color w:val="auto"/>
              <w:highlight w:val="none"/>
            </w:rPr>
            <w:fldChar w:fldCharType="begin"/>
          </w:r>
          <w:r>
            <w:rPr>
              <w:color w:val="auto"/>
              <w:highlight w:val="none"/>
            </w:rPr>
            <w:instrText xml:space="preserve"> PAGEREF _Toc21124 \h </w:instrText>
          </w:r>
          <w:r>
            <w:rPr>
              <w:color w:val="auto"/>
              <w:highlight w:val="none"/>
            </w:rPr>
            <w:fldChar w:fldCharType="separate"/>
          </w:r>
          <w:r>
            <w:rPr>
              <w:color w:val="auto"/>
              <w:highlight w:val="none"/>
            </w:rPr>
            <w:t>61</w:t>
          </w:r>
          <w:r>
            <w:rPr>
              <w:color w:val="auto"/>
              <w:highlight w:val="none"/>
            </w:rPr>
            <w:fldChar w:fldCharType="end"/>
          </w:r>
          <w:r>
            <w:rPr>
              <w:bCs/>
              <w:color w:val="auto"/>
              <w:szCs w:val="21"/>
              <w:highlight w:val="none"/>
              <w:lang w:val="zh-CN"/>
            </w:rPr>
            <w:fldChar w:fldCharType="end"/>
          </w:r>
        </w:p>
        <w:p>
          <w:pPr>
            <w:pStyle w:val="8"/>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_Toc20289 </w:instrText>
          </w:r>
          <w:r>
            <w:rPr>
              <w:bCs/>
              <w:color w:val="auto"/>
              <w:szCs w:val="21"/>
              <w:highlight w:val="none"/>
              <w:lang w:val="zh-CN"/>
            </w:rPr>
            <w:fldChar w:fldCharType="separate"/>
          </w:r>
          <w:r>
            <w:rPr>
              <w:rFonts w:hint="eastAsia" w:eastAsia="宋体" w:cs="Times New Roman"/>
              <w:bCs/>
              <w:color w:val="auto"/>
              <w:szCs w:val="44"/>
              <w:highlight w:val="none"/>
            </w:rPr>
            <w:t>10</w:t>
          </w:r>
          <w:r>
            <w:rPr>
              <w:rFonts w:hint="eastAsia" w:eastAsia="宋体" w:cs="Times New Roman"/>
              <w:bCs/>
              <w:color w:val="auto"/>
              <w:szCs w:val="44"/>
              <w:highlight w:val="none"/>
              <w:lang w:val="en-US" w:eastAsia="zh-CN"/>
            </w:rPr>
            <w:t xml:space="preserve">   </w:t>
          </w:r>
          <w:r>
            <w:rPr>
              <w:rFonts w:hint="eastAsia" w:eastAsia="宋体" w:cs="Times New Roman"/>
              <w:bCs/>
              <w:color w:val="auto"/>
              <w:szCs w:val="44"/>
              <w:highlight w:val="none"/>
            </w:rPr>
            <w:t>接线正确性检测</w:t>
          </w:r>
          <w:r>
            <w:rPr>
              <w:color w:val="auto"/>
              <w:highlight w:val="none"/>
            </w:rPr>
            <w:tab/>
          </w:r>
          <w:r>
            <w:rPr>
              <w:color w:val="auto"/>
              <w:highlight w:val="none"/>
            </w:rPr>
            <w:fldChar w:fldCharType="begin"/>
          </w:r>
          <w:r>
            <w:rPr>
              <w:color w:val="auto"/>
              <w:highlight w:val="none"/>
            </w:rPr>
            <w:instrText xml:space="preserve"> PAGEREF _Toc20289 \h </w:instrText>
          </w:r>
          <w:r>
            <w:rPr>
              <w:color w:val="auto"/>
              <w:highlight w:val="none"/>
            </w:rPr>
            <w:fldChar w:fldCharType="separate"/>
          </w:r>
          <w:r>
            <w:rPr>
              <w:color w:val="auto"/>
              <w:highlight w:val="none"/>
            </w:rPr>
            <w:t>63</w:t>
          </w:r>
          <w:r>
            <w:rPr>
              <w:color w:val="auto"/>
              <w:highlight w:val="none"/>
            </w:rPr>
            <w:fldChar w:fldCharType="end"/>
          </w:r>
          <w:r>
            <w:rPr>
              <w:bCs/>
              <w:color w:val="auto"/>
              <w:szCs w:val="21"/>
              <w:highlight w:val="none"/>
              <w:lang w:val="zh-CN"/>
            </w:rPr>
            <w:fldChar w:fldCharType="end"/>
          </w:r>
        </w:p>
        <w:p>
          <w:pPr>
            <w:pStyle w:val="9"/>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_Toc14576 </w:instrText>
          </w:r>
          <w:r>
            <w:rPr>
              <w:bCs/>
              <w:color w:val="auto"/>
              <w:szCs w:val="21"/>
              <w:highlight w:val="none"/>
              <w:lang w:val="zh-CN"/>
            </w:rPr>
            <w:fldChar w:fldCharType="separate"/>
          </w:r>
          <w:r>
            <w:rPr>
              <w:rFonts w:hint="eastAsia" w:cs="Times New Roman"/>
              <w:bCs/>
              <w:color w:val="auto"/>
              <w:szCs w:val="32"/>
              <w:highlight w:val="none"/>
            </w:rPr>
            <w:t>10.</w:t>
          </w:r>
          <w:r>
            <w:rPr>
              <w:rFonts w:hint="eastAsia" w:cs="Times New Roman"/>
              <w:bCs/>
              <w:color w:val="auto"/>
              <w:szCs w:val="32"/>
              <w:highlight w:val="none"/>
              <w:lang w:val="en-US" w:eastAsia="zh-CN"/>
            </w:rPr>
            <w:t xml:space="preserve">2  </w:t>
          </w:r>
          <w:r>
            <w:rPr>
              <w:rFonts w:hint="eastAsia" w:cs="Times New Roman"/>
              <w:bCs/>
              <w:color w:val="auto"/>
              <w:szCs w:val="32"/>
              <w:highlight w:val="none"/>
            </w:rPr>
            <w:t>检测部位和检测数量</w:t>
          </w:r>
          <w:r>
            <w:rPr>
              <w:color w:val="auto"/>
              <w:highlight w:val="none"/>
            </w:rPr>
            <w:tab/>
          </w:r>
          <w:r>
            <w:rPr>
              <w:color w:val="auto"/>
              <w:highlight w:val="none"/>
            </w:rPr>
            <w:fldChar w:fldCharType="begin"/>
          </w:r>
          <w:r>
            <w:rPr>
              <w:color w:val="auto"/>
              <w:highlight w:val="none"/>
            </w:rPr>
            <w:instrText xml:space="preserve"> PAGEREF _Toc14576 \h </w:instrText>
          </w:r>
          <w:r>
            <w:rPr>
              <w:color w:val="auto"/>
              <w:highlight w:val="none"/>
            </w:rPr>
            <w:fldChar w:fldCharType="separate"/>
          </w:r>
          <w:r>
            <w:rPr>
              <w:color w:val="auto"/>
              <w:highlight w:val="none"/>
            </w:rPr>
            <w:t>63</w:t>
          </w:r>
          <w:r>
            <w:rPr>
              <w:color w:val="auto"/>
              <w:highlight w:val="none"/>
            </w:rPr>
            <w:fldChar w:fldCharType="end"/>
          </w:r>
          <w:r>
            <w:rPr>
              <w:bCs/>
              <w:color w:val="auto"/>
              <w:szCs w:val="21"/>
              <w:highlight w:val="none"/>
              <w:lang w:val="zh-CN"/>
            </w:rPr>
            <w:fldChar w:fldCharType="end"/>
          </w:r>
        </w:p>
        <w:p>
          <w:pPr>
            <w:pStyle w:val="9"/>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_Toc5665 </w:instrText>
          </w:r>
          <w:r>
            <w:rPr>
              <w:bCs/>
              <w:color w:val="auto"/>
              <w:szCs w:val="21"/>
              <w:highlight w:val="none"/>
              <w:lang w:val="zh-CN"/>
            </w:rPr>
            <w:fldChar w:fldCharType="separate"/>
          </w:r>
          <w:r>
            <w:rPr>
              <w:rFonts w:hint="eastAsia" w:cs="Times New Roman"/>
              <w:bCs/>
              <w:color w:val="auto"/>
              <w:szCs w:val="32"/>
              <w:highlight w:val="none"/>
            </w:rPr>
            <w:t>10.</w:t>
          </w:r>
          <w:r>
            <w:rPr>
              <w:rFonts w:hint="eastAsia" w:cs="Times New Roman"/>
              <w:bCs/>
              <w:color w:val="auto"/>
              <w:szCs w:val="32"/>
              <w:highlight w:val="none"/>
              <w:lang w:val="en-US" w:eastAsia="zh-CN"/>
            </w:rPr>
            <w:t xml:space="preserve">3  </w:t>
          </w:r>
          <w:r>
            <w:rPr>
              <w:rFonts w:hint="eastAsia" w:cs="Times New Roman"/>
              <w:bCs/>
              <w:color w:val="auto"/>
              <w:szCs w:val="32"/>
              <w:highlight w:val="none"/>
            </w:rPr>
            <w:t>检测方法</w:t>
          </w:r>
          <w:r>
            <w:rPr>
              <w:color w:val="auto"/>
              <w:highlight w:val="none"/>
            </w:rPr>
            <w:tab/>
          </w:r>
          <w:r>
            <w:rPr>
              <w:color w:val="auto"/>
              <w:highlight w:val="none"/>
            </w:rPr>
            <w:fldChar w:fldCharType="begin"/>
          </w:r>
          <w:r>
            <w:rPr>
              <w:color w:val="auto"/>
              <w:highlight w:val="none"/>
            </w:rPr>
            <w:instrText xml:space="preserve"> PAGEREF _Toc5665 \h </w:instrText>
          </w:r>
          <w:r>
            <w:rPr>
              <w:color w:val="auto"/>
              <w:highlight w:val="none"/>
            </w:rPr>
            <w:fldChar w:fldCharType="separate"/>
          </w:r>
          <w:r>
            <w:rPr>
              <w:color w:val="auto"/>
              <w:highlight w:val="none"/>
            </w:rPr>
            <w:t>63</w:t>
          </w:r>
          <w:r>
            <w:rPr>
              <w:color w:val="auto"/>
              <w:highlight w:val="none"/>
            </w:rPr>
            <w:fldChar w:fldCharType="end"/>
          </w:r>
          <w:r>
            <w:rPr>
              <w:bCs/>
              <w:color w:val="auto"/>
              <w:szCs w:val="21"/>
              <w:highlight w:val="none"/>
              <w:lang w:val="zh-CN"/>
            </w:rPr>
            <w:fldChar w:fldCharType="end"/>
          </w:r>
        </w:p>
        <w:p>
          <w:pPr>
            <w:pStyle w:val="9"/>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_Toc16896 </w:instrText>
          </w:r>
          <w:r>
            <w:rPr>
              <w:bCs/>
              <w:color w:val="auto"/>
              <w:szCs w:val="21"/>
              <w:highlight w:val="none"/>
              <w:lang w:val="zh-CN"/>
            </w:rPr>
            <w:fldChar w:fldCharType="separate"/>
          </w:r>
          <w:r>
            <w:rPr>
              <w:rFonts w:hint="eastAsia" w:cs="Times New Roman"/>
              <w:bCs/>
              <w:color w:val="auto"/>
              <w:szCs w:val="32"/>
              <w:highlight w:val="none"/>
            </w:rPr>
            <w:t>10.</w:t>
          </w:r>
          <w:r>
            <w:rPr>
              <w:rFonts w:hint="eastAsia" w:cs="Times New Roman"/>
              <w:bCs/>
              <w:color w:val="auto"/>
              <w:szCs w:val="32"/>
              <w:highlight w:val="none"/>
              <w:lang w:val="en-US" w:eastAsia="zh-CN"/>
            </w:rPr>
            <w:t xml:space="preserve">4  </w:t>
          </w:r>
          <w:r>
            <w:rPr>
              <w:rFonts w:hint="eastAsia" w:cs="Times New Roman"/>
              <w:bCs/>
              <w:color w:val="auto"/>
              <w:szCs w:val="32"/>
              <w:highlight w:val="none"/>
            </w:rPr>
            <w:t>检测结果</w:t>
          </w:r>
          <w:r>
            <w:rPr>
              <w:rFonts w:hint="eastAsia" w:ascii="宋体" w:hAnsi="宋体" w:eastAsia="宋体" w:cs="宋体"/>
              <w:color w:val="auto"/>
              <w:szCs w:val="21"/>
              <w:highlight w:val="none"/>
              <w:lang w:val="en-US" w:eastAsia="zh-CN"/>
            </w:rPr>
            <w:t>的评价</w:t>
          </w:r>
          <w:r>
            <w:rPr>
              <w:color w:val="auto"/>
              <w:highlight w:val="none"/>
            </w:rPr>
            <w:tab/>
          </w:r>
          <w:r>
            <w:rPr>
              <w:color w:val="auto"/>
              <w:highlight w:val="none"/>
            </w:rPr>
            <w:fldChar w:fldCharType="begin"/>
          </w:r>
          <w:r>
            <w:rPr>
              <w:color w:val="auto"/>
              <w:highlight w:val="none"/>
            </w:rPr>
            <w:instrText xml:space="preserve"> PAGEREF _Toc16896 \h </w:instrText>
          </w:r>
          <w:r>
            <w:rPr>
              <w:color w:val="auto"/>
              <w:highlight w:val="none"/>
            </w:rPr>
            <w:fldChar w:fldCharType="separate"/>
          </w:r>
          <w:r>
            <w:rPr>
              <w:color w:val="auto"/>
              <w:highlight w:val="none"/>
            </w:rPr>
            <w:t>63</w:t>
          </w:r>
          <w:r>
            <w:rPr>
              <w:color w:val="auto"/>
              <w:highlight w:val="none"/>
            </w:rPr>
            <w:fldChar w:fldCharType="end"/>
          </w:r>
          <w:r>
            <w:rPr>
              <w:bCs/>
              <w:color w:val="auto"/>
              <w:szCs w:val="21"/>
              <w:highlight w:val="none"/>
              <w:lang w:val="zh-CN"/>
            </w:rPr>
            <w:fldChar w:fldCharType="end"/>
          </w:r>
        </w:p>
        <w:p>
          <w:pPr>
            <w:pStyle w:val="8"/>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_Toc32122 </w:instrText>
          </w:r>
          <w:r>
            <w:rPr>
              <w:bCs/>
              <w:color w:val="auto"/>
              <w:szCs w:val="21"/>
              <w:highlight w:val="none"/>
              <w:lang w:val="zh-CN"/>
            </w:rPr>
            <w:fldChar w:fldCharType="separate"/>
          </w:r>
          <w:r>
            <w:rPr>
              <w:rFonts w:hint="eastAsia" w:ascii="Times New Roman" w:hAnsi="Times New Roman" w:eastAsia="宋体" w:cs="Times New Roman"/>
              <w:bCs/>
              <w:color w:val="auto"/>
              <w:kern w:val="44"/>
              <w:szCs w:val="44"/>
              <w:highlight w:val="none"/>
              <w:lang w:val="en-US" w:eastAsia="zh-CN" w:bidi="ar-SA"/>
            </w:rPr>
            <w:t>11   温度检测</w:t>
          </w:r>
          <w:r>
            <w:rPr>
              <w:color w:val="auto"/>
              <w:highlight w:val="none"/>
            </w:rPr>
            <w:tab/>
          </w:r>
          <w:r>
            <w:rPr>
              <w:color w:val="auto"/>
              <w:highlight w:val="none"/>
            </w:rPr>
            <w:fldChar w:fldCharType="begin"/>
          </w:r>
          <w:r>
            <w:rPr>
              <w:color w:val="auto"/>
              <w:highlight w:val="none"/>
            </w:rPr>
            <w:instrText xml:space="preserve"> PAGEREF _Toc32122 \h </w:instrText>
          </w:r>
          <w:r>
            <w:rPr>
              <w:color w:val="auto"/>
              <w:highlight w:val="none"/>
            </w:rPr>
            <w:fldChar w:fldCharType="separate"/>
          </w:r>
          <w:r>
            <w:rPr>
              <w:color w:val="auto"/>
              <w:highlight w:val="none"/>
            </w:rPr>
            <w:t>64</w:t>
          </w:r>
          <w:r>
            <w:rPr>
              <w:color w:val="auto"/>
              <w:highlight w:val="none"/>
            </w:rPr>
            <w:fldChar w:fldCharType="end"/>
          </w:r>
          <w:r>
            <w:rPr>
              <w:bCs/>
              <w:color w:val="auto"/>
              <w:szCs w:val="21"/>
              <w:highlight w:val="none"/>
              <w:lang w:val="zh-CN"/>
            </w:rPr>
            <w:fldChar w:fldCharType="end"/>
          </w:r>
        </w:p>
        <w:p>
          <w:pPr>
            <w:pStyle w:val="9"/>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_Toc12669 </w:instrText>
          </w:r>
          <w:r>
            <w:rPr>
              <w:bCs/>
              <w:color w:val="auto"/>
              <w:szCs w:val="21"/>
              <w:highlight w:val="none"/>
              <w:lang w:val="zh-CN"/>
            </w:rPr>
            <w:fldChar w:fldCharType="separate"/>
          </w:r>
          <w:r>
            <w:rPr>
              <w:rFonts w:hint="eastAsia" w:cs="Times New Roman"/>
              <w:bCs/>
              <w:color w:val="auto"/>
              <w:szCs w:val="32"/>
              <w:highlight w:val="none"/>
              <w:lang w:val="en-US" w:eastAsia="zh-CN"/>
            </w:rPr>
            <w:t>11</w:t>
          </w:r>
          <w:r>
            <w:rPr>
              <w:rFonts w:cs="Times New Roman"/>
              <w:bCs/>
              <w:color w:val="auto"/>
              <w:szCs w:val="32"/>
              <w:highlight w:val="none"/>
            </w:rPr>
            <w:t>.1</w:t>
          </w:r>
          <w:r>
            <w:rPr>
              <w:rFonts w:hint="eastAsia" w:cs="Times New Roman"/>
              <w:bCs/>
              <w:color w:val="auto"/>
              <w:szCs w:val="32"/>
              <w:highlight w:val="none"/>
              <w:lang w:val="en-US" w:eastAsia="zh-CN"/>
            </w:rPr>
            <w:t xml:space="preserve">  一般规定</w:t>
          </w:r>
          <w:r>
            <w:rPr>
              <w:color w:val="auto"/>
              <w:highlight w:val="none"/>
            </w:rPr>
            <w:tab/>
          </w:r>
          <w:r>
            <w:rPr>
              <w:color w:val="auto"/>
              <w:highlight w:val="none"/>
            </w:rPr>
            <w:fldChar w:fldCharType="begin"/>
          </w:r>
          <w:r>
            <w:rPr>
              <w:color w:val="auto"/>
              <w:highlight w:val="none"/>
            </w:rPr>
            <w:instrText xml:space="preserve"> PAGEREF _Toc12669 \h </w:instrText>
          </w:r>
          <w:r>
            <w:rPr>
              <w:color w:val="auto"/>
              <w:highlight w:val="none"/>
            </w:rPr>
            <w:fldChar w:fldCharType="separate"/>
          </w:r>
          <w:r>
            <w:rPr>
              <w:color w:val="auto"/>
              <w:highlight w:val="none"/>
            </w:rPr>
            <w:t>64</w:t>
          </w:r>
          <w:r>
            <w:rPr>
              <w:color w:val="auto"/>
              <w:highlight w:val="none"/>
            </w:rPr>
            <w:fldChar w:fldCharType="end"/>
          </w:r>
          <w:r>
            <w:rPr>
              <w:bCs/>
              <w:color w:val="auto"/>
              <w:szCs w:val="21"/>
              <w:highlight w:val="none"/>
              <w:lang w:val="zh-CN"/>
            </w:rPr>
            <w:fldChar w:fldCharType="end"/>
          </w:r>
        </w:p>
        <w:p>
          <w:pPr>
            <w:pStyle w:val="9"/>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_Toc14096 </w:instrText>
          </w:r>
          <w:r>
            <w:rPr>
              <w:bCs/>
              <w:color w:val="auto"/>
              <w:szCs w:val="21"/>
              <w:highlight w:val="none"/>
              <w:lang w:val="zh-CN"/>
            </w:rPr>
            <w:fldChar w:fldCharType="separate"/>
          </w:r>
          <w:r>
            <w:rPr>
              <w:rFonts w:hint="eastAsia" w:cs="Times New Roman"/>
              <w:bCs/>
              <w:color w:val="auto"/>
              <w:szCs w:val="32"/>
              <w:highlight w:val="none"/>
              <w:lang w:val="en-US" w:eastAsia="zh-CN"/>
            </w:rPr>
            <w:t>11.3  检测方法</w:t>
          </w:r>
          <w:r>
            <w:rPr>
              <w:color w:val="auto"/>
              <w:highlight w:val="none"/>
            </w:rPr>
            <w:tab/>
          </w:r>
          <w:r>
            <w:rPr>
              <w:color w:val="auto"/>
              <w:highlight w:val="none"/>
            </w:rPr>
            <w:fldChar w:fldCharType="begin"/>
          </w:r>
          <w:r>
            <w:rPr>
              <w:color w:val="auto"/>
              <w:highlight w:val="none"/>
            </w:rPr>
            <w:instrText xml:space="preserve"> PAGEREF _Toc14096 \h </w:instrText>
          </w:r>
          <w:r>
            <w:rPr>
              <w:color w:val="auto"/>
              <w:highlight w:val="none"/>
            </w:rPr>
            <w:fldChar w:fldCharType="separate"/>
          </w:r>
          <w:r>
            <w:rPr>
              <w:color w:val="auto"/>
              <w:highlight w:val="none"/>
            </w:rPr>
            <w:t>64</w:t>
          </w:r>
          <w:r>
            <w:rPr>
              <w:color w:val="auto"/>
              <w:highlight w:val="none"/>
            </w:rPr>
            <w:fldChar w:fldCharType="end"/>
          </w:r>
          <w:r>
            <w:rPr>
              <w:bCs/>
              <w:color w:val="auto"/>
              <w:szCs w:val="21"/>
              <w:highlight w:val="none"/>
              <w:lang w:val="zh-CN"/>
            </w:rPr>
            <w:fldChar w:fldCharType="end"/>
          </w:r>
        </w:p>
        <w:p>
          <w:pPr>
            <w:pStyle w:val="9"/>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_Toc684 </w:instrText>
          </w:r>
          <w:r>
            <w:rPr>
              <w:bCs/>
              <w:color w:val="auto"/>
              <w:szCs w:val="21"/>
              <w:highlight w:val="none"/>
              <w:lang w:val="zh-CN"/>
            </w:rPr>
            <w:fldChar w:fldCharType="separate"/>
          </w:r>
          <w:r>
            <w:rPr>
              <w:rFonts w:hint="eastAsia" w:cs="Times New Roman"/>
              <w:bCs/>
              <w:color w:val="auto"/>
              <w:szCs w:val="32"/>
              <w:highlight w:val="none"/>
              <w:lang w:val="en-US" w:eastAsia="zh-CN"/>
            </w:rPr>
            <w:t>11</w:t>
          </w:r>
          <w:r>
            <w:rPr>
              <w:rFonts w:cs="Times New Roman"/>
              <w:bCs/>
              <w:color w:val="auto"/>
              <w:szCs w:val="32"/>
              <w:highlight w:val="none"/>
            </w:rPr>
            <w:t>.</w:t>
          </w:r>
          <w:r>
            <w:rPr>
              <w:rFonts w:hint="eastAsia" w:cs="Times New Roman"/>
              <w:bCs/>
              <w:color w:val="auto"/>
              <w:szCs w:val="32"/>
              <w:highlight w:val="none"/>
              <w:lang w:val="en-US" w:eastAsia="zh-CN"/>
            </w:rPr>
            <w:t xml:space="preserve">4  </w:t>
          </w:r>
          <w:r>
            <w:rPr>
              <w:rFonts w:hint="eastAsia" w:cs="Times New Roman"/>
              <w:bCs/>
              <w:color w:val="auto"/>
              <w:szCs w:val="32"/>
              <w:highlight w:val="none"/>
            </w:rPr>
            <w:t>检测结果</w:t>
          </w:r>
          <w:r>
            <w:rPr>
              <w:rFonts w:hint="eastAsia" w:ascii="宋体" w:hAnsi="宋体" w:eastAsia="宋体" w:cs="宋体"/>
              <w:color w:val="auto"/>
              <w:szCs w:val="21"/>
              <w:highlight w:val="none"/>
              <w:lang w:val="en-US" w:eastAsia="zh-CN"/>
            </w:rPr>
            <w:t>的评价</w:t>
          </w:r>
          <w:r>
            <w:rPr>
              <w:color w:val="auto"/>
              <w:highlight w:val="none"/>
            </w:rPr>
            <w:tab/>
          </w:r>
          <w:r>
            <w:rPr>
              <w:color w:val="auto"/>
              <w:highlight w:val="none"/>
            </w:rPr>
            <w:fldChar w:fldCharType="begin"/>
          </w:r>
          <w:r>
            <w:rPr>
              <w:color w:val="auto"/>
              <w:highlight w:val="none"/>
            </w:rPr>
            <w:instrText xml:space="preserve"> PAGEREF _Toc684 \h </w:instrText>
          </w:r>
          <w:r>
            <w:rPr>
              <w:color w:val="auto"/>
              <w:highlight w:val="none"/>
            </w:rPr>
            <w:fldChar w:fldCharType="separate"/>
          </w:r>
          <w:r>
            <w:rPr>
              <w:color w:val="auto"/>
              <w:highlight w:val="none"/>
            </w:rPr>
            <w:t>65</w:t>
          </w:r>
          <w:r>
            <w:rPr>
              <w:color w:val="auto"/>
              <w:highlight w:val="none"/>
            </w:rPr>
            <w:fldChar w:fldCharType="end"/>
          </w:r>
          <w:r>
            <w:rPr>
              <w:bCs/>
              <w:color w:val="auto"/>
              <w:szCs w:val="21"/>
              <w:highlight w:val="none"/>
              <w:lang w:val="zh-CN"/>
            </w:rPr>
            <w:fldChar w:fldCharType="end"/>
          </w:r>
        </w:p>
        <w:p>
          <w:pPr>
            <w:pStyle w:val="8"/>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_Toc1868 </w:instrText>
          </w:r>
          <w:r>
            <w:rPr>
              <w:bCs/>
              <w:color w:val="auto"/>
              <w:szCs w:val="21"/>
              <w:highlight w:val="none"/>
              <w:lang w:val="zh-CN"/>
            </w:rPr>
            <w:fldChar w:fldCharType="separate"/>
          </w:r>
          <w:r>
            <w:rPr>
              <w:rFonts w:hint="eastAsia" w:ascii="Times New Roman" w:hAnsi="Times New Roman" w:eastAsia="宋体" w:cs="Times New Roman"/>
              <w:bCs/>
              <w:color w:val="auto"/>
              <w:kern w:val="44"/>
              <w:szCs w:val="44"/>
              <w:highlight w:val="none"/>
              <w:lang w:val="en-US" w:eastAsia="zh-CN" w:bidi="ar-SA"/>
            </w:rPr>
            <w:t>12   照度和照明功率密度检测</w:t>
          </w:r>
          <w:r>
            <w:rPr>
              <w:color w:val="auto"/>
              <w:highlight w:val="none"/>
            </w:rPr>
            <w:tab/>
          </w:r>
          <w:r>
            <w:rPr>
              <w:color w:val="auto"/>
              <w:highlight w:val="none"/>
            </w:rPr>
            <w:fldChar w:fldCharType="begin"/>
          </w:r>
          <w:r>
            <w:rPr>
              <w:color w:val="auto"/>
              <w:highlight w:val="none"/>
            </w:rPr>
            <w:instrText xml:space="preserve"> PAGEREF _Toc1868 \h </w:instrText>
          </w:r>
          <w:r>
            <w:rPr>
              <w:color w:val="auto"/>
              <w:highlight w:val="none"/>
            </w:rPr>
            <w:fldChar w:fldCharType="separate"/>
          </w:r>
          <w:r>
            <w:rPr>
              <w:color w:val="auto"/>
              <w:highlight w:val="none"/>
            </w:rPr>
            <w:t>66</w:t>
          </w:r>
          <w:r>
            <w:rPr>
              <w:color w:val="auto"/>
              <w:highlight w:val="none"/>
            </w:rPr>
            <w:fldChar w:fldCharType="end"/>
          </w:r>
          <w:r>
            <w:rPr>
              <w:bCs/>
              <w:color w:val="auto"/>
              <w:szCs w:val="21"/>
              <w:highlight w:val="none"/>
              <w:lang w:val="zh-CN"/>
            </w:rPr>
            <w:fldChar w:fldCharType="end"/>
          </w:r>
        </w:p>
        <w:p>
          <w:pPr>
            <w:pStyle w:val="9"/>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_Toc3522 </w:instrText>
          </w:r>
          <w:r>
            <w:rPr>
              <w:bCs/>
              <w:color w:val="auto"/>
              <w:szCs w:val="21"/>
              <w:highlight w:val="none"/>
              <w:lang w:val="zh-CN"/>
            </w:rPr>
            <w:fldChar w:fldCharType="separate"/>
          </w:r>
          <w:r>
            <w:rPr>
              <w:rFonts w:hint="eastAsia" w:cs="Times New Roman"/>
              <w:bCs/>
              <w:color w:val="auto"/>
              <w:szCs w:val="32"/>
              <w:highlight w:val="none"/>
              <w:lang w:val="en-US" w:eastAsia="zh-CN"/>
            </w:rPr>
            <w:t>12</w:t>
          </w:r>
          <w:r>
            <w:rPr>
              <w:rFonts w:cs="Times New Roman"/>
              <w:bCs/>
              <w:color w:val="auto"/>
              <w:szCs w:val="32"/>
              <w:highlight w:val="none"/>
            </w:rPr>
            <w:t xml:space="preserve">.1 </w:t>
          </w:r>
          <w:r>
            <w:rPr>
              <w:rFonts w:hint="eastAsia" w:cs="Times New Roman"/>
              <w:bCs/>
              <w:color w:val="auto"/>
              <w:szCs w:val="32"/>
              <w:highlight w:val="none"/>
              <w:lang w:val="en-US" w:eastAsia="zh-CN"/>
            </w:rPr>
            <w:t xml:space="preserve">  一般规定</w:t>
          </w:r>
          <w:r>
            <w:rPr>
              <w:color w:val="auto"/>
              <w:highlight w:val="none"/>
            </w:rPr>
            <w:tab/>
          </w:r>
          <w:r>
            <w:rPr>
              <w:color w:val="auto"/>
              <w:highlight w:val="none"/>
            </w:rPr>
            <w:fldChar w:fldCharType="begin"/>
          </w:r>
          <w:r>
            <w:rPr>
              <w:color w:val="auto"/>
              <w:highlight w:val="none"/>
            </w:rPr>
            <w:instrText xml:space="preserve"> PAGEREF _Toc3522 \h </w:instrText>
          </w:r>
          <w:r>
            <w:rPr>
              <w:color w:val="auto"/>
              <w:highlight w:val="none"/>
            </w:rPr>
            <w:fldChar w:fldCharType="separate"/>
          </w:r>
          <w:r>
            <w:rPr>
              <w:color w:val="auto"/>
              <w:highlight w:val="none"/>
            </w:rPr>
            <w:t>66</w:t>
          </w:r>
          <w:r>
            <w:rPr>
              <w:color w:val="auto"/>
              <w:highlight w:val="none"/>
            </w:rPr>
            <w:fldChar w:fldCharType="end"/>
          </w:r>
          <w:r>
            <w:rPr>
              <w:bCs/>
              <w:color w:val="auto"/>
              <w:szCs w:val="21"/>
              <w:highlight w:val="none"/>
              <w:lang w:val="zh-CN"/>
            </w:rPr>
            <w:fldChar w:fldCharType="end"/>
          </w:r>
        </w:p>
        <w:p>
          <w:pPr>
            <w:pStyle w:val="9"/>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_Toc7498 </w:instrText>
          </w:r>
          <w:r>
            <w:rPr>
              <w:bCs/>
              <w:color w:val="auto"/>
              <w:szCs w:val="21"/>
              <w:highlight w:val="none"/>
              <w:lang w:val="zh-CN"/>
            </w:rPr>
            <w:fldChar w:fldCharType="separate"/>
          </w:r>
          <w:r>
            <w:rPr>
              <w:rFonts w:hint="eastAsia" w:cs="Times New Roman"/>
              <w:bCs/>
              <w:color w:val="auto"/>
              <w:szCs w:val="32"/>
              <w:highlight w:val="none"/>
              <w:lang w:val="en-US" w:eastAsia="zh-CN"/>
            </w:rPr>
            <w:t>12</w:t>
          </w:r>
          <w:r>
            <w:rPr>
              <w:rFonts w:hint="default" w:cs="Times New Roman"/>
              <w:bCs/>
              <w:color w:val="auto"/>
              <w:szCs w:val="32"/>
              <w:highlight w:val="none"/>
              <w:lang w:val="en-US" w:eastAsia="zh-CN"/>
            </w:rPr>
            <w:t>.</w:t>
          </w:r>
          <w:r>
            <w:rPr>
              <w:rFonts w:hint="eastAsia" w:cs="Times New Roman"/>
              <w:bCs/>
              <w:color w:val="auto"/>
              <w:szCs w:val="32"/>
              <w:highlight w:val="none"/>
              <w:lang w:val="en-US" w:eastAsia="zh-CN"/>
            </w:rPr>
            <w:t>2</w:t>
          </w:r>
          <w:r>
            <w:rPr>
              <w:rFonts w:hint="default" w:cs="Times New Roman"/>
              <w:bCs/>
              <w:color w:val="auto"/>
              <w:szCs w:val="32"/>
              <w:highlight w:val="none"/>
              <w:lang w:val="en-US" w:eastAsia="zh-CN"/>
            </w:rPr>
            <w:t xml:space="preserve"> </w:t>
          </w:r>
          <w:r>
            <w:rPr>
              <w:rFonts w:hint="eastAsia" w:cs="Times New Roman"/>
              <w:bCs/>
              <w:color w:val="auto"/>
              <w:szCs w:val="32"/>
              <w:highlight w:val="none"/>
              <w:lang w:val="en-US" w:eastAsia="zh-CN"/>
            </w:rPr>
            <w:t xml:space="preserve"> 检测部位和检测数量</w:t>
          </w:r>
          <w:r>
            <w:rPr>
              <w:color w:val="auto"/>
              <w:highlight w:val="none"/>
            </w:rPr>
            <w:tab/>
          </w:r>
          <w:r>
            <w:rPr>
              <w:color w:val="auto"/>
              <w:highlight w:val="none"/>
            </w:rPr>
            <w:fldChar w:fldCharType="begin"/>
          </w:r>
          <w:r>
            <w:rPr>
              <w:color w:val="auto"/>
              <w:highlight w:val="none"/>
            </w:rPr>
            <w:instrText xml:space="preserve"> PAGEREF _Toc7498 \h </w:instrText>
          </w:r>
          <w:r>
            <w:rPr>
              <w:color w:val="auto"/>
              <w:highlight w:val="none"/>
            </w:rPr>
            <w:fldChar w:fldCharType="separate"/>
          </w:r>
          <w:r>
            <w:rPr>
              <w:color w:val="auto"/>
              <w:highlight w:val="none"/>
            </w:rPr>
            <w:t>66</w:t>
          </w:r>
          <w:r>
            <w:rPr>
              <w:color w:val="auto"/>
              <w:highlight w:val="none"/>
            </w:rPr>
            <w:fldChar w:fldCharType="end"/>
          </w:r>
          <w:r>
            <w:rPr>
              <w:bCs/>
              <w:color w:val="auto"/>
              <w:szCs w:val="21"/>
              <w:highlight w:val="none"/>
              <w:lang w:val="zh-CN"/>
            </w:rPr>
            <w:fldChar w:fldCharType="end"/>
          </w:r>
        </w:p>
        <w:p>
          <w:pPr>
            <w:pStyle w:val="9"/>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_Toc9764 </w:instrText>
          </w:r>
          <w:r>
            <w:rPr>
              <w:bCs/>
              <w:color w:val="auto"/>
              <w:szCs w:val="21"/>
              <w:highlight w:val="none"/>
              <w:lang w:val="zh-CN"/>
            </w:rPr>
            <w:fldChar w:fldCharType="separate"/>
          </w:r>
          <w:r>
            <w:rPr>
              <w:rFonts w:hint="eastAsia" w:cs="Times New Roman"/>
              <w:bCs/>
              <w:color w:val="auto"/>
              <w:szCs w:val="32"/>
              <w:highlight w:val="none"/>
              <w:lang w:val="en-US" w:eastAsia="zh-CN"/>
            </w:rPr>
            <w:t>12.3  检测方法</w:t>
          </w:r>
          <w:r>
            <w:rPr>
              <w:color w:val="auto"/>
              <w:highlight w:val="none"/>
            </w:rPr>
            <w:tab/>
          </w:r>
          <w:r>
            <w:rPr>
              <w:color w:val="auto"/>
              <w:highlight w:val="none"/>
            </w:rPr>
            <w:fldChar w:fldCharType="begin"/>
          </w:r>
          <w:r>
            <w:rPr>
              <w:color w:val="auto"/>
              <w:highlight w:val="none"/>
            </w:rPr>
            <w:instrText xml:space="preserve"> PAGEREF _Toc9764 \h </w:instrText>
          </w:r>
          <w:r>
            <w:rPr>
              <w:color w:val="auto"/>
              <w:highlight w:val="none"/>
            </w:rPr>
            <w:fldChar w:fldCharType="separate"/>
          </w:r>
          <w:r>
            <w:rPr>
              <w:color w:val="auto"/>
              <w:highlight w:val="none"/>
            </w:rPr>
            <w:t>67</w:t>
          </w:r>
          <w:r>
            <w:rPr>
              <w:color w:val="auto"/>
              <w:highlight w:val="none"/>
            </w:rPr>
            <w:fldChar w:fldCharType="end"/>
          </w:r>
          <w:r>
            <w:rPr>
              <w:bCs/>
              <w:color w:val="auto"/>
              <w:szCs w:val="21"/>
              <w:highlight w:val="none"/>
              <w:lang w:val="zh-CN"/>
            </w:rPr>
            <w:fldChar w:fldCharType="end"/>
          </w:r>
        </w:p>
        <w:p>
          <w:pPr>
            <w:pStyle w:val="9"/>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_Toc17586 </w:instrText>
          </w:r>
          <w:r>
            <w:rPr>
              <w:bCs/>
              <w:color w:val="auto"/>
              <w:szCs w:val="21"/>
              <w:highlight w:val="none"/>
              <w:lang w:val="zh-CN"/>
            </w:rPr>
            <w:fldChar w:fldCharType="separate"/>
          </w:r>
          <w:r>
            <w:rPr>
              <w:rFonts w:hint="eastAsia" w:cs="Times New Roman"/>
              <w:bCs/>
              <w:color w:val="auto"/>
              <w:szCs w:val="32"/>
              <w:highlight w:val="none"/>
              <w:lang w:val="en-US" w:eastAsia="zh-CN"/>
            </w:rPr>
            <w:t>12</w:t>
          </w:r>
          <w:r>
            <w:rPr>
              <w:rFonts w:cs="Times New Roman"/>
              <w:bCs/>
              <w:color w:val="auto"/>
              <w:szCs w:val="32"/>
              <w:highlight w:val="none"/>
            </w:rPr>
            <w:t>.</w:t>
          </w:r>
          <w:r>
            <w:rPr>
              <w:rFonts w:hint="eastAsia" w:cs="Times New Roman"/>
              <w:bCs/>
              <w:color w:val="auto"/>
              <w:szCs w:val="32"/>
              <w:highlight w:val="none"/>
              <w:lang w:val="en-US" w:eastAsia="zh-CN"/>
            </w:rPr>
            <w:t xml:space="preserve">4  </w:t>
          </w:r>
          <w:r>
            <w:rPr>
              <w:rFonts w:hint="eastAsia" w:cs="Times New Roman"/>
              <w:bCs/>
              <w:color w:val="auto"/>
              <w:szCs w:val="32"/>
              <w:highlight w:val="none"/>
            </w:rPr>
            <w:t>检测结果</w:t>
          </w:r>
          <w:r>
            <w:rPr>
              <w:rFonts w:hint="eastAsia" w:ascii="宋体" w:hAnsi="宋体" w:eastAsia="宋体" w:cs="宋体"/>
              <w:color w:val="auto"/>
              <w:szCs w:val="21"/>
              <w:highlight w:val="none"/>
              <w:lang w:val="en-US" w:eastAsia="zh-CN"/>
            </w:rPr>
            <w:t>的评价</w:t>
          </w:r>
          <w:r>
            <w:rPr>
              <w:color w:val="auto"/>
              <w:highlight w:val="none"/>
            </w:rPr>
            <w:tab/>
          </w:r>
          <w:r>
            <w:rPr>
              <w:color w:val="auto"/>
              <w:highlight w:val="none"/>
            </w:rPr>
            <w:fldChar w:fldCharType="begin"/>
          </w:r>
          <w:r>
            <w:rPr>
              <w:color w:val="auto"/>
              <w:highlight w:val="none"/>
            </w:rPr>
            <w:instrText xml:space="preserve"> PAGEREF _Toc17586 \h </w:instrText>
          </w:r>
          <w:r>
            <w:rPr>
              <w:color w:val="auto"/>
              <w:highlight w:val="none"/>
            </w:rPr>
            <w:fldChar w:fldCharType="separate"/>
          </w:r>
          <w:r>
            <w:rPr>
              <w:color w:val="auto"/>
              <w:highlight w:val="none"/>
            </w:rPr>
            <w:t>67</w:t>
          </w:r>
          <w:r>
            <w:rPr>
              <w:color w:val="auto"/>
              <w:highlight w:val="none"/>
            </w:rPr>
            <w:fldChar w:fldCharType="end"/>
          </w:r>
          <w:r>
            <w:rPr>
              <w:bCs/>
              <w:color w:val="auto"/>
              <w:szCs w:val="21"/>
              <w:highlight w:val="none"/>
              <w:lang w:val="zh-CN"/>
            </w:rPr>
            <w:fldChar w:fldCharType="end"/>
          </w:r>
        </w:p>
        <w:p>
          <w:pPr>
            <w:pStyle w:val="8"/>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_Toc24420 </w:instrText>
          </w:r>
          <w:r>
            <w:rPr>
              <w:bCs/>
              <w:color w:val="auto"/>
              <w:szCs w:val="21"/>
              <w:highlight w:val="none"/>
              <w:lang w:val="zh-CN"/>
            </w:rPr>
            <w:fldChar w:fldCharType="separate"/>
          </w:r>
          <w:r>
            <w:rPr>
              <w:rFonts w:hint="eastAsia" w:ascii="Times New Roman" w:hAnsi="Times New Roman" w:eastAsia="宋体" w:cs="Times New Roman"/>
              <w:bCs/>
              <w:color w:val="auto"/>
              <w:kern w:val="44"/>
              <w:szCs w:val="44"/>
              <w:highlight w:val="none"/>
              <w:lang w:val="en-US" w:eastAsia="zh-CN" w:bidi="ar-SA"/>
            </w:rPr>
            <w:t>13   电源质量检测</w:t>
          </w:r>
          <w:r>
            <w:rPr>
              <w:color w:val="auto"/>
              <w:highlight w:val="none"/>
            </w:rPr>
            <w:tab/>
          </w:r>
          <w:r>
            <w:rPr>
              <w:color w:val="auto"/>
              <w:highlight w:val="none"/>
            </w:rPr>
            <w:fldChar w:fldCharType="begin"/>
          </w:r>
          <w:r>
            <w:rPr>
              <w:color w:val="auto"/>
              <w:highlight w:val="none"/>
            </w:rPr>
            <w:instrText xml:space="preserve"> PAGEREF _Toc24420 \h </w:instrText>
          </w:r>
          <w:r>
            <w:rPr>
              <w:color w:val="auto"/>
              <w:highlight w:val="none"/>
            </w:rPr>
            <w:fldChar w:fldCharType="separate"/>
          </w:r>
          <w:r>
            <w:rPr>
              <w:color w:val="auto"/>
              <w:highlight w:val="none"/>
            </w:rPr>
            <w:t>69</w:t>
          </w:r>
          <w:r>
            <w:rPr>
              <w:color w:val="auto"/>
              <w:highlight w:val="none"/>
            </w:rPr>
            <w:fldChar w:fldCharType="end"/>
          </w:r>
          <w:r>
            <w:rPr>
              <w:bCs/>
              <w:color w:val="auto"/>
              <w:szCs w:val="21"/>
              <w:highlight w:val="none"/>
              <w:lang w:val="zh-CN"/>
            </w:rPr>
            <w:fldChar w:fldCharType="end"/>
          </w:r>
        </w:p>
        <w:p>
          <w:pPr>
            <w:pStyle w:val="9"/>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_Toc1841 </w:instrText>
          </w:r>
          <w:r>
            <w:rPr>
              <w:bCs/>
              <w:color w:val="auto"/>
              <w:szCs w:val="21"/>
              <w:highlight w:val="none"/>
              <w:lang w:val="zh-CN"/>
            </w:rPr>
            <w:fldChar w:fldCharType="separate"/>
          </w:r>
          <w:r>
            <w:rPr>
              <w:rFonts w:hint="eastAsia" w:cs="Times New Roman"/>
              <w:bCs/>
              <w:color w:val="auto"/>
              <w:szCs w:val="32"/>
              <w:highlight w:val="none"/>
              <w:lang w:val="en-US" w:eastAsia="zh-CN"/>
            </w:rPr>
            <w:t>13</w:t>
          </w:r>
          <w:r>
            <w:rPr>
              <w:rFonts w:cs="Times New Roman"/>
              <w:bCs/>
              <w:color w:val="auto"/>
              <w:szCs w:val="32"/>
              <w:highlight w:val="none"/>
            </w:rPr>
            <w:t xml:space="preserve">.1 </w:t>
          </w:r>
          <w:r>
            <w:rPr>
              <w:rFonts w:hint="eastAsia" w:cs="Times New Roman"/>
              <w:bCs/>
              <w:color w:val="auto"/>
              <w:szCs w:val="32"/>
              <w:highlight w:val="none"/>
              <w:lang w:val="en-US" w:eastAsia="zh-CN"/>
            </w:rPr>
            <w:t xml:space="preserve">  一般规定</w:t>
          </w:r>
          <w:r>
            <w:rPr>
              <w:color w:val="auto"/>
              <w:highlight w:val="none"/>
            </w:rPr>
            <w:tab/>
          </w:r>
          <w:r>
            <w:rPr>
              <w:color w:val="auto"/>
              <w:highlight w:val="none"/>
            </w:rPr>
            <w:fldChar w:fldCharType="begin"/>
          </w:r>
          <w:r>
            <w:rPr>
              <w:color w:val="auto"/>
              <w:highlight w:val="none"/>
            </w:rPr>
            <w:instrText xml:space="preserve"> PAGEREF _Toc1841 \h </w:instrText>
          </w:r>
          <w:r>
            <w:rPr>
              <w:color w:val="auto"/>
              <w:highlight w:val="none"/>
            </w:rPr>
            <w:fldChar w:fldCharType="separate"/>
          </w:r>
          <w:r>
            <w:rPr>
              <w:color w:val="auto"/>
              <w:highlight w:val="none"/>
            </w:rPr>
            <w:t>69</w:t>
          </w:r>
          <w:r>
            <w:rPr>
              <w:color w:val="auto"/>
              <w:highlight w:val="none"/>
            </w:rPr>
            <w:fldChar w:fldCharType="end"/>
          </w:r>
          <w:r>
            <w:rPr>
              <w:bCs/>
              <w:color w:val="auto"/>
              <w:szCs w:val="21"/>
              <w:highlight w:val="none"/>
              <w:lang w:val="zh-CN"/>
            </w:rPr>
            <w:fldChar w:fldCharType="end"/>
          </w:r>
        </w:p>
        <w:p>
          <w:pPr>
            <w:pStyle w:val="9"/>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_Toc22355 </w:instrText>
          </w:r>
          <w:r>
            <w:rPr>
              <w:bCs/>
              <w:color w:val="auto"/>
              <w:szCs w:val="21"/>
              <w:highlight w:val="none"/>
              <w:lang w:val="zh-CN"/>
            </w:rPr>
            <w:fldChar w:fldCharType="separate"/>
          </w:r>
          <w:r>
            <w:rPr>
              <w:rFonts w:hint="eastAsia" w:cs="Times New Roman"/>
              <w:bCs/>
              <w:color w:val="auto"/>
              <w:szCs w:val="32"/>
              <w:highlight w:val="none"/>
              <w:lang w:val="en-US" w:eastAsia="zh-CN"/>
            </w:rPr>
            <w:t>13</w:t>
          </w:r>
          <w:r>
            <w:rPr>
              <w:rFonts w:hint="default" w:cs="Times New Roman"/>
              <w:bCs/>
              <w:color w:val="auto"/>
              <w:szCs w:val="32"/>
              <w:highlight w:val="none"/>
              <w:lang w:val="en-US" w:eastAsia="zh-CN"/>
            </w:rPr>
            <w:t>.</w:t>
          </w:r>
          <w:r>
            <w:rPr>
              <w:rFonts w:hint="eastAsia" w:cs="Times New Roman"/>
              <w:bCs/>
              <w:color w:val="auto"/>
              <w:szCs w:val="32"/>
              <w:highlight w:val="none"/>
              <w:lang w:val="en-US" w:eastAsia="zh-CN"/>
            </w:rPr>
            <w:t xml:space="preserve">2 </w:t>
          </w:r>
          <w:r>
            <w:rPr>
              <w:rFonts w:hint="default" w:cs="Times New Roman"/>
              <w:bCs/>
              <w:color w:val="auto"/>
              <w:szCs w:val="32"/>
              <w:highlight w:val="none"/>
              <w:lang w:val="en-US" w:eastAsia="zh-CN"/>
            </w:rPr>
            <w:t xml:space="preserve"> </w:t>
          </w:r>
          <w:r>
            <w:rPr>
              <w:rFonts w:hint="eastAsia" w:cs="Times New Roman"/>
              <w:bCs/>
              <w:color w:val="auto"/>
              <w:szCs w:val="32"/>
              <w:highlight w:val="none"/>
              <w:lang w:val="en-US" w:eastAsia="zh-CN"/>
            </w:rPr>
            <w:t>检测部位和检测数量</w:t>
          </w:r>
          <w:r>
            <w:rPr>
              <w:color w:val="auto"/>
              <w:highlight w:val="none"/>
            </w:rPr>
            <w:tab/>
          </w:r>
          <w:r>
            <w:rPr>
              <w:color w:val="auto"/>
              <w:highlight w:val="none"/>
            </w:rPr>
            <w:fldChar w:fldCharType="begin"/>
          </w:r>
          <w:r>
            <w:rPr>
              <w:color w:val="auto"/>
              <w:highlight w:val="none"/>
            </w:rPr>
            <w:instrText xml:space="preserve"> PAGEREF _Toc22355 \h </w:instrText>
          </w:r>
          <w:r>
            <w:rPr>
              <w:color w:val="auto"/>
              <w:highlight w:val="none"/>
            </w:rPr>
            <w:fldChar w:fldCharType="separate"/>
          </w:r>
          <w:r>
            <w:rPr>
              <w:color w:val="auto"/>
              <w:highlight w:val="none"/>
            </w:rPr>
            <w:t>69</w:t>
          </w:r>
          <w:r>
            <w:rPr>
              <w:color w:val="auto"/>
              <w:highlight w:val="none"/>
            </w:rPr>
            <w:fldChar w:fldCharType="end"/>
          </w:r>
          <w:r>
            <w:rPr>
              <w:bCs/>
              <w:color w:val="auto"/>
              <w:szCs w:val="21"/>
              <w:highlight w:val="none"/>
              <w:lang w:val="zh-CN"/>
            </w:rPr>
            <w:fldChar w:fldCharType="end"/>
          </w:r>
        </w:p>
        <w:p>
          <w:pPr>
            <w:pStyle w:val="9"/>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_Toc17087 </w:instrText>
          </w:r>
          <w:r>
            <w:rPr>
              <w:bCs/>
              <w:color w:val="auto"/>
              <w:szCs w:val="21"/>
              <w:highlight w:val="none"/>
              <w:lang w:val="zh-CN"/>
            </w:rPr>
            <w:fldChar w:fldCharType="separate"/>
          </w:r>
          <w:r>
            <w:rPr>
              <w:rFonts w:hint="eastAsia" w:cs="Times New Roman"/>
              <w:bCs/>
              <w:color w:val="auto"/>
              <w:szCs w:val="32"/>
              <w:highlight w:val="none"/>
              <w:lang w:val="en-US" w:eastAsia="zh-CN"/>
            </w:rPr>
            <w:t>13.3  检测方法</w:t>
          </w:r>
          <w:r>
            <w:rPr>
              <w:color w:val="auto"/>
              <w:highlight w:val="none"/>
            </w:rPr>
            <w:tab/>
          </w:r>
          <w:r>
            <w:rPr>
              <w:color w:val="auto"/>
              <w:highlight w:val="none"/>
            </w:rPr>
            <w:fldChar w:fldCharType="begin"/>
          </w:r>
          <w:r>
            <w:rPr>
              <w:color w:val="auto"/>
              <w:highlight w:val="none"/>
            </w:rPr>
            <w:instrText xml:space="preserve"> PAGEREF _Toc17087 \h </w:instrText>
          </w:r>
          <w:r>
            <w:rPr>
              <w:color w:val="auto"/>
              <w:highlight w:val="none"/>
            </w:rPr>
            <w:fldChar w:fldCharType="separate"/>
          </w:r>
          <w:r>
            <w:rPr>
              <w:color w:val="auto"/>
              <w:highlight w:val="none"/>
            </w:rPr>
            <w:t>70</w:t>
          </w:r>
          <w:r>
            <w:rPr>
              <w:color w:val="auto"/>
              <w:highlight w:val="none"/>
            </w:rPr>
            <w:fldChar w:fldCharType="end"/>
          </w:r>
          <w:r>
            <w:rPr>
              <w:bCs/>
              <w:color w:val="auto"/>
              <w:szCs w:val="21"/>
              <w:highlight w:val="none"/>
              <w:lang w:val="zh-CN"/>
            </w:rPr>
            <w:fldChar w:fldCharType="end"/>
          </w:r>
        </w:p>
        <w:p>
          <w:pPr>
            <w:pStyle w:val="9"/>
            <w:tabs>
              <w:tab w:val="right" w:leader="dot" w:pos="9377"/>
            </w:tabs>
            <w:rPr>
              <w:color w:val="auto"/>
              <w:highlight w:val="none"/>
            </w:rPr>
          </w:pPr>
          <w:r>
            <w:rPr>
              <w:bCs/>
              <w:color w:val="auto"/>
              <w:szCs w:val="21"/>
              <w:highlight w:val="none"/>
              <w:lang w:val="zh-CN"/>
            </w:rPr>
            <w:fldChar w:fldCharType="begin"/>
          </w:r>
          <w:r>
            <w:rPr>
              <w:bCs/>
              <w:color w:val="auto"/>
              <w:szCs w:val="21"/>
              <w:highlight w:val="none"/>
              <w:lang w:val="zh-CN"/>
            </w:rPr>
            <w:instrText xml:space="preserve"> HYPERLINK \l _Toc5555 </w:instrText>
          </w:r>
          <w:r>
            <w:rPr>
              <w:bCs/>
              <w:color w:val="auto"/>
              <w:szCs w:val="21"/>
              <w:highlight w:val="none"/>
              <w:lang w:val="zh-CN"/>
            </w:rPr>
            <w:fldChar w:fldCharType="separate"/>
          </w:r>
          <w:r>
            <w:rPr>
              <w:rFonts w:hint="eastAsia" w:cs="Times New Roman"/>
              <w:bCs/>
              <w:color w:val="auto"/>
              <w:szCs w:val="32"/>
              <w:highlight w:val="none"/>
              <w:lang w:val="en-US" w:eastAsia="zh-CN"/>
            </w:rPr>
            <w:t>13</w:t>
          </w:r>
          <w:r>
            <w:rPr>
              <w:rFonts w:cs="Times New Roman"/>
              <w:bCs/>
              <w:color w:val="auto"/>
              <w:szCs w:val="32"/>
              <w:highlight w:val="none"/>
            </w:rPr>
            <w:t>.</w:t>
          </w:r>
          <w:r>
            <w:rPr>
              <w:rFonts w:hint="eastAsia" w:cs="Times New Roman"/>
              <w:bCs/>
              <w:color w:val="auto"/>
              <w:szCs w:val="32"/>
              <w:highlight w:val="none"/>
              <w:lang w:val="en-US" w:eastAsia="zh-CN"/>
            </w:rPr>
            <w:t xml:space="preserve">4  </w:t>
          </w:r>
          <w:r>
            <w:rPr>
              <w:rFonts w:hint="eastAsia" w:cs="Times New Roman"/>
              <w:bCs/>
              <w:color w:val="auto"/>
              <w:szCs w:val="32"/>
              <w:highlight w:val="none"/>
            </w:rPr>
            <w:t>检测结果</w:t>
          </w:r>
          <w:r>
            <w:rPr>
              <w:rFonts w:hint="eastAsia" w:ascii="宋体" w:hAnsi="宋体" w:eastAsia="宋体" w:cs="宋体"/>
              <w:color w:val="auto"/>
              <w:szCs w:val="21"/>
              <w:highlight w:val="none"/>
              <w:lang w:val="en-US" w:eastAsia="zh-CN"/>
            </w:rPr>
            <w:t>的评价</w:t>
          </w:r>
          <w:r>
            <w:rPr>
              <w:color w:val="auto"/>
              <w:highlight w:val="none"/>
            </w:rPr>
            <w:tab/>
          </w:r>
          <w:r>
            <w:rPr>
              <w:color w:val="auto"/>
              <w:highlight w:val="none"/>
            </w:rPr>
            <w:fldChar w:fldCharType="begin"/>
          </w:r>
          <w:r>
            <w:rPr>
              <w:color w:val="auto"/>
              <w:highlight w:val="none"/>
            </w:rPr>
            <w:instrText xml:space="preserve"> PAGEREF _Toc5555 \h </w:instrText>
          </w:r>
          <w:r>
            <w:rPr>
              <w:color w:val="auto"/>
              <w:highlight w:val="none"/>
            </w:rPr>
            <w:fldChar w:fldCharType="separate"/>
          </w:r>
          <w:r>
            <w:rPr>
              <w:color w:val="auto"/>
              <w:highlight w:val="none"/>
            </w:rPr>
            <w:t>70</w:t>
          </w:r>
          <w:r>
            <w:rPr>
              <w:color w:val="auto"/>
              <w:highlight w:val="none"/>
            </w:rPr>
            <w:fldChar w:fldCharType="end"/>
          </w:r>
          <w:r>
            <w:rPr>
              <w:bCs/>
              <w:color w:val="auto"/>
              <w:szCs w:val="21"/>
              <w:highlight w:val="none"/>
              <w:lang w:val="zh-CN"/>
            </w:rPr>
            <w:fldChar w:fldCharType="end"/>
          </w:r>
        </w:p>
        <w:p>
          <w:pPr>
            <w:pStyle w:val="8"/>
            <w:keepNext w:val="0"/>
            <w:keepLines w:val="0"/>
            <w:pageBreakBefore w:val="0"/>
            <w:widowControl w:val="0"/>
            <w:tabs>
              <w:tab w:val="right" w:leader="dot" w:pos="9377"/>
            </w:tabs>
            <w:kinsoku/>
            <w:wordWrap/>
            <w:overflowPunct/>
            <w:topLinePunct w:val="0"/>
            <w:autoSpaceDE/>
            <w:autoSpaceDN/>
            <w:bidi w:val="0"/>
            <w:adjustRightInd/>
            <w:snapToGrid/>
            <w:spacing w:line="312" w:lineRule="auto"/>
            <w:textAlignment w:val="auto"/>
            <w:rPr>
              <w:rFonts w:asciiTheme="minorHAnsi" w:hAnsiTheme="minorHAnsi" w:eastAsiaTheme="minorEastAsia" w:cstheme="minorBidi"/>
              <w:b/>
              <w:bCs/>
              <w:color w:val="auto"/>
              <w:kern w:val="2"/>
              <w:sz w:val="21"/>
              <w:szCs w:val="21"/>
              <w:highlight w:val="none"/>
              <w:lang w:val="zh-CN" w:eastAsia="zh-CN"/>
            </w:rPr>
          </w:pPr>
          <w:r>
            <w:rPr>
              <w:bCs/>
              <w:color w:val="auto"/>
              <w:sz w:val="21"/>
              <w:szCs w:val="21"/>
              <w:highlight w:val="none"/>
              <w:lang w:val="zh-CN"/>
            </w:rPr>
            <w:fldChar w:fldCharType="end"/>
          </w:r>
        </w:p>
      </w:sdtContent>
    </w:sdt>
    <w:p>
      <w:pPr>
        <w:rPr>
          <w:rFonts w:hint="eastAsia"/>
          <w:color w:val="auto"/>
          <w:sz w:val="21"/>
          <w:szCs w:val="21"/>
          <w:highlight w:val="none"/>
          <w:lang w:val="en-US" w:eastAsia="zh-CN"/>
        </w:rPr>
      </w:pPr>
      <w:r>
        <w:rPr>
          <w:rFonts w:hint="eastAsia"/>
          <w:color w:val="auto"/>
          <w:sz w:val="21"/>
          <w:szCs w:val="21"/>
          <w:highlight w:val="none"/>
          <w:lang w:val="en-US" w:eastAsia="zh-CN"/>
        </w:rPr>
        <w:br w:type="page"/>
      </w:r>
    </w:p>
    <w:p>
      <w:pPr>
        <w:pStyle w:val="37"/>
        <w:spacing w:line="276" w:lineRule="auto"/>
        <w:rPr>
          <w:rFonts w:eastAsia="宋体" w:cs="Times New Roman"/>
          <w:bCs/>
          <w:color w:val="auto"/>
          <w:szCs w:val="44"/>
          <w:highlight w:val="none"/>
        </w:rPr>
      </w:pPr>
      <w:bookmarkStart w:id="369" w:name="_Toc30723"/>
      <w:bookmarkStart w:id="370" w:name="_Toc15846"/>
      <w:bookmarkStart w:id="371" w:name="_Toc19150"/>
      <w:r>
        <w:rPr>
          <w:rFonts w:hint="eastAsia" w:eastAsia="宋体" w:cs="Times New Roman"/>
          <w:bCs/>
          <w:color w:val="auto"/>
          <w:szCs w:val="44"/>
          <w:highlight w:val="none"/>
        </w:rPr>
        <w:t>1</w:t>
      </w:r>
      <w:r>
        <w:rPr>
          <w:rFonts w:hint="eastAsia" w:eastAsia="宋体" w:cs="Times New Roman"/>
          <w:bCs/>
          <w:color w:val="auto"/>
          <w:szCs w:val="44"/>
          <w:highlight w:val="none"/>
          <w:lang w:val="en-US" w:eastAsia="zh-CN"/>
        </w:rPr>
        <w:t xml:space="preserve"> </w:t>
      </w:r>
      <w:r>
        <w:rPr>
          <w:rFonts w:eastAsia="宋体" w:cs="Times New Roman"/>
          <w:bCs/>
          <w:color w:val="auto"/>
          <w:szCs w:val="44"/>
          <w:highlight w:val="none"/>
        </w:rPr>
        <w:t xml:space="preserve"> </w:t>
      </w:r>
      <w:r>
        <w:rPr>
          <w:rFonts w:hint="eastAsia" w:eastAsia="宋体" w:cs="Times New Roman"/>
          <w:bCs/>
          <w:color w:val="auto"/>
          <w:szCs w:val="44"/>
          <w:highlight w:val="none"/>
        </w:rPr>
        <w:t>总</w:t>
      </w:r>
      <w:r>
        <w:rPr>
          <w:rFonts w:hint="eastAsia" w:eastAsia="宋体" w:cs="Times New Roman"/>
          <w:bCs/>
          <w:color w:val="auto"/>
          <w:szCs w:val="44"/>
          <w:highlight w:val="none"/>
          <w:lang w:val="en-US" w:eastAsia="zh-CN"/>
        </w:rPr>
        <w:t xml:space="preserve">    </w:t>
      </w:r>
      <w:r>
        <w:rPr>
          <w:rFonts w:hint="eastAsia" w:eastAsia="宋体" w:cs="Times New Roman"/>
          <w:bCs/>
          <w:color w:val="auto"/>
          <w:szCs w:val="44"/>
          <w:highlight w:val="none"/>
        </w:rPr>
        <w:t>则</w:t>
      </w:r>
      <w:bookmarkEnd w:id="369"/>
      <w:bookmarkEnd w:id="370"/>
      <w:bookmarkEnd w:id="371"/>
    </w:p>
    <w:p>
      <w:pPr>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1.0.1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kern w:val="0"/>
          <w:sz w:val="21"/>
          <w:szCs w:val="21"/>
          <w:highlight w:val="none"/>
          <w:lang w:val="en-US" w:eastAsia="zh-CN" w:bidi="ar"/>
        </w:rPr>
        <w:t>本条阐述编制本标准的目的。《建筑电气工程施工质量验收规范》GB 50303和《建筑电气与智能化通用规范》GB 55024提出了建筑电气工程质量检测的要求，但没有说明检测方法。目前尚无标准介绍既有建筑的电气工程质量检测方法，因此制定本标准，为实施建筑电气工程检测提供参考。</w:t>
      </w:r>
    </w:p>
    <w:p>
      <w:pPr>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1.0.2</w:t>
      </w:r>
      <w:r>
        <w:rPr>
          <w:rFonts w:hint="eastAsia" w:ascii="宋体" w:hAnsi="宋体" w:eastAsia="宋体" w:cs="宋体"/>
          <w:color w:val="auto"/>
          <w:kern w:val="0"/>
          <w:sz w:val="21"/>
          <w:szCs w:val="21"/>
          <w:highlight w:val="none"/>
          <w:lang w:val="en-US" w:eastAsia="zh-CN" w:bidi="ar"/>
        </w:rPr>
        <w:t xml:space="preserve">  本条规定了本标准的适用范围。《建筑电气工程施工质量验收规范》GB 50303和《建筑电气与智能化通用规范》GB 55024均适用于35kV以下，但1000V以上的电气工程是电力供应的高压终端，要求投入运行前必须做交接试验，本标准未涉及这些交接试验，因此本标准适用范围仅限于电压在1000V以下的低压部分电气工程。本标准不包括建筑智能化系统的功能检测。</w:t>
      </w:r>
    </w:p>
    <w:p>
      <w:pP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sz w:val="21"/>
          <w:szCs w:val="21"/>
          <w:highlight w:val="none"/>
          <w:lang w:val="en-US" w:eastAsia="zh-CN"/>
        </w:rPr>
        <w:t>1.0.3</w:t>
      </w:r>
      <w:r>
        <w:rPr>
          <w:rFonts w:hint="eastAsia" w:ascii="宋体" w:hAnsi="宋体" w:eastAsia="宋体" w:cs="宋体"/>
          <w:color w:val="auto"/>
          <w:kern w:val="0"/>
          <w:sz w:val="21"/>
          <w:szCs w:val="21"/>
          <w:highlight w:val="none"/>
          <w:lang w:val="en-US" w:eastAsia="zh-CN" w:bidi="ar"/>
        </w:rPr>
        <w:t xml:space="preserve">  建筑电气工程现场检测内容综合性强、涉及面广，与设计、施工、鉴定、评估密切相关，也与消防、防雷、智能化密切相关。本标准未涉及的内容，应执行国家现行的有关标准、规范的规定。相关标准包括：《建筑电气工程施工质量验收规范》GB 50303、《建筑电气与智能化通用规范》GB 55024、《电气装置安装工程 接地装置施工及验收规范》GB 50169、《电气装置安装工程 电气设备交接试验标准》GB 50150、《建筑物雷电防护装置检测技术规范》GB/T 21431等。</w:t>
      </w:r>
    </w:p>
    <w:p>
      <w:pP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br w:type="page"/>
      </w:r>
    </w:p>
    <w:p>
      <w:pPr>
        <w:pStyle w:val="37"/>
        <w:spacing w:line="276" w:lineRule="auto"/>
        <w:rPr>
          <w:rFonts w:eastAsia="宋体" w:cs="Times New Roman"/>
          <w:bCs/>
          <w:color w:val="auto"/>
          <w:szCs w:val="44"/>
          <w:highlight w:val="none"/>
        </w:rPr>
      </w:pPr>
      <w:bookmarkStart w:id="372" w:name="_Toc3811"/>
      <w:bookmarkStart w:id="373" w:name="_Toc28260"/>
      <w:bookmarkStart w:id="374" w:name="_Toc9662"/>
      <w:r>
        <w:rPr>
          <w:rFonts w:hint="eastAsia" w:eastAsia="宋体" w:cs="Times New Roman"/>
          <w:bCs/>
          <w:color w:val="auto"/>
          <w:szCs w:val="44"/>
          <w:highlight w:val="none"/>
        </w:rPr>
        <w:t>2</w:t>
      </w:r>
      <w:r>
        <w:rPr>
          <w:rFonts w:hint="eastAsia" w:eastAsia="宋体" w:cs="Times New Roman"/>
          <w:bCs/>
          <w:color w:val="auto"/>
          <w:szCs w:val="44"/>
          <w:highlight w:val="none"/>
          <w:lang w:val="en-US" w:eastAsia="zh-CN"/>
        </w:rPr>
        <w:t xml:space="preserve">  </w:t>
      </w:r>
      <w:r>
        <w:rPr>
          <w:rFonts w:hint="eastAsia" w:eastAsia="宋体" w:cs="Times New Roman"/>
          <w:bCs/>
          <w:color w:val="auto"/>
          <w:szCs w:val="44"/>
          <w:highlight w:val="none"/>
        </w:rPr>
        <w:t>术</w:t>
      </w:r>
      <w:r>
        <w:rPr>
          <w:rFonts w:hint="eastAsia" w:eastAsia="宋体" w:cs="Times New Roman"/>
          <w:bCs/>
          <w:color w:val="auto"/>
          <w:szCs w:val="44"/>
          <w:highlight w:val="none"/>
          <w:lang w:val="en-US" w:eastAsia="zh-CN"/>
        </w:rPr>
        <w:t xml:space="preserve">    </w:t>
      </w:r>
      <w:r>
        <w:rPr>
          <w:rFonts w:hint="eastAsia" w:eastAsia="宋体" w:cs="Times New Roman"/>
          <w:bCs/>
          <w:color w:val="auto"/>
          <w:szCs w:val="44"/>
          <w:highlight w:val="none"/>
        </w:rPr>
        <w:t>语</w:t>
      </w:r>
      <w:bookmarkEnd w:id="372"/>
      <w:bookmarkEnd w:id="373"/>
      <w:bookmarkEnd w:id="374"/>
    </w:p>
    <w:p>
      <w:pPr>
        <w:widowControl/>
        <w:ind w:firstLine="420" w:firstLineChars="200"/>
        <w:jc w:val="left"/>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章所给出的术语为本标准的专用术语，除了与有关标准协调外，多数仅从本标准的角度赋予其涵义，但涵义不一定是术语的定义。同时还分别给出了相应的推荐性英文术语，该英文术语不一定是国际上的标准术语，仅供参考。</w:t>
      </w:r>
    </w:p>
    <w:p>
      <w:pP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2.0.1</w:t>
      </w:r>
      <w:r>
        <w:rPr>
          <w:rFonts w:hint="eastAsia" w:ascii="宋体" w:hAnsi="宋体" w:eastAsia="宋体" w:cs="宋体"/>
          <w:color w:val="auto"/>
          <w:kern w:val="0"/>
          <w:sz w:val="21"/>
          <w:szCs w:val="21"/>
          <w:highlight w:val="none"/>
          <w:lang w:val="en-US" w:eastAsia="zh-CN" w:bidi="ar"/>
        </w:rPr>
        <w:t xml:space="preserve">  建筑电气工程现场检测仅包含在受检建筑所在地对该建筑的电气工程完成的检测，不包括现场取样送实验室进行的检测。本标准所列检测项目均为现场检测，并非未列入本标准的检测项目均非建筑电气工程现场检测。</w:t>
      </w:r>
    </w:p>
    <w:p>
      <w:pPr>
        <w:widowControl/>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2.0.2</w:t>
      </w:r>
      <w:r>
        <w:rPr>
          <w:rFonts w:hint="eastAsia" w:ascii="宋体" w:hAnsi="宋体" w:eastAsia="宋体" w:cs="宋体"/>
          <w:color w:val="auto"/>
          <w:kern w:val="0"/>
          <w:sz w:val="21"/>
          <w:szCs w:val="21"/>
          <w:highlight w:val="none"/>
          <w:lang w:val="en-US" w:eastAsia="zh-CN" w:bidi="ar"/>
        </w:rPr>
        <w:t xml:space="preserve">  引自《信息系统雷电防护术语》GB/T 19663-2022中第5.2.29条。</w:t>
      </w:r>
    </w:p>
    <w:p>
      <w:pPr>
        <w:widowControl/>
        <w:ind w:firstLine="420" w:firstLineChars="200"/>
        <w:jc w:val="left"/>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《建筑物防雷设计规范》GB 50057中对防雷工程的接地电阻要求均为冲击接地电阻值，目前建筑设计图纸中对于接地电阻的描述并不统一，“接地电阻”、“冲击接地电阻</w:t>
      </w:r>
      <w:r>
        <w:rPr>
          <w:rFonts w:hint="default"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、“工频接地电阻”均有出现。</w:t>
      </w:r>
    </w:p>
    <w:p>
      <w:pPr>
        <w:widowControl/>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2.0.3</w:t>
      </w:r>
      <w:r>
        <w:rPr>
          <w:rFonts w:hint="eastAsia" w:ascii="宋体" w:hAnsi="宋体" w:eastAsia="宋体" w:cs="宋体"/>
          <w:color w:val="auto"/>
          <w:kern w:val="0"/>
          <w:sz w:val="21"/>
          <w:szCs w:val="21"/>
          <w:highlight w:val="none"/>
          <w:lang w:val="en-US" w:eastAsia="zh-CN" w:bidi="ar"/>
        </w:rPr>
        <w:t xml:space="preserve">  引自《信息系统雷电防护术语》GB/T 19663-2022中第5.2.30条。</w:t>
      </w:r>
    </w:p>
    <w:p>
      <w:pPr>
        <w:widowControl/>
        <w:ind w:firstLine="420" w:firstLineChars="200"/>
        <w:jc w:val="left"/>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直接检测冲击接地电阻很困难，特别是对于一个实际工程，现场情况复杂、检测数量多。因此目前均采用检测工频接地电阻和土壤电阻率，计算出冲击接地电阻。此条引用了《信息系统雷电防护术语》GB/T 19663-2022中第5.2.30条的定义。</w:t>
      </w:r>
    </w:p>
    <w:p>
      <w:pPr>
        <w:widowControl/>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2.0.4</w:t>
      </w:r>
      <w:r>
        <w:rPr>
          <w:rFonts w:hint="eastAsia" w:ascii="宋体" w:hAnsi="宋体" w:eastAsia="宋体" w:cs="宋体"/>
          <w:color w:val="auto"/>
          <w:kern w:val="0"/>
          <w:sz w:val="21"/>
          <w:szCs w:val="21"/>
          <w:highlight w:val="none"/>
          <w:lang w:val="en-US" w:eastAsia="zh-CN" w:bidi="ar"/>
        </w:rPr>
        <w:t xml:space="preserve">  本标准中过渡电阻的涵义是从《</w:t>
      </w:r>
      <w:r>
        <w:rPr>
          <w:rFonts w:hint="eastAsia" w:ascii="宋体" w:hAnsi="宋体" w:eastAsia="宋体" w:cs="宋体"/>
          <w:color w:val="auto"/>
          <w:sz w:val="21"/>
          <w:szCs w:val="21"/>
          <w:highlight w:val="none"/>
          <w:lang w:val="en-US" w:eastAsia="zh-CN"/>
        </w:rPr>
        <w:t>建筑物雷电防护装置检测技术规范</w:t>
      </w:r>
      <w:r>
        <w:rPr>
          <w:rFonts w:hint="eastAsia" w:ascii="宋体" w:hAnsi="宋体" w:eastAsia="宋体" w:cs="宋体"/>
          <w:color w:val="auto"/>
          <w:kern w:val="0"/>
          <w:sz w:val="21"/>
          <w:szCs w:val="21"/>
          <w:highlight w:val="none"/>
          <w:lang w:val="en-US" w:eastAsia="zh-CN" w:bidi="ar"/>
        </w:rPr>
        <w:t>》GB/T 21431-2023附录D中总结而得，本标准中过渡电阻包含了导体连接部位的接触电阻以及等电位连接所用导体本身的电阻。</w:t>
      </w:r>
    </w:p>
    <w:p>
      <w:pP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2.0.5</w:t>
      </w:r>
      <w:r>
        <w:rPr>
          <w:rFonts w:hint="eastAsia" w:ascii="宋体" w:hAnsi="宋体" w:eastAsia="宋体" w:cs="宋体"/>
          <w:color w:val="auto"/>
          <w:kern w:val="0"/>
          <w:sz w:val="21"/>
          <w:szCs w:val="21"/>
          <w:highlight w:val="none"/>
          <w:lang w:val="en-US" w:eastAsia="zh-CN" w:bidi="ar"/>
        </w:rPr>
        <w:t xml:space="preserve">  引自《现场绝缘试验实施导则 绝缘电阻、吸收比和极化指数试验》DL/T 474.1-2018第3.1条。</w:t>
      </w:r>
    </w:p>
    <w:p>
      <w:pPr>
        <w:ind w:firstLine="420" w:firstLineChars="20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不同的标准中对绝缘电阻有不完全相同的解释。《电工术语 基本术语》GB/T 2900.1-2008中（第3.3.160条）绝缘电阻的定义为：在规定条件下，用绝缘材料隔开的两个导电元件之间的电阻。《现场绝缘试验实施导则 绝缘电阻、吸收比和极化指数试验》DL/T 474.1-2018第3.1条的描述能更清晰体现检测过程。</w:t>
      </w:r>
    </w:p>
    <w:p>
      <w:pPr>
        <w:ind w:firstLine="0" w:firstLineChars="0"/>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2.0.6</w:t>
      </w:r>
      <w:r>
        <w:rPr>
          <w:rFonts w:hint="eastAsia" w:ascii="宋体" w:hAnsi="宋体" w:eastAsia="宋体" w:cs="宋体"/>
          <w:color w:val="auto"/>
          <w:kern w:val="0"/>
          <w:sz w:val="21"/>
          <w:szCs w:val="21"/>
          <w:highlight w:val="none"/>
          <w:lang w:val="en-US" w:eastAsia="zh-CN" w:bidi="ar"/>
        </w:rPr>
        <w:t xml:space="preserve">  该术语引自《电工术语 基本术语》GB/T 2900.1-2008。</w:t>
      </w:r>
    </w:p>
    <w:p>
      <w:pPr>
        <w:ind w:firstLine="0" w:firstLineChars="0"/>
        <w:rPr>
          <w:rFonts w:hint="default" w:ascii="宋体" w:hAnsi="宋体" w:eastAsia="宋体" w:cs="宋体"/>
          <w:color w:val="auto"/>
          <w:kern w:val="0"/>
          <w:sz w:val="21"/>
          <w:szCs w:val="21"/>
          <w:highlight w:val="none"/>
          <w:lang w:val="en-US" w:eastAsia="zh-CN" w:bidi="ar"/>
        </w:rPr>
      </w:pPr>
    </w:p>
    <w:p>
      <w:pP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br w:type="page"/>
      </w:r>
    </w:p>
    <w:p>
      <w:pPr>
        <w:pStyle w:val="37"/>
        <w:spacing w:line="276" w:lineRule="auto"/>
        <w:rPr>
          <w:rFonts w:eastAsia="宋体" w:cs="Times New Roman"/>
          <w:bCs/>
          <w:color w:val="auto"/>
          <w:szCs w:val="44"/>
          <w:highlight w:val="none"/>
        </w:rPr>
      </w:pPr>
      <w:bookmarkStart w:id="375" w:name="_Toc21988"/>
      <w:bookmarkStart w:id="376" w:name="_Toc14027"/>
      <w:bookmarkStart w:id="377" w:name="_Toc32630"/>
      <w:r>
        <w:rPr>
          <w:rFonts w:eastAsia="宋体" w:cs="Times New Roman"/>
          <w:bCs/>
          <w:color w:val="auto"/>
          <w:szCs w:val="44"/>
          <w:highlight w:val="none"/>
        </w:rPr>
        <w:t>3</w:t>
      </w:r>
      <w:r>
        <w:rPr>
          <w:rFonts w:hint="eastAsia" w:eastAsia="宋体" w:cs="Times New Roman"/>
          <w:bCs/>
          <w:color w:val="auto"/>
          <w:szCs w:val="44"/>
          <w:highlight w:val="none"/>
          <w:lang w:val="en-US" w:eastAsia="zh-CN"/>
        </w:rPr>
        <w:t xml:space="preserve"> </w:t>
      </w:r>
      <w:r>
        <w:rPr>
          <w:rFonts w:eastAsia="宋体" w:cs="Times New Roman"/>
          <w:bCs/>
          <w:color w:val="auto"/>
          <w:szCs w:val="44"/>
          <w:highlight w:val="none"/>
        </w:rPr>
        <w:t xml:space="preserve"> </w:t>
      </w:r>
      <w:r>
        <w:rPr>
          <w:rFonts w:hint="eastAsia" w:eastAsia="宋体" w:cs="Times New Roman"/>
          <w:bCs/>
          <w:color w:val="auto"/>
          <w:szCs w:val="44"/>
          <w:highlight w:val="none"/>
        </w:rPr>
        <w:t>基本规定</w:t>
      </w:r>
      <w:bookmarkEnd w:id="375"/>
      <w:bookmarkEnd w:id="376"/>
      <w:bookmarkEnd w:id="377"/>
    </w:p>
    <w:p>
      <w:pPr>
        <w:rPr>
          <w:rFonts w:hint="default" w:ascii="宋体" w:hAnsi="宋体" w:eastAsia="宋体" w:cs="宋体"/>
          <w:color w:val="auto"/>
          <w:sz w:val="21"/>
          <w:szCs w:val="21"/>
          <w:highlight w:val="none"/>
          <w:lang w:val="en-US"/>
        </w:rPr>
      </w:pPr>
      <w:r>
        <w:rPr>
          <w:rFonts w:hint="eastAsia" w:ascii="宋体" w:hAnsi="宋体" w:eastAsia="宋体" w:cs="宋体"/>
          <w:b/>
          <w:bCs/>
          <w:color w:val="auto"/>
          <w:sz w:val="21"/>
          <w:szCs w:val="21"/>
          <w:highlight w:val="none"/>
          <w:lang w:val="en-US" w:eastAsia="zh-CN"/>
        </w:rPr>
        <w:t>3.0.1</w:t>
      </w:r>
      <w:r>
        <w:rPr>
          <w:rFonts w:hint="eastAsia" w:ascii="宋体" w:hAnsi="宋体" w:eastAsia="宋体" w:cs="宋体"/>
          <w:color w:val="auto"/>
          <w:sz w:val="21"/>
          <w:szCs w:val="21"/>
          <w:highlight w:val="none"/>
          <w:lang w:val="en-US" w:eastAsia="zh-CN"/>
        </w:rPr>
        <w:t xml:space="preserve">  本条提出了检测仪器的要求。检定或校准设备是保证检测结果准确可靠、与其他机构检测结果一致的重要手段，因此检测仪器需经检定或校准。现场条件复杂，检测仪器在运输过程中及现场检测过程中难免受到颠簸、碰撞、跌落、暴晒、拉扯等，因此在使用前，除了要核查是否检定或校准有效以外，还需核查设备是否运行正常。核查的方法有多种，比如：（1）开机，能正常开机；（2）仪器比对，用两台或者多台设备检测同一对象，比较检测结果一致性；（3）使用标准电阻。使用标准电阻检查接地电阻测试仪、过渡电阻测试仪检测结标准电阻，检测结果是否满足标准要求。此外，还需检查设备是否满足本标准要求，比如设备量程和精度是否满足本标准要求。</w:t>
      </w:r>
    </w:p>
    <w:p>
      <w:pPr>
        <w:rPr>
          <w:rFonts w:hint="default" w:ascii="宋体" w:hAnsi="宋体" w:eastAsia="宋体" w:cs="宋体"/>
          <w:color w:val="auto"/>
          <w:sz w:val="21"/>
          <w:szCs w:val="21"/>
          <w:highlight w:val="none"/>
          <w:lang w:val="en-US"/>
        </w:rPr>
      </w:pPr>
      <w:r>
        <w:rPr>
          <w:rFonts w:hint="eastAsia" w:ascii="宋体" w:hAnsi="宋体" w:eastAsia="宋体" w:cs="宋体"/>
          <w:b/>
          <w:bCs/>
          <w:color w:val="auto"/>
          <w:sz w:val="21"/>
          <w:szCs w:val="21"/>
          <w:highlight w:val="none"/>
          <w:lang w:val="en-US" w:eastAsia="zh-CN"/>
        </w:rPr>
        <w:t>3.0.2</w:t>
      </w:r>
      <w:r>
        <w:rPr>
          <w:rFonts w:hint="eastAsia" w:ascii="宋体" w:hAnsi="宋体" w:eastAsia="宋体" w:cs="宋体"/>
          <w:color w:val="auto"/>
          <w:sz w:val="21"/>
          <w:szCs w:val="21"/>
          <w:highlight w:val="none"/>
          <w:lang w:val="en-US" w:eastAsia="zh-CN"/>
        </w:rPr>
        <w:t xml:space="preserve">  电气工程检测人员除了要熟悉电气检测的相关知识和技能以外，还必须掌握电气安全知识。建筑电气工程检测宜由相关专业的人员实施，若由非专业人员实施，则必须经过电气检测培训及电气安全培训，考核合格之后才能上岗。</w:t>
      </w:r>
    </w:p>
    <w:p>
      <w:pPr>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3.0.3</w:t>
      </w:r>
      <w:r>
        <w:rPr>
          <w:rFonts w:hint="eastAsia" w:ascii="宋体" w:hAnsi="宋体" w:eastAsia="宋体" w:cs="宋体"/>
          <w:color w:val="auto"/>
          <w:sz w:val="21"/>
          <w:szCs w:val="21"/>
          <w:highlight w:val="none"/>
          <w:lang w:val="en-US" w:eastAsia="zh-CN"/>
        </w:rPr>
        <w:t xml:space="preserve">  为了保证安全，电气工程检测需至少两人同时在场，一人操作，一人旁站，以便发生危险时及时采取急救措施。由于第三方单位不熟悉受检建筑的用电情况和电气工程的详细情况，因此需要熟悉该工程电气工程的专业人员进行陪同与配合，以防因检测导致安全事故和损失。</w:t>
      </w:r>
    </w:p>
    <w:p>
      <w:pPr>
        <w:ind w:firstLine="56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建筑电气工程检测安全管理规定包括但不限于：绝缘电阻、交流工频耐压实验检测人员应穿绝缘鞋，佩戴绝缘手套；Ⅰ类手持电动工具必须使用漏电保护器且使用前需按保护器试验按钮来检查是否正常可用；雷雨天气严禁实施电气线路相关检测和室外检测，严禁抛线，严禁在女儿墙上放置物品。被测防雷装置表面有防腐漆等绝缘保护层时，应清除保护层。进入易燃易爆场所检测时，应穿棉质衣服，使用防爆对讲机、橡胶锤，佩戴易燃易爆气体自动监测设备等。</w:t>
      </w:r>
    </w:p>
    <w:p>
      <w:pP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3.0.4</w:t>
      </w:r>
      <w:r>
        <w:rPr>
          <w:rFonts w:hint="eastAsia" w:ascii="宋体" w:hAnsi="宋体" w:eastAsia="宋体" w:cs="宋体"/>
          <w:color w:val="auto"/>
          <w:sz w:val="21"/>
          <w:szCs w:val="21"/>
          <w:highlight w:val="none"/>
          <w:lang w:val="en-US" w:eastAsia="zh-CN"/>
        </w:rPr>
        <w:t xml:space="preserve">  既有建筑可能存在因使用而不能断电、电气线路不清晰、遮挡、部分电气设备未安装等问题，导致检测不能完全按照本标准实施。因此既有建筑电气工程需要根据实际情况确定检测内容和检测数量。既有建筑的电气工程在建设阶段已经进行过全面检测，能正常使用说明电气工程基本正常，没必要全数检测，抽检即可。表3.0.4引用了《建筑工程施工质量验收统一标准》GB 50300-2013中表3.0.9。检验批的划分可参照《建筑电气工程施工质量验收规范》GB 50303-2015附录A。检验批抽样样本应随机抽取，满足分布均匀、具有代表性的要求。在满足以上抽样要求的基础上，可增加对特殊部位的抽检，如：用电负荷特别大、曾经出现故障、曾经受到腐蚀等部位。由于既有建筑一般都在使用状态，因此检测部位和检测时间需征得使用单位同意，以免因检测造成伤亡和财产损失。</w:t>
      </w:r>
    </w:p>
    <w:p>
      <w:pP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bidi="ar"/>
        </w:rPr>
        <w:t>3.</w:t>
      </w:r>
      <w:r>
        <w:rPr>
          <w:rFonts w:hint="eastAsia" w:ascii="宋体" w:hAnsi="宋体" w:eastAsia="宋体" w:cs="宋体"/>
          <w:b/>
          <w:bCs/>
          <w:color w:val="auto"/>
          <w:sz w:val="21"/>
          <w:szCs w:val="21"/>
          <w:highlight w:val="none"/>
          <w:lang w:val="en-US" w:eastAsia="zh-CN"/>
        </w:rPr>
        <w:t>0.5</w:t>
      </w:r>
      <w:r>
        <w:rPr>
          <w:rFonts w:hint="eastAsia" w:ascii="宋体" w:hAnsi="宋体" w:eastAsia="宋体" w:cs="宋体"/>
          <w:color w:val="auto"/>
          <w:sz w:val="21"/>
          <w:szCs w:val="21"/>
          <w:highlight w:val="none"/>
          <w:lang w:val="en-US" w:eastAsia="zh-CN"/>
        </w:rPr>
        <w:t xml:space="preserve">  本标准所列检测数量主要参照《建筑电气工程施工质量验收规范》GB 50303的规定。地方标准提出的技术要求不能低于国家标准，因此本标准所列检测数量是新建建筑电气工程施工质量验收的最低要求。建筑电气工程中改建和扩建的部分，均按新建建筑的要求进行检测，而未改造部分、既有部分，均不属于“改建、扩建建筑电气工程”，而属于既有建筑电气工程。</w:t>
      </w:r>
      <w:r>
        <w:rPr>
          <w:rFonts w:hint="eastAsia" w:ascii="宋体" w:hAnsi="宋体" w:eastAsia="宋体" w:cs="宋体"/>
          <w:color w:val="auto"/>
          <w:sz w:val="21"/>
          <w:szCs w:val="21"/>
          <w:highlight w:val="none"/>
          <w:lang w:val="en-US" w:eastAsia="zh-CN"/>
        </w:rPr>
        <w:br w:type="page"/>
      </w:r>
    </w:p>
    <w:p>
      <w:pPr>
        <w:pStyle w:val="37"/>
        <w:spacing w:line="276" w:lineRule="auto"/>
        <w:rPr>
          <w:rFonts w:hint="default" w:eastAsia="宋体" w:cs="Times New Roman"/>
          <w:bCs/>
          <w:color w:val="auto"/>
          <w:szCs w:val="44"/>
          <w:highlight w:val="none"/>
          <w:lang w:val="en-US" w:eastAsia="zh-CN"/>
        </w:rPr>
      </w:pPr>
      <w:bookmarkStart w:id="378" w:name="_Toc8170"/>
      <w:bookmarkStart w:id="379" w:name="_Toc6414"/>
      <w:bookmarkStart w:id="380" w:name="_Toc18369"/>
      <w:r>
        <w:rPr>
          <w:rFonts w:hint="eastAsia" w:eastAsia="宋体" w:cs="Times New Roman"/>
          <w:bCs/>
          <w:color w:val="auto"/>
          <w:szCs w:val="44"/>
          <w:highlight w:val="none"/>
          <w:lang w:val="en-US" w:eastAsia="zh-CN"/>
        </w:rPr>
        <w:t>4</w:t>
      </w:r>
      <w:r>
        <w:rPr>
          <w:rFonts w:hint="default" w:eastAsia="宋体" w:cs="Times New Roman"/>
          <w:bCs/>
          <w:color w:val="auto"/>
          <w:szCs w:val="44"/>
          <w:highlight w:val="none"/>
          <w:lang w:val="en-US"/>
        </w:rPr>
        <w:t xml:space="preserve"> </w:t>
      </w:r>
      <w:r>
        <w:rPr>
          <w:rFonts w:hint="eastAsia" w:eastAsia="宋体" w:cs="Times New Roman"/>
          <w:bCs/>
          <w:color w:val="auto"/>
          <w:szCs w:val="44"/>
          <w:highlight w:val="none"/>
          <w:lang w:val="en-US" w:eastAsia="zh-CN"/>
        </w:rPr>
        <w:t xml:space="preserve"> 接地电阻检测</w:t>
      </w:r>
      <w:bookmarkEnd w:id="378"/>
      <w:bookmarkEnd w:id="379"/>
      <w:bookmarkEnd w:id="380"/>
    </w:p>
    <w:p>
      <w:pPr>
        <w:pStyle w:val="40"/>
        <w:rPr>
          <w:rFonts w:hint="default" w:cs="Times New Roman"/>
          <w:bCs/>
          <w:color w:val="auto"/>
          <w:szCs w:val="32"/>
          <w:highlight w:val="none"/>
          <w:lang w:val="en-US" w:eastAsia="zh-CN"/>
        </w:rPr>
      </w:pPr>
      <w:bookmarkStart w:id="381" w:name="_Toc13306"/>
      <w:bookmarkStart w:id="382" w:name="_Toc20797"/>
      <w:bookmarkStart w:id="383" w:name="_Toc28088"/>
      <w:r>
        <w:rPr>
          <w:rFonts w:hint="eastAsia" w:cs="Times New Roman"/>
          <w:bCs/>
          <w:color w:val="auto"/>
          <w:szCs w:val="32"/>
          <w:highlight w:val="none"/>
          <w:lang w:val="en-US" w:eastAsia="zh-CN"/>
        </w:rPr>
        <w:t>4</w:t>
      </w:r>
      <w:r>
        <w:rPr>
          <w:rFonts w:hint="default" w:cs="Times New Roman"/>
          <w:bCs/>
          <w:color w:val="auto"/>
          <w:szCs w:val="32"/>
          <w:highlight w:val="none"/>
          <w:lang w:val="en-US" w:eastAsia="zh-CN"/>
        </w:rPr>
        <w:t xml:space="preserve">.1 </w:t>
      </w:r>
      <w:r>
        <w:rPr>
          <w:rFonts w:hint="eastAsia" w:cs="Times New Roman"/>
          <w:bCs/>
          <w:color w:val="auto"/>
          <w:szCs w:val="32"/>
          <w:highlight w:val="none"/>
          <w:lang w:val="en-US" w:eastAsia="zh-CN"/>
        </w:rPr>
        <w:t>一般规定</w:t>
      </w:r>
      <w:bookmarkEnd w:id="381"/>
      <w:bookmarkEnd w:id="382"/>
      <w:bookmarkEnd w:id="383"/>
    </w:p>
    <w:p>
      <w:pPr>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bidi="ar"/>
        </w:rPr>
        <w:t xml:space="preserve">4.1.1  </w:t>
      </w:r>
      <w:r>
        <w:rPr>
          <w:rFonts w:hint="eastAsia" w:ascii="宋体" w:hAnsi="宋体" w:eastAsia="宋体" w:cs="宋体"/>
          <w:color w:val="auto"/>
          <w:sz w:val="21"/>
          <w:szCs w:val="21"/>
          <w:highlight w:val="none"/>
          <w:lang w:val="en-US" w:eastAsia="zh-CN"/>
        </w:rPr>
        <w:t>接地装置已经被隐蔽，首次检测时</w:t>
      </w:r>
      <w:r>
        <w:rPr>
          <w:rFonts w:hint="default" w:ascii="宋体" w:hAnsi="宋体" w:eastAsia="宋体" w:cs="宋体"/>
          <w:color w:val="auto"/>
          <w:sz w:val="21"/>
          <w:szCs w:val="21"/>
          <w:highlight w:val="none"/>
          <w:lang w:val="en-US" w:eastAsia="zh-CN"/>
        </w:rPr>
        <w:t>可通过查阅防雷装置工程竣工图纸，施工安装技术记录等资料</w:t>
      </w:r>
      <w:r>
        <w:rPr>
          <w:rFonts w:hint="eastAsia" w:ascii="宋体" w:hAnsi="宋体" w:eastAsia="宋体" w:cs="宋体"/>
          <w:color w:val="auto"/>
          <w:sz w:val="21"/>
          <w:szCs w:val="21"/>
          <w:highlight w:val="none"/>
          <w:lang w:val="en-US" w:eastAsia="zh-CN"/>
        </w:rPr>
        <w:t>获得接地装置的相关信息，为后续年度检测提供参考。接地装置包括接地体和接地线。接地体有自然接地和人工接地；根据是否共用接地，接地装置可分为有独立接地装置和共用接地装置。</w:t>
      </w:r>
    </w:p>
    <w:p>
      <w:pPr>
        <w:rPr>
          <w:rFonts w:hint="default" w:ascii="宋体" w:hAnsi="宋体" w:eastAsia="宋体" w:cs="宋体"/>
          <w:color w:val="auto"/>
          <w:sz w:val="21"/>
          <w:szCs w:val="21"/>
          <w:highlight w:val="none"/>
          <w:lang w:val="en-US" w:eastAsia="zh-CN"/>
        </w:rPr>
      </w:pPr>
    </w:p>
    <w:p>
      <w:pPr>
        <w:rPr>
          <w:rFonts w:hint="default" w:ascii="宋体" w:hAnsi="宋体" w:eastAsia="宋体" w:cs="宋体"/>
          <w:color w:val="auto"/>
          <w:sz w:val="21"/>
          <w:szCs w:val="21"/>
          <w:highlight w:val="none"/>
          <w:lang w:val="en-US" w:eastAsia="zh-CN"/>
        </w:rPr>
      </w:pPr>
    </w:p>
    <w:p>
      <w:pPr>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bidi="ar"/>
        </w:rPr>
        <w:t xml:space="preserve">4.1.2  </w:t>
      </w:r>
      <w:r>
        <w:rPr>
          <w:rFonts w:hint="eastAsia" w:ascii="宋体" w:hAnsi="宋体" w:eastAsia="宋体" w:cs="宋体"/>
          <w:color w:val="auto"/>
          <w:sz w:val="21"/>
          <w:szCs w:val="21"/>
          <w:highlight w:val="none"/>
          <w:lang w:val="en-US" w:eastAsia="zh-CN"/>
        </w:rPr>
        <w:t>缠绕成卷可能产生感抗，从而导致接地电阻检测结果偏大。</w:t>
      </w:r>
    </w:p>
    <w:p>
      <w:pPr>
        <w:pStyle w:val="40"/>
        <w:rPr>
          <w:rFonts w:hint="eastAsia" w:cs="Times New Roman"/>
          <w:bCs/>
          <w:color w:val="auto"/>
          <w:szCs w:val="32"/>
          <w:highlight w:val="none"/>
          <w:lang w:val="en-US" w:eastAsia="zh-CN"/>
        </w:rPr>
      </w:pPr>
      <w:bookmarkStart w:id="384" w:name="_Toc8839"/>
      <w:bookmarkStart w:id="385" w:name="_Toc6043"/>
      <w:bookmarkStart w:id="386" w:name="_Toc3134"/>
      <w:r>
        <w:rPr>
          <w:rFonts w:hint="eastAsia" w:cs="Times New Roman"/>
          <w:bCs/>
          <w:color w:val="auto"/>
          <w:szCs w:val="32"/>
          <w:highlight w:val="none"/>
          <w:lang w:val="en-US" w:eastAsia="zh-CN"/>
        </w:rPr>
        <w:t>4</w:t>
      </w:r>
      <w:r>
        <w:rPr>
          <w:rFonts w:hint="default" w:cs="Times New Roman"/>
          <w:bCs/>
          <w:color w:val="auto"/>
          <w:szCs w:val="32"/>
          <w:highlight w:val="none"/>
          <w:lang w:val="en-US" w:eastAsia="zh-CN"/>
        </w:rPr>
        <w:t>.</w:t>
      </w:r>
      <w:r>
        <w:rPr>
          <w:rFonts w:hint="eastAsia" w:cs="Times New Roman"/>
          <w:bCs/>
          <w:color w:val="auto"/>
          <w:szCs w:val="32"/>
          <w:highlight w:val="none"/>
          <w:lang w:val="en-US" w:eastAsia="zh-CN"/>
        </w:rPr>
        <w:t>2</w:t>
      </w:r>
      <w:r>
        <w:rPr>
          <w:rFonts w:hint="default" w:cs="Times New Roman"/>
          <w:bCs/>
          <w:color w:val="auto"/>
          <w:szCs w:val="32"/>
          <w:highlight w:val="none"/>
          <w:lang w:val="en-US" w:eastAsia="zh-CN"/>
        </w:rPr>
        <w:t xml:space="preserve"> </w:t>
      </w:r>
      <w:r>
        <w:rPr>
          <w:rFonts w:hint="eastAsia" w:cs="Times New Roman"/>
          <w:bCs/>
          <w:color w:val="auto"/>
          <w:szCs w:val="32"/>
          <w:highlight w:val="none"/>
          <w:lang w:val="en-US" w:eastAsia="zh-CN"/>
        </w:rPr>
        <w:t>检测部位和检测数量</w:t>
      </w:r>
      <w:bookmarkEnd w:id="384"/>
      <w:bookmarkEnd w:id="385"/>
      <w:bookmarkEnd w:id="386"/>
    </w:p>
    <w:p>
      <w:pP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bidi="ar"/>
        </w:rPr>
        <w:t xml:space="preserve">4.2.1  </w:t>
      </w:r>
      <w:r>
        <w:rPr>
          <w:rFonts w:hint="eastAsia" w:ascii="宋体" w:hAnsi="宋体" w:eastAsia="宋体" w:cs="宋体"/>
          <w:b w:val="0"/>
          <w:bCs w:val="0"/>
          <w:color w:val="auto"/>
          <w:kern w:val="2"/>
          <w:sz w:val="21"/>
          <w:szCs w:val="21"/>
          <w:highlight w:val="none"/>
          <w:lang w:val="en-US" w:eastAsia="zh-CN" w:bidi="ar"/>
        </w:rPr>
        <w:t>建筑工程中可能有多个场所有接地电阻值要求。如：变配电房、</w:t>
      </w:r>
      <w:r>
        <w:rPr>
          <w:rFonts w:hint="eastAsia" w:ascii="宋体" w:hAnsi="宋体" w:eastAsia="宋体" w:cs="宋体"/>
          <w:color w:val="auto"/>
          <w:sz w:val="21"/>
          <w:szCs w:val="21"/>
          <w:highlight w:val="none"/>
          <w:lang w:val="en-US" w:eastAsia="zh-CN"/>
        </w:rPr>
        <w:t>电子信息系统机房、消防控制室等。</w:t>
      </w:r>
    </w:p>
    <w:p>
      <w:pPr>
        <w:pStyle w:val="40"/>
        <w:rPr>
          <w:rFonts w:hint="eastAsia" w:cs="Times New Roman"/>
          <w:bCs/>
          <w:color w:val="auto"/>
          <w:szCs w:val="32"/>
          <w:highlight w:val="none"/>
          <w:lang w:val="en-US" w:eastAsia="zh-CN"/>
        </w:rPr>
      </w:pPr>
      <w:bookmarkStart w:id="387" w:name="_Toc25093"/>
      <w:bookmarkStart w:id="388" w:name="_Toc21669"/>
      <w:bookmarkStart w:id="389" w:name="_Toc23536"/>
      <w:r>
        <w:rPr>
          <w:rFonts w:hint="eastAsia" w:cs="Times New Roman"/>
          <w:bCs/>
          <w:color w:val="auto"/>
          <w:szCs w:val="32"/>
          <w:highlight w:val="none"/>
          <w:lang w:val="en-US" w:eastAsia="zh-CN"/>
        </w:rPr>
        <w:t>4.3检测方法</w:t>
      </w:r>
      <w:bookmarkEnd w:id="387"/>
      <w:bookmarkEnd w:id="388"/>
      <w:bookmarkEnd w:id="389"/>
    </w:p>
    <w:p>
      <w:pP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bidi="ar"/>
        </w:rPr>
        <w:t xml:space="preserve">4.3.1  </w:t>
      </w:r>
      <w:r>
        <w:rPr>
          <w:rFonts w:hint="eastAsia" w:ascii="宋体" w:hAnsi="宋体" w:eastAsia="宋体" w:cs="宋体"/>
          <w:color w:val="auto"/>
          <w:sz w:val="21"/>
          <w:szCs w:val="21"/>
          <w:highlight w:val="none"/>
          <w:lang w:val="en-US" w:eastAsia="zh-CN"/>
        </w:rPr>
        <w:t>接地电阻检测常用的检测方法是三极法。根据布线方式，三极法又可分为直线法和夹角法。《接地装置特性参数测量导则》DL/T 475对夹角法检测接地电阻进行了描述。</w:t>
      </w:r>
    </w:p>
    <w:p>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接地极G＇和电流极C之间的距离大于40m时，电位极P的位置可插在G＇、C连线中间附近，其距离误差允许范围为10m，此时仅考虑仪表的灵敏度。当G＇和C之间的距离小于40m时，则应将电位极P插于G＇与C的中间位置。</w:t>
      </w:r>
    </w:p>
    <w:p>
      <w:pPr>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4.3.6</w:t>
      </w:r>
      <w:r>
        <w:rPr>
          <w:rFonts w:hint="eastAsia" w:ascii="宋体" w:hAnsi="宋体" w:eastAsia="宋体" w:cs="宋体"/>
          <w:color w:val="auto"/>
          <w:sz w:val="21"/>
          <w:szCs w:val="21"/>
          <w:highlight w:val="none"/>
          <w:lang w:val="en-US" w:eastAsia="zh-CN"/>
        </w:rPr>
        <w:t xml:space="preserve">  接地电阻检测影响因素很多，这也是同一地点不同时间接地电阻检测结果不一致的原因。</w:t>
      </w:r>
    </w:p>
    <w:p>
      <w:pPr>
        <w:ind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1  </w:t>
      </w:r>
      <w:r>
        <w:rPr>
          <w:rFonts w:hint="default" w:ascii="宋体" w:hAnsi="宋体" w:eastAsia="宋体" w:cs="宋体"/>
          <w:color w:val="auto"/>
          <w:sz w:val="21"/>
          <w:szCs w:val="21"/>
          <w:highlight w:val="none"/>
          <w:lang w:val="en-US" w:eastAsia="zh-CN"/>
        </w:rPr>
        <w:t>从理论上讲，</w:t>
      </w:r>
      <w:r>
        <w:rPr>
          <w:rFonts w:hint="eastAsia" w:ascii="宋体" w:hAnsi="宋体" w:eastAsia="宋体" w:cs="宋体"/>
          <w:color w:val="auto"/>
          <w:sz w:val="21"/>
          <w:szCs w:val="21"/>
          <w:highlight w:val="none"/>
          <w:lang w:val="en-US" w:eastAsia="zh-CN"/>
        </w:rPr>
        <w:t>掌握</w:t>
      </w:r>
      <w:r>
        <w:rPr>
          <w:rFonts w:hint="default" w:ascii="宋体" w:hAnsi="宋体" w:eastAsia="宋体" w:cs="宋体"/>
          <w:color w:val="auto"/>
          <w:sz w:val="21"/>
          <w:szCs w:val="21"/>
          <w:highlight w:val="none"/>
          <w:lang w:val="en-US" w:eastAsia="zh-CN"/>
        </w:rPr>
        <w:t>土壤结构是准确测量接地电阻的前提</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地网周围土壤构成不一致，结构不紧密，干湿程度不同，</w:t>
      </w:r>
      <w:r>
        <w:rPr>
          <w:rFonts w:hint="eastAsia" w:ascii="宋体" w:hAnsi="宋体" w:eastAsia="宋体" w:cs="宋体"/>
          <w:color w:val="auto"/>
          <w:sz w:val="21"/>
          <w:szCs w:val="21"/>
          <w:highlight w:val="none"/>
          <w:lang w:val="en-US" w:eastAsia="zh-CN"/>
        </w:rPr>
        <w:t>土壤电阻率</w:t>
      </w:r>
      <w:r>
        <w:rPr>
          <w:rFonts w:hint="default" w:ascii="宋体" w:hAnsi="宋体" w:eastAsia="宋体" w:cs="宋体"/>
          <w:color w:val="auto"/>
          <w:sz w:val="21"/>
          <w:szCs w:val="21"/>
          <w:highlight w:val="none"/>
          <w:lang w:val="en-US" w:eastAsia="zh-CN"/>
        </w:rPr>
        <w:t>具有分散性。地表面有杂散电流，架空</w:t>
      </w:r>
      <w:r>
        <w:rPr>
          <w:rFonts w:hint="eastAsia" w:ascii="宋体" w:hAnsi="宋体" w:eastAsia="宋体" w:cs="宋体"/>
          <w:color w:val="auto"/>
          <w:sz w:val="21"/>
          <w:szCs w:val="21"/>
          <w:highlight w:val="none"/>
          <w:lang w:val="en-US" w:eastAsia="zh-CN"/>
        </w:rPr>
        <w:t>电</w:t>
      </w:r>
      <w:r>
        <w:rPr>
          <w:rFonts w:hint="default" w:ascii="宋体" w:hAnsi="宋体" w:eastAsia="宋体" w:cs="宋体"/>
          <w:color w:val="auto"/>
          <w:sz w:val="21"/>
          <w:szCs w:val="21"/>
          <w:highlight w:val="none"/>
          <w:lang w:val="en-US" w:eastAsia="zh-CN"/>
        </w:rPr>
        <w:t>线、地下水管、电缆外皮等对测试影响特别大。解决的方法是取不同的点进行测试，取平均值</w:t>
      </w:r>
      <w:r>
        <w:rPr>
          <w:rFonts w:hint="eastAsia" w:ascii="宋体" w:hAnsi="宋体" w:eastAsia="宋体" w:cs="宋体"/>
          <w:color w:val="auto"/>
          <w:sz w:val="21"/>
          <w:szCs w:val="21"/>
          <w:highlight w:val="none"/>
          <w:lang w:val="en-US" w:eastAsia="zh-CN"/>
        </w:rPr>
        <w:t>。</w:t>
      </w:r>
    </w:p>
    <w:p>
      <w:pPr>
        <w:ind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 xml:space="preserve">  应按照标准要求布设地极，保证地极的距离足够长。当使用接地电阻仪检测接地电阻时，应按仪器说明书要求操作。</w:t>
      </w:r>
    </w:p>
    <w:p>
      <w:pPr>
        <w:ind w:firstLine="422"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 xml:space="preserve">  刚下过雨后，土壤湿度较大，会影响测量结果的准确性。</w:t>
      </w:r>
    </w:p>
    <w:p>
      <w:pP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br w:type="page"/>
      </w:r>
    </w:p>
    <w:p>
      <w:pPr>
        <w:pStyle w:val="37"/>
        <w:spacing w:line="276" w:lineRule="auto"/>
        <w:rPr>
          <w:rFonts w:eastAsia="宋体" w:cs="Times New Roman"/>
          <w:bCs/>
          <w:color w:val="auto"/>
          <w:szCs w:val="44"/>
          <w:highlight w:val="none"/>
        </w:rPr>
      </w:pPr>
      <w:bookmarkStart w:id="390" w:name="_Toc23573"/>
      <w:bookmarkStart w:id="391" w:name="_Toc14807"/>
      <w:bookmarkStart w:id="392" w:name="_Toc21693"/>
      <w:r>
        <w:rPr>
          <w:rFonts w:hint="eastAsia" w:eastAsia="宋体" w:cs="Times New Roman"/>
          <w:bCs/>
          <w:color w:val="auto"/>
          <w:szCs w:val="44"/>
          <w:highlight w:val="none"/>
        </w:rPr>
        <w:t>5</w:t>
      </w:r>
      <w:r>
        <w:rPr>
          <w:rFonts w:eastAsia="宋体" w:cs="Times New Roman"/>
          <w:bCs/>
          <w:color w:val="auto"/>
          <w:szCs w:val="44"/>
          <w:highlight w:val="none"/>
        </w:rPr>
        <w:t xml:space="preserve"> </w:t>
      </w:r>
      <w:r>
        <w:rPr>
          <w:rFonts w:hint="eastAsia" w:eastAsia="宋体" w:cs="Times New Roman"/>
          <w:bCs/>
          <w:color w:val="auto"/>
          <w:szCs w:val="44"/>
          <w:highlight w:val="none"/>
        </w:rPr>
        <w:t xml:space="preserve"> </w:t>
      </w:r>
      <w:r>
        <w:rPr>
          <w:rFonts w:hint="eastAsia" w:eastAsia="宋体" w:cs="Times New Roman"/>
          <w:bCs/>
          <w:color w:val="auto"/>
          <w:szCs w:val="44"/>
          <w:highlight w:val="none"/>
          <w:lang w:val="en-US" w:eastAsia="zh-CN"/>
        </w:rPr>
        <w:t xml:space="preserve"> </w:t>
      </w:r>
      <w:r>
        <w:rPr>
          <w:rFonts w:hint="eastAsia" w:eastAsia="宋体" w:cs="Times New Roman"/>
          <w:bCs/>
          <w:color w:val="auto"/>
          <w:szCs w:val="44"/>
          <w:highlight w:val="none"/>
        </w:rPr>
        <w:t>过渡电阻检测</w:t>
      </w:r>
      <w:bookmarkEnd w:id="390"/>
      <w:bookmarkEnd w:id="391"/>
      <w:bookmarkEnd w:id="392"/>
    </w:p>
    <w:p>
      <w:pPr>
        <w:ind w:firstLine="420" w:firstLineChars="200"/>
        <w:rPr>
          <w:rFonts w:hint="default"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本章内容主要引用了《建筑物雷电防护装置检测技术规范》GB/T 21431的相关规定，同时综合</w:t>
      </w:r>
      <w:r>
        <w:rPr>
          <w:rFonts w:hint="eastAsia" w:ascii="宋体" w:hAnsi="宋体" w:eastAsia="宋体" w:cs="宋体"/>
          <w:color w:val="auto"/>
          <w:sz w:val="21"/>
          <w:szCs w:val="21"/>
          <w:highlight w:val="none"/>
          <w:lang w:val="en-US" w:eastAsia="zh-CN"/>
        </w:rPr>
        <w:t>《建筑电气工程施工质量验收规范》GB 50303等标准要求。本章过渡电阻包含了接触电阻、跨接电阻和等电位联结的电阻。</w:t>
      </w:r>
    </w:p>
    <w:p>
      <w:pPr>
        <w:pStyle w:val="40"/>
        <w:rPr>
          <w:rFonts w:hint="default" w:cs="Times New Roman"/>
          <w:bCs/>
          <w:color w:val="auto"/>
          <w:szCs w:val="32"/>
          <w:highlight w:val="none"/>
          <w:lang w:val="en-US" w:eastAsia="zh-CN"/>
        </w:rPr>
      </w:pPr>
      <w:bookmarkStart w:id="393" w:name="_Toc31207"/>
      <w:bookmarkStart w:id="394" w:name="_Toc9663"/>
      <w:bookmarkStart w:id="395" w:name="_Toc12529"/>
      <w:r>
        <w:rPr>
          <w:rFonts w:hint="eastAsia" w:cs="Times New Roman"/>
          <w:bCs/>
          <w:color w:val="auto"/>
          <w:szCs w:val="32"/>
          <w:highlight w:val="none"/>
        </w:rPr>
        <w:t>5</w:t>
      </w:r>
      <w:r>
        <w:rPr>
          <w:rFonts w:cs="Times New Roman"/>
          <w:bCs/>
          <w:color w:val="auto"/>
          <w:szCs w:val="32"/>
          <w:highlight w:val="none"/>
        </w:rPr>
        <w:t xml:space="preserve">.1 </w:t>
      </w:r>
      <w:r>
        <w:rPr>
          <w:rFonts w:hint="eastAsia" w:cs="Times New Roman"/>
          <w:bCs/>
          <w:color w:val="auto"/>
          <w:szCs w:val="32"/>
          <w:highlight w:val="none"/>
          <w:lang w:val="en-US" w:eastAsia="zh-CN"/>
        </w:rPr>
        <w:t xml:space="preserve">  一般规定</w:t>
      </w:r>
      <w:bookmarkEnd w:id="393"/>
      <w:bookmarkEnd w:id="394"/>
      <w:bookmarkEnd w:id="395"/>
    </w:p>
    <w:p>
      <w:pP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bidi="ar"/>
        </w:rPr>
        <w:t xml:space="preserve">5.1.1  </w:t>
      </w:r>
      <w:r>
        <w:rPr>
          <w:rFonts w:hint="eastAsia" w:ascii="宋体" w:hAnsi="宋体" w:eastAsia="宋体" w:cs="宋体"/>
          <w:color w:val="auto"/>
          <w:sz w:val="21"/>
          <w:szCs w:val="21"/>
          <w:highlight w:val="none"/>
          <w:lang w:val="en-US" w:eastAsia="zh-CN"/>
        </w:rPr>
        <w:t>测量过渡电阻时，线阻同时被测量。过渡电阻值很小，往往比线阻更小或者与线阻接近，因此检测过渡电阻时要扣除线阻。</w:t>
      </w:r>
    </w:p>
    <w:p>
      <w:pP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bidi="ar"/>
        </w:rPr>
        <w:t xml:space="preserve">5.1.2  </w:t>
      </w:r>
      <w:r>
        <w:rPr>
          <w:rFonts w:hint="eastAsia" w:ascii="宋体" w:hAnsi="宋体" w:eastAsia="宋体" w:cs="宋体"/>
          <w:color w:val="auto"/>
          <w:sz w:val="21"/>
          <w:szCs w:val="21"/>
          <w:highlight w:val="none"/>
          <w:lang w:val="en-US" w:eastAsia="zh-CN"/>
        </w:rPr>
        <w:t>等电位测试仪可能出现因被测物上的锈蚀或其他绝缘层较厚而使两个线夹间未形成回路不显示测量值的现象，应去除锈蚀或绝缘保护物再进行测量。如果仍然不能显示测量值，则说明被测物与所选基准点之间有开路（未有效连接）的地方，不能形成测试回路。通常测量十几个点后应进行一次线阻校验。</w:t>
      </w:r>
    </w:p>
    <w:p>
      <w:pPr>
        <w:pStyle w:val="40"/>
        <w:rPr>
          <w:rFonts w:hint="default" w:cs="Times New Roman"/>
          <w:bCs/>
          <w:color w:val="auto"/>
          <w:szCs w:val="32"/>
          <w:highlight w:val="none"/>
          <w:lang w:val="en-US" w:eastAsia="zh-CN"/>
        </w:rPr>
      </w:pPr>
      <w:bookmarkStart w:id="396" w:name="_Toc29859"/>
      <w:bookmarkStart w:id="397" w:name="_Toc26479"/>
      <w:r>
        <w:rPr>
          <w:rFonts w:hint="eastAsia" w:cs="Times New Roman"/>
          <w:bCs/>
          <w:color w:val="auto"/>
          <w:szCs w:val="32"/>
          <w:highlight w:val="none"/>
        </w:rPr>
        <w:t>5</w:t>
      </w:r>
      <w:r>
        <w:rPr>
          <w:rFonts w:cs="Times New Roman"/>
          <w:bCs/>
          <w:color w:val="auto"/>
          <w:szCs w:val="32"/>
          <w:highlight w:val="none"/>
        </w:rPr>
        <w:t>.</w:t>
      </w:r>
      <w:r>
        <w:rPr>
          <w:rFonts w:hint="eastAsia" w:cs="Times New Roman"/>
          <w:bCs/>
          <w:color w:val="auto"/>
          <w:szCs w:val="32"/>
          <w:highlight w:val="none"/>
          <w:lang w:val="en-US" w:eastAsia="zh-CN"/>
        </w:rPr>
        <w:t>2</w:t>
      </w:r>
      <w:r>
        <w:rPr>
          <w:rFonts w:cs="Times New Roman"/>
          <w:bCs/>
          <w:color w:val="auto"/>
          <w:szCs w:val="32"/>
          <w:highlight w:val="none"/>
        </w:rPr>
        <w:t xml:space="preserve"> </w:t>
      </w:r>
      <w:r>
        <w:rPr>
          <w:rFonts w:hint="eastAsia" w:cs="Times New Roman"/>
          <w:bCs/>
          <w:color w:val="auto"/>
          <w:szCs w:val="32"/>
          <w:highlight w:val="none"/>
          <w:lang w:val="en-US" w:eastAsia="zh-CN"/>
        </w:rPr>
        <w:t xml:space="preserve">  一般规定</w:t>
      </w:r>
      <w:bookmarkEnd w:id="396"/>
      <w:bookmarkEnd w:id="397"/>
    </w:p>
    <w:p>
      <w:pPr>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5.2.2</w:t>
      </w:r>
      <w:r>
        <w:rPr>
          <w:rFonts w:hint="eastAsia" w:ascii="宋体" w:hAnsi="宋体" w:eastAsia="宋体" w:cs="宋体"/>
          <w:color w:val="auto"/>
          <w:sz w:val="21"/>
          <w:szCs w:val="21"/>
          <w:highlight w:val="none"/>
          <w:lang w:val="en-US" w:eastAsia="zh-CN"/>
        </w:rPr>
        <w:t xml:space="preserve">  第1条和第2条所列建筑物是火炸药及其制品的制造、使用和贮存建筑物以及具有爆炸危险场所的建筑物。    </w:t>
      </w:r>
    </w:p>
    <w:p>
      <w:pPr>
        <w:pStyle w:val="40"/>
        <w:rPr>
          <w:rFonts w:hint="eastAsia" w:cs="Times New Roman"/>
          <w:bCs/>
          <w:color w:val="auto"/>
          <w:szCs w:val="32"/>
          <w:highlight w:val="none"/>
          <w:lang w:val="en-US" w:eastAsia="zh-CN"/>
        </w:rPr>
      </w:pPr>
      <w:bookmarkStart w:id="398" w:name="_Toc15111"/>
      <w:bookmarkStart w:id="399" w:name="_Toc27156"/>
      <w:bookmarkStart w:id="400" w:name="_Toc19324"/>
      <w:r>
        <w:rPr>
          <w:rFonts w:hint="eastAsia" w:cs="Times New Roman"/>
          <w:bCs/>
          <w:color w:val="auto"/>
          <w:szCs w:val="32"/>
          <w:highlight w:val="none"/>
          <w:lang w:val="en-US" w:eastAsia="zh-CN"/>
        </w:rPr>
        <w:t>5.3    检测方法</w:t>
      </w:r>
      <w:bookmarkEnd w:id="398"/>
      <w:bookmarkEnd w:id="399"/>
      <w:bookmarkEnd w:id="400"/>
    </w:p>
    <w:p>
      <w:pP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bidi="ar"/>
        </w:rPr>
        <w:t xml:space="preserve">5.3.1  </w:t>
      </w:r>
      <w:r>
        <w:rPr>
          <w:rFonts w:hint="eastAsia" w:ascii="宋体" w:hAnsi="宋体" w:eastAsia="宋体" w:cs="宋体"/>
          <w:color w:val="auto"/>
          <w:sz w:val="21"/>
          <w:szCs w:val="21"/>
          <w:highlight w:val="none"/>
          <w:lang w:val="en-US" w:eastAsia="zh-CN"/>
        </w:rPr>
        <w:t>过渡电阻测试设备有毫欧表、等电位测试仪等。</w:t>
      </w:r>
    </w:p>
    <w:p>
      <w:pPr>
        <w:pStyle w:val="40"/>
        <w:rPr>
          <w:rFonts w:hint="eastAsia" w:cs="Times New Roman"/>
          <w:bCs/>
          <w:color w:val="auto"/>
          <w:szCs w:val="32"/>
          <w:highlight w:val="none"/>
          <w:lang w:val="en-US" w:eastAsia="zh-CN"/>
        </w:rPr>
      </w:pPr>
      <w:bookmarkStart w:id="401" w:name="_Toc10775"/>
      <w:bookmarkStart w:id="402" w:name="_Toc27270"/>
      <w:bookmarkStart w:id="403" w:name="_Toc6520"/>
      <w:r>
        <w:rPr>
          <w:rFonts w:hint="eastAsia" w:cs="Times New Roman"/>
          <w:bCs/>
          <w:color w:val="auto"/>
          <w:szCs w:val="32"/>
          <w:highlight w:val="none"/>
          <w:lang w:val="en-US" w:eastAsia="zh-CN"/>
        </w:rPr>
        <w:t>5.4  检测结果</w:t>
      </w:r>
      <w:r>
        <w:rPr>
          <w:rFonts w:hint="eastAsia" w:ascii="宋体" w:hAnsi="宋体" w:eastAsia="宋体" w:cs="宋体"/>
          <w:color w:val="auto"/>
          <w:sz w:val="21"/>
          <w:szCs w:val="21"/>
          <w:highlight w:val="none"/>
          <w:lang w:val="en-US" w:eastAsia="zh-CN"/>
        </w:rPr>
        <w:t>的评价</w:t>
      </w:r>
      <w:bookmarkEnd w:id="401"/>
      <w:bookmarkEnd w:id="402"/>
      <w:bookmarkEnd w:id="403"/>
    </w:p>
    <w:p>
      <w:pPr>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bidi="ar"/>
        </w:rPr>
        <w:t xml:space="preserve">5.4.1  </w:t>
      </w:r>
      <w:r>
        <w:rPr>
          <w:rFonts w:hint="eastAsia" w:ascii="宋体" w:hAnsi="宋体" w:eastAsia="宋体" w:cs="宋体"/>
          <w:color w:val="auto"/>
          <w:sz w:val="21"/>
          <w:szCs w:val="21"/>
          <w:highlight w:val="none"/>
          <w:lang w:val="en-US" w:eastAsia="zh-CN"/>
        </w:rPr>
        <w:t>过渡电阻值均引自《建筑物雷电防护装置检测技术规范》GB/T 21431-2023，0.03Ω和1Ω分别引自《建筑物雷电防护装置检测技术规范》GB/T 21431-2023第5.5.5.1.1a条和第5.5.3.9.1条。</w:t>
      </w:r>
    </w:p>
    <w:p>
      <w:pPr>
        <w:rPr>
          <w:rFonts w:hint="eastAsia" w:ascii="宋体" w:hAnsi="宋体" w:eastAsia="宋体" w:cs="宋体"/>
          <w:color w:val="auto"/>
          <w:sz w:val="21"/>
          <w:szCs w:val="21"/>
          <w:highlight w:val="none"/>
          <w:lang w:val="en-US" w:eastAsia="zh-CN"/>
        </w:rPr>
      </w:pPr>
    </w:p>
    <w:p>
      <w:pPr>
        <w:rPr>
          <w:rFonts w:hint="default" w:ascii="宋体" w:hAnsi="宋体" w:eastAsia="宋体" w:cs="宋体"/>
          <w:color w:val="auto"/>
          <w:sz w:val="21"/>
          <w:szCs w:val="21"/>
          <w:highlight w:val="none"/>
          <w:lang w:val="en-US" w:eastAsia="zh-CN"/>
        </w:rPr>
      </w:pPr>
    </w:p>
    <w:p>
      <w:pP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br w:type="page"/>
      </w:r>
    </w:p>
    <w:p>
      <w:pPr>
        <w:pStyle w:val="37"/>
        <w:spacing w:line="276" w:lineRule="auto"/>
        <w:rPr>
          <w:rFonts w:eastAsia="宋体" w:cs="Times New Roman"/>
          <w:bCs/>
          <w:color w:val="auto"/>
          <w:szCs w:val="44"/>
          <w:highlight w:val="none"/>
        </w:rPr>
      </w:pPr>
      <w:bookmarkStart w:id="404" w:name="_Toc10305"/>
      <w:bookmarkStart w:id="405" w:name="_Toc8374"/>
      <w:bookmarkStart w:id="406" w:name="_Toc14916"/>
      <w:r>
        <w:rPr>
          <w:rFonts w:eastAsia="宋体" w:cs="Times New Roman"/>
          <w:bCs/>
          <w:color w:val="auto"/>
          <w:szCs w:val="44"/>
          <w:highlight w:val="none"/>
        </w:rPr>
        <w:t>6</w:t>
      </w:r>
      <w:r>
        <w:rPr>
          <w:rFonts w:hint="eastAsia" w:eastAsia="宋体" w:cs="Times New Roman"/>
          <w:bCs/>
          <w:color w:val="auto"/>
          <w:szCs w:val="44"/>
          <w:highlight w:val="none"/>
          <w:lang w:val="en-US" w:eastAsia="zh-CN"/>
        </w:rPr>
        <w:t xml:space="preserve">    </w:t>
      </w:r>
      <w:r>
        <w:rPr>
          <w:rFonts w:hint="eastAsia" w:eastAsia="宋体" w:cs="Times New Roman"/>
          <w:bCs/>
          <w:color w:val="auto"/>
          <w:szCs w:val="44"/>
          <w:highlight w:val="none"/>
        </w:rPr>
        <w:t>绝缘电阻检测</w:t>
      </w:r>
      <w:bookmarkEnd w:id="404"/>
      <w:bookmarkEnd w:id="405"/>
      <w:bookmarkEnd w:id="406"/>
    </w:p>
    <w:p>
      <w:pPr>
        <w:rPr>
          <w:rFonts w:hint="default" w:cs="Times New Roman"/>
          <w:bCs/>
          <w:color w:val="auto"/>
          <w:szCs w:val="32"/>
          <w:highlight w:val="none"/>
          <w:lang w:val="en-US" w:eastAsia="zh-CN"/>
        </w:rPr>
      </w:pPr>
      <w:r>
        <w:rPr>
          <w:rFonts w:hint="eastAsia" w:cs="Times New Roman"/>
          <w:bCs/>
          <w:color w:val="auto"/>
          <w:szCs w:val="32"/>
          <w:highlight w:val="none"/>
          <w:lang w:val="en-US" w:eastAsia="zh-CN"/>
        </w:rPr>
        <w:t xml:space="preserve">        设备和电气线路的绝缘是预防电气安全事故的重要保障，绝缘电阻是反应绝缘状态的重要指标。绝缘电阻检测方便实施、破坏性小，因此是常用于电气施工、维护、维修等过程中检查绝缘状态的重要方法。</w:t>
      </w:r>
    </w:p>
    <w:p>
      <w:pPr>
        <w:pStyle w:val="40"/>
        <w:rPr>
          <w:rFonts w:hint="default" w:cs="Times New Roman"/>
          <w:bCs/>
          <w:color w:val="auto"/>
          <w:szCs w:val="32"/>
          <w:highlight w:val="none"/>
          <w:lang w:val="en-US" w:eastAsia="zh-CN"/>
        </w:rPr>
      </w:pPr>
      <w:bookmarkStart w:id="407" w:name="_Toc29552"/>
      <w:bookmarkStart w:id="408" w:name="_Toc2574"/>
      <w:bookmarkStart w:id="409" w:name="_Toc7226"/>
      <w:r>
        <w:rPr>
          <w:rFonts w:hint="eastAsia" w:cs="Times New Roman"/>
          <w:bCs/>
          <w:color w:val="auto"/>
          <w:szCs w:val="32"/>
          <w:highlight w:val="none"/>
          <w:lang w:val="en-US" w:eastAsia="zh-CN"/>
        </w:rPr>
        <w:t>6</w:t>
      </w:r>
      <w:r>
        <w:rPr>
          <w:rFonts w:cs="Times New Roman"/>
          <w:bCs/>
          <w:color w:val="auto"/>
          <w:szCs w:val="32"/>
          <w:highlight w:val="none"/>
        </w:rPr>
        <w:t>.1</w:t>
      </w:r>
      <w:r>
        <w:rPr>
          <w:rFonts w:hint="eastAsia" w:cs="Times New Roman"/>
          <w:bCs/>
          <w:color w:val="auto"/>
          <w:szCs w:val="32"/>
          <w:highlight w:val="none"/>
          <w:lang w:val="en-US" w:eastAsia="zh-CN"/>
        </w:rPr>
        <w:t xml:space="preserve"> </w:t>
      </w:r>
      <w:r>
        <w:rPr>
          <w:rFonts w:cs="Times New Roman"/>
          <w:bCs/>
          <w:color w:val="auto"/>
          <w:szCs w:val="32"/>
          <w:highlight w:val="none"/>
        </w:rPr>
        <w:t xml:space="preserve"> </w:t>
      </w:r>
      <w:r>
        <w:rPr>
          <w:rFonts w:hint="eastAsia" w:cs="Times New Roman"/>
          <w:bCs/>
          <w:color w:val="auto"/>
          <w:szCs w:val="32"/>
          <w:highlight w:val="none"/>
          <w:lang w:val="en-US" w:eastAsia="zh-CN"/>
        </w:rPr>
        <w:t>一般规定</w:t>
      </w:r>
      <w:bookmarkEnd w:id="407"/>
      <w:bookmarkEnd w:id="408"/>
      <w:bookmarkEnd w:id="409"/>
    </w:p>
    <w:p>
      <w:pP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bidi="ar"/>
        </w:rPr>
        <w:t xml:space="preserve">6.1.1  </w:t>
      </w:r>
      <w:r>
        <w:rPr>
          <w:rFonts w:hint="eastAsia" w:ascii="宋体" w:hAnsi="宋体" w:eastAsia="宋体" w:cs="宋体"/>
          <w:color w:val="auto"/>
          <w:sz w:val="21"/>
          <w:szCs w:val="21"/>
          <w:highlight w:val="none"/>
          <w:lang w:val="en-US" w:eastAsia="zh-CN"/>
        </w:rPr>
        <w:t>检测前（一般应在实验室或办公室时），应检查设备是否校准有效，是否能正常运行。检查绝缘电阻检测仪器是否正常运行的方法是：开路状态测试一次（绝缘电阻检测仪器两接线夹分开），绝缘电阻检测仪器应显示检测结果为“∞”；短路状态测试一次（绝缘电阻检测仪器两接线夹短接），绝缘电阻检测仪器应显示检测结果为“0”。否则应按照仪器操作说明书调整仪器，若为绝缘电阻检测仪器故障，则应排除故障后再测试。</w:t>
      </w:r>
    </w:p>
    <w:p>
      <w:pPr>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bidi="ar"/>
        </w:rPr>
        <w:t xml:space="preserve">6.1.2  </w:t>
      </w:r>
      <w:r>
        <w:rPr>
          <w:rFonts w:hint="eastAsia" w:ascii="宋体" w:hAnsi="宋体" w:eastAsia="宋体" w:cs="宋体"/>
          <w:color w:val="auto"/>
          <w:sz w:val="21"/>
          <w:szCs w:val="21"/>
          <w:highlight w:val="none"/>
          <w:lang w:val="en-US" w:eastAsia="zh-CN"/>
        </w:rPr>
        <w:t>检测对象包括电气设备和电气线路。</w:t>
      </w:r>
    </w:p>
    <w:p>
      <w:pPr>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bidi="ar"/>
        </w:rPr>
        <w:t xml:space="preserve">6.1.4  </w:t>
      </w:r>
      <w:r>
        <w:rPr>
          <w:rFonts w:hint="eastAsia" w:ascii="宋体" w:hAnsi="宋体" w:eastAsia="宋体" w:cs="宋体"/>
          <w:color w:val="auto"/>
          <w:sz w:val="21"/>
          <w:szCs w:val="21"/>
          <w:highlight w:val="none"/>
          <w:lang w:val="en-US" w:eastAsia="zh-CN"/>
        </w:rPr>
        <w:t>绝缘电阻检测时，被测设备的温度将影响绝缘电阻值，温度越高，绝缘电阻越小。被测对象表面被污染或者潮湿，都将使泄露电流增大，从而使绝缘电阻减小。这三个影响因素都不是设备或者线路本身的问题，因此检测过程中应排除这些因素对检测结果的影响。</w:t>
      </w:r>
    </w:p>
    <w:p>
      <w:pP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bidi="ar"/>
        </w:rPr>
        <w:t xml:space="preserve">6.1.5  </w:t>
      </w:r>
      <w:r>
        <w:rPr>
          <w:rFonts w:hint="eastAsia" w:ascii="宋体" w:hAnsi="宋体" w:eastAsia="宋体" w:cs="宋体"/>
          <w:color w:val="auto"/>
          <w:sz w:val="21"/>
          <w:szCs w:val="21"/>
          <w:highlight w:val="none"/>
          <w:lang w:val="en-US" w:eastAsia="zh-CN"/>
        </w:rPr>
        <w:t>被测部位两端可能连接有断路器、控制回路和监测设备等，为了防止检测所用电压损坏设备、连接被测部位的电容元件等影响检测结果，检测绝缘电阻前应断开与被测部位连接的所有负载和控制回路、监测设备等。</w:t>
      </w:r>
    </w:p>
    <w:p>
      <w:pPr>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bidi="ar"/>
        </w:rPr>
        <w:t xml:space="preserve">6.1.6  </w:t>
      </w:r>
      <w:r>
        <w:rPr>
          <w:rFonts w:hint="eastAsia" w:ascii="宋体" w:hAnsi="宋体" w:eastAsia="宋体" w:cs="宋体"/>
          <w:color w:val="auto"/>
          <w:sz w:val="21"/>
          <w:szCs w:val="21"/>
          <w:highlight w:val="none"/>
          <w:lang w:val="en-US" w:eastAsia="zh-CN"/>
        </w:rPr>
        <w:t>由于TN-S或者TN-C-S系统中地线和零线分别在电源处和低压电配电房总配电柜内连通（零线重复接地），在低压配电系统中都是彼此独立的，因此必须断开它们的连接才能测出绝缘电阻。</w:t>
      </w:r>
    </w:p>
    <w:p>
      <w:pP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bidi="ar"/>
        </w:rPr>
        <w:t xml:space="preserve">6.1.7  </w:t>
      </w:r>
      <w:r>
        <w:rPr>
          <w:rFonts w:hint="eastAsia" w:ascii="宋体" w:hAnsi="宋体" w:eastAsia="宋体" w:cs="宋体"/>
          <w:color w:val="auto"/>
          <w:sz w:val="21"/>
          <w:szCs w:val="21"/>
          <w:highlight w:val="none"/>
          <w:lang w:val="en-US" w:eastAsia="zh-CN"/>
        </w:rPr>
        <w:t>当外壳接地时，对壳的绝缘电阻检测也需要将绝缘电阻检测仪器的负极接外壳。</w:t>
      </w:r>
    </w:p>
    <w:p>
      <w:pPr>
        <w:pStyle w:val="40"/>
        <w:rPr>
          <w:rFonts w:hint="eastAsia" w:cs="Times New Roman"/>
          <w:bCs/>
          <w:color w:val="auto"/>
          <w:szCs w:val="32"/>
          <w:highlight w:val="none"/>
          <w:lang w:val="en-US" w:eastAsia="zh-CN"/>
        </w:rPr>
      </w:pPr>
      <w:bookmarkStart w:id="410" w:name="_Toc23679"/>
      <w:bookmarkStart w:id="411" w:name="_Toc14787"/>
      <w:bookmarkStart w:id="412" w:name="_Toc457"/>
      <w:r>
        <w:rPr>
          <w:rFonts w:hint="eastAsia" w:cs="Times New Roman"/>
          <w:bCs/>
          <w:color w:val="auto"/>
          <w:szCs w:val="32"/>
          <w:highlight w:val="none"/>
          <w:lang w:val="en-US" w:eastAsia="zh-CN"/>
        </w:rPr>
        <w:t>6.3  检测方法</w:t>
      </w:r>
      <w:bookmarkEnd w:id="410"/>
      <w:bookmarkEnd w:id="411"/>
      <w:bookmarkEnd w:id="412"/>
    </w:p>
    <w:p>
      <w:pP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 xml:space="preserve">6.3.1  </w:t>
      </w:r>
      <w:r>
        <w:rPr>
          <w:rFonts w:hint="eastAsia" w:ascii="宋体" w:hAnsi="宋体" w:eastAsia="宋体" w:cs="宋体"/>
          <w:color w:val="auto"/>
          <w:kern w:val="0"/>
          <w:sz w:val="21"/>
          <w:szCs w:val="21"/>
          <w:highlight w:val="none"/>
          <w:lang w:val="en-US" w:eastAsia="zh-CN" w:bidi="ar"/>
        </w:rPr>
        <w:t>绝缘电阻检测仪器有：兆欧表、绝缘电阻表、高阻计、接地-绝缘电阻检测仪、绝缘万用表、摇表等。绝缘电阻检测仪器按电源型式通常分为发电机型和整流电源型两大类：</w:t>
      </w:r>
    </w:p>
    <w:p>
      <w:pPr>
        <w:ind w:firstLine="422" w:firstLineChars="200"/>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 xml:space="preserve">1  </w:t>
      </w:r>
      <w:r>
        <w:rPr>
          <w:rFonts w:hint="eastAsia" w:ascii="宋体" w:hAnsi="宋体" w:eastAsia="宋体" w:cs="宋体"/>
          <w:color w:val="auto"/>
          <w:kern w:val="0"/>
          <w:sz w:val="21"/>
          <w:szCs w:val="21"/>
          <w:highlight w:val="none"/>
          <w:lang w:val="en-US" w:eastAsia="zh-CN" w:bidi="ar"/>
        </w:rPr>
        <w:t>发电机型一般为手摇（或电动）直流发电机或交流发电机经倍压整流后输出直流电压。例如：摇表。</w:t>
      </w:r>
    </w:p>
    <w:p>
      <w:pPr>
        <w:ind w:firstLine="422" w:firstLineChars="200"/>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 xml:space="preserve">  整流电源型由低压工频交流电（或电池）经整流稳压、晶体管振荡器升压和倍压整流后输出直流电压。</w:t>
      </w:r>
    </w:p>
    <w:p>
      <w:pP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绝缘电阻检测仪的电压通常有100V、250V、500V、1000V、2500V、5000V、10kV等多种，也有可连续改变输出电压的绝缘电阻检测仪。测试设备输出的电压越高，检测结果越准确，但过高的电压可能损坏设备。因此应区分不同被试设备的耐压等级以及被测对象绝缘电阻值选用合适的测试电压以及绝缘电阻检测仪。对水内冷的发电机采用专用绝缘电阻表测量绝缘电阻。</w:t>
      </w:r>
    </w:p>
    <w:p>
      <w:pP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 xml:space="preserve">6.3.2  </w:t>
      </w:r>
      <w:r>
        <w:rPr>
          <w:rFonts w:hint="eastAsia" w:ascii="宋体" w:hAnsi="宋体" w:eastAsia="宋体" w:cs="宋体"/>
          <w:color w:val="auto"/>
          <w:kern w:val="0"/>
          <w:sz w:val="21"/>
          <w:szCs w:val="21"/>
          <w:highlight w:val="none"/>
          <w:lang w:val="en-US" w:eastAsia="zh-CN" w:bidi="ar"/>
        </w:rPr>
        <w:t>绝缘电阻检测前必须验证检测对象不带电，以确保操作安全。</w:t>
      </w:r>
    </w:p>
    <w:p>
      <w:pPr>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检测回路中若连接了用电设备或者控制电路，则相当于电路导通，因此不能测得绝缘电阻。并且可能由于绝缘电阻检测施加的电压导致设备受损。</w:t>
      </w:r>
    </w:p>
    <w:p>
      <w:pPr>
        <w:ind w:firstLine="420" w:firstLineChars="20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不同设备的接线有不同要求，因此必须仔细阅读设备的操作说明书，严格按照设备操作说明进行操作。总体而言，绝缘电阻是指两个部件或线路之间的绝缘电阻，因此绝缘电阻检测仪器的两个接线端（接线夹或者测试笔）分别连接在检测对象的两个部件或者线路上。</w:t>
      </w:r>
    </w:p>
    <w:p>
      <w:pPr>
        <w:ind w:firstLine="420" w:firstLineChars="200"/>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有些绝缘电阻检测仪器有多个输出电压，检测时应选择合适的电压。如果绝缘电阻检测仪器只有一个输出电压，则应选择合适的绝缘电阻检测仪器以保证检测时提供合适的直流电压。绝缘电阻随着施加电压时间增长而发生变化，因此一般选择施加电压60s时的读数。如果绝缘电阻检测仪器有多个电阻挡位，如10</w:t>
      </w:r>
      <w:r>
        <w:rPr>
          <w:rFonts w:hint="eastAsia" w:ascii="宋体" w:hAnsi="宋体" w:eastAsia="宋体" w:cs="宋体"/>
          <w:color w:val="auto"/>
          <w:kern w:val="0"/>
          <w:sz w:val="21"/>
          <w:szCs w:val="21"/>
          <w:highlight w:val="none"/>
          <w:vertAlign w:val="superscript"/>
          <w:lang w:val="en-US" w:eastAsia="zh-CN" w:bidi="ar"/>
        </w:rPr>
        <w:t>6</w:t>
      </w:r>
      <w:r>
        <w:rPr>
          <w:rFonts w:hint="eastAsia" w:ascii="宋体" w:hAnsi="宋体" w:eastAsia="宋体" w:cs="宋体"/>
          <w:color w:val="auto"/>
          <w:kern w:val="0"/>
          <w:sz w:val="21"/>
          <w:szCs w:val="21"/>
          <w:highlight w:val="none"/>
          <w:lang w:val="en-US" w:eastAsia="zh-CN" w:bidi="ar"/>
        </w:rPr>
        <w:t>Ω、10</w:t>
      </w:r>
      <w:r>
        <w:rPr>
          <w:rFonts w:hint="eastAsia" w:ascii="宋体" w:hAnsi="宋体" w:eastAsia="宋体" w:cs="宋体"/>
          <w:color w:val="auto"/>
          <w:kern w:val="0"/>
          <w:sz w:val="21"/>
          <w:szCs w:val="21"/>
          <w:highlight w:val="none"/>
          <w:vertAlign w:val="superscript"/>
          <w:lang w:val="en-US" w:eastAsia="zh-CN" w:bidi="ar"/>
        </w:rPr>
        <w:t>7</w:t>
      </w:r>
      <w:r>
        <w:rPr>
          <w:rFonts w:hint="eastAsia" w:ascii="宋体" w:hAnsi="宋体" w:eastAsia="宋体" w:cs="宋体"/>
          <w:color w:val="auto"/>
          <w:kern w:val="0"/>
          <w:sz w:val="21"/>
          <w:szCs w:val="21"/>
          <w:highlight w:val="none"/>
          <w:lang w:val="en-US" w:eastAsia="zh-CN" w:bidi="ar"/>
        </w:rPr>
        <w:t>Ω等，从低挡位开始，根据仪器示值和说明书调节挡位。</w:t>
      </w:r>
    </w:p>
    <w:p>
      <w:pPr>
        <w:numPr>
          <w:ilvl w:val="0"/>
          <w:numId w:val="0"/>
        </w:numPr>
        <w:ind w:firstLine="420" w:firstLineChars="20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对发电机型绝缘电阻检测仪器应先断开接至检测对象高压端的连接线，然后再将绝缘电阻表停止运转。测试大容量设备时，更应注意，防止检测对象的电容在测量时所充的电荷经绝缘电阻检测仪器放电而使绝缘电阻检测仪器损坏。</w:t>
      </w:r>
    </w:p>
    <w:p>
      <w:pPr>
        <w:numPr>
          <w:ilvl w:val="0"/>
          <w:numId w:val="0"/>
        </w:num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对带保护的整流电源型绝缘电阻检测仪器可不受断开接至检测对象高压端连接线与将绝缘电阻检测仪器断开电源停止运转的顺序限制。</w:t>
      </w:r>
    </w:p>
    <w:p>
      <w:pPr>
        <w:numPr>
          <w:ilvl w:val="0"/>
          <w:numId w:val="0"/>
        </w:numPr>
        <w:ind w:firstLine="420" w:firstLineChars="20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对发电机型绝缘电阻检测仪器，当其输出电压较高，检测对象电容量较大时，断开绝缘电阻检测仪器连线后宜先经电阻将检测对象放电，待残余电荷释放一段时间后再将检测对象直接放电并接地。</w:t>
      </w:r>
    </w:p>
    <w:p>
      <w:pPr>
        <w:rPr>
          <w:rFonts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 xml:space="preserve">6.3.3  </w:t>
      </w:r>
      <w:r>
        <w:rPr>
          <w:rFonts w:hint="eastAsia" w:ascii="宋体" w:hAnsi="宋体" w:eastAsia="宋体" w:cs="宋体"/>
          <w:color w:val="auto"/>
          <w:kern w:val="0"/>
          <w:sz w:val="21"/>
          <w:szCs w:val="21"/>
          <w:highlight w:val="none"/>
          <w:lang w:val="en-US" w:eastAsia="zh-CN" w:bidi="ar"/>
        </w:rPr>
        <w:t>两相分别指：ABC三相中的A-B、B-C、A-C；相线与零线（A-N、B-N、C-N）、部分系统的零线对地线（N-E）。</w:t>
      </w:r>
    </w:p>
    <w:p>
      <w:pP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6.3.9</w:t>
      </w:r>
      <w:r>
        <w:rPr>
          <w:rFonts w:hint="eastAsia" w:ascii="宋体" w:hAnsi="宋体" w:eastAsia="宋体" w:cs="宋体"/>
          <w:color w:val="auto"/>
          <w:kern w:val="0"/>
          <w:sz w:val="21"/>
          <w:szCs w:val="21"/>
          <w:highlight w:val="none"/>
          <w:lang w:val="en-US" w:eastAsia="zh-CN" w:bidi="ar"/>
        </w:rPr>
        <w:t xml:space="preserve">   SPD连接线路包括电源线、输出线路、后备保护装置等。</w:t>
      </w:r>
    </w:p>
    <w:p>
      <w:pPr>
        <w:pStyle w:val="40"/>
        <w:rPr>
          <w:rFonts w:cs="Times New Roman"/>
          <w:bCs/>
          <w:color w:val="auto"/>
          <w:szCs w:val="32"/>
          <w:highlight w:val="none"/>
        </w:rPr>
      </w:pPr>
      <w:bookmarkStart w:id="413" w:name="_Toc25385"/>
      <w:bookmarkStart w:id="414" w:name="_Toc9595"/>
      <w:bookmarkStart w:id="415" w:name="_Toc1109"/>
      <w:r>
        <w:rPr>
          <w:rFonts w:cs="Times New Roman"/>
          <w:bCs/>
          <w:color w:val="auto"/>
          <w:szCs w:val="32"/>
          <w:highlight w:val="none"/>
        </w:rPr>
        <w:t>6.</w:t>
      </w:r>
      <w:r>
        <w:rPr>
          <w:rFonts w:hint="eastAsia" w:cs="Times New Roman"/>
          <w:bCs/>
          <w:color w:val="auto"/>
          <w:szCs w:val="32"/>
          <w:highlight w:val="none"/>
          <w:lang w:val="en-US" w:eastAsia="zh-CN"/>
        </w:rPr>
        <w:t xml:space="preserve">4  </w:t>
      </w:r>
      <w:r>
        <w:rPr>
          <w:rFonts w:hint="eastAsia" w:cs="Times New Roman"/>
          <w:bCs/>
          <w:color w:val="auto"/>
          <w:szCs w:val="32"/>
          <w:highlight w:val="none"/>
        </w:rPr>
        <w:t>检测结果</w:t>
      </w:r>
      <w:r>
        <w:rPr>
          <w:rFonts w:hint="eastAsia" w:ascii="宋体" w:hAnsi="宋体" w:eastAsia="宋体" w:cs="宋体"/>
          <w:color w:val="auto"/>
          <w:sz w:val="21"/>
          <w:szCs w:val="21"/>
          <w:highlight w:val="none"/>
          <w:lang w:val="en-US" w:eastAsia="zh-CN"/>
        </w:rPr>
        <w:t>的评价</w:t>
      </w:r>
      <w:bookmarkEnd w:id="413"/>
      <w:bookmarkEnd w:id="414"/>
      <w:bookmarkEnd w:id="415"/>
    </w:p>
    <w:p>
      <w:pP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 xml:space="preserve">6.4.1  </w:t>
      </w:r>
      <w:r>
        <w:rPr>
          <w:rFonts w:hint="eastAsia" w:ascii="宋体" w:hAnsi="宋体" w:eastAsia="宋体" w:cs="宋体"/>
          <w:color w:val="auto"/>
          <w:kern w:val="0"/>
          <w:sz w:val="21"/>
          <w:szCs w:val="21"/>
          <w:highlight w:val="none"/>
          <w:lang w:val="en-US" w:eastAsia="zh-CN" w:bidi="ar"/>
        </w:rPr>
        <w:t>每个检测部位的每个检测结果均需符合规定，不符合的，必须整改到合格。SPD绝缘电阻最小值引子《</w:t>
      </w:r>
      <w:r>
        <w:rPr>
          <w:rFonts w:hint="eastAsia" w:ascii="宋体" w:hAnsi="宋体" w:eastAsia="宋体" w:cs="宋体"/>
          <w:color w:val="auto"/>
          <w:sz w:val="21"/>
          <w:szCs w:val="21"/>
          <w:highlight w:val="none"/>
          <w:lang w:val="en-US" w:eastAsia="zh-CN"/>
        </w:rPr>
        <w:t>建筑物雷电防护装置检测技术规范</w:t>
      </w:r>
      <w:r>
        <w:rPr>
          <w:rFonts w:hint="eastAsia" w:ascii="宋体" w:hAnsi="宋体" w:eastAsia="宋体" w:cs="宋体"/>
          <w:color w:val="auto"/>
          <w:kern w:val="0"/>
          <w:sz w:val="21"/>
          <w:szCs w:val="21"/>
          <w:highlight w:val="none"/>
          <w:lang w:val="en-US" w:eastAsia="zh-CN" w:bidi="ar"/>
        </w:rPr>
        <w:t>》GB/T 21431-2023 第5.5.6.11.1条。</w:t>
      </w:r>
    </w:p>
    <w:p>
      <w:pPr>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bidi="ar"/>
        </w:rPr>
        <w:t xml:space="preserve">6.4.2  </w:t>
      </w:r>
      <w:r>
        <w:rPr>
          <w:rFonts w:hint="eastAsia" w:ascii="宋体" w:hAnsi="宋体" w:eastAsia="宋体" w:cs="宋体"/>
          <w:color w:val="auto"/>
          <w:sz w:val="21"/>
          <w:szCs w:val="21"/>
          <w:highlight w:val="none"/>
          <w:lang w:val="en-US" w:eastAsia="zh-CN"/>
        </w:rPr>
        <w:t>绝缘电阻是电气设备和电气线路最基本的绝缘指标。绝缘电阻不合格时，表示所检设备或者电气线路的绝缘层可能已经受损，从而导致漏电。漏电不仅浪费能源，更严重的后果是可能造成人体触电事故。漏电也可能引发短路故障，使设备突然停机，甚至引发火灾。因此任何一个绝缘电阻不合格都应查找原因，进行整改，直至检测合格。</w:t>
      </w:r>
    </w:p>
    <w:p>
      <w:pPr>
        <w:rPr>
          <w:rFonts w:hint="default"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 w:val="21"/>
          <w:szCs w:val="21"/>
          <w:highlight w:val="none"/>
          <w:lang w:val="en-US" w:eastAsia="zh-CN" w:bidi="ar"/>
        </w:rPr>
        <w:br w:type="page"/>
      </w:r>
    </w:p>
    <w:p>
      <w:pPr>
        <w:pStyle w:val="37"/>
        <w:spacing w:line="276" w:lineRule="auto"/>
        <w:rPr>
          <w:rFonts w:hint="eastAsia" w:eastAsia="宋体" w:cs="Times New Roman"/>
          <w:bCs/>
          <w:color w:val="auto"/>
          <w:szCs w:val="44"/>
          <w:highlight w:val="none"/>
        </w:rPr>
      </w:pPr>
      <w:bookmarkStart w:id="416" w:name="_Toc6373"/>
      <w:bookmarkStart w:id="417" w:name="_Toc8790"/>
      <w:bookmarkStart w:id="418" w:name="_Toc17228"/>
      <w:r>
        <w:rPr>
          <w:rFonts w:hint="eastAsia" w:eastAsia="宋体" w:cs="Times New Roman"/>
          <w:bCs/>
          <w:color w:val="auto"/>
          <w:szCs w:val="44"/>
          <w:highlight w:val="none"/>
        </w:rPr>
        <w:t xml:space="preserve">7 </w:t>
      </w:r>
      <w:r>
        <w:rPr>
          <w:rFonts w:hint="eastAsia" w:eastAsia="宋体" w:cs="Times New Roman"/>
          <w:bCs/>
          <w:color w:val="auto"/>
          <w:szCs w:val="44"/>
          <w:highlight w:val="none"/>
          <w:lang w:val="en-US" w:eastAsia="zh-CN"/>
        </w:rPr>
        <w:t xml:space="preserve">  </w:t>
      </w:r>
      <w:r>
        <w:rPr>
          <w:rFonts w:hint="eastAsia" w:eastAsia="宋体" w:cs="Times New Roman"/>
          <w:bCs/>
          <w:color w:val="auto"/>
          <w:szCs w:val="44"/>
          <w:highlight w:val="none"/>
        </w:rPr>
        <w:t>交流工频耐压试验</w:t>
      </w:r>
      <w:bookmarkEnd w:id="416"/>
      <w:bookmarkEnd w:id="417"/>
      <w:bookmarkEnd w:id="418"/>
    </w:p>
    <w:p>
      <w:pPr>
        <w:pStyle w:val="40"/>
        <w:rPr>
          <w:rFonts w:hint="eastAsia" w:cs="Times New Roman"/>
          <w:bCs/>
          <w:color w:val="auto"/>
          <w:szCs w:val="32"/>
          <w:highlight w:val="none"/>
          <w:lang w:val="en-US" w:eastAsia="zh-CN"/>
        </w:rPr>
      </w:pPr>
      <w:bookmarkStart w:id="419" w:name="_Toc32032"/>
      <w:bookmarkStart w:id="420" w:name="_Toc3093"/>
      <w:bookmarkStart w:id="421" w:name="_Toc3961"/>
      <w:r>
        <w:rPr>
          <w:rFonts w:hint="eastAsia" w:cs="Times New Roman"/>
          <w:bCs/>
          <w:color w:val="auto"/>
          <w:szCs w:val="32"/>
          <w:highlight w:val="none"/>
          <w:lang w:val="en-US" w:eastAsia="zh-CN"/>
        </w:rPr>
        <w:t>7.1    一般规定</w:t>
      </w:r>
      <w:bookmarkEnd w:id="419"/>
      <w:bookmarkEnd w:id="420"/>
      <w:bookmarkEnd w:id="421"/>
    </w:p>
    <w:p>
      <w:pP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7.1.1</w:t>
      </w:r>
      <w:r>
        <w:rPr>
          <w:rFonts w:hint="eastAsia"/>
          <w:b/>
          <w:color w:val="auto"/>
          <w:highlight w:val="none"/>
          <w:lang w:val="en-US" w:eastAsia="zh-CN"/>
        </w:rPr>
        <w:t xml:space="preserve">   </w:t>
      </w:r>
      <w:r>
        <w:rPr>
          <w:rFonts w:hint="eastAsia" w:ascii="宋体" w:hAnsi="宋体" w:eastAsia="宋体" w:cs="宋体"/>
          <w:color w:val="auto"/>
          <w:sz w:val="21"/>
          <w:szCs w:val="21"/>
          <w:highlight w:val="none"/>
          <w:lang w:val="en-US" w:eastAsia="zh-CN"/>
        </w:rPr>
        <w:t>有时耐压试验进行了数十秒种，中途因故失去电源，使试验中断，在查明原因，恢复电源后，应重新进行全时间的持续耐压试验，不可仅进行“补足时间”的试验。</w:t>
      </w:r>
    </w:p>
    <w:p>
      <w:pPr>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bidi="ar"/>
        </w:rPr>
        <w:t>7.1.2</w:t>
      </w:r>
      <w:r>
        <w:rPr>
          <w:rFonts w:hint="eastAsia"/>
          <w:b/>
          <w:color w:val="auto"/>
          <w:highlight w:val="none"/>
          <w:lang w:val="en-US" w:eastAsia="zh-CN"/>
        </w:rPr>
        <w:t xml:space="preserve">   </w:t>
      </w:r>
      <w:r>
        <w:rPr>
          <w:rFonts w:hint="eastAsia" w:ascii="宋体" w:hAnsi="宋体" w:eastAsia="宋体" w:cs="宋体"/>
          <w:color w:val="auto"/>
          <w:sz w:val="21"/>
          <w:szCs w:val="21"/>
          <w:highlight w:val="none"/>
          <w:lang w:val="en-US" w:eastAsia="zh-CN"/>
        </w:rPr>
        <w:t>此条内容是为了保证测试人员、设备的安全和试验结果准确。放电的操作方法是：用导线将设备与大地相连。测试电容量较大的设备前必须对设别进行放电大容量设备有：长距离电缆、变压器、电容器等。</w:t>
      </w:r>
    </w:p>
    <w:p>
      <w:pP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bidi="ar"/>
        </w:rPr>
        <w:t xml:space="preserve">7.1.3  </w:t>
      </w:r>
      <w:r>
        <w:rPr>
          <w:rFonts w:hint="eastAsia" w:ascii="宋体" w:hAnsi="宋体" w:eastAsia="宋体" w:cs="宋体"/>
          <w:color w:val="auto"/>
          <w:sz w:val="21"/>
          <w:szCs w:val="21"/>
          <w:highlight w:val="none"/>
          <w:lang w:val="en-US" w:eastAsia="zh-CN"/>
        </w:rPr>
        <w:t>对于已投入使用的电气系统，制定工频耐压试验检测方案时，宜考虑试验过程中被测部位损坏的风险。</w:t>
      </w:r>
    </w:p>
    <w:p>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试验前检测对象应与相邻设备断开并保持足够安全距离。对于GIS设备扩建或检修部分进行交流耐压试验时，相邻部分应断电并接地，也可采用同频同相位试验方法在相邻部分不停电状态下开展。有绕组的被试品进行外施交流耐压试验时，应将被试绕组自身的两个端子短接，非被试绕组也短接并与外壳连接后接地。变压器的感应耐压试验应按《电力变压器 第3部分：绝缘水平、绝缘试验和外绝缘空气间隙》GB 1094.3规定进行。</w:t>
      </w:r>
    </w:p>
    <w:p>
      <w:pPr>
        <w:rPr>
          <w:rFonts w:hint="default"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 xml:space="preserve">7.1.4  </w:t>
      </w:r>
      <w:r>
        <w:rPr>
          <w:rFonts w:hint="eastAsia" w:ascii="宋体" w:hAnsi="宋体" w:eastAsia="宋体" w:cs="宋体"/>
          <w:color w:val="auto"/>
          <w:sz w:val="21"/>
          <w:szCs w:val="21"/>
          <w:highlight w:val="none"/>
          <w:lang w:val="en-US" w:eastAsia="zh-CN"/>
        </w:rPr>
        <w:t>被测部位被污染或者潮湿，都可能导致更容易被击穿，从而影响检测结果。</w:t>
      </w:r>
    </w:p>
    <w:p>
      <w:pPr>
        <w:pStyle w:val="40"/>
        <w:rPr>
          <w:rFonts w:hint="default" w:cs="Times New Roman"/>
          <w:bCs/>
          <w:color w:val="auto"/>
          <w:szCs w:val="32"/>
          <w:highlight w:val="none"/>
          <w:lang w:val="en-US" w:eastAsia="zh-CN"/>
        </w:rPr>
      </w:pPr>
      <w:bookmarkStart w:id="422" w:name="_Toc17815"/>
      <w:bookmarkStart w:id="423" w:name="_Toc13115"/>
      <w:r>
        <w:rPr>
          <w:rFonts w:hint="eastAsia" w:cs="Times New Roman"/>
          <w:bCs/>
          <w:color w:val="auto"/>
          <w:szCs w:val="32"/>
          <w:highlight w:val="none"/>
          <w:lang w:val="en-US" w:eastAsia="zh-CN"/>
        </w:rPr>
        <w:t>7.2   检测部位和检测数量</w:t>
      </w:r>
      <w:bookmarkEnd w:id="422"/>
      <w:bookmarkEnd w:id="423"/>
    </w:p>
    <w:p>
      <w:pPr>
        <w:rPr>
          <w:rFonts w:hint="default" w:ascii="宋体" w:hAnsi="宋体" w:eastAsia="宋体" w:cs="宋体"/>
          <w:b w:val="0"/>
          <w:bCs w:val="0"/>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 xml:space="preserve">7.2.1  </w:t>
      </w:r>
      <w:r>
        <w:rPr>
          <w:rFonts w:hint="eastAsia" w:ascii="宋体" w:hAnsi="宋体" w:eastAsia="宋体" w:cs="宋体"/>
          <w:b w:val="0"/>
          <w:bCs w:val="0"/>
          <w:color w:val="auto"/>
          <w:kern w:val="0"/>
          <w:sz w:val="21"/>
          <w:szCs w:val="21"/>
          <w:highlight w:val="none"/>
          <w:lang w:val="en-US" w:eastAsia="zh-CN" w:bidi="ar"/>
        </w:rPr>
        <w:t>常见的配电开关及保护装置有断路器、隔离开关、熔断器、保护继电器等。</w:t>
      </w:r>
    </w:p>
    <w:p>
      <w:pP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bidi="ar"/>
        </w:rPr>
        <w:t xml:space="preserve">7.2.3  </w:t>
      </w:r>
      <w:r>
        <w:rPr>
          <w:rFonts w:hint="eastAsia" w:ascii="宋体" w:hAnsi="宋体" w:eastAsia="宋体" w:cs="宋体"/>
          <w:color w:val="auto"/>
          <w:sz w:val="21"/>
          <w:szCs w:val="21"/>
          <w:highlight w:val="none"/>
          <w:lang w:val="en-US" w:eastAsia="zh-CN"/>
        </w:rPr>
        <w:t>应对电缆的每一相测量其主绝缘的绝缘电阻和进行耐压试验。对具有统包绝缘的三芯电缆,应分别对每一相进行,其他两相导体、金属屏蔽或金属套和铠装层应一起接地;对分相屏蔽的三芯电缆和单芯电缆,可一相或多相同时进行,非被试相导体、金属屏蔽或金属套和铠装层应一起接地。对金属屏蔽或金属护套一端接地，另一端装有护层过电压保护器的单芯电缆主绝缘进行耐压试验时，应将护层过电压保护器短接，以使该端的电缆金属屏蔽或金属护套接地。</w:t>
      </w:r>
    </w:p>
    <w:p>
      <w:pPr>
        <w:ind w:firstLine="0" w:firstLineChars="0"/>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bidi="ar"/>
        </w:rPr>
        <w:t xml:space="preserve">7.2.4  </w:t>
      </w:r>
      <w:r>
        <w:rPr>
          <w:rFonts w:hint="eastAsia" w:ascii="宋体" w:hAnsi="宋体" w:eastAsia="宋体" w:cs="宋体"/>
          <w:color w:val="auto"/>
          <w:sz w:val="21"/>
          <w:szCs w:val="21"/>
          <w:highlight w:val="none"/>
          <w:lang w:val="en-US" w:eastAsia="zh-CN"/>
        </w:rPr>
        <w:t>一般是对母线槽段、母线槽成系统后的整体进行交流工频耐压试验。</w:t>
      </w:r>
    </w:p>
    <w:p>
      <w:pPr>
        <w:pStyle w:val="3"/>
        <w:jc w:val="center"/>
        <w:rPr>
          <w:rFonts w:ascii="宋体" w:hAnsi="宋体" w:eastAsia="宋体" w:cs="宋体"/>
          <w:color w:val="auto"/>
          <w:sz w:val="21"/>
          <w:szCs w:val="21"/>
          <w:highlight w:val="none"/>
        </w:rPr>
      </w:pPr>
      <w:bookmarkStart w:id="424" w:name="_Toc29208"/>
      <w:bookmarkStart w:id="425" w:name="_Toc19927"/>
      <w:r>
        <w:rPr>
          <w:rFonts w:hint="eastAsia" w:ascii="宋体" w:hAnsi="宋体" w:eastAsia="宋体" w:cs="宋体"/>
          <w:color w:val="auto"/>
          <w:sz w:val="21"/>
          <w:szCs w:val="21"/>
          <w:highlight w:val="none"/>
        </w:rPr>
        <w:t>7</w:t>
      </w:r>
      <w:r>
        <w:rPr>
          <w:rFonts w:hint="default" w:ascii="宋体" w:hAnsi="宋体" w:eastAsia="宋体" w:cs="宋体"/>
          <w:color w:val="auto"/>
          <w:sz w:val="21"/>
          <w:szCs w:val="21"/>
          <w:highlight w:val="none"/>
          <w:lang w:val="en-US"/>
        </w:rPr>
        <w:t>.3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检测方法</w:t>
      </w:r>
      <w:bookmarkEnd w:id="424"/>
      <w:bookmarkEnd w:id="425"/>
    </w:p>
    <w:p>
      <w:pP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bidi="ar"/>
        </w:rPr>
        <w:t xml:space="preserve">7.3.1  </w:t>
      </w:r>
      <w:r>
        <w:rPr>
          <w:rFonts w:hint="eastAsia" w:ascii="宋体" w:hAnsi="宋体" w:eastAsia="宋体" w:cs="宋体"/>
          <w:color w:val="auto"/>
          <w:sz w:val="21"/>
          <w:szCs w:val="21"/>
          <w:highlight w:val="none"/>
          <w:lang w:val="en-US" w:eastAsia="zh-CN"/>
        </w:rPr>
        <w:t>交流工频试验的试验电压的频率应为45Hz～65Hz的交流电压。</w:t>
      </w:r>
    </w:p>
    <w:p>
      <w:pP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bidi="ar"/>
        </w:rPr>
        <w:t xml:space="preserve">7.3.2  </w:t>
      </w:r>
      <w:r>
        <w:rPr>
          <w:rFonts w:hint="eastAsia" w:ascii="宋体" w:hAnsi="宋体" w:eastAsia="宋体" w:cs="宋体"/>
          <w:color w:val="auto"/>
          <w:sz w:val="21"/>
          <w:szCs w:val="21"/>
          <w:highlight w:val="none"/>
          <w:lang w:val="en-US" w:eastAsia="zh-CN"/>
        </w:rPr>
        <w:t>当使用移圈调压器进行交流工频耐压试验，电源突然合闸时（此时调压器已在零位），有时会在试品上产生较高电压的合闸过电压，使试品闪络或击穿。为防止此情况的发生，应在移圈调压器输出到试验变压器一次绕组之间，加装一组隔离开关，先将调压器电源合闸后，再合上此隔离开关。</w:t>
      </w:r>
    </w:p>
    <w:p>
      <w:pPr>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bidi="ar"/>
        </w:rPr>
        <w:t>7.3.4</w:t>
      </w:r>
      <w:r>
        <w:rPr>
          <w:rFonts w:hint="eastAsia" w:ascii="宋体" w:hAnsi="宋体" w:eastAsia="宋体" w:cs="宋体"/>
          <w:color w:val="auto"/>
          <w:sz w:val="21"/>
          <w:szCs w:val="21"/>
          <w:highlight w:val="none"/>
          <w:lang w:val="en-US" w:eastAsia="zh-CN"/>
        </w:rPr>
        <w:t xml:space="preserve">  再次检测绝缘电阻是为了验证耐压试验后被测部位的绝缘性能。</w:t>
      </w:r>
    </w:p>
    <w:p>
      <w:pPr>
        <w:pStyle w:val="40"/>
        <w:rPr>
          <w:rFonts w:hint="eastAsia" w:cs="Times New Roman"/>
          <w:bCs/>
          <w:color w:val="auto"/>
          <w:szCs w:val="32"/>
          <w:highlight w:val="none"/>
          <w:lang w:val="en-US" w:eastAsia="zh-CN"/>
        </w:rPr>
      </w:pPr>
      <w:bookmarkStart w:id="426" w:name="_Toc20522"/>
      <w:bookmarkStart w:id="427" w:name="_Toc27318"/>
      <w:r>
        <w:rPr>
          <w:rFonts w:hint="eastAsia" w:cs="Times New Roman"/>
          <w:bCs/>
          <w:color w:val="auto"/>
          <w:szCs w:val="32"/>
          <w:highlight w:val="none"/>
          <w:lang w:val="en-US" w:eastAsia="zh-CN"/>
        </w:rPr>
        <w:t>7.4   检测结果</w:t>
      </w:r>
      <w:bookmarkEnd w:id="426"/>
      <w:bookmarkEnd w:id="427"/>
    </w:p>
    <w:p>
      <w:pP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bidi="ar"/>
        </w:rPr>
        <w:t xml:space="preserve">7.4.1  </w:t>
      </w:r>
      <w:r>
        <w:rPr>
          <w:rFonts w:hint="eastAsia" w:ascii="宋体" w:hAnsi="宋体" w:eastAsia="宋体" w:cs="宋体"/>
          <w:color w:val="auto"/>
          <w:sz w:val="21"/>
          <w:szCs w:val="21"/>
          <w:highlight w:val="none"/>
          <w:lang w:val="en-US" w:eastAsia="zh-CN"/>
        </w:rPr>
        <w:t>检测过程中常见的破坏性放电现象一般为检测对象冒烟、出气、焦臭、闪络、燃烧或者发出击穿响声（或断续放电声）。</w:t>
      </w:r>
    </w:p>
    <w:p>
      <w:pPr>
        <w:rPr>
          <w:rFonts w:hint="eastAsia" w:ascii="宋体" w:hAnsi="宋体" w:eastAsia="宋体" w:cs="宋体"/>
          <w:color w:val="auto"/>
          <w:sz w:val="21"/>
          <w:szCs w:val="21"/>
          <w:highlight w:val="none"/>
        </w:rPr>
      </w:pPr>
    </w:p>
    <w:p>
      <w:pPr>
        <w:rPr>
          <w:rFonts w:hint="eastAsia" w:eastAsia="宋体" w:cs="Times New Roman"/>
          <w:bCs/>
          <w:color w:val="auto"/>
          <w:szCs w:val="44"/>
          <w:highlight w:val="none"/>
        </w:rPr>
      </w:pPr>
      <w:r>
        <w:rPr>
          <w:rFonts w:hint="eastAsia" w:eastAsia="宋体" w:cs="Times New Roman"/>
          <w:bCs/>
          <w:color w:val="auto"/>
          <w:szCs w:val="44"/>
          <w:highlight w:val="none"/>
        </w:rPr>
        <w:br w:type="page"/>
      </w:r>
    </w:p>
    <w:p>
      <w:pPr>
        <w:pStyle w:val="37"/>
        <w:spacing w:line="276" w:lineRule="auto"/>
        <w:rPr>
          <w:rFonts w:eastAsia="宋体" w:cs="Times New Roman"/>
          <w:bCs/>
          <w:color w:val="auto"/>
          <w:szCs w:val="44"/>
          <w:highlight w:val="none"/>
        </w:rPr>
      </w:pPr>
      <w:bookmarkStart w:id="428" w:name="_Toc1644"/>
      <w:bookmarkStart w:id="429" w:name="_Toc16657"/>
      <w:bookmarkStart w:id="430" w:name="_Toc30700"/>
      <w:r>
        <w:rPr>
          <w:rFonts w:hint="eastAsia" w:eastAsia="宋体" w:cs="Times New Roman"/>
          <w:bCs/>
          <w:color w:val="auto"/>
          <w:szCs w:val="44"/>
          <w:highlight w:val="none"/>
        </w:rPr>
        <w:t>8</w:t>
      </w:r>
      <w:r>
        <w:rPr>
          <w:rFonts w:hint="eastAsia" w:eastAsia="宋体" w:cs="Times New Roman"/>
          <w:bCs/>
          <w:color w:val="auto"/>
          <w:szCs w:val="44"/>
          <w:highlight w:val="none"/>
          <w:lang w:val="en-US" w:eastAsia="zh-CN"/>
        </w:rPr>
        <w:t xml:space="preserve">   </w:t>
      </w:r>
      <w:r>
        <w:rPr>
          <w:rFonts w:hint="eastAsia" w:eastAsia="宋体" w:cs="Times New Roman"/>
          <w:bCs/>
          <w:color w:val="auto"/>
          <w:szCs w:val="44"/>
          <w:highlight w:val="none"/>
        </w:rPr>
        <w:t>接地故障回路阻抗检测</w:t>
      </w:r>
      <w:bookmarkEnd w:id="428"/>
      <w:bookmarkEnd w:id="429"/>
      <w:bookmarkEnd w:id="430"/>
    </w:p>
    <w:p>
      <w:pPr>
        <w:ind w:firstLine="420" w:firstLineChars="200"/>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采用过电流保护电气兼做故障防护时，当设备出现故障，故障电流能够顺利通过接地系统流入大地，从而触发保护装置动作，切断故障电路，保护人身和设备安全。如果接地故障回路阻抗过大，故障电流过小，导致保护装置无法及时动作，增加电气事故的风险。接地故障回路阻抗用于评估故障电流路径的阻抗，确保保护装置能正确动作。</w:t>
      </w:r>
    </w:p>
    <w:p>
      <w:pPr>
        <w:ind w:firstLine="420" w:firstLineChars="200"/>
        <w:rPr>
          <w:rFonts w:hint="default" w:ascii="宋体" w:hAnsi="宋体" w:eastAsia="宋体" w:cs="宋体"/>
          <w:b w:val="0"/>
          <w:bCs w:val="0"/>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《建筑电气工程施工质量验收规范》GB 50303-2015第5.1.8中规定：“低压成套配电柜和配电箱（盘） 内末端用电回路中， 所设过电流保护电器兼作故障防护时， 应在回路末端测量接地故障回路阻抗了接地故障回路阻抗”，《低压配电设计规范》GB 50054-2011 第5.2.8也提出了接地故障回路阻抗的要求，两本标准中相应条款的条文说明都对为什么要检测接地故障回路阻抗进行了说明，这些说明均有利于理解接地故障回路阻抗。接地故障回路的阻抗包括电源、电源到故障点之间的带电导体以及故障点到电源之间的保护导体的阻抗在内的阻抗，通常是指变压器阻抗和自变压器至接地故障处相导体和保护导体或保护接地中性导体的阻抗。</w:t>
      </w:r>
    </w:p>
    <w:p>
      <w:pPr>
        <w:ind w:firstLine="420" w:firstLineChars="20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接地故障回路通常包括下列部分：</w:t>
      </w:r>
    </w:p>
    <w:p>
      <w:pPr>
        <w:ind w:firstLine="0" w:firstLineChars="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 xml:space="preserve">1  </w:t>
      </w:r>
      <w:r>
        <w:rPr>
          <w:rFonts w:hint="eastAsia" w:ascii="宋体" w:hAnsi="宋体" w:eastAsia="宋体" w:cs="宋体"/>
          <w:color w:val="auto"/>
          <w:kern w:val="0"/>
          <w:sz w:val="21"/>
          <w:szCs w:val="21"/>
          <w:highlight w:val="none"/>
          <w:lang w:val="en-US" w:eastAsia="zh-CN" w:bidi="ar"/>
        </w:rPr>
        <w:t>电源（变压器或发电机）：提供故障电流的源头。</w:t>
      </w:r>
    </w:p>
    <w:p>
      <w:pPr>
        <w:ind w:firstLine="0" w:firstLineChars="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 xml:space="preserve">2  </w:t>
      </w:r>
      <w:r>
        <w:rPr>
          <w:rFonts w:hint="eastAsia" w:ascii="宋体" w:hAnsi="宋体" w:eastAsia="宋体" w:cs="宋体"/>
          <w:color w:val="auto"/>
          <w:kern w:val="0"/>
          <w:sz w:val="21"/>
          <w:szCs w:val="21"/>
          <w:highlight w:val="none"/>
          <w:lang w:val="en-US" w:eastAsia="zh-CN" w:bidi="ar"/>
        </w:rPr>
        <w:t>相线（Live Wire, L）：电流从电源流向负载的导线。</w:t>
      </w:r>
    </w:p>
    <w:p>
      <w:pPr>
        <w:ind w:firstLine="0" w:firstLineChars="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 xml:space="preserve">3  </w:t>
      </w:r>
      <w:r>
        <w:rPr>
          <w:rFonts w:hint="eastAsia" w:ascii="宋体" w:hAnsi="宋体" w:eastAsia="宋体" w:cs="宋体"/>
          <w:color w:val="auto"/>
          <w:kern w:val="0"/>
          <w:sz w:val="21"/>
          <w:szCs w:val="21"/>
          <w:highlight w:val="none"/>
          <w:lang w:val="en-US" w:eastAsia="zh-CN" w:bidi="ar"/>
        </w:rPr>
        <w:t>故障点：电气设备或线路中发生接地故障的位置。</w:t>
      </w:r>
    </w:p>
    <w:p>
      <w:pPr>
        <w:ind w:firstLine="0" w:firstLineChars="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 xml:space="preserve">4  </w:t>
      </w:r>
      <w:r>
        <w:rPr>
          <w:rFonts w:hint="eastAsia" w:ascii="宋体" w:hAnsi="宋体" w:eastAsia="宋体" w:cs="宋体"/>
          <w:color w:val="auto"/>
          <w:kern w:val="0"/>
          <w:sz w:val="21"/>
          <w:szCs w:val="21"/>
          <w:highlight w:val="none"/>
          <w:lang w:val="en-US" w:eastAsia="zh-CN" w:bidi="ar"/>
        </w:rPr>
        <w:t>大地（Earth）：故障电流通过接地系统流入大地。</w:t>
      </w:r>
    </w:p>
    <w:p>
      <w:pPr>
        <w:ind w:firstLine="0" w:firstLineChars="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 xml:space="preserve">5  </w:t>
      </w:r>
      <w:r>
        <w:rPr>
          <w:rFonts w:hint="eastAsia" w:ascii="宋体" w:hAnsi="宋体" w:eastAsia="宋体" w:cs="宋体"/>
          <w:color w:val="auto"/>
          <w:kern w:val="0"/>
          <w:sz w:val="21"/>
          <w:szCs w:val="21"/>
          <w:highlight w:val="none"/>
          <w:lang w:val="en-US" w:eastAsia="zh-CN" w:bidi="ar"/>
        </w:rPr>
        <w:t>接地系统（Earth Electrode）：将故障电流引入大地的接地装置。</w:t>
      </w:r>
    </w:p>
    <w:p>
      <w:pPr>
        <w:ind w:firstLine="0" w:firstLineChars="0"/>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 xml:space="preserve">6  </w:t>
      </w:r>
      <w:r>
        <w:rPr>
          <w:rFonts w:hint="eastAsia" w:ascii="宋体" w:hAnsi="宋体" w:eastAsia="宋体" w:cs="宋体"/>
          <w:color w:val="auto"/>
          <w:kern w:val="0"/>
          <w:sz w:val="21"/>
          <w:szCs w:val="21"/>
          <w:highlight w:val="none"/>
          <w:lang w:val="en-US" w:eastAsia="zh-CN" w:bidi="ar"/>
        </w:rPr>
        <w:t>保护地线（Protective Earth, PE）：将故障电流从大地返回到电源的导线。</w:t>
      </w:r>
    </w:p>
    <w:p>
      <w:pPr>
        <w:pStyle w:val="40"/>
        <w:rPr>
          <w:rFonts w:hint="eastAsia" w:cs="Times New Roman"/>
          <w:bCs/>
          <w:color w:val="auto"/>
          <w:szCs w:val="32"/>
          <w:highlight w:val="none"/>
          <w:lang w:val="en-US" w:eastAsia="zh-CN"/>
        </w:rPr>
      </w:pPr>
      <w:bookmarkStart w:id="431" w:name="_Toc25284"/>
      <w:bookmarkStart w:id="432" w:name="_Toc17640"/>
      <w:bookmarkStart w:id="433" w:name="_Toc10802"/>
      <w:r>
        <w:rPr>
          <w:rFonts w:hint="eastAsia" w:cs="Times New Roman"/>
          <w:bCs/>
          <w:color w:val="auto"/>
          <w:szCs w:val="32"/>
          <w:highlight w:val="none"/>
          <w:lang w:val="en-US" w:eastAsia="zh-CN"/>
        </w:rPr>
        <w:t>8.1  一般规定</w:t>
      </w:r>
      <w:bookmarkEnd w:id="431"/>
      <w:bookmarkEnd w:id="432"/>
      <w:bookmarkEnd w:id="433"/>
    </w:p>
    <w:p>
      <w:pPr>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bidi="ar"/>
        </w:rPr>
        <w:t xml:space="preserve">8.1.1  </w:t>
      </w:r>
      <w:r>
        <w:rPr>
          <w:rFonts w:hint="eastAsia" w:ascii="宋体" w:hAnsi="宋体" w:eastAsia="宋体" w:cs="宋体"/>
          <w:color w:val="auto"/>
          <w:sz w:val="21"/>
          <w:szCs w:val="21"/>
          <w:highlight w:val="none"/>
          <w:lang w:val="en-US" w:eastAsia="zh-CN"/>
        </w:rPr>
        <w:t>本条依据现行国家标准《低压电气装置 第6部分：检验》GB/T 16895.23-2020第6.4.3.1条制订。如果TN和TT系统接地故障回路阻抗过大，则会造成该回路故障电流过小，而导致过电流保护器不能动作或不能及时动作。导致回路阻抗值超限值的原因一是用电回路导体选择不当或用电回路线路过长，没有满足现行国家标准《低压配电设计规范》GB 50054-2011的第3.2.2条第2款的规定，线路阻抗偏大所致；而是由于用电回路导线连接点接触不好，接触电阻增加所致，所以抽查回路时应选择用电回路线路相对较长且导线中间连接点相对较多的回路，由于施工设计时一般对用电回路的线路长度是有规定的，故回路阻抗的测试主要是以检验导线连接点的连接质量。</w:t>
      </w:r>
    </w:p>
    <w:p>
      <w:pPr>
        <w:pStyle w:val="40"/>
        <w:rPr>
          <w:rFonts w:cs="Times New Roman"/>
          <w:bCs/>
          <w:color w:val="auto"/>
          <w:szCs w:val="32"/>
          <w:highlight w:val="none"/>
        </w:rPr>
      </w:pPr>
      <w:bookmarkStart w:id="434" w:name="_Toc16067"/>
      <w:bookmarkStart w:id="435" w:name="_Toc24536"/>
      <w:bookmarkStart w:id="436" w:name="_Toc20608"/>
      <w:r>
        <w:rPr>
          <w:rFonts w:hint="eastAsia" w:cs="Times New Roman"/>
          <w:bCs/>
          <w:color w:val="auto"/>
          <w:szCs w:val="32"/>
          <w:highlight w:val="none"/>
        </w:rPr>
        <w:t>8.</w:t>
      </w:r>
      <w:r>
        <w:rPr>
          <w:rFonts w:hint="eastAsia" w:cs="Times New Roman"/>
          <w:bCs/>
          <w:color w:val="auto"/>
          <w:szCs w:val="32"/>
          <w:highlight w:val="none"/>
          <w:lang w:val="en-US" w:eastAsia="zh-CN"/>
        </w:rPr>
        <w:t xml:space="preserve">3  </w:t>
      </w:r>
      <w:r>
        <w:rPr>
          <w:rFonts w:hint="eastAsia" w:cs="Times New Roman"/>
          <w:bCs/>
          <w:color w:val="auto"/>
          <w:szCs w:val="32"/>
          <w:highlight w:val="none"/>
        </w:rPr>
        <w:t>检测方法</w:t>
      </w:r>
      <w:bookmarkEnd w:id="434"/>
      <w:bookmarkEnd w:id="435"/>
      <w:bookmarkEnd w:id="436"/>
    </w:p>
    <w:p>
      <w:pPr>
        <w:ind w:firstLine="420" w:firstLineChars="200"/>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接地故障回路阻抗检测方法是通过从回路末端对回路注入测试电流并测量电压降来计算整个回路的阻抗。</w:t>
      </w:r>
    </w:p>
    <w:p>
      <w:pPr>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bidi="ar"/>
        </w:rPr>
        <w:t xml:space="preserve">8.3.1  </w:t>
      </w:r>
      <w:r>
        <w:rPr>
          <w:rFonts w:hint="eastAsia" w:ascii="宋体" w:hAnsi="宋体" w:eastAsia="宋体" w:cs="宋体"/>
          <w:color w:val="auto"/>
          <w:sz w:val="21"/>
          <w:szCs w:val="21"/>
          <w:highlight w:val="none"/>
          <w:lang w:val="en-US" w:eastAsia="zh-CN"/>
        </w:rPr>
        <w:t>GB/T 18216.3-2021等同采用国际标准IEC 61557-3:2019，因此符合IEC 61557-3:2019的设备均适用于接地故障回路阻抗检测。</w:t>
      </w:r>
    </w:p>
    <w:p>
      <w:pP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bidi="ar"/>
        </w:rPr>
        <w:t>8.3.2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bCs/>
          <w:color w:val="auto"/>
          <w:kern w:val="0"/>
          <w:sz w:val="21"/>
          <w:szCs w:val="21"/>
          <w:highlight w:val="none"/>
          <w:lang w:val="en-US" w:eastAsia="zh-CN" w:bidi="ar"/>
        </w:rPr>
        <w:t>1</w:t>
      </w:r>
      <w:r>
        <w:rPr>
          <w:rFonts w:hint="eastAsia" w:ascii="宋体" w:hAnsi="宋体" w:eastAsia="宋体" w:cs="宋体"/>
          <w:color w:val="auto"/>
          <w:sz w:val="21"/>
          <w:szCs w:val="21"/>
          <w:highlight w:val="none"/>
          <w:lang w:val="en-US" w:eastAsia="zh-CN"/>
        </w:rPr>
        <w:t>被测部分主要为保护导体（包括联结回路）、外露可导电部分、环形末端回路中的带电导体。</w:t>
      </w:r>
    </w:p>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 xml:space="preserve"> 在重新接通电源前，应将接地导体与装置的总接地端子重新连接。</w:t>
      </w:r>
    </w:p>
    <w:p>
      <w:pP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 xml:space="preserve"> 所测得的接地故障回路阻抗中，除电极阻抗外，仅有一小部分来自回路导体阻抗。因此，该测试所得结果能作为接地极电阻的合理近似值。</w:t>
      </w:r>
    </w:p>
    <w:p>
      <w:pPr>
        <w:pStyle w:val="40"/>
        <w:rPr>
          <w:rFonts w:cs="Times New Roman"/>
          <w:bCs/>
          <w:color w:val="auto"/>
          <w:szCs w:val="32"/>
          <w:highlight w:val="none"/>
        </w:rPr>
      </w:pPr>
      <w:bookmarkStart w:id="437" w:name="_Toc23885"/>
      <w:bookmarkStart w:id="438" w:name="_Toc6504"/>
      <w:bookmarkStart w:id="439" w:name="_Toc16820"/>
      <w:r>
        <w:rPr>
          <w:rFonts w:hint="eastAsia" w:cs="Times New Roman"/>
          <w:bCs/>
          <w:color w:val="auto"/>
          <w:szCs w:val="32"/>
          <w:highlight w:val="none"/>
        </w:rPr>
        <w:t>8.</w:t>
      </w:r>
      <w:r>
        <w:rPr>
          <w:rFonts w:hint="eastAsia" w:cs="Times New Roman"/>
          <w:bCs/>
          <w:color w:val="auto"/>
          <w:szCs w:val="32"/>
          <w:highlight w:val="none"/>
          <w:lang w:val="en-US" w:eastAsia="zh-CN"/>
        </w:rPr>
        <w:t xml:space="preserve">4  </w:t>
      </w:r>
      <w:r>
        <w:rPr>
          <w:rFonts w:hint="eastAsia" w:cs="Times New Roman"/>
          <w:bCs/>
          <w:color w:val="auto"/>
          <w:szCs w:val="32"/>
          <w:highlight w:val="none"/>
        </w:rPr>
        <w:t>检测结果</w:t>
      </w:r>
      <w:r>
        <w:rPr>
          <w:rFonts w:hint="eastAsia" w:ascii="宋体" w:hAnsi="宋体" w:eastAsia="宋体" w:cs="宋体"/>
          <w:color w:val="auto"/>
          <w:sz w:val="21"/>
          <w:szCs w:val="21"/>
          <w:highlight w:val="none"/>
          <w:lang w:val="en-US" w:eastAsia="zh-CN"/>
        </w:rPr>
        <w:t>的评价</w:t>
      </w:r>
      <w:bookmarkEnd w:id="437"/>
      <w:bookmarkEnd w:id="438"/>
      <w:bookmarkEnd w:id="439"/>
    </w:p>
    <w:p>
      <w:pP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bidi="ar"/>
        </w:rPr>
        <w:t xml:space="preserve">8.4.2  </w:t>
      </w:r>
      <w:r>
        <w:rPr>
          <w:rFonts w:hint="eastAsia" w:ascii="宋体" w:hAnsi="宋体" w:eastAsia="宋体" w:cs="宋体"/>
          <w:color w:val="auto"/>
          <w:sz w:val="21"/>
          <w:szCs w:val="21"/>
          <w:highlight w:val="none"/>
          <w:lang w:val="en-US" w:eastAsia="zh-CN"/>
        </w:rPr>
        <w:t>测试可采用带有回路阻抗测试功能的测试仪表进行检测，将所测数据与式8.4.2进行比对[（式8.4.2）中系数2/3主要是出于对线路温度变化的考虑]，以验证在发生接地故障时，过电流保护电器的有效性。根据现行国家标准《低压配电设计规范》GB 50054的规定，电气设计人员应计算并提供故障回路计算阻抗Zs或Ia值，以方便施工现场检测人员的判定。如果测量后回路阻抗不能满足（式8.4.2）的要求，则检查回路导体的连接质量，必要时应请电气设计人员复合回路阻抗计算书。根据《电气附件 家用及类似场所用过电流保护断路器 第1部分：用于交流的断路器》GB/T 10963.1-2020中规定：</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bidi="ar"/>
        </w:rPr>
        <w:t>1</w:t>
      </w:r>
      <w:r>
        <w:rPr>
          <w:rFonts w:hint="eastAsia" w:ascii="宋体" w:hAnsi="宋体" w:eastAsia="宋体" w:cs="宋体"/>
          <w:color w:val="auto"/>
          <w:sz w:val="21"/>
          <w:szCs w:val="21"/>
          <w:highlight w:val="none"/>
          <w:lang w:val="en-US" w:eastAsia="zh-CN"/>
        </w:rPr>
        <w:t xml:space="preserve">  对于B型过电流保护断路器，从冷态开始，对所有极通以3In的电流，断开时间应不小于0.1s。从冷态开始，对所有极通以5In的电流，RCBO应在小于0.1s时间内脱扣。</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bidi="ar"/>
        </w:rPr>
        <w:t>2</w:t>
      </w:r>
      <w:r>
        <w:rPr>
          <w:rFonts w:hint="eastAsia" w:ascii="宋体" w:hAnsi="宋体" w:eastAsia="宋体" w:cs="宋体"/>
          <w:color w:val="auto"/>
          <w:sz w:val="21"/>
          <w:szCs w:val="21"/>
          <w:highlight w:val="none"/>
          <w:lang w:val="en-US" w:eastAsia="zh-CN"/>
        </w:rPr>
        <w:t xml:space="preserve">  对于C型过电流保护断路器，从冷态开始，对所有极通以5In的电流，断开时间应不小于0.1s。从冷态开始，对所有极通以10In的电流，RCBO应在小于0.1s时间内脱扣。</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bidi="ar"/>
        </w:rPr>
        <w:t>3</w:t>
      </w:r>
      <w:r>
        <w:rPr>
          <w:rFonts w:hint="eastAsia" w:ascii="宋体" w:hAnsi="宋体" w:eastAsia="宋体" w:cs="宋体"/>
          <w:color w:val="auto"/>
          <w:sz w:val="21"/>
          <w:szCs w:val="21"/>
          <w:highlight w:val="none"/>
          <w:lang w:val="en-US" w:eastAsia="zh-CN"/>
        </w:rPr>
        <w:t xml:space="preserve">  对于D型过电流保护断路器，从冷态开始，对所有极通以10In的电流，断开时间应不小于0.1s。从冷态开始，对所有极通以20In的电流，RCBO应在小于0.1s时间内脱扣。</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实际检测中应根据回路所用过电流保护器的性能参数及设计要求来综合选定Ia的值。</w:t>
      </w:r>
    </w:p>
    <w:p>
      <w:pPr>
        <w:rPr>
          <w:rFonts w:hint="default" w:ascii="宋体" w:hAnsi="宋体" w:eastAsia="宋体" w:cs="宋体"/>
          <w:color w:val="auto"/>
          <w:sz w:val="21"/>
          <w:szCs w:val="21"/>
          <w:highlight w:val="none"/>
          <w:lang w:val="en-US" w:eastAsia="zh-CN"/>
        </w:rPr>
      </w:pPr>
    </w:p>
    <w:p>
      <w:pPr>
        <w:rPr>
          <w:rFonts w:hint="default" w:ascii="宋体" w:hAnsi="宋体" w:eastAsia="宋体" w:cs="宋体"/>
          <w:color w:val="auto"/>
          <w:kern w:val="0"/>
          <w:sz w:val="21"/>
          <w:szCs w:val="21"/>
          <w:highlight w:val="none"/>
          <w:lang w:val="en-US" w:eastAsia="zh-CN" w:bidi="ar"/>
        </w:rPr>
      </w:pPr>
    </w:p>
    <w:p>
      <w:pPr>
        <w:rPr>
          <w:rFonts w:hint="default" w:ascii="宋体" w:hAnsi="宋体" w:eastAsia="宋体" w:cs="宋体"/>
          <w:color w:val="auto"/>
          <w:kern w:val="0"/>
          <w:sz w:val="21"/>
          <w:szCs w:val="21"/>
          <w:highlight w:val="none"/>
          <w:lang w:val="en-US" w:eastAsia="zh-CN" w:bidi="ar"/>
        </w:rPr>
      </w:pPr>
    </w:p>
    <w:p>
      <w:pPr>
        <w:rPr>
          <w:rFonts w:ascii="宋体" w:hAnsi="宋体" w:eastAsia="宋体" w:cs="宋体"/>
          <w:color w:val="auto"/>
          <w:sz w:val="21"/>
          <w:szCs w:val="21"/>
          <w:highlight w:val="none"/>
        </w:rPr>
      </w:pPr>
      <w:r>
        <w:rPr>
          <w:rFonts w:ascii="宋体" w:hAnsi="宋体" w:eastAsia="宋体" w:cs="宋体"/>
          <w:color w:val="auto"/>
          <w:sz w:val="21"/>
          <w:szCs w:val="21"/>
          <w:highlight w:val="none"/>
        </w:rPr>
        <w:br w:type="page"/>
      </w:r>
    </w:p>
    <w:p>
      <w:pPr>
        <w:pStyle w:val="37"/>
        <w:spacing w:line="276" w:lineRule="auto"/>
        <w:rPr>
          <w:rFonts w:eastAsia="宋体" w:cs="Times New Roman"/>
          <w:bCs/>
          <w:color w:val="auto"/>
          <w:szCs w:val="44"/>
          <w:highlight w:val="none"/>
        </w:rPr>
      </w:pPr>
      <w:bookmarkStart w:id="440" w:name="_Toc15955"/>
      <w:bookmarkStart w:id="441" w:name="_Toc26159"/>
      <w:bookmarkStart w:id="442" w:name="_Toc14466"/>
      <w:r>
        <w:rPr>
          <w:rFonts w:eastAsia="宋体" w:cs="Times New Roman"/>
          <w:bCs/>
          <w:color w:val="auto"/>
          <w:szCs w:val="44"/>
          <w:highlight w:val="none"/>
        </w:rPr>
        <w:t>9</w:t>
      </w:r>
      <w:r>
        <w:rPr>
          <w:rFonts w:hint="eastAsia" w:eastAsia="宋体" w:cs="Times New Roman"/>
          <w:bCs/>
          <w:color w:val="auto"/>
          <w:szCs w:val="44"/>
          <w:highlight w:val="none"/>
          <w:lang w:val="en-US" w:eastAsia="zh-CN"/>
        </w:rPr>
        <w:t xml:space="preserve">   </w:t>
      </w:r>
      <w:r>
        <w:rPr>
          <w:rFonts w:hint="eastAsia" w:eastAsia="宋体" w:cs="Times New Roman"/>
          <w:bCs/>
          <w:color w:val="auto"/>
          <w:szCs w:val="44"/>
          <w:highlight w:val="none"/>
        </w:rPr>
        <w:t>剩余电流动作保护</w:t>
      </w:r>
      <w:r>
        <w:rPr>
          <w:rFonts w:hint="eastAsia" w:eastAsia="宋体" w:cs="Times New Roman"/>
          <w:bCs/>
          <w:color w:val="auto"/>
          <w:szCs w:val="44"/>
          <w:highlight w:val="none"/>
          <w:lang w:val="en-US" w:eastAsia="zh-CN"/>
        </w:rPr>
        <w:t>器动作</w:t>
      </w:r>
      <w:r>
        <w:rPr>
          <w:rFonts w:hint="eastAsia" w:eastAsia="宋体" w:cs="Times New Roman"/>
          <w:bCs/>
          <w:color w:val="auto"/>
          <w:szCs w:val="44"/>
          <w:highlight w:val="none"/>
        </w:rPr>
        <w:t>特性检测</w:t>
      </w:r>
      <w:bookmarkEnd w:id="440"/>
      <w:bookmarkEnd w:id="441"/>
      <w:bookmarkEnd w:id="442"/>
    </w:p>
    <w:p>
      <w:pPr>
        <w:ind w:firstLine="420" w:firstLineChars="200"/>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剩余电流动作保护器是防止人身触电、电气火灾及电气设备损坏的一种有效的防护措施。用来设计为确保剩余电流动作保护器（RCD）能按设计值要求动作可靠，安装完成后应按设计限值要求检测动作电流和动作时间，以确保其灵敏度和可靠性。</w:t>
      </w:r>
    </w:p>
    <w:p>
      <w:pPr>
        <w:pStyle w:val="40"/>
        <w:rPr>
          <w:rFonts w:hint="default" w:cs="Times New Roman"/>
          <w:bCs/>
          <w:color w:val="auto"/>
          <w:szCs w:val="32"/>
          <w:highlight w:val="none"/>
          <w:lang w:val="en-US" w:eastAsia="zh-CN"/>
        </w:rPr>
      </w:pPr>
      <w:bookmarkStart w:id="443" w:name="_Toc25391"/>
      <w:bookmarkStart w:id="444" w:name="_Toc640"/>
      <w:bookmarkStart w:id="445" w:name="_Toc7493"/>
      <w:r>
        <w:rPr>
          <w:rFonts w:hint="eastAsia" w:cs="Times New Roman"/>
          <w:bCs/>
          <w:color w:val="auto"/>
          <w:szCs w:val="32"/>
          <w:highlight w:val="none"/>
          <w:lang w:val="en-US" w:eastAsia="zh-CN"/>
        </w:rPr>
        <w:t>9</w:t>
      </w:r>
      <w:r>
        <w:rPr>
          <w:rFonts w:cs="Times New Roman"/>
          <w:bCs/>
          <w:color w:val="auto"/>
          <w:szCs w:val="32"/>
          <w:highlight w:val="none"/>
        </w:rPr>
        <w:t>.1</w:t>
      </w:r>
      <w:r>
        <w:rPr>
          <w:rFonts w:hint="eastAsia" w:cs="Times New Roman"/>
          <w:bCs/>
          <w:color w:val="auto"/>
          <w:szCs w:val="32"/>
          <w:highlight w:val="none"/>
          <w:lang w:val="en-US" w:eastAsia="zh-CN"/>
        </w:rPr>
        <w:t xml:space="preserve">  一般规定</w:t>
      </w:r>
      <w:bookmarkEnd w:id="443"/>
      <w:bookmarkEnd w:id="444"/>
      <w:bookmarkEnd w:id="445"/>
    </w:p>
    <w:p>
      <w:pPr>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bidi="ar"/>
        </w:rPr>
        <w:t xml:space="preserve">9.1.2  </w:t>
      </w:r>
      <w:r>
        <w:rPr>
          <w:rFonts w:hint="eastAsia" w:ascii="宋体" w:hAnsi="宋体" w:eastAsia="宋体" w:cs="宋体"/>
          <w:color w:val="auto"/>
          <w:sz w:val="21"/>
          <w:szCs w:val="21"/>
          <w:highlight w:val="none"/>
          <w:lang w:val="en-US" w:eastAsia="zh-CN"/>
        </w:rPr>
        <w:t>为确保剩余电流动作保护器能按设计限值要求动作可靠，安装完成后应检测动作电流和动作时间，以确保其灵敏度和可靠性。</w:t>
      </w:r>
    </w:p>
    <w:p>
      <w:pPr>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bidi="ar"/>
        </w:rPr>
        <w:t xml:space="preserve">9.1.3  </w:t>
      </w:r>
      <w:r>
        <w:rPr>
          <w:rFonts w:hint="eastAsia" w:ascii="宋体" w:hAnsi="宋体" w:eastAsia="宋体" w:cs="宋体"/>
          <w:color w:val="auto"/>
          <w:sz w:val="21"/>
          <w:szCs w:val="21"/>
          <w:highlight w:val="none"/>
          <w:lang w:val="en-US" w:eastAsia="zh-CN"/>
        </w:rPr>
        <w:t>直接按压剩余电流动作保护器上的测试按钮仅能验证其元器件是否正常，不能验证安装质量，因此不能用按压测试按钮替代动作时间和动作电流检测。</w:t>
      </w:r>
    </w:p>
    <w:p>
      <w:pPr>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bidi="ar"/>
        </w:rPr>
        <w:t xml:space="preserve">9.1.4  </w:t>
      </w:r>
      <w:r>
        <w:rPr>
          <w:rFonts w:hint="eastAsia" w:ascii="宋体" w:hAnsi="宋体" w:eastAsia="宋体" w:cs="宋体"/>
          <w:color w:val="auto"/>
          <w:sz w:val="21"/>
          <w:szCs w:val="21"/>
          <w:highlight w:val="none"/>
          <w:lang w:val="en-US" w:eastAsia="zh-CN"/>
        </w:rPr>
        <w:t>测试过程中剩余电流动作保护器将断开，当断路器上不仅连接测试回路时，断路器断开会导致其所连接的所有回路都断电，回路上的所有设备都将断电。为保证检测不造成损失，检测前应确定受检剩余电流动作保护器连接的所有回路上的设备均能断电。必要时，宜考虑越级跳闸的影响范围。</w:t>
      </w:r>
    </w:p>
    <w:p>
      <w:pPr>
        <w:pStyle w:val="40"/>
        <w:rPr>
          <w:rFonts w:hint="eastAsia" w:cs="Times New Roman"/>
          <w:bCs/>
          <w:color w:val="auto"/>
          <w:szCs w:val="32"/>
          <w:highlight w:val="none"/>
          <w:lang w:val="en-US" w:eastAsia="zh-CN"/>
        </w:rPr>
      </w:pPr>
      <w:bookmarkStart w:id="446" w:name="_Toc26095"/>
      <w:bookmarkStart w:id="447" w:name="_Toc31542"/>
      <w:bookmarkStart w:id="448" w:name="_Toc29899"/>
      <w:r>
        <w:rPr>
          <w:rFonts w:hint="eastAsia" w:cs="Times New Roman"/>
          <w:bCs/>
          <w:color w:val="auto"/>
          <w:szCs w:val="32"/>
          <w:highlight w:val="none"/>
          <w:lang w:val="en-US" w:eastAsia="zh-CN"/>
        </w:rPr>
        <w:t>9</w:t>
      </w:r>
      <w:r>
        <w:rPr>
          <w:rFonts w:hint="default" w:cs="Times New Roman"/>
          <w:bCs/>
          <w:color w:val="auto"/>
          <w:szCs w:val="32"/>
          <w:highlight w:val="none"/>
          <w:lang w:val="en-US" w:eastAsia="zh-CN"/>
        </w:rPr>
        <w:t>.</w:t>
      </w:r>
      <w:r>
        <w:rPr>
          <w:rFonts w:hint="eastAsia" w:cs="Times New Roman"/>
          <w:bCs/>
          <w:color w:val="auto"/>
          <w:szCs w:val="32"/>
          <w:highlight w:val="none"/>
          <w:lang w:val="en-US" w:eastAsia="zh-CN"/>
        </w:rPr>
        <w:t xml:space="preserve">2 </w:t>
      </w:r>
      <w:r>
        <w:rPr>
          <w:rFonts w:hint="default" w:cs="Times New Roman"/>
          <w:bCs/>
          <w:color w:val="auto"/>
          <w:szCs w:val="32"/>
          <w:highlight w:val="none"/>
          <w:lang w:val="en-US" w:eastAsia="zh-CN"/>
        </w:rPr>
        <w:t xml:space="preserve"> </w:t>
      </w:r>
      <w:r>
        <w:rPr>
          <w:rFonts w:hint="eastAsia" w:cs="Times New Roman"/>
          <w:bCs/>
          <w:color w:val="auto"/>
          <w:szCs w:val="32"/>
          <w:highlight w:val="none"/>
          <w:lang w:val="en-US" w:eastAsia="zh-CN"/>
        </w:rPr>
        <w:t>检测部位和检测数量</w:t>
      </w:r>
      <w:bookmarkEnd w:id="446"/>
      <w:bookmarkEnd w:id="447"/>
      <w:bookmarkEnd w:id="448"/>
    </w:p>
    <w:p>
      <w:pPr>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bidi="ar"/>
        </w:rPr>
        <w:t xml:space="preserve">9.2.1  </w:t>
      </w:r>
      <w:r>
        <w:rPr>
          <w:rFonts w:hint="eastAsia" w:ascii="宋体" w:hAnsi="宋体" w:eastAsia="宋体" w:cs="宋体"/>
          <w:color w:val="auto"/>
          <w:sz w:val="21"/>
          <w:szCs w:val="21"/>
          <w:highlight w:val="none"/>
          <w:lang w:val="en-US" w:eastAsia="zh-CN"/>
        </w:rPr>
        <w:t>设计一般以保护电器额定动作电流为依据选择保护电器，因此应将“动作时间”作为工程必检项目。在测量“动作时间”时对RCD通以额定剩余动作电流，如果RCD能正确动作，就说明在通过额定剩余动作电流时是可正确动作的，因此“动作电流”可作为选测项目。</w:t>
      </w:r>
    </w:p>
    <w:p>
      <w:pP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bidi="ar"/>
        </w:rPr>
        <w:t xml:space="preserve">9.2.2  </w:t>
      </w:r>
      <w:r>
        <w:rPr>
          <w:rFonts w:hint="eastAsia" w:ascii="宋体" w:hAnsi="宋体" w:eastAsia="宋体" w:cs="宋体"/>
          <w:color w:val="auto"/>
          <w:sz w:val="21"/>
          <w:szCs w:val="21"/>
          <w:highlight w:val="none"/>
          <w:lang w:val="en-US" w:eastAsia="zh-CN"/>
        </w:rPr>
        <w:t>《建筑电气工程施工质量验收规范》GB 50303规定剩余电流动作保护特性检测数量为每个配电箱（盘）不少于1个，不同厂家不同规格的产品质量不同，因此规定所有厂家的每个规格的剩余电流动作保护器应检测不少于1个。抽取安装数量比较多的剩余电流动作保护器时，尽可能的使不同厂家不同规格的产品抽检比例基本一致。</w:t>
      </w:r>
    </w:p>
    <w:p>
      <w:pPr>
        <w:pStyle w:val="40"/>
        <w:rPr>
          <w:rFonts w:hint="eastAsia" w:cs="Times New Roman"/>
          <w:bCs/>
          <w:color w:val="auto"/>
          <w:szCs w:val="32"/>
          <w:highlight w:val="none"/>
          <w:lang w:val="en-US" w:eastAsia="zh-CN"/>
        </w:rPr>
      </w:pPr>
      <w:bookmarkStart w:id="449" w:name="_Toc3665"/>
      <w:bookmarkStart w:id="450" w:name="_Toc1379"/>
      <w:bookmarkStart w:id="451" w:name="_Toc15020"/>
      <w:r>
        <w:rPr>
          <w:rFonts w:hint="eastAsia" w:cs="Times New Roman"/>
          <w:bCs/>
          <w:color w:val="auto"/>
          <w:szCs w:val="32"/>
          <w:highlight w:val="none"/>
          <w:lang w:val="en-US" w:eastAsia="zh-CN"/>
        </w:rPr>
        <w:t>9.3  检测方法</w:t>
      </w:r>
      <w:bookmarkEnd w:id="449"/>
      <w:bookmarkEnd w:id="450"/>
      <w:bookmarkEnd w:id="451"/>
    </w:p>
    <w:p>
      <w:pPr>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bidi="ar"/>
        </w:rPr>
        <w:t xml:space="preserve">9.3.1  </w:t>
      </w:r>
      <w:r>
        <w:rPr>
          <w:rFonts w:hint="eastAsia" w:ascii="宋体" w:hAnsi="宋体" w:eastAsia="宋体" w:cs="宋体"/>
          <w:color w:val="auto"/>
          <w:sz w:val="21"/>
          <w:szCs w:val="21"/>
          <w:highlight w:val="none"/>
          <w:lang w:val="en-US" w:eastAsia="zh-CN"/>
        </w:rPr>
        <w:t>剩余电流动作保护器的额定剩余动作电流有30mA、100mA、200mA等多种规格，选择剩余电流动作保护器检测仪器时应能产生足够大的剩余动作电流。逐步增加剩余电流至额定剩余动作电流的时间应小于额定动作时间。校准该设备时，应校准剩余动作电流和动作时间。</w:t>
      </w:r>
    </w:p>
    <w:p>
      <w:pPr>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bidi="ar"/>
        </w:rPr>
        <w:t xml:space="preserve">9.3.2  </w:t>
      </w:r>
      <w:r>
        <w:rPr>
          <w:rFonts w:hint="eastAsia" w:ascii="宋体" w:hAnsi="宋体" w:eastAsia="宋体" w:cs="宋体"/>
          <w:color w:val="auto"/>
          <w:sz w:val="21"/>
          <w:szCs w:val="21"/>
          <w:highlight w:val="none"/>
          <w:lang w:val="en-US" w:eastAsia="zh-CN"/>
        </w:rPr>
        <w:t>插座回路和设备回路均属于末端回路，均应在末端施加剩余动作电流。由于不能越级分断，因此干线回路的剩余电流动作保护器动作特性不能在末端施加剩余电流。</w:t>
      </w:r>
    </w:p>
    <w:p>
      <w:pPr>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bidi="ar"/>
        </w:rPr>
        <w:t xml:space="preserve">9.3.4  </w:t>
      </w:r>
      <w:r>
        <w:rPr>
          <w:rFonts w:hint="eastAsia" w:ascii="宋体" w:hAnsi="宋体" w:eastAsia="宋体" w:cs="宋体"/>
          <w:color w:val="auto"/>
          <w:sz w:val="21"/>
          <w:szCs w:val="21"/>
          <w:highlight w:val="none"/>
          <w:lang w:val="en-US" w:eastAsia="zh-CN"/>
        </w:rPr>
        <w:t>一般剩余电流动作保护器检测仪器均配有测试夹、测试笔、插入插座的测试头，可使用这些连接件将检测仪器与回路连接，不需要拆开插座、接线端子等进行连线。检测仪器未配置合适连接件时，需要拆开插座面板和接线或者拆开接线端子连接设备测试端，这种情况下，必须先断电，验证线路不带电才能进行接线操作。</w:t>
      </w:r>
    </w:p>
    <w:p>
      <w:pPr>
        <w:pStyle w:val="40"/>
        <w:rPr>
          <w:rFonts w:cs="Times New Roman"/>
          <w:bCs/>
          <w:color w:val="auto"/>
          <w:szCs w:val="32"/>
          <w:highlight w:val="none"/>
        </w:rPr>
      </w:pPr>
      <w:bookmarkStart w:id="452" w:name="_Toc21124"/>
      <w:bookmarkStart w:id="453" w:name="_Toc24778"/>
      <w:bookmarkStart w:id="454" w:name="_Toc24093"/>
      <w:r>
        <w:rPr>
          <w:rFonts w:hint="eastAsia" w:cs="Times New Roman"/>
          <w:bCs/>
          <w:color w:val="auto"/>
          <w:szCs w:val="32"/>
          <w:highlight w:val="none"/>
          <w:lang w:val="en-US" w:eastAsia="zh-CN"/>
        </w:rPr>
        <w:t>9</w:t>
      </w:r>
      <w:r>
        <w:rPr>
          <w:rFonts w:cs="Times New Roman"/>
          <w:bCs/>
          <w:color w:val="auto"/>
          <w:szCs w:val="32"/>
          <w:highlight w:val="none"/>
        </w:rPr>
        <w:t>.</w:t>
      </w:r>
      <w:r>
        <w:rPr>
          <w:rFonts w:hint="eastAsia" w:cs="Times New Roman"/>
          <w:bCs/>
          <w:color w:val="auto"/>
          <w:szCs w:val="32"/>
          <w:highlight w:val="none"/>
          <w:lang w:val="en-US" w:eastAsia="zh-CN"/>
        </w:rPr>
        <w:t xml:space="preserve">4  </w:t>
      </w:r>
      <w:r>
        <w:rPr>
          <w:rFonts w:hint="eastAsia" w:cs="Times New Roman"/>
          <w:bCs/>
          <w:color w:val="auto"/>
          <w:szCs w:val="32"/>
          <w:highlight w:val="none"/>
        </w:rPr>
        <w:t>检测结果</w:t>
      </w:r>
      <w:r>
        <w:rPr>
          <w:rFonts w:hint="eastAsia" w:ascii="宋体" w:hAnsi="宋体" w:eastAsia="宋体" w:cs="宋体"/>
          <w:color w:val="auto"/>
          <w:sz w:val="21"/>
          <w:szCs w:val="21"/>
          <w:highlight w:val="none"/>
          <w:lang w:val="en-US" w:eastAsia="zh-CN"/>
        </w:rPr>
        <w:t>的评价</w:t>
      </w:r>
      <w:bookmarkEnd w:id="452"/>
      <w:bookmarkEnd w:id="453"/>
      <w:bookmarkEnd w:id="454"/>
    </w:p>
    <w:p>
      <w:pPr>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bidi="ar"/>
        </w:rPr>
        <w:t xml:space="preserve">9.4.2  </w:t>
      </w:r>
      <w:r>
        <w:rPr>
          <w:rFonts w:hint="eastAsia" w:ascii="宋体" w:hAnsi="宋体" w:eastAsia="宋体" w:cs="宋体"/>
          <w:color w:val="auto"/>
          <w:sz w:val="21"/>
          <w:szCs w:val="21"/>
          <w:highlight w:val="none"/>
          <w:lang w:val="en-US" w:eastAsia="zh-CN"/>
        </w:rPr>
        <w:t>剩余电流动作保护器既不能不动作，也不能频繁动作，因此剩余电流动作保护器的动作电流不能大于额定剩余动作电流值，也不能小于产品的规定不动作电流，即0.5倍额定剩余动作电流值。</w:t>
      </w:r>
    </w:p>
    <w:p>
      <w:pPr>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bidi="ar"/>
        </w:rPr>
        <w:t xml:space="preserve">9.4.3  </w:t>
      </w:r>
      <w:r>
        <w:rPr>
          <w:rFonts w:hint="eastAsia" w:ascii="宋体" w:hAnsi="宋体" w:eastAsia="宋体" w:cs="宋体"/>
          <w:color w:val="auto"/>
          <w:sz w:val="21"/>
          <w:szCs w:val="21"/>
          <w:highlight w:val="none"/>
          <w:lang w:val="en-US" w:eastAsia="zh-CN"/>
        </w:rPr>
        <w:t>电气线路的保护机制是逐级保护，产生越级分断，将扩大漏电对正常工作的影响范围，因此不允许越级分断。</w:t>
      </w:r>
    </w:p>
    <w:p>
      <w:pPr>
        <w:rPr>
          <w:rFonts w:hint="default" w:ascii="宋体" w:hAnsi="宋体" w:eastAsia="宋体" w:cs="宋体"/>
          <w:strike w:val="0"/>
          <w:dstrike w:val="0"/>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bidi="ar"/>
        </w:rPr>
        <w:t xml:space="preserve">9.4.4  </w:t>
      </w:r>
      <w:r>
        <w:rPr>
          <w:rFonts w:hint="eastAsia" w:ascii="宋体" w:hAnsi="宋体" w:eastAsia="宋体" w:cs="宋体"/>
          <w:color w:val="auto"/>
          <w:sz w:val="21"/>
          <w:szCs w:val="21"/>
          <w:highlight w:val="none"/>
          <w:lang w:val="en-US" w:eastAsia="zh-CN"/>
        </w:rPr>
        <w:t>考虑到同厂家同规格的产品质量基本一致，因此出现不合格时，仅对不合格产品的同厂家同规格产品进行扩大抽检。当扩大抽检仍有不合格时，同厂家同规格的所有产品都应检测。</w:t>
      </w:r>
    </w:p>
    <w:p>
      <w:pPr>
        <w:rPr>
          <w:rFonts w:hint="default"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 w:val="21"/>
          <w:szCs w:val="21"/>
          <w:highlight w:val="none"/>
          <w:lang w:val="en-US" w:eastAsia="zh-CN" w:bidi="ar"/>
        </w:rPr>
        <w:br w:type="page"/>
      </w:r>
    </w:p>
    <w:p>
      <w:pPr>
        <w:pStyle w:val="37"/>
        <w:spacing w:line="276" w:lineRule="auto"/>
        <w:rPr>
          <w:rFonts w:eastAsia="宋体" w:cs="Times New Roman"/>
          <w:bCs/>
          <w:color w:val="auto"/>
          <w:szCs w:val="44"/>
          <w:highlight w:val="none"/>
        </w:rPr>
      </w:pPr>
      <w:bookmarkStart w:id="455" w:name="_Toc17230"/>
      <w:bookmarkStart w:id="456" w:name="_Toc28413"/>
      <w:bookmarkStart w:id="457" w:name="_Toc20289"/>
      <w:r>
        <w:rPr>
          <w:rFonts w:hint="eastAsia" w:eastAsia="宋体" w:cs="Times New Roman"/>
          <w:bCs/>
          <w:color w:val="auto"/>
          <w:szCs w:val="44"/>
          <w:highlight w:val="none"/>
        </w:rPr>
        <w:t>10</w:t>
      </w:r>
      <w:r>
        <w:rPr>
          <w:rFonts w:hint="eastAsia" w:eastAsia="宋体" w:cs="Times New Roman"/>
          <w:bCs/>
          <w:color w:val="auto"/>
          <w:szCs w:val="44"/>
          <w:highlight w:val="none"/>
          <w:lang w:val="en-US" w:eastAsia="zh-CN"/>
        </w:rPr>
        <w:t xml:space="preserve">   </w:t>
      </w:r>
      <w:r>
        <w:rPr>
          <w:rFonts w:hint="eastAsia" w:eastAsia="宋体" w:cs="Times New Roman"/>
          <w:bCs/>
          <w:color w:val="auto"/>
          <w:szCs w:val="44"/>
          <w:highlight w:val="none"/>
        </w:rPr>
        <w:t>接线正确性检测</w:t>
      </w:r>
      <w:bookmarkEnd w:id="455"/>
      <w:bookmarkEnd w:id="456"/>
      <w:bookmarkEnd w:id="457"/>
    </w:p>
    <w:p>
      <w:pPr>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接线问题是建筑电气工程中出现频率最高的问题，有些问题在通电试运行阶段能发现，比如接线断开，设备不能运行；有些问题不影响设备通电，但影响使用安全，比如保护接地导体（ PE）在插座之间串联连接，当PE 在插座端子处断线后连接，导致 PE 虚接或中断，将使故障点之后的插座失去PE。还有些问题可能在送电时导致设备损坏或者送不上电，比如短接，可能损坏设备，将导致跳闸。所以正确接线非常重要。</w:t>
      </w:r>
    </w:p>
    <w:p>
      <w:pPr>
        <w:pStyle w:val="40"/>
        <w:rPr>
          <w:rFonts w:hint="eastAsia" w:cs="Times New Roman"/>
          <w:bCs/>
          <w:color w:val="auto"/>
          <w:szCs w:val="32"/>
          <w:highlight w:val="none"/>
        </w:rPr>
      </w:pPr>
      <w:bookmarkStart w:id="458" w:name="_Toc22768"/>
      <w:bookmarkStart w:id="459" w:name="_Toc14576"/>
      <w:bookmarkStart w:id="460" w:name="_Toc30879"/>
      <w:r>
        <w:rPr>
          <w:rFonts w:hint="eastAsia" w:cs="Times New Roman"/>
          <w:bCs/>
          <w:color w:val="auto"/>
          <w:szCs w:val="32"/>
          <w:highlight w:val="none"/>
        </w:rPr>
        <w:t>10.</w:t>
      </w:r>
      <w:r>
        <w:rPr>
          <w:rFonts w:hint="eastAsia" w:cs="Times New Roman"/>
          <w:bCs/>
          <w:color w:val="auto"/>
          <w:szCs w:val="32"/>
          <w:highlight w:val="none"/>
          <w:lang w:val="en-US" w:eastAsia="zh-CN"/>
        </w:rPr>
        <w:t xml:space="preserve">2  </w:t>
      </w:r>
      <w:r>
        <w:rPr>
          <w:rFonts w:hint="eastAsia" w:cs="Times New Roman"/>
          <w:bCs/>
          <w:color w:val="auto"/>
          <w:szCs w:val="32"/>
          <w:highlight w:val="none"/>
        </w:rPr>
        <w:t>检测部位和检测数量</w:t>
      </w:r>
      <w:bookmarkEnd w:id="458"/>
      <w:bookmarkEnd w:id="459"/>
      <w:bookmarkEnd w:id="460"/>
    </w:p>
    <w:p>
      <w:pPr>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本节检测部位和检测数量均引自《建筑电气工程施工质量验收规范》GB 50303。</w:t>
      </w:r>
    </w:p>
    <w:p>
      <w:pPr>
        <w:pStyle w:val="40"/>
        <w:rPr>
          <w:rFonts w:hint="eastAsia" w:cs="Times New Roman"/>
          <w:bCs/>
          <w:color w:val="auto"/>
          <w:szCs w:val="32"/>
          <w:highlight w:val="none"/>
        </w:rPr>
      </w:pPr>
      <w:bookmarkStart w:id="461" w:name="_Toc16286"/>
      <w:bookmarkStart w:id="462" w:name="_Toc5665"/>
      <w:bookmarkStart w:id="463" w:name="_Toc16055"/>
      <w:r>
        <w:rPr>
          <w:rFonts w:hint="eastAsia" w:cs="Times New Roman"/>
          <w:bCs/>
          <w:color w:val="auto"/>
          <w:szCs w:val="32"/>
          <w:highlight w:val="none"/>
        </w:rPr>
        <w:t>10.</w:t>
      </w:r>
      <w:r>
        <w:rPr>
          <w:rFonts w:hint="eastAsia" w:cs="Times New Roman"/>
          <w:bCs/>
          <w:color w:val="auto"/>
          <w:szCs w:val="32"/>
          <w:highlight w:val="none"/>
          <w:lang w:val="en-US" w:eastAsia="zh-CN"/>
        </w:rPr>
        <w:t xml:space="preserve">3  </w:t>
      </w:r>
      <w:r>
        <w:rPr>
          <w:rFonts w:hint="eastAsia" w:cs="Times New Roman"/>
          <w:bCs/>
          <w:color w:val="auto"/>
          <w:szCs w:val="32"/>
          <w:highlight w:val="none"/>
        </w:rPr>
        <w:t>检测方法</w:t>
      </w:r>
      <w:bookmarkEnd w:id="461"/>
      <w:bookmarkEnd w:id="462"/>
      <w:bookmarkEnd w:id="463"/>
    </w:p>
    <w:p>
      <w:pPr>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bidi="ar"/>
        </w:rPr>
        <w:t xml:space="preserve">10.3.1  </w:t>
      </w:r>
      <w:r>
        <w:rPr>
          <w:rFonts w:hint="eastAsia" w:ascii="宋体" w:hAnsi="宋体" w:eastAsia="宋体" w:cs="宋体"/>
          <w:color w:val="auto"/>
          <w:sz w:val="21"/>
          <w:szCs w:val="21"/>
          <w:highlight w:val="none"/>
          <w:lang w:val="en-US" w:eastAsia="zh-CN"/>
        </w:rPr>
        <w:t>现场检测过程中，可充分利用插座接线的颜色标识，辅助对接线正确性进行检测判断。</w:t>
      </w:r>
    </w:p>
    <w:p>
      <w:pPr>
        <w:pStyle w:val="40"/>
        <w:rPr>
          <w:rFonts w:hint="eastAsia" w:cs="Times New Roman"/>
          <w:bCs/>
          <w:color w:val="auto"/>
          <w:szCs w:val="32"/>
          <w:highlight w:val="none"/>
        </w:rPr>
      </w:pPr>
      <w:bookmarkStart w:id="464" w:name="_Toc16896"/>
      <w:bookmarkStart w:id="465" w:name="_Toc1132"/>
      <w:bookmarkStart w:id="466" w:name="_Toc28487"/>
      <w:r>
        <w:rPr>
          <w:rFonts w:hint="eastAsia" w:cs="Times New Roman"/>
          <w:bCs/>
          <w:color w:val="auto"/>
          <w:szCs w:val="32"/>
          <w:highlight w:val="none"/>
        </w:rPr>
        <w:t>10.</w:t>
      </w:r>
      <w:r>
        <w:rPr>
          <w:rFonts w:hint="eastAsia" w:cs="Times New Roman"/>
          <w:bCs/>
          <w:color w:val="auto"/>
          <w:szCs w:val="32"/>
          <w:highlight w:val="none"/>
          <w:lang w:val="en-US" w:eastAsia="zh-CN"/>
        </w:rPr>
        <w:t xml:space="preserve">4  </w:t>
      </w:r>
      <w:r>
        <w:rPr>
          <w:rFonts w:hint="eastAsia" w:cs="Times New Roman"/>
          <w:bCs/>
          <w:color w:val="auto"/>
          <w:szCs w:val="32"/>
          <w:highlight w:val="none"/>
        </w:rPr>
        <w:t>检测结果</w:t>
      </w:r>
      <w:r>
        <w:rPr>
          <w:rFonts w:hint="eastAsia" w:ascii="宋体" w:hAnsi="宋体" w:eastAsia="宋体" w:cs="宋体"/>
          <w:color w:val="auto"/>
          <w:sz w:val="21"/>
          <w:szCs w:val="21"/>
          <w:highlight w:val="none"/>
          <w:lang w:val="en-US" w:eastAsia="zh-CN"/>
        </w:rPr>
        <w:t>的评价</w:t>
      </w:r>
      <w:bookmarkEnd w:id="464"/>
      <w:bookmarkEnd w:id="465"/>
      <w:bookmarkEnd w:id="466"/>
    </w:p>
    <w:p>
      <w:pPr>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bidi="ar"/>
        </w:rPr>
        <w:t>10.4.2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bCs/>
          <w:color w:val="auto"/>
          <w:kern w:val="0"/>
          <w:sz w:val="21"/>
          <w:szCs w:val="21"/>
          <w:highlight w:val="none"/>
          <w:lang w:val="en-US" w:eastAsia="zh-CN" w:bidi="ar"/>
        </w:rPr>
        <w:t>2</w:t>
      </w:r>
      <w:r>
        <w:rPr>
          <w:rFonts w:hint="eastAsia" w:ascii="宋体" w:hAnsi="宋体" w:eastAsia="宋体" w:cs="宋体"/>
          <w:color w:val="auto"/>
          <w:sz w:val="21"/>
          <w:szCs w:val="21"/>
          <w:highlight w:val="none"/>
          <w:lang w:val="en-US" w:eastAsia="zh-CN"/>
        </w:rPr>
        <w:t>上引线是指引至相线或中性线，下引线是指引至接地。</w:t>
      </w:r>
    </w:p>
    <w:p>
      <w:pPr>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bidi="ar"/>
        </w:rPr>
        <w:t xml:space="preserve">10.4.4  </w:t>
      </w:r>
      <w:r>
        <w:rPr>
          <w:rFonts w:hint="eastAsia" w:ascii="宋体" w:hAnsi="宋体" w:eastAsia="宋体" w:cs="宋体"/>
          <w:color w:val="auto"/>
          <w:sz w:val="21"/>
          <w:szCs w:val="21"/>
          <w:highlight w:val="none"/>
          <w:lang w:val="en-US" w:eastAsia="zh-CN"/>
        </w:rPr>
        <w:t>电源线连接前，应确认电涌保护器（SPD）型号，性能参数符合设计要求，接地线与PE排连接可靠。</w:t>
      </w:r>
    </w:p>
    <w:p>
      <w:pPr>
        <w:pStyle w:val="2"/>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kern w:val="0"/>
          <w:sz w:val="21"/>
          <w:szCs w:val="21"/>
          <w:highlight w:val="none"/>
          <w:lang w:val="en-US" w:eastAsia="zh-CN" w:bidi="ar"/>
        </w:rPr>
        <w:br w:type="page"/>
      </w:r>
      <w:bookmarkStart w:id="467" w:name="_Toc32122"/>
      <w:bookmarkStart w:id="468" w:name="_Toc26754"/>
      <w:bookmarkStart w:id="469" w:name="_Toc26080"/>
      <w:r>
        <w:rPr>
          <w:rFonts w:hint="eastAsia" w:ascii="Times New Roman" w:hAnsi="Times New Roman" w:eastAsia="宋体" w:cs="Times New Roman"/>
          <w:b/>
          <w:bCs/>
          <w:color w:val="auto"/>
          <w:kern w:val="44"/>
          <w:sz w:val="28"/>
          <w:szCs w:val="44"/>
          <w:highlight w:val="none"/>
          <w:lang w:val="en-US" w:eastAsia="zh-CN" w:bidi="ar-SA"/>
        </w:rPr>
        <w:t>11   温度检测</w:t>
      </w:r>
      <w:bookmarkEnd w:id="467"/>
      <w:bookmarkEnd w:id="468"/>
      <w:bookmarkEnd w:id="469"/>
    </w:p>
    <w:p>
      <w:pPr>
        <w:ind w:firstLine="420" w:firstLineChars="200"/>
        <w:rPr>
          <w:rFonts w:hint="default"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当电气设备、电气线路运行时均会发热，当发生接触不良、过载时，电气设备或者电气线路温度异常升高，因此可通过测量温度，比较温度升高幅度，来判断电气设备或电气线路是否正常运行。</w:t>
      </w:r>
    </w:p>
    <w:p>
      <w:pPr>
        <w:pStyle w:val="40"/>
        <w:rPr>
          <w:rFonts w:hint="default" w:cs="Times New Roman"/>
          <w:bCs/>
          <w:color w:val="auto"/>
          <w:szCs w:val="32"/>
          <w:highlight w:val="none"/>
          <w:lang w:val="en-US" w:eastAsia="zh-CN"/>
        </w:rPr>
      </w:pPr>
      <w:bookmarkStart w:id="470" w:name="_Toc8011"/>
      <w:bookmarkStart w:id="471" w:name="_Toc12669"/>
      <w:bookmarkStart w:id="472" w:name="_Toc25866"/>
      <w:r>
        <w:rPr>
          <w:rFonts w:hint="eastAsia" w:cs="Times New Roman"/>
          <w:bCs/>
          <w:color w:val="auto"/>
          <w:szCs w:val="32"/>
          <w:highlight w:val="none"/>
          <w:lang w:val="en-US" w:eastAsia="zh-CN"/>
        </w:rPr>
        <w:t>11</w:t>
      </w:r>
      <w:r>
        <w:rPr>
          <w:rFonts w:cs="Times New Roman"/>
          <w:bCs/>
          <w:color w:val="auto"/>
          <w:szCs w:val="32"/>
          <w:highlight w:val="none"/>
        </w:rPr>
        <w:t>.1</w:t>
      </w:r>
      <w:r>
        <w:rPr>
          <w:rFonts w:hint="eastAsia" w:cs="Times New Roman"/>
          <w:bCs/>
          <w:color w:val="auto"/>
          <w:szCs w:val="32"/>
          <w:highlight w:val="none"/>
          <w:lang w:val="en-US" w:eastAsia="zh-CN"/>
        </w:rPr>
        <w:t xml:space="preserve">  一般规定</w:t>
      </w:r>
      <w:bookmarkEnd w:id="470"/>
      <w:bookmarkEnd w:id="471"/>
      <w:bookmarkEnd w:id="472"/>
    </w:p>
    <w:p>
      <w:pPr>
        <w:rPr>
          <w:rFonts w:hint="default" w:ascii="宋体" w:hAnsi="宋体" w:eastAsia="宋体"/>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bidi="ar"/>
        </w:rPr>
        <w:t>11.1.2</w:t>
      </w:r>
      <w:r>
        <w:rPr>
          <w:rFonts w:hint="eastAsia" w:ascii="宋体" w:hAnsi="宋体" w:eastAsia="宋体"/>
          <w:color w:val="auto"/>
          <w:sz w:val="21"/>
          <w:szCs w:val="21"/>
          <w:highlight w:val="none"/>
          <w:lang w:val="en-US" w:eastAsia="zh-CN"/>
        </w:rPr>
        <w:t xml:space="preserve">  广东省标准《建筑电气防火检测技术标准》DBJ/T 15-138-2018第1.0.5条规定：电气防火检测应在正常电气设备和线路经过1h以上时间的有载正常运行，进入正常热稳定状态后进行。新建、改建、扩建建筑验收检测时，检测对象宜达到设计负载或者验收状态下的最大负载，既有建筑检测时，检测对象宜达到最大使用负载；且不宜在整个建筑最大用电量时检测。判断热稳定比较难，工作状态正常稳定比较容易判断，经过1h负载运行达到工作状态稳定时设备和线路的温度也基本进入稳定状态。</w:t>
      </w:r>
    </w:p>
    <w:p>
      <w:pPr>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bidi="ar"/>
        </w:rPr>
        <w:t>11.1.3</w:t>
      </w:r>
      <w:r>
        <w:rPr>
          <w:rFonts w:hint="eastAsia" w:ascii="宋体" w:hAnsi="宋体" w:eastAsia="宋体"/>
          <w:color w:val="auto"/>
          <w:sz w:val="21"/>
          <w:szCs w:val="21"/>
          <w:highlight w:val="none"/>
        </w:rPr>
        <w:t xml:space="preserve"> </w:t>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rPr>
        <w:t>被测物体表面热反射率较低时，该物体会将来自其他物体的任何热辐射反射出去，</w:t>
      </w:r>
      <w:r>
        <w:rPr>
          <w:rFonts w:hint="eastAsia" w:ascii="宋体" w:hAnsi="宋体" w:eastAsia="宋体"/>
          <w:color w:val="auto"/>
          <w:sz w:val="21"/>
          <w:szCs w:val="21"/>
          <w:highlight w:val="none"/>
          <w:lang w:eastAsia="zh-CN"/>
        </w:rPr>
        <w:t>红外热像法检测温度</w:t>
      </w:r>
      <w:r>
        <w:rPr>
          <w:rFonts w:hint="eastAsia" w:ascii="宋体" w:hAnsi="宋体" w:eastAsia="宋体"/>
          <w:color w:val="auto"/>
          <w:sz w:val="21"/>
          <w:szCs w:val="21"/>
          <w:highlight w:val="none"/>
        </w:rPr>
        <w:t>设备测量的将会是其他物体反射的温度，带来较大的测量误差。</w:t>
      </w:r>
      <w:r>
        <w:rPr>
          <w:rFonts w:hint="eastAsia" w:ascii="宋体" w:hAnsi="宋体" w:eastAsia="宋体" w:cs="宋体"/>
          <w:i w:val="0"/>
          <w:iCs w:val="0"/>
          <w:color w:val="auto"/>
          <w:sz w:val="21"/>
          <w:szCs w:val="21"/>
          <w:highlight w:val="none"/>
          <w:lang w:val="en-US" w:eastAsia="zh-CN"/>
        </w:rPr>
        <w:t>红外检测人员应注意到这些潜在的误差并采取合适的方法使之最小化（如移动热像仪的位置，回避红外反射较强的角度）。</w:t>
      </w:r>
    </w:p>
    <w:p>
      <w:pPr>
        <w:rPr>
          <w:rFonts w:hint="eastAsia" w:ascii="宋体" w:hAnsi="宋体" w:eastAsia="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11.1.4</w:t>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rPr>
        <w:t>红外辐射的传输过程中，大气的吸收作用带来了一部分能量的衰减，使一部分红外辐射能量变成其他形式的能量，成为另一种光谱，大气中吸收红外辐射能量的主要是水气和二氧化碳，因此，</w:t>
      </w:r>
      <w:r>
        <w:rPr>
          <w:rFonts w:hint="eastAsia" w:ascii="宋体" w:hAnsi="宋体" w:eastAsia="宋体"/>
          <w:color w:val="auto"/>
          <w:sz w:val="21"/>
          <w:szCs w:val="21"/>
          <w:highlight w:val="none"/>
          <w:lang w:eastAsia="zh-CN"/>
        </w:rPr>
        <w:t>红外热像法检测温度</w:t>
      </w:r>
      <w:r>
        <w:rPr>
          <w:rFonts w:hint="eastAsia" w:ascii="宋体" w:hAnsi="宋体" w:eastAsia="宋体"/>
          <w:color w:val="auto"/>
          <w:sz w:val="21"/>
          <w:szCs w:val="21"/>
          <w:highlight w:val="none"/>
        </w:rPr>
        <w:t>时，宜在湿度较低的无雨条件下进行；灯光、太阳光及其他非待测物体的辐射可能产生与红外辐射设备设定波长相近的光波，所测温度会比待测设备实测温度偏高；强磁场环境会造成</w:t>
      </w:r>
      <w:r>
        <w:rPr>
          <w:rFonts w:hint="eastAsia" w:ascii="宋体" w:hAnsi="宋体" w:eastAsia="宋体"/>
          <w:color w:val="auto"/>
          <w:sz w:val="21"/>
          <w:szCs w:val="21"/>
          <w:highlight w:val="none"/>
          <w:lang w:eastAsia="zh-CN"/>
        </w:rPr>
        <w:t>红外热像法检测温度</w:t>
      </w:r>
      <w:r>
        <w:rPr>
          <w:rFonts w:hint="eastAsia" w:ascii="宋体" w:hAnsi="宋体" w:eastAsia="宋体"/>
          <w:color w:val="auto"/>
          <w:sz w:val="21"/>
          <w:szCs w:val="21"/>
          <w:highlight w:val="none"/>
        </w:rPr>
        <w:t>设备输出信号失真，应对其加以屏蔽处置。</w:t>
      </w:r>
    </w:p>
    <w:p>
      <w:pPr>
        <w:pStyle w:val="40"/>
        <w:rPr>
          <w:rFonts w:hint="eastAsia" w:cs="Times New Roman"/>
          <w:bCs/>
          <w:color w:val="auto"/>
          <w:szCs w:val="32"/>
          <w:highlight w:val="none"/>
          <w:lang w:val="en-US" w:eastAsia="zh-CN"/>
        </w:rPr>
      </w:pPr>
      <w:bookmarkStart w:id="473" w:name="_Toc14096"/>
      <w:bookmarkStart w:id="474" w:name="_Toc20882"/>
      <w:bookmarkStart w:id="475" w:name="_Toc23492"/>
      <w:r>
        <w:rPr>
          <w:rFonts w:hint="eastAsia" w:cs="Times New Roman"/>
          <w:bCs/>
          <w:color w:val="auto"/>
          <w:szCs w:val="32"/>
          <w:highlight w:val="none"/>
          <w:lang w:val="en-US" w:eastAsia="zh-CN"/>
        </w:rPr>
        <w:t>11.3  检测方法</w:t>
      </w:r>
      <w:bookmarkEnd w:id="473"/>
      <w:bookmarkEnd w:id="474"/>
      <w:bookmarkEnd w:id="475"/>
    </w:p>
    <w:p>
      <w:pPr>
        <w:rPr>
          <w:rFonts w:hint="eastAsia" w:ascii="宋体" w:hAnsi="宋体" w:eastAsia="宋体"/>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bidi="ar"/>
        </w:rPr>
        <w:t xml:space="preserve">11.3.1  </w:t>
      </w:r>
      <w:r>
        <w:rPr>
          <w:rFonts w:hint="eastAsia" w:ascii="宋体" w:hAnsi="宋体" w:eastAsia="宋体"/>
          <w:color w:val="auto"/>
          <w:sz w:val="21"/>
          <w:szCs w:val="21"/>
          <w:highlight w:val="none"/>
          <w:lang w:val="en-US" w:eastAsia="zh-CN"/>
        </w:rPr>
        <w:t>本条规定了应对被检工程进行资料收集和现场初步勘察，有利于了解建筑电气设备的配置和安装情况、电气线路布设和改造情况以及建筑电气设备的现场运行情况，找出可能影响检测的因素。</w:t>
      </w:r>
    </w:p>
    <w:p>
      <w:pPr>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资料的收集应包括下列内容：</w:t>
      </w:r>
    </w:p>
    <w:p>
      <w:pPr>
        <w:ind w:firstLine="422" w:firstLineChars="200"/>
        <w:rPr>
          <w:rFonts w:hint="eastAsia" w:ascii="宋体" w:hAnsi="宋体" w:eastAsia="宋体"/>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bidi="ar"/>
        </w:rPr>
        <w:t>1</w:t>
      </w:r>
      <w:r>
        <w:rPr>
          <w:rFonts w:hint="eastAsia" w:ascii="宋体" w:hAnsi="宋体" w:eastAsia="宋体"/>
          <w:color w:val="auto"/>
          <w:sz w:val="21"/>
          <w:szCs w:val="21"/>
          <w:highlight w:val="none"/>
          <w:lang w:val="en-US" w:eastAsia="zh-CN"/>
        </w:rPr>
        <w:t xml:space="preserve">  被检设备制造文件资料：产品合格证、质量证明文件、竣工图等，充分了解被检设备的结构、运动和工作模式等；</w:t>
      </w:r>
    </w:p>
    <w:p>
      <w:pPr>
        <w:ind w:firstLine="422" w:firstLineChars="200"/>
        <w:rPr>
          <w:rFonts w:hint="eastAsia" w:ascii="宋体" w:hAnsi="宋体" w:eastAsia="宋体"/>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bidi="ar"/>
        </w:rPr>
        <w:t>2</w:t>
      </w:r>
      <w:r>
        <w:rPr>
          <w:rFonts w:hint="eastAsia" w:ascii="宋体" w:hAnsi="宋体" w:eastAsia="宋体"/>
          <w:color w:val="auto"/>
          <w:sz w:val="21"/>
          <w:szCs w:val="21"/>
          <w:highlight w:val="none"/>
          <w:lang w:val="en-US" w:eastAsia="zh-CN"/>
        </w:rPr>
        <w:t xml:space="preserve">  被检设备运行记录资料：开停车情况、运行参数、工作介质、载荷变化情况以及运行中出现的异常情况等。</w:t>
      </w:r>
    </w:p>
    <w:p>
      <w:pPr>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现场应对建筑电气设备的表面状态、外保温情况、周围热辐射源的分布情况等进行勘察，找出所有可能影响检测的因素。在检测时应设法尽可能避免这些因素的干扰。</w:t>
      </w:r>
    </w:p>
    <w:p>
      <w:pPr>
        <w:rPr>
          <w:rFonts w:hint="eastAsia" w:ascii="宋体" w:hAnsi="宋体" w:eastAsia="宋体"/>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bidi="ar"/>
        </w:rPr>
        <w:t xml:space="preserve">11.3.2  </w:t>
      </w:r>
      <w:r>
        <w:rPr>
          <w:rFonts w:hint="eastAsia" w:ascii="宋体" w:hAnsi="宋体" w:eastAsia="宋体"/>
          <w:color w:val="auto"/>
          <w:sz w:val="21"/>
          <w:szCs w:val="21"/>
          <w:highlight w:val="none"/>
          <w:lang w:val="en-US" w:eastAsia="zh-CN"/>
        </w:rPr>
        <w:t>本条规定了建筑电气设备红外热像法检测温度现场检测前的一些准备工作，具体包括被检部位表面状态的检查、检测部位遮挡物的移除、设备的稳定运行等。</w:t>
      </w:r>
    </w:p>
    <w:p>
      <w:pPr>
        <w:ind w:firstLine="420" w:firstLineChars="20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被检部位的表面状态直接影响红外发射率，对温度的测量带来较大的误差，为了获得更准确的表面温度，需要排除受检对象表面状态给检测带来的干扰。</w:t>
      </w:r>
    </w:p>
    <w:p>
      <w:pPr>
        <w:ind w:firstLine="420" w:firstLineChars="20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有物体遮挡被检设备时，将影响被检设备与红外热像仪之间的红外线传播，导致检测到的并非目标物的表面温度分布情况，因此需要将遮挡物移除。</w:t>
      </w:r>
    </w:p>
    <w:p>
      <w:pPr>
        <w:ind w:firstLine="420" w:firstLineChars="20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红外检测的目的是检测电气设备或电气线路正常工况下的发热情况，通过发现异常发热点以及热成像分析异常发热的原因，从而找出故障或隐患，因此电气设备和电气线路的载荷基本稳定时，在正常工况下进行检测。当电气设备或电气线路的载荷变化较大时，检测的最佳时段是载荷最大的时段。比如厨房电箱，仅在制作饭菜的过程中产生较大载荷，此处电箱电气设备等的红外检测在制作饭菜的时段内进行检测才能更好的反应发热情况。</w:t>
      </w:r>
    </w:p>
    <w:p>
      <w:pPr>
        <w:rPr>
          <w:rFonts w:hint="eastAsia" w:ascii="宋体" w:hAnsi="宋体" w:eastAsia="宋体"/>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bidi="ar"/>
        </w:rPr>
        <w:t>11.3.3</w:t>
      </w:r>
      <w:r>
        <w:rPr>
          <w:rFonts w:hint="eastAsia" w:ascii="宋体" w:hAnsi="宋体" w:eastAsia="宋体"/>
          <w:color w:val="auto"/>
          <w:sz w:val="21"/>
          <w:szCs w:val="21"/>
          <w:highlight w:val="none"/>
          <w:lang w:val="en-US" w:eastAsia="zh-CN"/>
        </w:rPr>
        <w:t xml:space="preserve">  本条规定了建筑电气设备红外热像法检测温度的现场检测流程。</w:t>
      </w:r>
    </w:p>
    <w:p>
      <w:pPr>
        <w:ind w:firstLine="420" w:firstLineChars="20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打开红外热像法检测温度仪器并完成温度自校后，需要根据被测部位的可能温度范围设定温度量程。被检部位的温度常见在T0-10（K）至T0+20（K）的范围内，其中T0为被测设备区域的环境温度。温度量程设置为T0-10（K）至T0+20（K）时，根据热成像的颜色能很好的区分不同区域的温度，比如较高温度处显示红色，接近环境温度处显示蓝色。但是当有部分区域温度超过T0+20（K）时，在热成像图中不能正确显示该区域的图像，可能出现比较大范围的红色，不利于发现具体的高温部位，也不能正确显示最高温度，检测得到的最高温度可能存在由于仪器温度量程限制导致的误差，此时需要调整仪器温度量程范围。当受检部位的温度比较均匀，温度范围比较窄时，仪器温度量程设置为T0-10（K）至T0+20（K）可能导致热成像整个视场颜色比较接近，不能分辨相对高温区，此时需要将温度量程范围缩小。</w:t>
      </w:r>
    </w:p>
    <w:p>
      <w:pPr>
        <w:ind w:firstLine="420" w:firstLineChars="20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红外热像法检测温度仪器的显示方式应采用彩色模式，一般选择铁红调色板， 并结合数值测温手段，如热点跟踪，区域温度跟踪，红外和可见光融合等手段进行检测。充分利用仪器的有关功能，如图像平均，自动跟踪等，以达到最佳检测效果。对于面状发热部位（如套管压接板），可采用区域最高温度自动跟踪，以发现发热源。对于柱状发热设备（如避雷器），可采用线性温度分析功能，以发现发热源。根据环境温度起伏变化、仪器长时间监测稳定性等情况，监测过程中注意对仪器（需要时）重新设定内部温度等参数。</w:t>
      </w:r>
    </w:p>
    <w:p>
      <w:pPr>
        <w:ind w:firstLine="420" w:firstLineChars="20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不同方向和角度检测结果不完全一样，不同方向和角度检测时，尽量保持检测距离一致，对检测结果应进行分析，检测结果的差别是什么原因导致的，由于遮挡、周边热辐射等干扰因素导致的差别，应剔除有干扰产生的检测结果，避开干扰重新检测，选择有效检测结果中的最高温度作为该点的温度检测结果。</w:t>
      </w:r>
    </w:p>
    <w:p>
      <w:pPr>
        <w:ind w:firstLine="420" w:firstLineChars="20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正确选择被测部位的发射率，特别要考虑金属材料表面氧化对选取发射率的影响。应注意表面光洁度过高的不锈钢材料、其他金属材料和陶瓷所引起的反射或折射而可能出现的虚假高温现象。</w:t>
      </w:r>
    </w:p>
    <w:p>
      <w:pPr>
        <w:ind w:firstLine="420" w:firstLineChars="20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将大气温度、相对湿度、测量距离等补偿参数输入，进行必要的修正。</w:t>
      </w:r>
    </w:p>
    <w:p>
      <w:pPr>
        <w:ind w:firstLine="420" w:firstLineChars="20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发现设备可能存在温度分布特征异常时，应手动进行温度范围及电平的调节，使异常设备或部位突出显示。</w:t>
      </w:r>
    </w:p>
    <w:p>
      <w:pPr>
        <w:ind w:firstLine="420" w:firstLineChars="20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温度分布特征异常表现有：虽然受检部位表面温度不均匀，但仪器显示全视场均为一种颜色或相近颜色；最高温度超过温度量程最大值等。</w:t>
      </w:r>
    </w:p>
    <w:p>
      <w:pPr>
        <w:ind w:firstLine="420" w:firstLineChars="20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记录被检设备的实际负荷电流、被检部位温度、环境温度、红外热像图，同时在被检设备上对温度异常部位做出标识，拍下被检部位的可见光照片。</w:t>
      </w:r>
    </w:p>
    <w:p>
      <w:pPr>
        <w:ind w:firstLine="420" w:firstLineChars="20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载荷不同，电气设备或电气线路的发热量不同，因此需记录实际负荷电流。记录环境温度，用于计算温升。热像图中很难看明白异常温度点在实物上的具体部位，因此需要同步拍摄实物照片，在实物或者实物照片上标记出异常温度点的位置。</w:t>
      </w:r>
    </w:p>
    <w:p>
      <w:pPr>
        <w:pStyle w:val="40"/>
        <w:rPr>
          <w:rFonts w:cs="Times New Roman"/>
          <w:bCs/>
          <w:color w:val="auto"/>
          <w:szCs w:val="32"/>
          <w:highlight w:val="none"/>
        </w:rPr>
      </w:pPr>
      <w:bookmarkStart w:id="476" w:name="_Toc15509"/>
      <w:bookmarkStart w:id="477" w:name="_Toc16016"/>
      <w:bookmarkStart w:id="478" w:name="_Toc684"/>
      <w:r>
        <w:rPr>
          <w:rFonts w:hint="eastAsia" w:cs="Times New Roman"/>
          <w:bCs/>
          <w:color w:val="auto"/>
          <w:szCs w:val="32"/>
          <w:highlight w:val="none"/>
          <w:lang w:val="en-US" w:eastAsia="zh-CN"/>
        </w:rPr>
        <w:t>11</w:t>
      </w:r>
      <w:r>
        <w:rPr>
          <w:rFonts w:cs="Times New Roman"/>
          <w:bCs/>
          <w:color w:val="auto"/>
          <w:szCs w:val="32"/>
          <w:highlight w:val="none"/>
        </w:rPr>
        <w:t>.</w:t>
      </w:r>
      <w:r>
        <w:rPr>
          <w:rFonts w:hint="eastAsia" w:cs="Times New Roman"/>
          <w:bCs/>
          <w:color w:val="auto"/>
          <w:szCs w:val="32"/>
          <w:highlight w:val="none"/>
          <w:lang w:val="en-US" w:eastAsia="zh-CN"/>
        </w:rPr>
        <w:t xml:space="preserve">4  </w:t>
      </w:r>
      <w:r>
        <w:rPr>
          <w:rFonts w:hint="eastAsia" w:cs="Times New Roman"/>
          <w:bCs/>
          <w:color w:val="auto"/>
          <w:szCs w:val="32"/>
          <w:highlight w:val="none"/>
        </w:rPr>
        <w:t>检测结果</w:t>
      </w:r>
      <w:r>
        <w:rPr>
          <w:rFonts w:hint="eastAsia" w:ascii="宋体" w:hAnsi="宋体" w:eastAsia="宋体" w:cs="宋体"/>
          <w:color w:val="auto"/>
          <w:sz w:val="21"/>
          <w:szCs w:val="21"/>
          <w:highlight w:val="none"/>
          <w:lang w:val="en-US" w:eastAsia="zh-CN"/>
        </w:rPr>
        <w:t>的评价</w:t>
      </w:r>
      <w:bookmarkEnd w:id="476"/>
      <w:bookmarkEnd w:id="477"/>
      <w:bookmarkEnd w:id="478"/>
    </w:p>
    <w:p>
      <w:pPr>
        <w:rPr>
          <w:rFonts w:hint="eastAsia" w:ascii="宋体" w:hAnsi="宋体" w:eastAsia="宋体"/>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bidi="ar"/>
        </w:rPr>
        <w:t xml:space="preserve">11.4.1~11.4.5   </w:t>
      </w:r>
      <w:r>
        <w:rPr>
          <w:rFonts w:hint="eastAsia" w:ascii="宋体" w:hAnsi="宋体" w:eastAsia="宋体"/>
          <w:color w:val="auto"/>
          <w:sz w:val="21"/>
          <w:szCs w:val="21"/>
          <w:highlight w:val="none"/>
          <w:lang w:val="en-US" w:eastAsia="zh-CN"/>
        </w:rPr>
        <w:t>技术指标与广东省标准《建筑电气防火检测技术标准》DBJ/T 15-138-2018规定一致。</w:t>
      </w:r>
    </w:p>
    <w:p>
      <w:pPr>
        <w:rPr>
          <w:rFonts w:hint="default" w:ascii="宋体" w:hAnsi="宋体" w:eastAsia="宋体"/>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bidi="ar"/>
        </w:rPr>
        <w:t xml:space="preserve">11.4.6  </w:t>
      </w:r>
      <w:r>
        <w:rPr>
          <w:rFonts w:hint="eastAsia" w:ascii="宋体" w:hAnsi="宋体" w:eastAsia="宋体"/>
          <w:color w:val="auto"/>
          <w:sz w:val="21"/>
          <w:szCs w:val="21"/>
          <w:highlight w:val="none"/>
          <w:lang w:val="en-US" w:eastAsia="zh-CN"/>
        </w:rPr>
        <w:t>实测温度均采用℃作为单位，符合国内使用习惯。温升值采用国际单位制单位K作为单位。不管采用K还是℃作为实测温度的单位，温升值的数值是相同的。一般正式文件中都采用国际单位制单位。虽然各类标准提供的允许温升值均为环境基准温度为40℃的温升值，但实际在现场检测过程中，不可能控制环境温度为40℃，因此本标准计算温升值时，采用实测周围环境温度作为基准温度。</w:t>
      </w:r>
    </w:p>
    <w:p>
      <w:pPr>
        <w:rPr>
          <w:rFonts w:hint="default" w:ascii="宋体" w:hAnsi="宋体" w:eastAsia="宋体"/>
          <w:color w:val="auto"/>
          <w:sz w:val="21"/>
          <w:szCs w:val="21"/>
          <w:highlight w:val="none"/>
          <w:lang w:val="en-US" w:eastAsia="zh-CN"/>
        </w:rPr>
      </w:pPr>
      <w:r>
        <w:rPr>
          <w:rFonts w:hint="default" w:ascii="宋体" w:hAnsi="宋体" w:eastAsia="宋体"/>
          <w:color w:val="auto"/>
          <w:sz w:val="21"/>
          <w:szCs w:val="21"/>
          <w:highlight w:val="none"/>
          <w:lang w:val="en-US" w:eastAsia="zh-CN"/>
        </w:rPr>
        <w:br w:type="page"/>
      </w:r>
    </w:p>
    <w:p>
      <w:pPr>
        <w:pStyle w:val="2"/>
        <w:jc w:val="center"/>
        <w:rPr>
          <w:rFonts w:hint="eastAsia" w:ascii="Times New Roman" w:hAnsi="Times New Roman" w:eastAsia="宋体" w:cs="Times New Roman"/>
          <w:b/>
          <w:bCs/>
          <w:color w:val="auto"/>
          <w:kern w:val="44"/>
          <w:sz w:val="28"/>
          <w:szCs w:val="44"/>
          <w:highlight w:val="none"/>
          <w:lang w:val="en-US" w:eastAsia="zh-CN" w:bidi="ar-SA"/>
        </w:rPr>
      </w:pPr>
      <w:bookmarkStart w:id="479" w:name="_Toc23922"/>
      <w:bookmarkStart w:id="480" w:name="_Toc1868"/>
      <w:bookmarkStart w:id="481" w:name="_Toc23993"/>
      <w:r>
        <w:rPr>
          <w:rFonts w:hint="eastAsia" w:ascii="Times New Roman" w:hAnsi="Times New Roman" w:eastAsia="宋体" w:cs="Times New Roman"/>
          <w:b/>
          <w:bCs/>
          <w:color w:val="auto"/>
          <w:kern w:val="44"/>
          <w:sz w:val="28"/>
          <w:szCs w:val="44"/>
          <w:highlight w:val="none"/>
          <w:lang w:val="en-US" w:eastAsia="zh-CN" w:bidi="ar-SA"/>
        </w:rPr>
        <w:t>12   照度和照明功率密度检测</w:t>
      </w:r>
      <w:bookmarkEnd w:id="479"/>
      <w:bookmarkEnd w:id="480"/>
      <w:bookmarkEnd w:id="481"/>
    </w:p>
    <w:p>
      <w:pPr>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为确保安全、高效、舒适及健康的视觉环境</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rPr>
        <w:t>促进绿色低碳理念的实施，照明测量的目的可涵盖</w:t>
      </w:r>
      <w:r>
        <w:rPr>
          <w:rFonts w:hint="eastAsia" w:ascii="宋体" w:hAnsi="宋体" w:eastAsia="宋体"/>
          <w:color w:val="auto"/>
          <w:sz w:val="21"/>
          <w:szCs w:val="21"/>
          <w:highlight w:val="none"/>
          <w:lang w:eastAsia="zh-CN"/>
        </w:rPr>
        <w:t>下列</w:t>
      </w:r>
      <w:r>
        <w:rPr>
          <w:rFonts w:hint="eastAsia" w:ascii="宋体" w:hAnsi="宋体" w:eastAsia="宋体"/>
          <w:color w:val="auto"/>
          <w:sz w:val="21"/>
          <w:szCs w:val="21"/>
          <w:highlight w:val="none"/>
        </w:rPr>
        <w:t>几个方面：</w:t>
      </w:r>
    </w:p>
    <w:p>
      <w:pPr>
        <w:numPr>
          <w:ilvl w:val="0"/>
          <w:numId w:val="8"/>
        </w:numPr>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检验照明设施所产生的照明效果是否符合既定的行业标准或规范；</w:t>
      </w:r>
    </w:p>
    <w:p>
      <w:pPr>
        <w:numPr>
          <w:ilvl w:val="0"/>
          <w:numId w:val="8"/>
        </w:numPr>
        <w:ind w:left="0" w:leftChars="0"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检验照明设施所产生的照明效果与设计要求的符合情况；</w:t>
      </w:r>
    </w:p>
    <w:p>
      <w:pPr>
        <w:numPr>
          <w:ilvl w:val="0"/>
          <w:numId w:val="8"/>
        </w:numPr>
        <w:ind w:left="0" w:leftChars="0"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对比不同照明设施在实际应用中的照明性能差异；</w:t>
      </w:r>
    </w:p>
    <w:p>
      <w:pPr>
        <w:numPr>
          <w:ilvl w:val="0"/>
          <w:numId w:val="8"/>
        </w:numPr>
        <w:ind w:left="0" w:leftChars="0"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测定照明效果随时间推移的变化情况。</w:t>
      </w:r>
    </w:p>
    <w:p>
      <w:pPr>
        <w:pStyle w:val="40"/>
        <w:rPr>
          <w:rFonts w:hint="default" w:cs="Times New Roman"/>
          <w:bCs/>
          <w:color w:val="auto"/>
          <w:szCs w:val="32"/>
          <w:highlight w:val="none"/>
          <w:lang w:val="en-US" w:eastAsia="zh-CN"/>
        </w:rPr>
      </w:pPr>
      <w:bookmarkStart w:id="482" w:name="_Toc23734"/>
      <w:bookmarkStart w:id="483" w:name="_Toc5744"/>
      <w:bookmarkStart w:id="484" w:name="_Toc3522"/>
      <w:r>
        <w:rPr>
          <w:rFonts w:hint="eastAsia" w:cs="Times New Roman"/>
          <w:bCs/>
          <w:color w:val="auto"/>
          <w:szCs w:val="32"/>
          <w:highlight w:val="none"/>
          <w:lang w:val="en-US" w:eastAsia="zh-CN"/>
        </w:rPr>
        <w:t>12</w:t>
      </w:r>
      <w:r>
        <w:rPr>
          <w:rFonts w:cs="Times New Roman"/>
          <w:bCs/>
          <w:color w:val="auto"/>
          <w:szCs w:val="32"/>
          <w:highlight w:val="none"/>
        </w:rPr>
        <w:t xml:space="preserve">.1 </w:t>
      </w:r>
      <w:r>
        <w:rPr>
          <w:rFonts w:hint="eastAsia" w:cs="Times New Roman"/>
          <w:bCs/>
          <w:color w:val="auto"/>
          <w:szCs w:val="32"/>
          <w:highlight w:val="none"/>
          <w:lang w:val="en-US" w:eastAsia="zh-CN"/>
        </w:rPr>
        <w:t xml:space="preserve">  一般规定</w:t>
      </w:r>
      <w:bookmarkEnd w:id="482"/>
      <w:bookmarkEnd w:id="483"/>
      <w:bookmarkEnd w:id="484"/>
    </w:p>
    <w:p>
      <w:pPr>
        <w:rPr>
          <w:rFonts w:ascii="宋体" w:hAnsi="宋体" w:eastAsia="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 xml:space="preserve">12.1.1  </w:t>
      </w:r>
      <w:r>
        <w:rPr>
          <w:rFonts w:hint="eastAsia" w:ascii="宋体" w:hAnsi="宋体" w:eastAsia="宋体"/>
          <w:color w:val="auto"/>
          <w:sz w:val="21"/>
          <w:szCs w:val="21"/>
          <w:highlight w:val="none"/>
        </w:rPr>
        <w:t>不同的光源,从点亮到光输出稳定的每种产品的时间都一样,应在照度测量需在燃点一定时间后进行检测; 新安装且未曾燃点的光源与已经燃点过一段时间的光源，在光输出特性上也会存在差异,所以建议在检测新安装的光源时，同样需要等待其燃点至稳定状态后再进行照度测量。</w:t>
      </w:r>
    </w:p>
    <w:p>
      <w:pPr>
        <w:rPr>
          <w:rFonts w:ascii="宋体" w:hAnsi="宋体" w:eastAsia="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 xml:space="preserve">12.1.2  </w:t>
      </w:r>
      <w:r>
        <w:rPr>
          <w:rFonts w:hint="eastAsia" w:ascii="宋体" w:hAnsi="宋体" w:eastAsia="宋体"/>
          <w:color w:val="auto"/>
          <w:sz w:val="21"/>
          <w:szCs w:val="21"/>
          <w:highlight w:val="none"/>
        </w:rPr>
        <w:t>为了保证光输出的稳定性</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rPr>
        <w:t>防止灯具功率参数出现虚标的情况，规定了LED灯具的实际输入功率与额定功率之间的偏差范围，该要求与国家标准《LED室内照明应用技术要求》GB/T 31831 保持一致。</w:t>
      </w:r>
    </w:p>
    <w:p>
      <w:pPr>
        <w:rPr>
          <w:rFonts w:ascii="宋体" w:hAnsi="宋体" w:eastAsia="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 xml:space="preserve">12.1.3  </w:t>
      </w:r>
      <w:r>
        <w:rPr>
          <w:rFonts w:hint="eastAsia" w:ascii="宋体" w:hAnsi="宋体" w:eastAsia="宋体"/>
          <w:color w:val="auto"/>
          <w:sz w:val="21"/>
          <w:szCs w:val="21"/>
          <w:highlight w:val="none"/>
        </w:rPr>
        <w:t>本条文规定在光源预热15分钟后开始进行照度监测。这一步骤至关重要，因为光源在刚点亮时，其光输出可能尚未达到稳定状态，预热可确保光源在测量过程中保持稳定的发光性能。在预热完成后，我们要求在规定点连续监测1分钟内的照度值</w:t>
      </w:r>
      <w:r>
        <w:rPr>
          <w:rFonts w:hint="eastAsia" w:ascii="宋体" w:hAnsi="宋体" w:eastAsia="宋体"/>
          <w:color w:val="auto"/>
          <w:sz w:val="21"/>
          <w:szCs w:val="21"/>
          <w:highlight w:val="none"/>
          <w:lang w:eastAsia="zh-CN"/>
        </w:rPr>
        <w:t>且</w:t>
      </w:r>
      <w:r>
        <w:rPr>
          <w:rFonts w:hint="eastAsia" w:ascii="宋体" w:hAnsi="宋体" w:eastAsia="宋体"/>
          <w:color w:val="auto"/>
          <w:sz w:val="21"/>
          <w:szCs w:val="21"/>
          <w:highlight w:val="none"/>
        </w:rPr>
        <w:t>监测次数不少于6次。最大值和最小值之间的比值不应超过1.005，这一限制确保了测量结果的波动范围在可接受范围内，从而提高了测量数据的可靠性和准确性。</w:t>
      </w:r>
    </w:p>
    <w:p>
      <w:pPr>
        <w:rPr>
          <w:rFonts w:ascii="宋体" w:hAnsi="宋体" w:eastAsia="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 xml:space="preserve">12.1.4  </w:t>
      </w:r>
      <w:r>
        <w:rPr>
          <w:rFonts w:hint="eastAsia" w:ascii="宋体" w:hAnsi="宋体" w:eastAsia="宋体"/>
          <w:color w:val="auto"/>
          <w:sz w:val="21"/>
          <w:szCs w:val="21"/>
          <w:highlight w:val="none"/>
        </w:rPr>
        <w:t>在进行现场测量时，我们应实时监测电源电压，以确保实际测量电压与额定电压之间的偏差在可接受的范围内。根据规定，实测电压偏差不应超过标准范围。如果实测电压超出，会对测量结果产生影响，导致测量数据不准确。</w:t>
      </w:r>
    </w:p>
    <w:p>
      <w:pPr>
        <w:rPr>
          <w:rFonts w:ascii="宋体" w:hAnsi="宋体" w:eastAsia="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 xml:space="preserve">12.1.5  </w:t>
      </w:r>
      <w:r>
        <w:rPr>
          <w:rFonts w:hint="eastAsia" w:ascii="宋体" w:hAnsi="宋体" w:eastAsia="宋体"/>
          <w:color w:val="auto"/>
          <w:sz w:val="21"/>
          <w:szCs w:val="21"/>
          <w:highlight w:val="none"/>
        </w:rPr>
        <w:t>若该空间具备多种控制场景（如调光、色温调节、开关控制等），则应对每种典型的控制场景分别进行测量。这是因为不同的控制场景会直接影响照明环境的亮度、色温等参数，从而影响空间的使用效果和舒适度。通过对每种控制场景的分别测量，可全面评估照明系统的性能和效果，确保在各种使用场景下都能提供合适的照明环境。</w:t>
      </w:r>
    </w:p>
    <w:p>
      <w:pPr>
        <w:rPr>
          <w:rFonts w:ascii="宋体" w:hAnsi="宋体" w:eastAsia="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12.1.6</w:t>
      </w:r>
      <w:r>
        <w:rPr>
          <w:rFonts w:hint="eastAsia" w:ascii="宋体" w:hAnsi="宋体" w:eastAsia="宋体"/>
          <w:color w:val="auto"/>
          <w:sz w:val="21"/>
          <w:szCs w:val="21"/>
          <w:highlight w:val="none"/>
        </w:rPr>
        <w:t xml:space="preserve"> </w:t>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rPr>
        <w:t>室外照明测量应在设计的场地环境条件下进行，以确保测量结果的准确性和可靠性。具体来说，路面或场地应保持清洁和干燥，以避免因杂物、积水等因素对测量结果产生干扰。同时，非被测光源（如周围建筑、路灯等）的照射应不对测量结果产生显著影响，否则应采取措施进行遮挡或调整测量位置。有助于确保室外照明测量能够真实反映设计效果。</w:t>
      </w:r>
    </w:p>
    <w:p>
      <w:pPr>
        <w:rPr>
          <w:rFonts w:hint="eastAsia" w:ascii="宋体" w:hAnsi="宋体" w:eastAsia="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12.1.7</w:t>
      </w:r>
      <w:r>
        <w:rPr>
          <w:rFonts w:hint="eastAsia" w:ascii="宋体" w:hAnsi="宋体" w:eastAsia="宋体"/>
          <w:color w:val="auto"/>
          <w:sz w:val="21"/>
          <w:szCs w:val="21"/>
          <w:highlight w:val="none"/>
        </w:rPr>
        <w:t xml:space="preserve"> </w:t>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rPr>
        <w:t>在进行照明测量时，应特别注意排除杂散光射入光接受器</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rPr>
        <w:t>防止各类人员和物体对光接受器造成遮挡。杂散光是指来自非被测光源的光线，它可能会干扰测量结果，导致数据不准确。因此，在测量过程中，应采取措施（如使用遮光罩、调整测量角度等）来排除杂散光的影响。同时，也应避免人员和物体对光接受器的遮挡，以确保测量结果的准确性。</w:t>
      </w:r>
    </w:p>
    <w:p>
      <w:pPr>
        <w:pStyle w:val="40"/>
        <w:rPr>
          <w:rFonts w:hint="eastAsia" w:cs="Times New Roman"/>
          <w:bCs/>
          <w:color w:val="auto"/>
          <w:szCs w:val="32"/>
          <w:highlight w:val="none"/>
          <w:lang w:val="en-US" w:eastAsia="zh-CN"/>
        </w:rPr>
      </w:pPr>
      <w:bookmarkStart w:id="485" w:name="_Toc891"/>
      <w:bookmarkStart w:id="486" w:name="_Toc23992"/>
      <w:bookmarkStart w:id="487" w:name="_Toc7498"/>
      <w:r>
        <w:rPr>
          <w:rFonts w:hint="eastAsia" w:cs="Times New Roman"/>
          <w:bCs/>
          <w:color w:val="auto"/>
          <w:szCs w:val="32"/>
          <w:highlight w:val="none"/>
          <w:lang w:val="en-US" w:eastAsia="zh-CN"/>
        </w:rPr>
        <w:t>12</w:t>
      </w:r>
      <w:r>
        <w:rPr>
          <w:rFonts w:hint="default" w:cs="Times New Roman"/>
          <w:bCs/>
          <w:color w:val="auto"/>
          <w:szCs w:val="32"/>
          <w:highlight w:val="none"/>
          <w:lang w:val="en-US" w:eastAsia="zh-CN"/>
        </w:rPr>
        <w:t>.</w:t>
      </w:r>
      <w:r>
        <w:rPr>
          <w:rFonts w:hint="eastAsia" w:cs="Times New Roman"/>
          <w:bCs/>
          <w:color w:val="auto"/>
          <w:szCs w:val="32"/>
          <w:highlight w:val="none"/>
          <w:lang w:val="en-US" w:eastAsia="zh-CN"/>
        </w:rPr>
        <w:t>2</w:t>
      </w:r>
      <w:r>
        <w:rPr>
          <w:rFonts w:hint="default" w:cs="Times New Roman"/>
          <w:bCs/>
          <w:color w:val="auto"/>
          <w:szCs w:val="32"/>
          <w:highlight w:val="none"/>
          <w:lang w:val="en-US" w:eastAsia="zh-CN"/>
        </w:rPr>
        <w:t xml:space="preserve"> </w:t>
      </w:r>
      <w:r>
        <w:rPr>
          <w:rFonts w:hint="eastAsia" w:cs="Times New Roman"/>
          <w:bCs/>
          <w:color w:val="auto"/>
          <w:szCs w:val="32"/>
          <w:highlight w:val="none"/>
          <w:lang w:val="en-US" w:eastAsia="zh-CN"/>
        </w:rPr>
        <w:t xml:space="preserve"> 检测部位和检测数量</w:t>
      </w:r>
      <w:bookmarkEnd w:id="485"/>
      <w:bookmarkEnd w:id="486"/>
      <w:bookmarkEnd w:id="487"/>
    </w:p>
    <w:p>
      <w:pPr>
        <w:rPr>
          <w:rFonts w:ascii="宋体" w:hAnsi="宋体" w:eastAsia="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 xml:space="preserve">12.2.1  </w:t>
      </w:r>
      <w:r>
        <w:rPr>
          <w:rFonts w:hint="eastAsia" w:ascii="宋体" w:hAnsi="宋体" w:eastAsia="宋体"/>
          <w:color w:val="auto"/>
          <w:sz w:val="21"/>
          <w:szCs w:val="21"/>
          <w:highlight w:val="none"/>
        </w:rPr>
        <w:t>本文件规定了照明测量的一般要求、测量仪器和测量方法,以及建筑照明测量和体育馆场地等照明测量的实施方法。</w:t>
      </w:r>
    </w:p>
    <w:p>
      <w:pPr>
        <w:rPr>
          <w:rFonts w:ascii="宋体" w:hAnsi="宋体" w:eastAsia="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 xml:space="preserve">12.2.2  </w:t>
      </w:r>
      <w:r>
        <w:rPr>
          <w:rFonts w:hint="eastAsia" w:ascii="宋体" w:hAnsi="宋体" w:eastAsia="宋体"/>
          <w:color w:val="auto"/>
          <w:sz w:val="21"/>
          <w:szCs w:val="21"/>
          <w:highlight w:val="none"/>
        </w:rPr>
        <w:t>应选择现行国家标准《建筑照明设计标准》GB 50034中对平均照度、照明功率密度值做出明确规定的各类房间和场所作为典型功能区域，竣工验收时，应根据建筑类型及使用功能要求对采光、照明进行检测。</w:t>
      </w:r>
    </w:p>
    <w:p>
      <w:pPr>
        <w:pStyle w:val="40"/>
        <w:rPr>
          <w:rFonts w:hint="eastAsia" w:cs="Times New Roman"/>
          <w:bCs/>
          <w:color w:val="auto"/>
          <w:szCs w:val="32"/>
          <w:highlight w:val="none"/>
          <w:lang w:val="en-US" w:eastAsia="zh-CN"/>
        </w:rPr>
      </w:pPr>
      <w:bookmarkStart w:id="488" w:name="_Toc9764"/>
      <w:bookmarkStart w:id="489" w:name="_Toc11014"/>
      <w:bookmarkStart w:id="490" w:name="_Toc12597"/>
      <w:r>
        <w:rPr>
          <w:rFonts w:hint="eastAsia" w:cs="Times New Roman"/>
          <w:bCs/>
          <w:color w:val="auto"/>
          <w:szCs w:val="32"/>
          <w:highlight w:val="none"/>
          <w:lang w:val="en-US" w:eastAsia="zh-CN"/>
        </w:rPr>
        <w:t>12.3  检测方法</w:t>
      </w:r>
      <w:bookmarkEnd w:id="488"/>
      <w:bookmarkEnd w:id="489"/>
      <w:bookmarkEnd w:id="490"/>
    </w:p>
    <w:p>
      <w:pP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 xml:space="preserve">12.3.1  </w:t>
      </w:r>
      <w:r>
        <w:rPr>
          <w:rFonts w:hint="eastAsia" w:ascii="宋体" w:hAnsi="宋体" w:eastAsia="宋体" w:cs="宋体"/>
          <w:b w:val="0"/>
          <w:bCs w:val="0"/>
          <w:color w:val="auto"/>
          <w:kern w:val="0"/>
          <w:sz w:val="21"/>
          <w:szCs w:val="21"/>
          <w:highlight w:val="none"/>
          <w:lang w:val="en-US" w:eastAsia="zh-CN" w:bidi="ar"/>
        </w:rPr>
        <w:t>检测</w:t>
      </w:r>
      <w:r>
        <w:rPr>
          <w:rFonts w:hint="eastAsia" w:ascii="宋体" w:hAnsi="宋体" w:eastAsia="宋体"/>
          <w:color w:val="auto"/>
          <w:sz w:val="21"/>
          <w:szCs w:val="21"/>
          <w:highlight w:val="none"/>
        </w:rPr>
        <w:t>仪器必须符合该仪器精度要求。凡参与该项检测的有关人员，在检测前应由现场检测负责人进行安全技术交底，让检测人员了解本项目的安全管理有关规定，了解作业过程中的危险源及应采取的应急响应措施。</w:t>
      </w:r>
    </w:p>
    <w:p>
      <w:pPr>
        <w:rPr>
          <w:rFonts w:ascii="宋体" w:hAnsi="宋体" w:eastAsia="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 xml:space="preserve">12.3.2 </w:t>
      </w:r>
      <w:r>
        <w:rPr>
          <w:rFonts w:hint="eastAsia" w:ascii="宋体" w:hAnsi="宋体" w:eastAsia="宋体"/>
          <w:color w:val="auto"/>
          <w:sz w:val="21"/>
          <w:szCs w:val="21"/>
          <w:highlight w:val="none"/>
        </w:rPr>
        <w:t>在规范公共建筑、居住建筑及工业建筑照明照度的检测方法，确保照明系统能够满足设计要求和使用需求，同时保障人员的视觉舒适度和工作效率。</w:t>
      </w:r>
    </w:p>
    <w:p>
      <w:pPr>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当测试项目包含多个评价区域时，每个区域由于其功能、布局或照明需求的不同，可能需要分别设置测量网格。这是为了确保每个区域的照明情况都能得到准确、全面的评估。通过设置独立的测量网格，可更加细致地捕捉每个区域的照明特点，从而更准确地判断照明系统是否满足设计要求</w:t>
      </w:r>
    </w:p>
    <w:p>
      <w:pPr>
        <w:rPr>
          <w:rFonts w:ascii="宋体" w:hAnsi="宋体" w:eastAsia="宋体"/>
          <w:color w:val="auto"/>
          <w:sz w:val="21"/>
          <w:szCs w:val="21"/>
          <w:highlight w:val="none"/>
        </w:rPr>
      </w:pPr>
      <w:r>
        <w:rPr>
          <w:rFonts w:hint="eastAsia" w:ascii="宋体" w:hAnsi="宋体" w:eastAsia="宋体"/>
          <w:color w:val="auto"/>
          <w:sz w:val="21"/>
          <w:szCs w:val="21"/>
          <w:highlight w:val="none"/>
        </w:rPr>
        <w:t>照度均匀度可通过最小照度与平均照度之比或最小照度与最大照度之比来计算。这两种计算方法都可反映照明系统在空间分布上的均匀性。通过计算照度均匀度，可了解照明系统是否存在明显的照明不足或照明过度区域，从而采取相应的措施进行改进。</w:t>
      </w:r>
    </w:p>
    <w:p>
      <w:pPr>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照度值检测不同建筑不同房间或场所的划分原则可参照国家标准《建筑照明设计标准》GB 50034中的规定。</w:t>
      </w:r>
    </w:p>
    <w:p>
      <w:pPr>
        <w:rPr>
          <w:rFonts w:ascii="宋体" w:hAnsi="宋体" w:eastAsia="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 xml:space="preserve">12.3.3  </w:t>
      </w:r>
      <w:r>
        <w:rPr>
          <w:rFonts w:hint="eastAsia" w:ascii="宋体" w:hAnsi="宋体" w:eastAsia="宋体"/>
          <w:color w:val="auto"/>
          <w:sz w:val="21"/>
          <w:szCs w:val="21"/>
          <w:highlight w:val="none"/>
        </w:rPr>
        <w:t>在体育场馆内，为了确保运动员和观众在各个位置都能享受到良好的照明效果。鉴于不同类型的体育项目和不同级别的比赛对照度有着不同的需求，因此，必须根据实际情况来精确制定照度检测的标准。这样既能满足各项赛事对照明的严格要求，又能确保场馆内每个角落的照明效果都能达到理想状态。</w:t>
      </w:r>
    </w:p>
    <w:p>
      <w:pPr>
        <w:rPr>
          <w:rFonts w:ascii="宋体" w:hAnsi="宋体" w:eastAsia="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 xml:space="preserve">12.3.4  </w:t>
      </w:r>
      <w:r>
        <w:rPr>
          <w:rFonts w:hint="eastAsia" w:ascii="宋体" w:hAnsi="宋体" w:eastAsia="宋体"/>
          <w:color w:val="auto"/>
          <w:sz w:val="21"/>
          <w:szCs w:val="21"/>
          <w:highlight w:val="none"/>
        </w:rPr>
        <w:t>本条详细规定了照明总功率或电能量的测量检测方法，在确保检测结果的准确性和可靠性。</w:t>
      </w:r>
    </w:p>
    <w:p>
      <w:pPr>
        <w:ind w:firstLine="422" w:firstLineChars="200"/>
        <w:rPr>
          <w:rFonts w:ascii="宋体" w:hAnsi="宋体" w:eastAsia="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1）</w:t>
      </w:r>
      <w:r>
        <w:rPr>
          <w:rFonts w:hint="eastAsia" w:ascii="宋体" w:hAnsi="宋体" w:eastAsia="宋体"/>
          <w:color w:val="auto"/>
          <w:sz w:val="21"/>
          <w:szCs w:val="21"/>
          <w:highlight w:val="none"/>
        </w:rPr>
        <w:t>在供电回路中存在其他用电设备的情况下，为确保对照明系统功率测量的准确性，必须断开这些非照明用电设备。原因在于，其他设备的功率消耗可能会对照明系统的功率测量产生干扰，进而造成测量结果的偏差。</w:t>
      </w:r>
    </w:p>
    <w:p>
      <w:pPr>
        <w:ind w:firstLine="422" w:firstLineChars="200"/>
        <w:rPr>
          <w:rFonts w:ascii="宋体" w:hAnsi="宋体" w:eastAsia="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2）</w:t>
      </w:r>
      <w:r>
        <w:rPr>
          <w:rFonts w:hint="eastAsia" w:ascii="宋体" w:hAnsi="宋体" w:eastAsia="宋体"/>
          <w:color w:val="auto"/>
          <w:sz w:val="21"/>
          <w:szCs w:val="21"/>
          <w:highlight w:val="none"/>
        </w:rPr>
        <w:t>当供电回路同时为多个房间或场所的照明系统供电时，由于无法直接测量每个房间或场所的照明功率，因此需要根据各房间或场所照明安装功率占线路总安装功率的比例，乘以整个回路的功率或电能量，从而得出各区域的照明功率。这种方法能够较为精确地估算出每个照明区域的照明功率。</w:t>
      </w:r>
    </w:p>
    <w:p>
      <w:pPr>
        <w:ind w:firstLine="422" w:firstLineChars="200"/>
        <w:rPr>
          <w:rFonts w:ascii="宋体" w:hAnsi="宋体" w:eastAsia="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3）</w:t>
      </w:r>
      <w:r>
        <w:rPr>
          <w:rFonts w:hint="eastAsia" w:ascii="宋体" w:hAnsi="宋体" w:eastAsia="宋体"/>
          <w:color w:val="auto"/>
          <w:sz w:val="21"/>
          <w:szCs w:val="21"/>
          <w:highlight w:val="none"/>
        </w:rPr>
        <w:t>上述测量方式可能无法实现，例如当照明系统较为复杂或难以断开其他用电设备时。此时，可采用单灯法逐一测试房间或场所内单个或一组的灯具功率</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rPr>
        <w:t>将这些功率值累加，从而计算出整个房间或场所的照明总功率或电能量。尽管这种方法相对繁琐，但它能够确保测量结果的准确性。</w:t>
      </w:r>
    </w:p>
    <w:p>
      <w:pPr>
        <w:rPr>
          <w:rFonts w:ascii="宋体" w:hAnsi="宋体" w:eastAsia="宋体"/>
          <w:color w:val="auto"/>
          <w:sz w:val="21"/>
          <w:szCs w:val="21"/>
          <w:highlight w:val="none"/>
        </w:rPr>
      </w:pPr>
      <w:r>
        <w:rPr>
          <w:rFonts w:hint="eastAsia" w:ascii="宋体" w:hAnsi="宋体" w:eastAsia="宋体"/>
          <w:color w:val="auto"/>
          <w:sz w:val="21"/>
          <w:szCs w:val="21"/>
          <w:highlight w:val="none"/>
        </w:rPr>
        <w:t>对照明系统整体性能和能效水平的准确测量，对于优化照明设计、提高能效以及降低能耗具有重要意义。</w:t>
      </w:r>
    </w:p>
    <w:p>
      <w:pPr>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智能照明控制系统采样间隔不应超过1秒。这是为了确保测量的连续性和准确性，避免因采样间隔过长或瞬时功率波动而导致的测量误差。同时，也符合相关标准和规范对于待机功耗测量的要求。照度值和功率密度值宜在相同的房间或场所进行测试。</w:t>
      </w:r>
    </w:p>
    <w:p>
      <w:pPr>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本章各条对于典型功能房间的理解可参照现行国家标准《建筑照明设计标准》GB 50034、《建筑节能与可再生能源利用通用规范》GB 55015-2021中的规定。</w:t>
      </w:r>
    </w:p>
    <w:p>
      <w:pPr>
        <w:pStyle w:val="40"/>
        <w:rPr>
          <w:rFonts w:cs="Times New Roman"/>
          <w:bCs/>
          <w:color w:val="auto"/>
          <w:szCs w:val="32"/>
          <w:highlight w:val="none"/>
        </w:rPr>
      </w:pPr>
      <w:bookmarkStart w:id="491" w:name="_Toc1776"/>
      <w:bookmarkStart w:id="492" w:name="_Toc481"/>
      <w:bookmarkStart w:id="493" w:name="_Toc17586"/>
      <w:r>
        <w:rPr>
          <w:rFonts w:hint="eastAsia" w:cs="Times New Roman"/>
          <w:bCs/>
          <w:color w:val="auto"/>
          <w:szCs w:val="32"/>
          <w:highlight w:val="none"/>
          <w:lang w:val="en-US" w:eastAsia="zh-CN"/>
        </w:rPr>
        <w:t>12</w:t>
      </w:r>
      <w:r>
        <w:rPr>
          <w:rFonts w:cs="Times New Roman"/>
          <w:bCs/>
          <w:color w:val="auto"/>
          <w:szCs w:val="32"/>
          <w:highlight w:val="none"/>
        </w:rPr>
        <w:t>.</w:t>
      </w:r>
      <w:r>
        <w:rPr>
          <w:rFonts w:hint="eastAsia" w:cs="Times New Roman"/>
          <w:bCs/>
          <w:color w:val="auto"/>
          <w:szCs w:val="32"/>
          <w:highlight w:val="none"/>
          <w:lang w:val="en-US" w:eastAsia="zh-CN"/>
        </w:rPr>
        <w:t xml:space="preserve">4  </w:t>
      </w:r>
      <w:r>
        <w:rPr>
          <w:rFonts w:hint="eastAsia" w:cs="Times New Roman"/>
          <w:bCs/>
          <w:color w:val="auto"/>
          <w:szCs w:val="32"/>
          <w:highlight w:val="none"/>
        </w:rPr>
        <w:t>检测结果</w:t>
      </w:r>
      <w:r>
        <w:rPr>
          <w:rFonts w:hint="eastAsia" w:ascii="宋体" w:hAnsi="宋体" w:eastAsia="宋体" w:cs="宋体"/>
          <w:color w:val="auto"/>
          <w:sz w:val="21"/>
          <w:szCs w:val="21"/>
          <w:highlight w:val="none"/>
          <w:lang w:val="en-US" w:eastAsia="zh-CN"/>
        </w:rPr>
        <w:t>的评价</w:t>
      </w:r>
      <w:bookmarkEnd w:id="491"/>
      <w:bookmarkEnd w:id="492"/>
      <w:bookmarkEnd w:id="493"/>
    </w:p>
    <w:p>
      <w:pPr>
        <w:rPr>
          <w:rFonts w:ascii="宋体" w:hAnsi="宋体" w:eastAsia="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 xml:space="preserve">12.4.1  </w:t>
      </w:r>
      <w:r>
        <w:rPr>
          <w:rFonts w:hint="eastAsia" w:ascii="宋体" w:hAnsi="宋体" w:eastAsia="宋体"/>
          <w:color w:val="auto"/>
          <w:sz w:val="21"/>
          <w:szCs w:val="21"/>
          <w:highlight w:val="none"/>
        </w:rPr>
        <w:t>平均照度计算参照现行国家标准《照明测量方法》GB/T 5700。</w:t>
      </w:r>
    </w:p>
    <w:p>
      <w:pPr>
        <w:rPr>
          <w:rFonts w:ascii="宋体" w:hAnsi="宋体" w:eastAsia="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 xml:space="preserve">12.4.2  </w:t>
      </w:r>
      <w:r>
        <w:rPr>
          <w:rFonts w:hint="eastAsia" w:ascii="宋体" w:hAnsi="宋体" w:eastAsia="宋体"/>
          <w:color w:val="auto"/>
          <w:sz w:val="21"/>
          <w:szCs w:val="21"/>
          <w:highlight w:val="none"/>
        </w:rPr>
        <w:t>照度均匀度计算参照现行国家标准《照明测量方法》GB/T 5700。</w:t>
      </w:r>
    </w:p>
    <w:p>
      <w:pPr>
        <w:rPr>
          <w:rFonts w:ascii="宋体" w:hAnsi="宋体" w:eastAsia="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 xml:space="preserve">12.4.3 </w:t>
      </w:r>
      <w:r>
        <w:rPr>
          <w:rFonts w:hint="eastAsia" w:ascii="宋体" w:hAnsi="宋体" w:eastAsia="宋体"/>
          <w:color w:val="auto"/>
          <w:sz w:val="21"/>
          <w:szCs w:val="21"/>
          <w:highlight w:val="none"/>
        </w:rPr>
        <w:t>体育场馆照明检测应满足使用功能的要求，其检测条件应符合下列规定:</w:t>
      </w:r>
    </w:p>
    <w:p>
      <w:pPr>
        <w:numPr>
          <w:ilvl w:val="0"/>
          <w:numId w:val="9"/>
        </w:numPr>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室外气象条件如风力、温度、湿度等可能对测量结果产生干扰。应在气象条件稳定、对测量无显著影响的情况下进行检测，以确保数据的准确性和可靠性；</w:t>
      </w:r>
    </w:p>
    <w:p>
      <w:pPr>
        <w:ind w:firstLine="422" w:firstLineChars="200"/>
        <w:rPr>
          <w:rFonts w:ascii="宋体" w:hAnsi="宋体" w:eastAsia="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 xml:space="preserve">2） </w:t>
      </w:r>
      <w:r>
        <w:rPr>
          <w:rFonts w:hint="eastAsia" w:ascii="宋体" w:hAnsi="宋体" w:eastAsia="宋体"/>
          <w:color w:val="auto"/>
          <w:sz w:val="21"/>
          <w:szCs w:val="21"/>
          <w:highlight w:val="none"/>
        </w:rPr>
        <w:t>体育场馆应处于正常使用状态，包括场地、设施、设备等均应符合比赛或活动的要求。这样可确保照明系统在实际使用条件下的得到准确检测结果；</w:t>
      </w:r>
    </w:p>
    <w:p>
      <w:pPr>
        <w:ind w:firstLine="422" w:firstLineChars="200"/>
        <w:rPr>
          <w:rFonts w:ascii="宋体" w:hAnsi="宋体" w:eastAsia="宋体"/>
          <w:color w:val="auto"/>
          <w:sz w:val="21"/>
          <w:szCs w:val="21"/>
          <w:highlight w:val="none"/>
        </w:rPr>
      </w:pPr>
      <w:r>
        <w:rPr>
          <w:rFonts w:hint="eastAsia" w:ascii="宋体" w:hAnsi="宋体" w:eastAsia="宋体"/>
          <w:b/>
          <w:bCs/>
          <w:color w:val="auto"/>
          <w:sz w:val="21"/>
          <w:szCs w:val="21"/>
          <w:highlight w:val="none"/>
        </w:rPr>
        <w:t>3）</w:t>
      </w:r>
      <w:r>
        <w:rPr>
          <w:rFonts w:hint="eastAsia" w:ascii="宋体" w:hAnsi="宋体" w:eastAsia="宋体"/>
          <w:b/>
          <w:bCs/>
          <w:color w:val="auto"/>
          <w:sz w:val="21"/>
          <w:szCs w:val="21"/>
          <w:highlight w:val="none"/>
          <w:lang w:val="en-US" w:eastAsia="zh-CN"/>
        </w:rPr>
        <w:t xml:space="preserve"> </w:t>
      </w:r>
      <w:r>
        <w:rPr>
          <w:rFonts w:hint="eastAsia" w:ascii="宋体" w:hAnsi="宋体" w:eastAsia="宋体"/>
          <w:color w:val="auto"/>
          <w:sz w:val="21"/>
          <w:szCs w:val="21"/>
          <w:highlight w:val="none"/>
        </w:rPr>
        <w:t>在进行照明检测前，应点亮所有相关的照明灯具</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rPr>
        <w:t>让其稳定运行30min。这是为了确保灯具充分预热，达到稳定工作状态，从而避免因灯具刚启动时光输出不稳定而导致的测量误差；</w:t>
      </w:r>
    </w:p>
    <w:p>
      <w:pPr>
        <w:ind w:firstLine="422" w:firstLineChars="200"/>
        <w:rPr>
          <w:rFonts w:ascii="宋体" w:hAnsi="宋体" w:eastAsia="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4）</w:t>
      </w:r>
      <w:r>
        <w:rPr>
          <w:rFonts w:hint="eastAsia" w:ascii="宋体" w:hAnsi="宋体" w:eastAsia="宋体"/>
          <w:color w:val="auto"/>
          <w:sz w:val="21"/>
          <w:szCs w:val="21"/>
          <w:highlight w:val="none"/>
        </w:rPr>
        <w:t xml:space="preserve"> 电源电压的稳定性对灯具的光输出有直接影响。因此，在检测过程中，应确保灯具输入端电压与额定电压的偏差不超过5%。这样可确保测量结果能够真实反映灯具在额定电压下的性能；</w:t>
      </w:r>
    </w:p>
    <w:p>
      <w:pPr>
        <w:ind w:firstLine="422" w:firstLineChars="200"/>
        <w:rPr>
          <w:rFonts w:ascii="宋体" w:hAnsi="宋体" w:eastAsia="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5）</w:t>
      </w:r>
      <w:r>
        <w:rPr>
          <w:rFonts w:hint="eastAsia" w:ascii="宋体" w:hAnsi="宋体" w:eastAsia="宋体"/>
          <w:color w:val="auto"/>
          <w:sz w:val="21"/>
          <w:szCs w:val="21"/>
          <w:highlight w:val="none"/>
        </w:rPr>
        <w:t>应确保测量区域内没有人员遮挡光线，同时避免反射光线对测量结果产生干扰。这可通过合理安排测量位置、使用遮光设备等措施来实现。</w:t>
      </w:r>
    </w:p>
    <w:p>
      <w:pPr>
        <w:rPr>
          <w:rFonts w:ascii="宋体" w:hAnsi="宋体" w:eastAsia="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 xml:space="preserve">12.4.5  </w:t>
      </w:r>
      <w:r>
        <w:rPr>
          <w:rFonts w:hint="eastAsia" w:ascii="宋体" w:hAnsi="宋体" w:eastAsia="宋体"/>
          <w:color w:val="auto"/>
          <w:sz w:val="21"/>
          <w:szCs w:val="21"/>
          <w:highlight w:val="none"/>
        </w:rPr>
        <w:t>本条依据现行标准《建筑照明设计标准》GB 50034、《体育场馆照明设计及检测标准》JGJ 153进行评价。</w:t>
      </w:r>
    </w:p>
    <w:p>
      <w:pPr>
        <w:rPr>
          <w:rFonts w:ascii="宋体" w:hAnsi="宋体" w:eastAsia="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 xml:space="preserve">12.4.6  </w:t>
      </w:r>
      <w:r>
        <w:rPr>
          <w:rFonts w:hint="eastAsia" w:ascii="宋体" w:hAnsi="宋体" w:eastAsia="宋体"/>
          <w:color w:val="auto"/>
          <w:sz w:val="21"/>
          <w:szCs w:val="21"/>
          <w:highlight w:val="none"/>
        </w:rPr>
        <w:t>照明功率密度计算参照现行国家标准《照明测量方法》GB/T 5700。</w:t>
      </w:r>
    </w:p>
    <w:p>
      <w:pPr>
        <w:rPr>
          <w:rFonts w:ascii="宋体" w:hAnsi="宋体" w:eastAsia="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 xml:space="preserve">12.4.7  </w:t>
      </w:r>
      <w:r>
        <w:rPr>
          <w:rFonts w:hint="eastAsia" w:ascii="宋体" w:hAnsi="宋体" w:eastAsia="宋体"/>
          <w:color w:val="auto"/>
          <w:sz w:val="21"/>
          <w:szCs w:val="21"/>
          <w:highlight w:val="none"/>
        </w:rPr>
        <w:t>本条依据按现行标准《建筑照明设计标准》GB 50034进行评价。</w:t>
      </w:r>
    </w:p>
    <w:p>
      <w:pPr>
        <w:pStyle w:val="2"/>
        <w:jc w:val="center"/>
        <w:rPr>
          <w:rFonts w:ascii="宋体" w:hAnsi="宋体" w:eastAsia="宋体" w:cs="宋体"/>
          <w:color w:val="auto"/>
          <w:sz w:val="21"/>
          <w:szCs w:val="21"/>
          <w:highlight w:val="none"/>
        </w:rPr>
      </w:pPr>
      <w:r>
        <w:rPr>
          <w:rFonts w:hint="default" w:ascii="宋体" w:hAnsi="宋体" w:eastAsia="宋体"/>
          <w:color w:val="auto"/>
          <w:sz w:val="21"/>
          <w:szCs w:val="21"/>
          <w:highlight w:val="none"/>
          <w:lang w:val="en-US" w:eastAsia="zh-CN"/>
        </w:rPr>
        <w:br w:type="page"/>
      </w:r>
      <w:bookmarkStart w:id="494" w:name="_Toc16453"/>
      <w:bookmarkStart w:id="495" w:name="_Toc24420"/>
      <w:bookmarkStart w:id="496" w:name="_Toc610"/>
      <w:r>
        <w:rPr>
          <w:rFonts w:hint="eastAsia" w:ascii="Times New Roman" w:hAnsi="Times New Roman" w:eastAsia="宋体" w:cs="Times New Roman"/>
          <w:b/>
          <w:bCs/>
          <w:color w:val="auto"/>
          <w:kern w:val="44"/>
          <w:sz w:val="28"/>
          <w:szCs w:val="44"/>
          <w:highlight w:val="none"/>
          <w:lang w:val="en-US" w:eastAsia="zh-CN" w:bidi="ar-SA"/>
        </w:rPr>
        <w:t>13   电源质量检测</w:t>
      </w:r>
      <w:bookmarkEnd w:id="494"/>
      <w:bookmarkEnd w:id="495"/>
      <w:bookmarkEnd w:id="496"/>
    </w:p>
    <w:p>
      <w:pPr>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在建筑电气工程中，电源质量检测是确保电力系统稳定运行和保障用电设备正常工作的重要环节。为了加强建筑电气工程的施工管理，统一电源质量检测的标准，提高工程质量，特制定本条文。</w:t>
      </w:r>
    </w:p>
    <w:p>
      <w:pPr>
        <w:pStyle w:val="40"/>
        <w:rPr>
          <w:rFonts w:hint="default" w:cs="Times New Roman"/>
          <w:bCs/>
          <w:color w:val="auto"/>
          <w:szCs w:val="32"/>
          <w:highlight w:val="none"/>
          <w:lang w:val="en-US" w:eastAsia="zh-CN"/>
        </w:rPr>
      </w:pPr>
      <w:bookmarkStart w:id="497" w:name="_Toc1841"/>
      <w:bookmarkStart w:id="498" w:name="_Toc7931"/>
      <w:bookmarkStart w:id="499" w:name="_Toc28036"/>
      <w:r>
        <w:rPr>
          <w:rFonts w:hint="eastAsia" w:cs="Times New Roman"/>
          <w:bCs/>
          <w:color w:val="auto"/>
          <w:szCs w:val="32"/>
          <w:highlight w:val="none"/>
          <w:lang w:val="en-US" w:eastAsia="zh-CN"/>
        </w:rPr>
        <w:t>13</w:t>
      </w:r>
      <w:r>
        <w:rPr>
          <w:rFonts w:cs="Times New Roman"/>
          <w:bCs/>
          <w:color w:val="auto"/>
          <w:szCs w:val="32"/>
          <w:highlight w:val="none"/>
        </w:rPr>
        <w:t xml:space="preserve">.1 </w:t>
      </w:r>
      <w:r>
        <w:rPr>
          <w:rFonts w:hint="eastAsia" w:cs="Times New Roman"/>
          <w:bCs/>
          <w:color w:val="auto"/>
          <w:szCs w:val="32"/>
          <w:highlight w:val="none"/>
          <w:lang w:val="en-US" w:eastAsia="zh-CN"/>
        </w:rPr>
        <w:t xml:space="preserve">  一般规定</w:t>
      </w:r>
      <w:bookmarkEnd w:id="497"/>
      <w:bookmarkEnd w:id="498"/>
      <w:bookmarkEnd w:id="499"/>
    </w:p>
    <w:p>
      <w:pPr>
        <w:rPr>
          <w:rFonts w:ascii="宋体" w:hAnsi="宋体" w:eastAsia="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 xml:space="preserve">13.1.1  </w:t>
      </w:r>
      <w:r>
        <w:rPr>
          <w:rFonts w:hint="eastAsia" w:ascii="宋体" w:hAnsi="宋体" w:eastAsia="宋体"/>
          <w:color w:val="auto"/>
          <w:sz w:val="21"/>
          <w:szCs w:val="21"/>
          <w:highlight w:val="none"/>
        </w:rPr>
        <w:t>进行电力系统或用电设备检测时，首要考虑的是用电安全。检测活动必须严格遵循安全操作</w:t>
      </w:r>
      <w:r>
        <w:rPr>
          <w:rFonts w:hint="eastAsia" w:ascii="宋体" w:hAnsi="宋体" w:eastAsia="宋体"/>
          <w:color w:val="auto"/>
          <w:sz w:val="21"/>
          <w:szCs w:val="21"/>
          <w:highlight w:val="none"/>
          <w:lang w:eastAsia="zh-CN"/>
        </w:rPr>
        <w:t>标准</w:t>
      </w:r>
      <w:r>
        <w:rPr>
          <w:rFonts w:hint="eastAsia" w:ascii="宋体" w:hAnsi="宋体" w:eastAsia="宋体"/>
          <w:color w:val="auto"/>
          <w:sz w:val="21"/>
          <w:szCs w:val="21"/>
          <w:highlight w:val="none"/>
        </w:rPr>
        <w:t>，确保不会对电网的正常运行和用电设备的安全使用造成任何威胁。</w:t>
      </w:r>
    </w:p>
    <w:p>
      <w:pPr>
        <w:rPr>
          <w:rFonts w:ascii="宋体" w:hAnsi="宋体" w:eastAsia="宋体"/>
          <w:color w:val="auto"/>
          <w:sz w:val="21"/>
          <w:szCs w:val="21"/>
          <w:highlight w:val="none"/>
        </w:rPr>
      </w:pPr>
      <w:r>
        <w:rPr>
          <w:rFonts w:hint="eastAsia" w:ascii="宋体" w:hAnsi="宋体" w:eastAsia="宋体"/>
          <w:color w:val="auto"/>
          <w:sz w:val="21"/>
          <w:szCs w:val="21"/>
          <w:highlight w:val="none"/>
        </w:rPr>
        <w:t>在进行检测前，必须仔细评估检测活动可能对电网和用电设备产生的影响，特别是那些可能因检测而暂时失去电力供应的设备。对于这类设备，必须在检测前进行断电处理，以防止因电力突然中断或电压波动等原因导致的设备损坏或安全事故。同时，检测人员应熟悉并掌握所</w:t>
      </w:r>
      <w:r>
        <w:rPr>
          <w:rFonts w:hint="eastAsia" w:ascii="宋体" w:hAnsi="宋体" w:eastAsia="宋体"/>
          <w:color w:val="auto"/>
          <w:sz w:val="21"/>
          <w:szCs w:val="21"/>
          <w:highlight w:val="none"/>
          <w:lang w:eastAsia="zh-CN"/>
        </w:rPr>
        <w:t>检测仪器</w:t>
      </w:r>
      <w:r>
        <w:rPr>
          <w:rFonts w:hint="eastAsia" w:ascii="宋体" w:hAnsi="宋体" w:eastAsia="宋体"/>
          <w:color w:val="auto"/>
          <w:sz w:val="21"/>
          <w:szCs w:val="21"/>
          <w:highlight w:val="none"/>
        </w:rPr>
        <w:t>的操作</w:t>
      </w:r>
      <w:r>
        <w:rPr>
          <w:rFonts w:hint="eastAsia" w:ascii="宋体" w:hAnsi="宋体" w:eastAsia="宋体"/>
          <w:color w:val="auto"/>
          <w:sz w:val="21"/>
          <w:szCs w:val="21"/>
          <w:highlight w:val="none"/>
          <w:lang w:eastAsia="zh-CN"/>
        </w:rPr>
        <w:t>标准</w:t>
      </w:r>
      <w:r>
        <w:rPr>
          <w:rFonts w:hint="eastAsia" w:ascii="宋体" w:hAnsi="宋体" w:eastAsia="宋体"/>
          <w:color w:val="auto"/>
          <w:sz w:val="21"/>
          <w:szCs w:val="21"/>
          <w:highlight w:val="none"/>
        </w:rPr>
        <w:t>和安全注意事项，确保在检测过程中能够迅速、准确地应对可能出现的异常情况，以保障用电安全。</w:t>
      </w:r>
    </w:p>
    <w:p>
      <w:pPr>
        <w:rPr>
          <w:rFonts w:ascii="宋体" w:hAnsi="宋体" w:eastAsia="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 xml:space="preserve">13.1.2  </w:t>
      </w:r>
      <w:r>
        <w:rPr>
          <w:rFonts w:hint="eastAsia" w:ascii="宋体" w:hAnsi="宋体" w:eastAsia="宋体"/>
          <w:color w:val="auto"/>
          <w:sz w:val="21"/>
          <w:szCs w:val="21"/>
          <w:highlight w:val="none"/>
        </w:rPr>
        <w:t>检测过程中的人员配置和场所防护要求。检测场所的防护措施也是确保检测工作顺利进行和人员安全的重要保障。这包括但不限于设置警示标志、隔离检测区域、配备必要的防护用品和急救设备等。通过这些措施，可有效地减少检测过程中可能发生的意外事件，保障检测人员和周边人员的安全。</w:t>
      </w:r>
    </w:p>
    <w:p>
      <w:pPr>
        <w:rPr>
          <w:rFonts w:ascii="宋体" w:hAnsi="宋体" w:eastAsia="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 xml:space="preserve">13.1.3  </w:t>
      </w:r>
      <w:r>
        <w:rPr>
          <w:rFonts w:hint="eastAsia" w:ascii="宋体" w:hAnsi="宋体" w:eastAsia="宋体"/>
          <w:color w:val="auto"/>
          <w:sz w:val="21"/>
          <w:szCs w:val="21"/>
          <w:highlight w:val="none"/>
        </w:rPr>
        <w:t>本条文规定了进行电能质量检测所需的设备——三相电能质量分析仪的具体要求。参考了《公共建筑节能检测标准》JGJ/T 177中的相关规定，以确保检测方法的科学性和规范性。在实际操作中，检测人员应严格按照仪器说明书和相关标准进行操作，确保测量结果的准确性和可靠性。</w:t>
      </w:r>
    </w:p>
    <w:p>
      <w:pPr>
        <w:pStyle w:val="40"/>
        <w:rPr>
          <w:rFonts w:hint="eastAsia" w:cs="Times New Roman"/>
          <w:bCs/>
          <w:color w:val="auto"/>
          <w:szCs w:val="32"/>
          <w:highlight w:val="none"/>
          <w:lang w:val="en-US" w:eastAsia="zh-CN"/>
        </w:rPr>
      </w:pPr>
      <w:bookmarkStart w:id="500" w:name="_Toc22355"/>
      <w:bookmarkStart w:id="501" w:name="_Toc19689"/>
      <w:bookmarkStart w:id="502" w:name="_Toc22940"/>
      <w:r>
        <w:rPr>
          <w:rFonts w:hint="eastAsia" w:cs="Times New Roman"/>
          <w:bCs/>
          <w:color w:val="auto"/>
          <w:szCs w:val="32"/>
          <w:highlight w:val="none"/>
          <w:lang w:val="en-US" w:eastAsia="zh-CN"/>
        </w:rPr>
        <w:t>13</w:t>
      </w:r>
      <w:r>
        <w:rPr>
          <w:rFonts w:hint="default" w:cs="Times New Roman"/>
          <w:bCs/>
          <w:color w:val="auto"/>
          <w:szCs w:val="32"/>
          <w:highlight w:val="none"/>
          <w:lang w:val="en-US" w:eastAsia="zh-CN"/>
        </w:rPr>
        <w:t>.</w:t>
      </w:r>
      <w:r>
        <w:rPr>
          <w:rFonts w:hint="eastAsia" w:cs="Times New Roman"/>
          <w:bCs/>
          <w:color w:val="auto"/>
          <w:szCs w:val="32"/>
          <w:highlight w:val="none"/>
          <w:lang w:val="en-US" w:eastAsia="zh-CN"/>
        </w:rPr>
        <w:t xml:space="preserve">2 </w:t>
      </w:r>
      <w:r>
        <w:rPr>
          <w:rFonts w:hint="default" w:cs="Times New Roman"/>
          <w:bCs/>
          <w:color w:val="auto"/>
          <w:szCs w:val="32"/>
          <w:highlight w:val="none"/>
          <w:lang w:val="en-US" w:eastAsia="zh-CN"/>
        </w:rPr>
        <w:t xml:space="preserve"> </w:t>
      </w:r>
      <w:r>
        <w:rPr>
          <w:rFonts w:hint="eastAsia" w:cs="Times New Roman"/>
          <w:bCs/>
          <w:color w:val="auto"/>
          <w:szCs w:val="32"/>
          <w:highlight w:val="none"/>
          <w:lang w:val="en-US" w:eastAsia="zh-CN"/>
        </w:rPr>
        <w:t>检测部位和检测数量</w:t>
      </w:r>
      <w:bookmarkEnd w:id="500"/>
      <w:bookmarkEnd w:id="501"/>
      <w:bookmarkEnd w:id="502"/>
    </w:p>
    <w:p>
      <w:pPr>
        <w:rPr>
          <w:rFonts w:ascii="宋体" w:hAnsi="宋体" w:eastAsia="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 xml:space="preserve">13.2.1  </w:t>
      </w:r>
      <w:r>
        <w:rPr>
          <w:rFonts w:hint="eastAsia" w:ascii="宋体" w:hAnsi="宋体" w:eastAsia="宋体"/>
          <w:color w:val="auto"/>
          <w:sz w:val="21"/>
          <w:szCs w:val="21"/>
          <w:highlight w:val="none"/>
        </w:rPr>
        <w:t>本条文明确了电气安全检测的主要部位，即受电端和电气线路末端。受电端是指电力系统或设备中接收电能的端点，通常包括各种用电设备的输入端或电力系统的下级供电点。电气线路末端则是指电气线路中电能的最终传输点，也就是各用电设备的直接连接点。对这两个部位进行检测，可全面评估电气系统的安全性能。受电端的检测可确保电力供应的稳定性和安全性，防止因电力问题导致的设备损坏或人员伤害。电气线路末端的检测则可及时发现线路老化、短路、过载等潜在安全</w:t>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隐患，保障用电设备的安全运行。</w:t>
      </w:r>
    </w:p>
    <w:p>
      <w:pPr>
        <w:rPr>
          <w:rFonts w:ascii="宋体" w:hAnsi="宋体" w:eastAsia="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 xml:space="preserve">13.2.2  </w:t>
      </w:r>
      <w:r>
        <w:rPr>
          <w:rFonts w:hint="eastAsia" w:ascii="宋体" w:hAnsi="宋体" w:eastAsia="宋体"/>
          <w:color w:val="auto"/>
          <w:sz w:val="21"/>
          <w:szCs w:val="21"/>
          <w:highlight w:val="none"/>
        </w:rPr>
        <w:t>本条文规定了检测数量的具体要求。对于受电端，由于它们直接关系到电力供应的质量和安全性，因此需要进行全部检查，以确保每一个受电端都符合安全标准。</w:t>
      </w:r>
    </w:p>
    <w:p>
      <w:pPr>
        <w:rPr>
          <w:rFonts w:ascii="宋体" w:hAnsi="宋体" w:eastAsia="宋体"/>
          <w:color w:val="auto"/>
          <w:sz w:val="21"/>
          <w:szCs w:val="21"/>
          <w:highlight w:val="none"/>
        </w:rPr>
      </w:pPr>
      <w:r>
        <w:rPr>
          <w:rFonts w:hint="eastAsia" w:ascii="宋体" w:hAnsi="宋体" w:eastAsia="宋体"/>
          <w:color w:val="auto"/>
          <w:sz w:val="21"/>
          <w:szCs w:val="21"/>
          <w:highlight w:val="none"/>
        </w:rPr>
        <w:t>对于电气线路末端，由于数量可能较多</w:t>
      </w:r>
      <w:r>
        <w:rPr>
          <w:rFonts w:hint="eastAsia" w:ascii="宋体" w:hAnsi="宋体" w:eastAsia="宋体"/>
          <w:color w:val="auto"/>
          <w:sz w:val="21"/>
          <w:szCs w:val="21"/>
          <w:highlight w:val="none"/>
          <w:lang w:eastAsia="zh-CN"/>
        </w:rPr>
        <w:t>且</w:t>
      </w:r>
      <w:r>
        <w:rPr>
          <w:rFonts w:hint="eastAsia" w:ascii="宋体" w:hAnsi="宋体" w:eastAsia="宋体"/>
          <w:color w:val="auto"/>
          <w:sz w:val="21"/>
          <w:szCs w:val="21"/>
          <w:highlight w:val="none"/>
        </w:rPr>
        <w:t>在实际运行中，并非所有线路末端都会同时出现安全隐患，因此可采用抽样检测的方法。抽样数量的确定需要综合考虑电气系统的规模、复杂性、运行状况以及历史检测数据等因素。为了确保检测的准确性和有效性，本条文规定了一个最小抽样数量表，供检测人员参考。检测人员应根据实际情况，结合抽样数量表，确定具体的抽样数量和抽样方法。需要注意的是，抽样检测并不意味着可降低检测标准或忽视潜在的安全隐患。检测人员应严格按照相关标准和规范进行检测，确保检测结果准确可靠。同时，对于抽样检测中发现的任何问题或异常，都应进行深入调查和分析</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rPr>
        <w:t>采取必要的措施进行整改和改进。</w:t>
      </w:r>
    </w:p>
    <w:p>
      <w:pPr>
        <w:pStyle w:val="40"/>
        <w:rPr>
          <w:rFonts w:hint="eastAsia" w:cs="Times New Roman"/>
          <w:bCs/>
          <w:color w:val="auto"/>
          <w:szCs w:val="32"/>
          <w:highlight w:val="none"/>
          <w:lang w:val="en-US" w:eastAsia="zh-CN"/>
        </w:rPr>
      </w:pPr>
      <w:bookmarkStart w:id="503" w:name="_Toc29324"/>
      <w:bookmarkStart w:id="504" w:name="_Toc26204"/>
      <w:bookmarkStart w:id="505" w:name="_Toc17087"/>
      <w:r>
        <w:rPr>
          <w:rFonts w:hint="eastAsia" w:cs="Times New Roman"/>
          <w:bCs/>
          <w:color w:val="auto"/>
          <w:szCs w:val="32"/>
          <w:highlight w:val="none"/>
          <w:lang w:val="en-US" w:eastAsia="zh-CN"/>
        </w:rPr>
        <w:t>13.3  检测方法</w:t>
      </w:r>
      <w:bookmarkEnd w:id="503"/>
      <w:bookmarkEnd w:id="504"/>
      <w:bookmarkEnd w:id="505"/>
    </w:p>
    <w:p>
      <w:pPr>
        <w:rPr>
          <w:rFonts w:ascii="宋体" w:hAnsi="宋体" w:eastAsia="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 xml:space="preserve">13.3.1  </w:t>
      </w:r>
      <w:r>
        <w:rPr>
          <w:rFonts w:hint="eastAsia" w:ascii="宋体" w:hAnsi="宋体" w:eastAsia="宋体"/>
          <w:color w:val="auto"/>
          <w:sz w:val="21"/>
          <w:szCs w:val="21"/>
          <w:highlight w:val="none"/>
        </w:rPr>
        <w:t>为了确保检测结果能够真实反映实际用电情况，避免由于负载过低或异常导致的测量误差。对于室内插座等装置，应使用带负载模拟的仪表进行测试，以模拟实际用电场景，提高测试的准确性和实用性。</w:t>
      </w:r>
    </w:p>
    <w:p>
      <w:pPr>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电压允许偏差是电能质量检测的重要指标之一。本条文规定了具体的检测方法：在已安装的变频、照明和不间断电源等可产生谐波的用电设备均可投入的情况下，使用三相电能质量分析仪在变压器的低压侧进行测量。这是为了全面评估受电端电压的稳定性和准确性，同时考虑谐波等干扰因素对测量结果的影响。测量时，获得电压有效值的基本测量时间窗口应为10周波，以确保测量的连续性和稳定性。每个测量时间窗口应与紧邻的测量时间窗口接近而不重叠，以避免重复计算和误差累积。连续测量并计算电压有效值的平均值，最终计算获得供电电压偏差值。计算公式根据标准方法进行，以确保测量数据的连续性和完整性。测量时间宜为24h，以全面评估受电端电压在一天内的变化情况和稳定性。</w:t>
      </w:r>
    </w:p>
    <w:p>
      <w:pPr>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确保所有经过补偿的功率因数均得到检测。检测应在10kV及以下配电变压器的低压侧进行，考虑到低压侧是电力系统中与用户设备直接相连的部分，其功率因数直接反映了用户设备的用电效率和电网的稳定性。</w:t>
      </w:r>
    </w:p>
    <w:p>
      <w:pPr>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功率因素检测方法参照现行标准《公共建筑节能检测标准》JGJ/T 177。</w:t>
      </w:r>
    </w:p>
    <w:p>
      <w:pPr>
        <w:pStyle w:val="40"/>
        <w:rPr>
          <w:rFonts w:cs="Times New Roman"/>
          <w:bCs/>
          <w:color w:val="auto"/>
          <w:szCs w:val="32"/>
          <w:highlight w:val="none"/>
        </w:rPr>
      </w:pPr>
      <w:bookmarkStart w:id="506" w:name="_Toc7942"/>
      <w:bookmarkStart w:id="507" w:name="_Toc27649"/>
      <w:bookmarkStart w:id="508" w:name="_Toc5555"/>
      <w:r>
        <w:rPr>
          <w:rFonts w:hint="eastAsia" w:cs="Times New Roman"/>
          <w:bCs/>
          <w:color w:val="auto"/>
          <w:szCs w:val="32"/>
          <w:highlight w:val="none"/>
          <w:lang w:val="en-US" w:eastAsia="zh-CN"/>
        </w:rPr>
        <w:t>13</w:t>
      </w:r>
      <w:r>
        <w:rPr>
          <w:rFonts w:cs="Times New Roman"/>
          <w:bCs/>
          <w:color w:val="auto"/>
          <w:szCs w:val="32"/>
          <w:highlight w:val="none"/>
        </w:rPr>
        <w:t>.</w:t>
      </w:r>
      <w:r>
        <w:rPr>
          <w:rFonts w:hint="eastAsia" w:cs="Times New Roman"/>
          <w:bCs/>
          <w:color w:val="auto"/>
          <w:szCs w:val="32"/>
          <w:highlight w:val="none"/>
          <w:lang w:val="en-US" w:eastAsia="zh-CN"/>
        </w:rPr>
        <w:t xml:space="preserve">4  </w:t>
      </w:r>
      <w:r>
        <w:rPr>
          <w:rFonts w:hint="eastAsia" w:cs="Times New Roman"/>
          <w:bCs/>
          <w:color w:val="auto"/>
          <w:szCs w:val="32"/>
          <w:highlight w:val="none"/>
        </w:rPr>
        <w:t>检测结果</w:t>
      </w:r>
      <w:r>
        <w:rPr>
          <w:rFonts w:hint="eastAsia" w:ascii="宋体" w:hAnsi="宋体" w:eastAsia="宋体" w:cs="宋体"/>
          <w:color w:val="auto"/>
          <w:sz w:val="21"/>
          <w:szCs w:val="21"/>
          <w:highlight w:val="none"/>
          <w:lang w:val="en-US" w:eastAsia="zh-CN"/>
        </w:rPr>
        <w:t>的评价</w:t>
      </w:r>
      <w:bookmarkEnd w:id="506"/>
      <w:bookmarkEnd w:id="507"/>
      <w:bookmarkEnd w:id="508"/>
    </w:p>
    <w:p>
      <w:pPr>
        <w:rPr>
          <w:rFonts w:hint="eastAsia" w:ascii="宋体" w:hAnsi="宋体" w:eastAsia="宋体"/>
          <w:color w:val="auto"/>
          <w:sz w:val="21"/>
          <w:szCs w:val="21"/>
          <w:highlight w:val="none"/>
          <w:lang w:eastAsia="zh-CN"/>
        </w:rPr>
      </w:pPr>
      <w:r>
        <w:rPr>
          <w:rFonts w:hint="eastAsia" w:ascii="宋体" w:hAnsi="宋体" w:eastAsia="宋体" w:cs="宋体"/>
          <w:b/>
          <w:bCs/>
          <w:color w:val="auto"/>
          <w:kern w:val="0"/>
          <w:sz w:val="21"/>
          <w:szCs w:val="21"/>
          <w:highlight w:val="none"/>
          <w:lang w:val="en-US" w:eastAsia="zh-CN" w:bidi="ar"/>
        </w:rPr>
        <w:t xml:space="preserve">13.4.1  </w:t>
      </w:r>
      <w:r>
        <w:rPr>
          <w:rFonts w:hint="eastAsia" w:ascii="宋体" w:hAnsi="宋体" w:eastAsia="宋体"/>
          <w:color w:val="auto"/>
          <w:sz w:val="21"/>
          <w:szCs w:val="21"/>
          <w:highlight w:val="none"/>
        </w:rPr>
        <w:t>本条文规定了受电端电压的允许偏差限值，在确保电力系统中的电压保持在合理范围内，以保障用电设备的正常运行和能效</w:t>
      </w:r>
      <w:r>
        <w:rPr>
          <w:rFonts w:hint="eastAsia" w:ascii="宋体" w:hAnsi="宋体" w:eastAsia="宋体"/>
          <w:color w:val="auto"/>
          <w:sz w:val="21"/>
          <w:szCs w:val="21"/>
          <w:highlight w:val="none"/>
          <w:lang w:eastAsia="zh-CN"/>
        </w:rPr>
        <w:t>。</w:t>
      </w:r>
    </w:p>
    <w:p>
      <w:pPr>
        <w:rPr>
          <w:rFonts w:hint="eastAsia" w:ascii="宋体" w:hAnsi="宋体" w:eastAsia="宋体"/>
          <w:color w:val="auto"/>
          <w:sz w:val="21"/>
          <w:szCs w:val="21"/>
          <w:highlight w:val="none"/>
          <w:lang w:eastAsia="zh-CN"/>
        </w:rPr>
      </w:pPr>
      <w:r>
        <w:rPr>
          <w:rFonts w:hint="eastAsia" w:ascii="宋体" w:hAnsi="宋体" w:eastAsia="宋体" w:cs="宋体"/>
          <w:b/>
          <w:bCs/>
          <w:color w:val="auto"/>
          <w:kern w:val="0"/>
          <w:sz w:val="21"/>
          <w:szCs w:val="21"/>
          <w:highlight w:val="none"/>
          <w:lang w:val="en-US" w:eastAsia="zh-CN" w:bidi="ar"/>
        </w:rPr>
        <w:t xml:space="preserve">13.4.2  </w:t>
      </w:r>
      <w:r>
        <w:rPr>
          <w:rFonts w:hint="eastAsia" w:ascii="宋体" w:hAnsi="宋体" w:eastAsia="宋体"/>
          <w:color w:val="auto"/>
          <w:sz w:val="21"/>
          <w:szCs w:val="21"/>
          <w:highlight w:val="none"/>
        </w:rPr>
        <w:t>10kV及以下配电变压器低压侧的功率因数应不低于0.9。这一限值的设定是基于对电力系统经济运行和能效提升的考虑。当功率因数低于0.9时，电网中的无功功率流动会增加，导致电网损耗增大，同时也会影响用电设备的正常运行和能效</w:t>
      </w:r>
      <w:r>
        <w:rPr>
          <w:rFonts w:hint="eastAsia" w:ascii="宋体" w:hAnsi="宋体" w:eastAsia="宋体"/>
          <w:color w:val="auto"/>
          <w:sz w:val="21"/>
          <w:szCs w:val="21"/>
          <w:highlight w:val="none"/>
          <w:lang w:eastAsia="zh-CN"/>
        </w:rPr>
        <w:t>。</w:t>
      </w:r>
    </w:p>
    <w:p>
      <w:pPr>
        <w:rPr>
          <w:rFonts w:hint="eastAsia" w:ascii="宋体" w:hAnsi="宋体" w:eastAsia="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 xml:space="preserve">13.4.3  </w:t>
      </w:r>
      <w:r>
        <w:rPr>
          <w:rFonts w:hint="eastAsia" w:ascii="宋体" w:hAnsi="宋体" w:eastAsia="宋体"/>
          <w:color w:val="auto"/>
          <w:sz w:val="21"/>
          <w:szCs w:val="21"/>
          <w:highlight w:val="none"/>
        </w:rPr>
        <w:t>规定了380V电网标称电压下的谐波限值，包括电压谐波总畸变率、奇次谐波含有率、偶次谐波含有率以及谐波电流的允许值</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rPr>
        <w:t>提供了当电网公共连接点的最小短路容量与基准短路容量不同时的修正方法。</w:t>
      </w:r>
    </w:p>
    <w:p>
      <w:pPr>
        <w:rPr>
          <w:rFonts w:ascii="宋体" w:hAnsi="宋体" w:eastAsia="宋体"/>
          <w:color w:val="auto"/>
          <w:sz w:val="21"/>
          <w:szCs w:val="21"/>
          <w:highlight w:val="none"/>
        </w:rPr>
      </w:pPr>
    </w:p>
    <w:p>
      <w:pPr>
        <w:rPr>
          <w:rFonts w:hint="default" w:ascii="宋体" w:hAnsi="宋体" w:eastAsia="宋体"/>
          <w:color w:val="auto"/>
          <w:sz w:val="21"/>
          <w:szCs w:val="21"/>
          <w:highlight w:val="none"/>
          <w:lang w:val="en-US" w:eastAsia="zh-CN"/>
        </w:rPr>
      </w:pPr>
    </w:p>
    <w:p>
      <w:pPr>
        <w:rPr>
          <w:color w:val="auto"/>
          <w:sz w:val="21"/>
          <w:szCs w:val="21"/>
          <w:highlight w:val="none"/>
        </w:rPr>
      </w:pPr>
    </w:p>
    <w:sectPr>
      <w:footerReference r:id="rId5" w:type="default"/>
      <w:pgSz w:w="11906" w:h="16838"/>
      <w:pgMar w:top="1440" w:right="1236" w:bottom="1440" w:left="1293"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Cambria Math">
    <w:panose1 w:val="02040503050406030204"/>
    <w:charset w:val="00"/>
    <w:family w:val="roman"/>
    <w:pitch w:val="default"/>
    <w:sig w:usb0="E00002FF" w:usb1="420024FF" w:usb2="00000000" w:usb3="00000000" w:csb0="2000019F" w:csb1="00000000"/>
  </w:font>
  <w:font w:name="仿宋">
    <w:panose1 w:val="02010609060101010101"/>
    <w:charset w:val="86"/>
    <w:family w:val="modern"/>
    <w:pitch w:val="default"/>
    <w:sig w:usb0="800002BF" w:usb1="38CF7CFA" w:usb2="00000016" w:usb3="00000000" w:csb0="00040001" w:csb1="00000000"/>
  </w:font>
  <w:font w:name="Lucida Handwriting">
    <w:altName w:val="Mongolian Baiti"/>
    <w:panose1 w:val="03010101010101010101"/>
    <w:charset w:val="00"/>
    <w:family w:val="script"/>
    <w:pitch w:val="default"/>
    <w:sig w:usb0="00000000" w:usb1="00000000" w:usb2="00000000" w:usb3="00000000" w:csb0="20000001" w:csb1="00000000"/>
  </w:font>
  <w:font w:name="CIDFont">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Mongolian Baiti">
    <w:panose1 w:val="03000500000000000000"/>
    <w:charset w:val="00"/>
    <w:family w:val="auto"/>
    <w:pitch w:val="default"/>
    <w:sig w:usb0="80000023" w:usb1="00000000" w:usb2="0002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8bSus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8cQ9aErS5TrQbg9Jmyi9JYrjLBTYZxYYTdtV16Jx/eS9fBHb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fG0rrIAQAAmQMAAA4AAAAAAAAAAQAgAAAAHgEAAGRycy9lMm9Eb2Mu&#10;eG1sUEsFBgAAAAAGAAYAWQEAAFgFA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7B8074"/>
    <w:multiLevelType w:val="singleLevel"/>
    <w:tmpl w:val="9F7B8074"/>
    <w:lvl w:ilvl="0" w:tentative="0">
      <w:start w:val="1"/>
      <w:numFmt w:val="decimal"/>
      <w:suff w:val="space"/>
      <w:lvlText w:val="%1）"/>
      <w:lvlJc w:val="left"/>
    </w:lvl>
  </w:abstractNum>
  <w:abstractNum w:abstractNumId="1">
    <w:nsid w:val="D76FBA9B"/>
    <w:multiLevelType w:val="singleLevel"/>
    <w:tmpl w:val="D76FBA9B"/>
    <w:lvl w:ilvl="0" w:tentative="0">
      <w:start w:val="1"/>
      <w:numFmt w:val="decimal"/>
      <w:suff w:val="space"/>
      <w:lvlText w:val="%1）"/>
      <w:lvlJc w:val="left"/>
      <w:rPr>
        <w:rFonts w:hint="default"/>
        <w:b/>
        <w:bCs/>
      </w:rPr>
    </w:lvl>
  </w:abstractNum>
  <w:abstractNum w:abstractNumId="2">
    <w:nsid w:val="1D7D3BFF"/>
    <w:multiLevelType w:val="singleLevel"/>
    <w:tmpl w:val="1D7D3BFF"/>
    <w:lvl w:ilvl="0" w:tentative="0">
      <w:start w:val="1"/>
      <w:numFmt w:val="decimal"/>
      <w:suff w:val="space"/>
      <w:lvlText w:val="%1）"/>
      <w:lvlJc w:val="left"/>
      <w:rPr>
        <w:rFonts w:hint="default"/>
        <w:b/>
        <w:bCs/>
      </w:rPr>
    </w:lvl>
  </w:abstractNum>
  <w:abstractNum w:abstractNumId="3">
    <w:nsid w:val="32ADE46E"/>
    <w:multiLevelType w:val="singleLevel"/>
    <w:tmpl w:val="32ADE46E"/>
    <w:lvl w:ilvl="0" w:tentative="0">
      <w:start w:val="1"/>
      <w:numFmt w:val="decimal"/>
      <w:suff w:val="space"/>
      <w:lvlText w:val="%1)"/>
      <w:lvlJc w:val="left"/>
    </w:lvl>
  </w:abstractNum>
  <w:abstractNum w:abstractNumId="4">
    <w:nsid w:val="48802D1C"/>
    <w:multiLevelType w:val="multilevel"/>
    <w:tmpl w:val="48802D1C"/>
    <w:lvl w:ilvl="0" w:tentative="0">
      <w:start w:val="1"/>
      <w:numFmt w:val="upperLetter"/>
      <w:pStyle w:val="27"/>
      <w:lvlText w:val="%1"/>
      <w:lvlJc w:val="left"/>
      <w:pPr>
        <w:ind w:left="420" w:hanging="420"/>
      </w:pPr>
      <w:rPr>
        <w:rFonts w:hint="eastAsia"/>
      </w:rPr>
    </w:lvl>
    <w:lvl w:ilvl="1" w:tentative="0">
      <w:start w:val="1"/>
      <w:numFmt w:val="decimal"/>
      <w:pStyle w:val="2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5392A662"/>
    <w:multiLevelType w:val="singleLevel"/>
    <w:tmpl w:val="5392A662"/>
    <w:lvl w:ilvl="0" w:tentative="0">
      <w:start w:val="1"/>
      <w:numFmt w:val="decimal"/>
      <w:suff w:val="space"/>
      <w:lvlText w:val="%1）"/>
      <w:lvlJc w:val="left"/>
      <w:rPr>
        <w:rFonts w:hint="default"/>
        <w:b/>
        <w:bCs/>
      </w:rPr>
    </w:lvl>
  </w:abstractNum>
  <w:abstractNum w:abstractNumId="6">
    <w:nsid w:val="5603797C"/>
    <w:multiLevelType w:val="multilevel"/>
    <w:tmpl w:val="5603797C"/>
    <w:lvl w:ilvl="0" w:tentative="0">
      <w:start w:val="1"/>
      <w:numFmt w:val="upperLetter"/>
      <w:suff w:val="space"/>
      <w:lvlText w:val="%1"/>
      <w:lvlJc w:val="left"/>
      <w:pPr>
        <w:ind w:left="425" w:hanging="425"/>
      </w:pPr>
      <w:rPr>
        <w:rFonts w:hint="eastAsia"/>
      </w:rPr>
    </w:lvl>
    <w:lvl w:ilvl="1" w:tentative="0">
      <w:start w:val="1"/>
      <w:numFmt w:val="decimal"/>
      <w:pStyle w:val="28"/>
      <w:suff w:val="space"/>
      <w:lvlText w:val="表%1.%2"/>
      <w:lvlJc w:val="center"/>
      <w:pPr>
        <w:ind w:left="3969" w:firstLine="0"/>
      </w:pPr>
      <w:rPr>
        <w:rFonts w:hint="eastAsia" w:ascii="黑体" w:eastAsia="黑体"/>
        <w:sz w:val="21"/>
        <w:lang w:val="en-US"/>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657D3FBC"/>
    <w:multiLevelType w:val="multilevel"/>
    <w:tmpl w:val="657D3FBC"/>
    <w:lvl w:ilvl="0" w:tentative="0">
      <w:start w:val="1"/>
      <w:numFmt w:val="upperLetter"/>
      <w:suff w:val="nothing"/>
      <w:lvlText w:val="附录%1"/>
      <w:lvlJc w:val="left"/>
      <w:pPr>
        <w:ind w:left="5103" w:firstLine="0"/>
      </w:pPr>
      <w:rPr>
        <w:rFonts w:hint="eastAsia"/>
        <w:spacing w:val="100"/>
        <w:lang w:val="en-US"/>
      </w:rPr>
    </w:lvl>
    <w:lvl w:ilvl="1" w:tentative="0">
      <w:start w:val="1"/>
      <w:numFmt w:val="decimal"/>
      <w:pStyle w:val="21"/>
      <w:suff w:val="nothing"/>
      <w:lvlText w:val="%1.%2　"/>
      <w:lvlJc w:val="left"/>
      <w:pPr>
        <w:ind w:left="0" w:firstLine="0"/>
      </w:pPr>
      <w:rPr>
        <w:rFonts w:hint="eastAsia" w:ascii="黑体" w:eastAsia="黑体"/>
        <w:b w:val="0"/>
        <w:i w:val="0"/>
        <w:sz w:val="21"/>
      </w:rPr>
    </w:lvl>
    <w:lvl w:ilvl="2" w:tentative="0">
      <w:start w:val="1"/>
      <w:numFmt w:val="decimal"/>
      <w:pStyle w:val="26"/>
      <w:suff w:val="nothing"/>
      <w:lvlText w:val="%1.%2.%3　"/>
      <w:lvlJc w:val="left"/>
      <w:pPr>
        <w:ind w:left="142" w:firstLine="0"/>
      </w:pPr>
      <w:rPr>
        <w:rFonts w:hint="eastAsia" w:ascii="黑体" w:eastAsia="黑体"/>
        <w:b w:val="0"/>
        <w:i w:val="0"/>
        <w:sz w:val="21"/>
      </w:rPr>
    </w:lvl>
    <w:lvl w:ilvl="3" w:tentative="0">
      <w:start w:val="1"/>
      <w:numFmt w:val="decimal"/>
      <w:suff w:val="nothing"/>
      <w:lvlText w:val="%1.%2.%3.%4　"/>
      <w:lvlJc w:val="left"/>
      <w:pPr>
        <w:ind w:left="284" w:firstLine="0"/>
      </w:pPr>
      <w:rPr>
        <w:rFonts w:hint="eastAsia" w:ascii="黑体" w:eastAsia="黑体"/>
        <w:b w:val="0"/>
        <w:i w:val="0"/>
        <w:sz w:val="21"/>
      </w:rPr>
    </w:lvl>
    <w:lvl w:ilvl="4" w:tentative="0">
      <w:start w:val="1"/>
      <w:numFmt w:val="decimal"/>
      <w:suff w:val="nothing"/>
      <w:lvlText w:val="%1.%2.%3.%4.%5　"/>
      <w:lvlJc w:val="left"/>
      <w:pPr>
        <w:ind w:left="709"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6E8B68FF"/>
    <w:multiLevelType w:val="singleLevel"/>
    <w:tmpl w:val="6E8B68FF"/>
    <w:lvl w:ilvl="0" w:tentative="0">
      <w:start w:val="1"/>
      <w:numFmt w:val="decimal"/>
      <w:suff w:val="space"/>
      <w:lvlText w:val="%1)"/>
      <w:lvlJc w:val="left"/>
      <w:rPr>
        <w:rFonts w:hint="default"/>
        <w:b/>
        <w:bCs/>
      </w:rPr>
    </w:lvl>
  </w:abstractNum>
  <w:num w:numId="1">
    <w:abstractNumId w:val="7"/>
  </w:num>
  <w:num w:numId="2">
    <w:abstractNumId w:val="4"/>
  </w:num>
  <w:num w:numId="3">
    <w:abstractNumId w:val="6"/>
  </w:num>
  <w:num w:numId="4">
    <w:abstractNumId w:val="3"/>
  </w:num>
  <w:num w:numId="5">
    <w:abstractNumId w:val="2"/>
  </w:num>
  <w:num w:numId="6">
    <w:abstractNumId w:val="5"/>
  </w:num>
  <w:num w:numId="7">
    <w:abstractNumId w:val="1"/>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3"/>
    </o:shapelayout>
  </w:hdrShapeDefault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1MzJlYTQ2MGEwYTQzZTQ2ZTg0Yzg0MTRjNjRkYjYifQ=="/>
  </w:docVars>
  <w:rsids>
    <w:rsidRoot w:val="001F0ED1"/>
    <w:rsid w:val="00006EA9"/>
    <w:rsid w:val="000101F7"/>
    <w:rsid w:val="00021475"/>
    <w:rsid w:val="00051B8D"/>
    <w:rsid w:val="000573F5"/>
    <w:rsid w:val="00081796"/>
    <w:rsid w:val="00082119"/>
    <w:rsid w:val="00094E31"/>
    <w:rsid w:val="000A3908"/>
    <w:rsid w:val="000A494A"/>
    <w:rsid w:val="000D0675"/>
    <w:rsid w:val="000D40E5"/>
    <w:rsid w:val="000E0DCA"/>
    <w:rsid w:val="000E4399"/>
    <w:rsid w:val="000F0CC9"/>
    <w:rsid w:val="001275EB"/>
    <w:rsid w:val="0014110F"/>
    <w:rsid w:val="001A5D34"/>
    <w:rsid w:val="001C7D1E"/>
    <w:rsid w:val="001F0ED1"/>
    <w:rsid w:val="001F33E0"/>
    <w:rsid w:val="00214E89"/>
    <w:rsid w:val="00237B3D"/>
    <w:rsid w:val="00286BE7"/>
    <w:rsid w:val="00292A05"/>
    <w:rsid w:val="00293DC6"/>
    <w:rsid w:val="002F7E8A"/>
    <w:rsid w:val="00301E21"/>
    <w:rsid w:val="003037BA"/>
    <w:rsid w:val="00310515"/>
    <w:rsid w:val="0031133C"/>
    <w:rsid w:val="00315D9A"/>
    <w:rsid w:val="00336753"/>
    <w:rsid w:val="00354028"/>
    <w:rsid w:val="0036277E"/>
    <w:rsid w:val="003E0F1A"/>
    <w:rsid w:val="004501EB"/>
    <w:rsid w:val="004515C7"/>
    <w:rsid w:val="00474753"/>
    <w:rsid w:val="0048157E"/>
    <w:rsid w:val="00484FD4"/>
    <w:rsid w:val="0049097D"/>
    <w:rsid w:val="004C15DE"/>
    <w:rsid w:val="004C4C17"/>
    <w:rsid w:val="00506439"/>
    <w:rsid w:val="00516166"/>
    <w:rsid w:val="0051694E"/>
    <w:rsid w:val="00536CC7"/>
    <w:rsid w:val="005578CE"/>
    <w:rsid w:val="00565BA0"/>
    <w:rsid w:val="00576286"/>
    <w:rsid w:val="0057742B"/>
    <w:rsid w:val="00581E52"/>
    <w:rsid w:val="005A5D90"/>
    <w:rsid w:val="005E663A"/>
    <w:rsid w:val="005E7770"/>
    <w:rsid w:val="005F075F"/>
    <w:rsid w:val="00634070"/>
    <w:rsid w:val="00634BC9"/>
    <w:rsid w:val="006434DE"/>
    <w:rsid w:val="00660774"/>
    <w:rsid w:val="0069610D"/>
    <w:rsid w:val="006A1AC4"/>
    <w:rsid w:val="006C4766"/>
    <w:rsid w:val="006E1A84"/>
    <w:rsid w:val="006E22D4"/>
    <w:rsid w:val="006E51C3"/>
    <w:rsid w:val="0070398E"/>
    <w:rsid w:val="00704224"/>
    <w:rsid w:val="00720254"/>
    <w:rsid w:val="00732394"/>
    <w:rsid w:val="00733955"/>
    <w:rsid w:val="00764990"/>
    <w:rsid w:val="00765160"/>
    <w:rsid w:val="00765578"/>
    <w:rsid w:val="00770693"/>
    <w:rsid w:val="00775A95"/>
    <w:rsid w:val="00780D0A"/>
    <w:rsid w:val="00784302"/>
    <w:rsid w:val="00791DBD"/>
    <w:rsid w:val="007B620C"/>
    <w:rsid w:val="008168C9"/>
    <w:rsid w:val="008713A2"/>
    <w:rsid w:val="00884D5A"/>
    <w:rsid w:val="00897958"/>
    <w:rsid w:val="008E0DA1"/>
    <w:rsid w:val="008E4345"/>
    <w:rsid w:val="00902574"/>
    <w:rsid w:val="0095329E"/>
    <w:rsid w:val="00954CA3"/>
    <w:rsid w:val="00955B13"/>
    <w:rsid w:val="00985EC7"/>
    <w:rsid w:val="009A02A2"/>
    <w:rsid w:val="009B35F7"/>
    <w:rsid w:val="009D38D8"/>
    <w:rsid w:val="00A207FF"/>
    <w:rsid w:val="00A2611B"/>
    <w:rsid w:val="00A264AE"/>
    <w:rsid w:val="00A42A66"/>
    <w:rsid w:val="00A82B8B"/>
    <w:rsid w:val="00A841CB"/>
    <w:rsid w:val="00A910F0"/>
    <w:rsid w:val="00A92FAD"/>
    <w:rsid w:val="00AA12AA"/>
    <w:rsid w:val="00AD4699"/>
    <w:rsid w:val="00AD4A74"/>
    <w:rsid w:val="00AE4E31"/>
    <w:rsid w:val="00AF1511"/>
    <w:rsid w:val="00AF546E"/>
    <w:rsid w:val="00B00955"/>
    <w:rsid w:val="00B00961"/>
    <w:rsid w:val="00B37DDF"/>
    <w:rsid w:val="00B51F2D"/>
    <w:rsid w:val="00B86162"/>
    <w:rsid w:val="00B93C1C"/>
    <w:rsid w:val="00BD7F64"/>
    <w:rsid w:val="00BE6591"/>
    <w:rsid w:val="00C128ED"/>
    <w:rsid w:val="00C1781A"/>
    <w:rsid w:val="00C66B17"/>
    <w:rsid w:val="00C828DE"/>
    <w:rsid w:val="00C847D5"/>
    <w:rsid w:val="00C96ACD"/>
    <w:rsid w:val="00CA399B"/>
    <w:rsid w:val="00CA6890"/>
    <w:rsid w:val="00CB791E"/>
    <w:rsid w:val="00CC31BD"/>
    <w:rsid w:val="00D00282"/>
    <w:rsid w:val="00D037C1"/>
    <w:rsid w:val="00D30BDF"/>
    <w:rsid w:val="00D45688"/>
    <w:rsid w:val="00D55ED3"/>
    <w:rsid w:val="00D7132F"/>
    <w:rsid w:val="00D8100D"/>
    <w:rsid w:val="00D85713"/>
    <w:rsid w:val="00D86135"/>
    <w:rsid w:val="00DC2BFE"/>
    <w:rsid w:val="00E06C9E"/>
    <w:rsid w:val="00E23E51"/>
    <w:rsid w:val="00E32BEC"/>
    <w:rsid w:val="00E57E9E"/>
    <w:rsid w:val="00E62803"/>
    <w:rsid w:val="00E64153"/>
    <w:rsid w:val="00E75879"/>
    <w:rsid w:val="00EF4FB5"/>
    <w:rsid w:val="00F0457D"/>
    <w:rsid w:val="00F13AFB"/>
    <w:rsid w:val="00F45488"/>
    <w:rsid w:val="00F64EF3"/>
    <w:rsid w:val="00F744EF"/>
    <w:rsid w:val="00F84F7D"/>
    <w:rsid w:val="00F90C5E"/>
    <w:rsid w:val="00F9546E"/>
    <w:rsid w:val="00FC63AC"/>
    <w:rsid w:val="00FF4930"/>
    <w:rsid w:val="00FF6214"/>
    <w:rsid w:val="00FF73F7"/>
    <w:rsid w:val="015F310C"/>
    <w:rsid w:val="02627278"/>
    <w:rsid w:val="02A032B6"/>
    <w:rsid w:val="02D92BFC"/>
    <w:rsid w:val="02DA0092"/>
    <w:rsid w:val="03B847A3"/>
    <w:rsid w:val="03DF7A3F"/>
    <w:rsid w:val="03F11C32"/>
    <w:rsid w:val="043A7135"/>
    <w:rsid w:val="046E0A71"/>
    <w:rsid w:val="04A83722"/>
    <w:rsid w:val="04DE1737"/>
    <w:rsid w:val="04E62E18"/>
    <w:rsid w:val="05662F17"/>
    <w:rsid w:val="05840001"/>
    <w:rsid w:val="05B06438"/>
    <w:rsid w:val="06177D1B"/>
    <w:rsid w:val="067174A5"/>
    <w:rsid w:val="0673692E"/>
    <w:rsid w:val="06764670"/>
    <w:rsid w:val="06974875"/>
    <w:rsid w:val="07150FE8"/>
    <w:rsid w:val="073F4A62"/>
    <w:rsid w:val="08332F60"/>
    <w:rsid w:val="08A00947"/>
    <w:rsid w:val="092B1742"/>
    <w:rsid w:val="095D5673"/>
    <w:rsid w:val="0A357536"/>
    <w:rsid w:val="0A7E3E50"/>
    <w:rsid w:val="0B21104E"/>
    <w:rsid w:val="0B8C5B90"/>
    <w:rsid w:val="0BBD4055"/>
    <w:rsid w:val="0C165776"/>
    <w:rsid w:val="0CC84FB5"/>
    <w:rsid w:val="0D2619A0"/>
    <w:rsid w:val="0D9E6160"/>
    <w:rsid w:val="0DED6FC6"/>
    <w:rsid w:val="0E413A70"/>
    <w:rsid w:val="0E452531"/>
    <w:rsid w:val="0EAC5F11"/>
    <w:rsid w:val="0F2551C4"/>
    <w:rsid w:val="10E34150"/>
    <w:rsid w:val="10EF6962"/>
    <w:rsid w:val="11090D6E"/>
    <w:rsid w:val="11695D55"/>
    <w:rsid w:val="11F87AE5"/>
    <w:rsid w:val="12635AA8"/>
    <w:rsid w:val="12DB2159"/>
    <w:rsid w:val="12E110C3"/>
    <w:rsid w:val="131228B9"/>
    <w:rsid w:val="131640A3"/>
    <w:rsid w:val="13171244"/>
    <w:rsid w:val="14230AC2"/>
    <w:rsid w:val="14505392"/>
    <w:rsid w:val="147E4A3A"/>
    <w:rsid w:val="14D83448"/>
    <w:rsid w:val="14E45F98"/>
    <w:rsid w:val="158D5FE4"/>
    <w:rsid w:val="15C72FF4"/>
    <w:rsid w:val="16426266"/>
    <w:rsid w:val="1695469E"/>
    <w:rsid w:val="16F771B6"/>
    <w:rsid w:val="17416DA0"/>
    <w:rsid w:val="17825325"/>
    <w:rsid w:val="18686264"/>
    <w:rsid w:val="18893D8F"/>
    <w:rsid w:val="18B66808"/>
    <w:rsid w:val="1A14446F"/>
    <w:rsid w:val="1A326BC4"/>
    <w:rsid w:val="1AE31A77"/>
    <w:rsid w:val="1B0F3742"/>
    <w:rsid w:val="1B525E94"/>
    <w:rsid w:val="1BC44282"/>
    <w:rsid w:val="1BCC6FA1"/>
    <w:rsid w:val="1BDA55E9"/>
    <w:rsid w:val="1C742C3C"/>
    <w:rsid w:val="1D217272"/>
    <w:rsid w:val="1D597BE9"/>
    <w:rsid w:val="1D632EBE"/>
    <w:rsid w:val="1D7C3EC2"/>
    <w:rsid w:val="1DC90EBA"/>
    <w:rsid w:val="1E312EFF"/>
    <w:rsid w:val="1E375792"/>
    <w:rsid w:val="1E866C63"/>
    <w:rsid w:val="1E8B1761"/>
    <w:rsid w:val="1F1A1F1C"/>
    <w:rsid w:val="1FBC6607"/>
    <w:rsid w:val="1FC3402A"/>
    <w:rsid w:val="201C3FD8"/>
    <w:rsid w:val="202562AD"/>
    <w:rsid w:val="20503FE2"/>
    <w:rsid w:val="206E2627"/>
    <w:rsid w:val="20AB7D58"/>
    <w:rsid w:val="20AF0CAD"/>
    <w:rsid w:val="20CC3E2F"/>
    <w:rsid w:val="20CE53C5"/>
    <w:rsid w:val="21224D81"/>
    <w:rsid w:val="21747CD2"/>
    <w:rsid w:val="2181485F"/>
    <w:rsid w:val="21B72F49"/>
    <w:rsid w:val="221F074F"/>
    <w:rsid w:val="230C3F3A"/>
    <w:rsid w:val="23183926"/>
    <w:rsid w:val="235310B3"/>
    <w:rsid w:val="23607DE2"/>
    <w:rsid w:val="24190849"/>
    <w:rsid w:val="241E70CB"/>
    <w:rsid w:val="24712E08"/>
    <w:rsid w:val="24B65F0C"/>
    <w:rsid w:val="252B516D"/>
    <w:rsid w:val="255B5F41"/>
    <w:rsid w:val="25822292"/>
    <w:rsid w:val="2582739C"/>
    <w:rsid w:val="2592103D"/>
    <w:rsid w:val="25C64B94"/>
    <w:rsid w:val="25EE3215"/>
    <w:rsid w:val="266A29AB"/>
    <w:rsid w:val="26C07516"/>
    <w:rsid w:val="27665F4A"/>
    <w:rsid w:val="27A04C51"/>
    <w:rsid w:val="28357A8F"/>
    <w:rsid w:val="295C2DFA"/>
    <w:rsid w:val="2989763D"/>
    <w:rsid w:val="299507E6"/>
    <w:rsid w:val="29C410CB"/>
    <w:rsid w:val="29D05CC2"/>
    <w:rsid w:val="29D3734C"/>
    <w:rsid w:val="2A500BB0"/>
    <w:rsid w:val="2A7F0C3A"/>
    <w:rsid w:val="2A9D31C6"/>
    <w:rsid w:val="2AAD283F"/>
    <w:rsid w:val="2B2C4EC9"/>
    <w:rsid w:val="2B393F0C"/>
    <w:rsid w:val="2B5A7757"/>
    <w:rsid w:val="2B724B56"/>
    <w:rsid w:val="2BA12184"/>
    <w:rsid w:val="2BB13721"/>
    <w:rsid w:val="2BB55BBD"/>
    <w:rsid w:val="2BC17995"/>
    <w:rsid w:val="2C072F25"/>
    <w:rsid w:val="2C5B2A2B"/>
    <w:rsid w:val="2C664856"/>
    <w:rsid w:val="2C8C1D58"/>
    <w:rsid w:val="2D21025F"/>
    <w:rsid w:val="2D8C0071"/>
    <w:rsid w:val="2DB75C55"/>
    <w:rsid w:val="2DC93ED5"/>
    <w:rsid w:val="2DF4181D"/>
    <w:rsid w:val="2E3506B7"/>
    <w:rsid w:val="2E392E7C"/>
    <w:rsid w:val="2E3A66CF"/>
    <w:rsid w:val="2E477CBD"/>
    <w:rsid w:val="2E550D4D"/>
    <w:rsid w:val="2EAD3F01"/>
    <w:rsid w:val="2ECD7E03"/>
    <w:rsid w:val="2F420842"/>
    <w:rsid w:val="2FA2183B"/>
    <w:rsid w:val="300079CA"/>
    <w:rsid w:val="303F0B37"/>
    <w:rsid w:val="3045258A"/>
    <w:rsid w:val="30586A11"/>
    <w:rsid w:val="305A6FA0"/>
    <w:rsid w:val="30822222"/>
    <w:rsid w:val="31055B72"/>
    <w:rsid w:val="316B5FC7"/>
    <w:rsid w:val="31945AEF"/>
    <w:rsid w:val="32213220"/>
    <w:rsid w:val="3224112A"/>
    <w:rsid w:val="32DD61AE"/>
    <w:rsid w:val="330B7654"/>
    <w:rsid w:val="332932C7"/>
    <w:rsid w:val="336B6D7B"/>
    <w:rsid w:val="338D1FE2"/>
    <w:rsid w:val="342D1DAC"/>
    <w:rsid w:val="347D416F"/>
    <w:rsid w:val="348F6ABD"/>
    <w:rsid w:val="34F234F9"/>
    <w:rsid w:val="35170C48"/>
    <w:rsid w:val="35315229"/>
    <w:rsid w:val="3578233B"/>
    <w:rsid w:val="359B1EE0"/>
    <w:rsid w:val="35C13669"/>
    <w:rsid w:val="362673CB"/>
    <w:rsid w:val="368C7CC0"/>
    <w:rsid w:val="370A78A7"/>
    <w:rsid w:val="37121976"/>
    <w:rsid w:val="374412C9"/>
    <w:rsid w:val="37B26143"/>
    <w:rsid w:val="37C83FBE"/>
    <w:rsid w:val="381A32DB"/>
    <w:rsid w:val="38BC6219"/>
    <w:rsid w:val="395626BC"/>
    <w:rsid w:val="397B2853"/>
    <w:rsid w:val="39A96382"/>
    <w:rsid w:val="39CB5FB9"/>
    <w:rsid w:val="39FA6A83"/>
    <w:rsid w:val="3A133E97"/>
    <w:rsid w:val="3A3C6A5B"/>
    <w:rsid w:val="3A9B7C26"/>
    <w:rsid w:val="3AE121D3"/>
    <w:rsid w:val="3B7F216D"/>
    <w:rsid w:val="3CC11038"/>
    <w:rsid w:val="3CD613E9"/>
    <w:rsid w:val="3CF7310E"/>
    <w:rsid w:val="3D125367"/>
    <w:rsid w:val="3D170DEA"/>
    <w:rsid w:val="3D17730C"/>
    <w:rsid w:val="3D4F6AA6"/>
    <w:rsid w:val="3DDA450B"/>
    <w:rsid w:val="3E0257EB"/>
    <w:rsid w:val="3E6150AD"/>
    <w:rsid w:val="3E87302B"/>
    <w:rsid w:val="3E9D584E"/>
    <w:rsid w:val="3EEC4B91"/>
    <w:rsid w:val="3F006B9E"/>
    <w:rsid w:val="3F5625B6"/>
    <w:rsid w:val="3FAD2FD3"/>
    <w:rsid w:val="40595538"/>
    <w:rsid w:val="406D6DD9"/>
    <w:rsid w:val="408F1B81"/>
    <w:rsid w:val="40C73A02"/>
    <w:rsid w:val="40D9606D"/>
    <w:rsid w:val="40FA31CC"/>
    <w:rsid w:val="41163E38"/>
    <w:rsid w:val="41D840FB"/>
    <w:rsid w:val="41FA16D6"/>
    <w:rsid w:val="429027C0"/>
    <w:rsid w:val="42B04734"/>
    <w:rsid w:val="42CC5E9D"/>
    <w:rsid w:val="42E60A4A"/>
    <w:rsid w:val="42F11EE3"/>
    <w:rsid w:val="42F97AE5"/>
    <w:rsid w:val="431B1F06"/>
    <w:rsid w:val="431E7A84"/>
    <w:rsid w:val="43210EE4"/>
    <w:rsid w:val="43301E8D"/>
    <w:rsid w:val="436C03B1"/>
    <w:rsid w:val="442A5B77"/>
    <w:rsid w:val="44DB2D09"/>
    <w:rsid w:val="452B4BA6"/>
    <w:rsid w:val="46414C86"/>
    <w:rsid w:val="46D23560"/>
    <w:rsid w:val="478D6B48"/>
    <w:rsid w:val="47B71B7A"/>
    <w:rsid w:val="47FD0B1B"/>
    <w:rsid w:val="484964D5"/>
    <w:rsid w:val="488C2983"/>
    <w:rsid w:val="48A43440"/>
    <w:rsid w:val="48B20E75"/>
    <w:rsid w:val="48D41126"/>
    <w:rsid w:val="48FF5824"/>
    <w:rsid w:val="49361744"/>
    <w:rsid w:val="4A673F25"/>
    <w:rsid w:val="4AD04991"/>
    <w:rsid w:val="4AD66A58"/>
    <w:rsid w:val="4AD91DCE"/>
    <w:rsid w:val="4ADC40E1"/>
    <w:rsid w:val="4B3F014E"/>
    <w:rsid w:val="4B4A363C"/>
    <w:rsid w:val="4B7C315C"/>
    <w:rsid w:val="4BC17813"/>
    <w:rsid w:val="4C0E30F7"/>
    <w:rsid w:val="4CE04646"/>
    <w:rsid w:val="4E031912"/>
    <w:rsid w:val="4E3118FE"/>
    <w:rsid w:val="4E374F2F"/>
    <w:rsid w:val="4E5D3DD1"/>
    <w:rsid w:val="4E6E76F6"/>
    <w:rsid w:val="4E9462A8"/>
    <w:rsid w:val="4EA11274"/>
    <w:rsid w:val="4EB17198"/>
    <w:rsid w:val="4F3855EC"/>
    <w:rsid w:val="4F9C30CD"/>
    <w:rsid w:val="4FAB2261"/>
    <w:rsid w:val="4FD1731C"/>
    <w:rsid w:val="50031B6E"/>
    <w:rsid w:val="50507626"/>
    <w:rsid w:val="50FB737A"/>
    <w:rsid w:val="5110133B"/>
    <w:rsid w:val="511B410C"/>
    <w:rsid w:val="51AE0C98"/>
    <w:rsid w:val="51E2301E"/>
    <w:rsid w:val="51E36659"/>
    <w:rsid w:val="52215F62"/>
    <w:rsid w:val="52580CC2"/>
    <w:rsid w:val="53207A85"/>
    <w:rsid w:val="53732359"/>
    <w:rsid w:val="539F4986"/>
    <w:rsid w:val="53A46585"/>
    <w:rsid w:val="540F3450"/>
    <w:rsid w:val="546E717A"/>
    <w:rsid w:val="5479137A"/>
    <w:rsid w:val="547F27A0"/>
    <w:rsid w:val="550D751A"/>
    <w:rsid w:val="553875DD"/>
    <w:rsid w:val="553A1426"/>
    <w:rsid w:val="555B02D2"/>
    <w:rsid w:val="55A67647"/>
    <w:rsid w:val="55CB6607"/>
    <w:rsid w:val="55DD72CA"/>
    <w:rsid w:val="55EE4C56"/>
    <w:rsid w:val="562E4C3B"/>
    <w:rsid w:val="564D4072"/>
    <w:rsid w:val="565E452F"/>
    <w:rsid w:val="58334F24"/>
    <w:rsid w:val="58343043"/>
    <w:rsid w:val="58382B00"/>
    <w:rsid w:val="58652998"/>
    <w:rsid w:val="58727DC0"/>
    <w:rsid w:val="58B71500"/>
    <w:rsid w:val="58F65B0C"/>
    <w:rsid w:val="59625C7B"/>
    <w:rsid w:val="59BE7035"/>
    <w:rsid w:val="59DF6510"/>
    <w:rsid w:val="5A203705"/>
    <w:rsid w:val="5A36306F"/>
    <w:rsid w:val="5A6000EC"/>
    <w:rsid w:val="5AD9096B"/>
    <w:rsid w:val="5AF652FA"/>
    <w:rsid w:val="5C3E7FB9"/>
    <w:rsid w:val="5C7769D3"/>
    <w:rsid w:val="5CAB7969"/>
    <w:rsid w:val="5D2914B4"/>
    <w:rsid w:val="5D32630C"/>
    <w:rsid w:val="5DCD7847"/>
    <w:rsid w:val="5DF71245"/>
    <w:rsid w:val="5E3325FA"/>
    <w:rsid w:val="5EA77729"/>
    <w:rsid w:val="5EAB60DB"/>
    <w:rsid w:val="5EC10101"/>
    <w:rsid w:val="5EF534F9"/>
    <w:rsid w:val="5F542AB9"/>
    <w:rsid w:val="5F813877"/>
    <w:rsid w:val="60D735FD"/>
    <w:rsid w:val="61183DEF"/>
    <w:rsid w:val="611938B3"/>
    <w:rsid w:val="6158667E"/>
    <w:rsid w:val="618778A1"/>
    <w:rsid w:val="61C86CA3"/>
    <w:rsid w:val="61D01CB8"/>
    <w:rsid w:val="61DA0603"/>
    <w:rsid w:val="61EA6C19"/>
    <w:rsid w:val="61FC4B9F"/>
    <w:rsid w:val="6208709F"/>
    <w:rsid w:val="624B3430"/>
    <w:rsid w:val="625C5B39"/>
    <w:rsid w:val="628278EE"/>
    <w:rsid w:val="63214606"/>
    <w:rsid w:val="636804EC"/>
    <w:rsid w:val="63BB22DF"/>
    <w:rsid w:val="63C17E4E"/>
    <w:rsid w:val="63C8433A"/>
    <w:rsid w:val="644E4988"/>
    <w:rsid w:val="64610CE9"/>
    <w:rsid w:val="64A66831"/>
    <w:rsid w:val="64EF4547"/>
    <w:rsid w:val="65546503"/>
    <w:rsid w:val="655E7AA4"/>
    <w:rsid w:val="65F23426"/>
    <w:rsid w:val="676F196F"/>
    <w:rsid w:val="67A474A4"/>
    <w:rsid w:val="680107B9"/>
    <w:rsid w:val="68242ACC"/>
    <w:rsid w:val="68D45F2D"/>
    <w:rsid w:val="69A152AB"/>
    <w:rsid w:val="6A3E5589"/>
    <w:rsid w:val="6B4C67A1"/>
    <w:rsid w:val="6B7E03D2"/>
    <w:rsid w:val="6C080860"/>
    <w:rsid w:val="6C8815DE"/>
    <w:rsid w:val="6D08234C"/>
    <w:rsid w:val="6D1F77B6"/>
    <w:rsid w:val="6D2B4437"/>
    <w:rsid w:val="6D3F2CF3"/>
    <w:rsid w:val="6D724E66"/>
    <w:rsid w:val="6D743050"/>
    <w:rsid w:val="6DE32C62"/>
    <w:rsid w:val="6F23122E"/>
    <w:rsid w:val="6F321E6A"/>
    <w:rsid w:val="6F543548"/>
    <w:rsid w:val="6FA7614A"/>
    <w:rsid w:val="704A21B9"/>
    <w:rsid w:val="705337CC"/>
    <w:rsid w:val="707A2F46"/>
    <w:rsid w:val="70A37DD3"/>
    <w:rsid w:val="70B107AA"/>
    <w:rsid w:val="70D62BEB"/>
    <w:rsid w:val="70F01D72"/>
    <w:rsid w:val="71327C95"/>
    <w:rsid w:val="71682B1F"/>
    <w:rsid w:val="71B20DD6"/>
    <w:rsid w:val="71B21E6F"/>
    <w:rsid w:val="71C0131A"/>
    <w:rsid w:val="71D46F9E"/>
    <w:rsid w:val="71F92EA9"/>
    <w:rsid w:val="72A611FD"/>
    <w:rsid w:val="72C44F09"/>
    <w:rsid w:val="72C749EE"/>
    <w:rsid w:val="73410F35"/>
    <w:rsid w:val="734A7110"/>
    <w:rsid w:val="73607810"/>
    <w:rsid w:val="73AF33AA"/>
    <w:rsid w:val="73C8177B"/>
    <w:rsid w:val="73CE15C2"/>
    <w:rsid w:val="740A307A"/>
    <w:rsid w:val="745F22C6"/>
    <w:rsid w:val="74CD583E"/>
    <w:rsid w:val="7503089B"/>
    <w:rsid w:val="751666AB"/>
    <w:rsid w:val="757F5473"/>
    <w:rsid w:val="759E769E"/>
    <w:rsid w:val="75C51EE8"/>
    <w:rsid w:val="75C919C7"/>
    <w:rsid w:val="75D91C27"/>
    <w:rsid w:val="76233342"/>
    <w:rsid w:val="76437B04"/>
    <w:rsid w:val="779A78BF"/>
    <w:rsid w:val="77D23F80"/>
    <w:rsid w:val="78171D62"/>
    <w:rsid w:val="78551EA0"/>
    <w:rsid w:val="78626ED8"/>
    <w:rsid w:val="7872623F"/>
    <w:rsid w:val="78A7540C"/>
    <w:rsid w:val="790740FD"/>
    <w:rsid w:val="79191148"/>
    <w:rsid w:val="79287F74"/>
    <w:rsid w:val="793242EA"/>
    <w:rsid w:val="795A422D"/>
    <w:rsid w:val="79D00993"/>
    <w:rsid w:val="79E112DB"/>
    <w:rsid w:val="7A2667C8"/>
    <w:rsid w:val="7A613399"/>
    <w:rsid w:val="7A7A5E51"/>
    <w:rsid w:val="7A7C503B"/>
    <w:rsid w:val="7AD41A39"/>
    <w:rsid w:val="7B252618"/>
    <w:rsid w:val="7BB92DA5"/>
    <w:rsid w:val="7BC6204D"/>
    <w:rsid w:val="7BC82147"/>
    <w:rsid w:val="7BC83FB8"/>
    <w:rsid w:val="7C244DA7"/>
    <w:rsid w:val="7D9B444F"/>
    <w:rsid w:val="7DB14637"/>
    <w:rsid w:val="7E662073"/>
    <w:rsid w:val="7E855BB7"/>
    <w:rsid w:val="7EB937A4"/>
    <w:rsid w:val="7EBB5437"/>
    <w:rsid w:val="7F143C5A"/>
    <w:rsid w:val="7F49730F"/>
    <w:rsid w:val="7F53271E"/>
    <w:rsid w:val="7F726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9"/>
    <w:qFormat/>
    <w:uiPriority w:val="9"/>
    <w:pPr>
      <w:keepNext/>
      <w:keepLines/>
      <w:spacing w:before="340" w:after="330" w:line="576" w:lineRule="auto"/>
      <w:outlineLvl w:val="0"/>
    </w:pPr>
    <w:rPr>
      <w:b/>
      <w:kern w:val="44"/>
      <w:sz w:val="36"/>
    </w:rPr>
  </w:style>
  <w:style w:type="paragraph" w:styleId="3">
    <w:name w:val="heading 2"/>
    <w:basedOn w:val="1"/>
    <w:next w:val="1"/>
    <w:link w:val="30"/>
    <w:unhideWhenUsed/>
    <w:qFormat/>
    <w:uiPriority w:val="9"/>
    <w:pPr>
      <w:keepNext/>
      <w:keepLines/>
      <w:spacing w:before="260" w:after="260" w:line="413"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toc 3"/>
    <w:basedOn w:val="1"/>
    <w:next w:val="1"/>
    <w:semiHidden/>
    <w:unhideWhenUsed/>
    <w:qFormat/>
    <w:uiPriority w:val="39"/>
    <w:pPr>
      <w:ind w:left="840" w:leftChars="400"/>
    </w:pPr>
  </w:style>
  <w:style w:type="paragraph" w:styleId="6">
    <w:name w:val="footer"/>
    <w:basedOn w:val="1"/>
    <w:link w:val="19"/>
    <w:unhideWhenUsed/>
    <w:qFormat/>
    <w:uiPriority w:val="0"/>
    <w:pPr>
      <w:tabs>
        <w:tab w:val="center" w:pos="4153"/>
        <w:tab w:val="right" w:pos="8306"/>
      </w:tabs>
      <w:snapToGrid w:val="0"/>
      <w:jc w:val="left"/>
    </w:pPr>
    <w:rPr>
      <w:sz w:val="18"/>
      <w:szCs w:val="18"/>
    </w:rPr>
  </w:style>
  <w:style w:type="paragraph" w:styleId="7">
    <w:name w:val="header"/>
    <w:basedOn w:val="1"/>
    <w:link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toc 2"/>
    <w:basedOn w:val="1"/>
    <w:next w:val="1"/>
    <w:unhideWhenUsed/>
    <w:qFormat/>
    <w:uiPriority w:val="39"/>
    <w:pPr>
      <w:ind w:left="420" w:leftChars="200"/>
    </w:pPr>
  </w:style>
  <w:style w:type="paragraph" w:styleId="10">
    <w:name w:val="Normal (Web)"/>
    <w:basedOn w:val="1"/>
    <w:qFormat/>
    <w:uiPriority w:val="0"/>
    <w:pPr>
      <w:spacing w:beforeAutospacing="1" w:afterAutospacing="1" w:line="330" w:lineRule="atLeast"/>
      <w:jc w:val="left"/>
    </w:pPr>
    <w:rPr>
      <w:rFonts w:ascii="宋体" w:hAnsi="宋体" w:cs="Times New Roman"/>
      <w:kern w:val="0"/>
      <w:sz w:val="22"/>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bCs/>
    </w:rPr>
  </w:style>
  <w:style w:type="character" w:styleId="15">
    <w:name w:val="Hyperlink"/>
    <w:basedOn w:val="13"/>
    <w:unhideWhenUsed/>
    <w:qFormat/>
    <w:uiPriority w:val="99"/>
    <w:rPr>
      <w:color w:val="0563C1" w:themeColor="hyperlink"/>
      <w:u w:val="single"/>
      <w14:textFill>
        <w14:solidFill>
          <w14:schemeClr w14:val="hlink"/>
        </w14:solidFill>
      </w14:textFill>
    </w:rPr>
  </w:style>
  <w:style w:type="character" w:styleId="16">
    <w:name w:val="Placeholder Text"/>
    <w:basedOn w:val="13"/>
    <w:semiHidden/>
    <w:qFormat/>
    <w:uiPriority w:val="99"/>
    <w:rPr>
      <w:color w:val="808080"/>
    </w:rPr>
  </w:style>
  <w:style w:type="paragraph" w:styleId="17">
    <w:name w:val="List Paragraph"/>
    <w:basedOn w:val="1"/>
    <w:qFormat/>
    <w:uiPriority w:val="34"/>
    <w:pPr>
      <w:ind w:firstLine="420" w:firstLineChars="200"/>
    </w:pPr>
  </w:style>
  <w:style w:type="character" w:customStyle="1" w:styleId="18">
    <w:name w:val="页眉 字符"/>
    <w:basedOn w:val="13"/>
    <w:link w:val="7"/>
    <w:qFormat/>
    <w:uiPriority w:val="0"/>
    <w:rPr>
      <w:sz w:val="18"/>
      <w:szCs w:val="18"/>
    </w:rPr>
  </w:style>
  <w:style w:type="character" w:customStyle="1" w:styleId="19">
    <w:name w:val="页脚 字符"/>
    <w:basedOn w:val="13"/>
    <w:link w:val="6"/>
    <w:qFormat/>
    <w:uiPriority w:val="0"/>
    <w:rPr>
      <w:sz w:val="18"/>
      <w:szCs w:val="18"/>
    </w:rPr>
  </w:style>
  <w:style w:type="paragraph" w:customStyle="1" w:styleId="20">
    <w:name w:val="标准文件_附录一级无标题"/>
    <w:basedOn w:val="21"/>
    <w:qFormat/>
    <w:uiPriority w:val="0"/>
    <w:pPr>
      <w:spacing w:beforeLines="0" w:afterLines="0" w:line="276" w:lineRule="auto"/>
      <w:outlineLvl w:val="9"/>
    </w:pPr>
    <w:rPr>
      <w:rFonts w:ascii="宋体" w:eastAsia="宋体"/>
    </w:rPr>
  </w:style>
  <w:style w:type="paragraph" w:customStyle="1" w:styleId="21">
    <w:name w:val="标准文件_附录一级条标题"/>
    <w:next w:val="22"/>
    <w:qFormat/>
    <w:uiPriority w:val="0"/>
    <w:pPr>
      <w:widowControl w:val="0"/>
      <w:numPr>
        <w:ilvl w:val="1"/>
        <w:numId w:val="1"/>
      </w:numPr>
      <w:spacing w:beforeLines="50" w:afterLines="50"/>
      <w:jc w:val="both"/>
      <w:outlineLvl w:val="2"/>
    </w:pPr>
    <w:rPr>
      <w:rFonts w:ascii="黑体" w:hAnsi="Times New Roman" w:eastAsia="黑体" w:cs="Times New Roman"/>
      <w:kern w:val="21"/>
      <w:sz w:val="21"/>
      <w:szCs w:val="20"/>
      <w:lang w:val="en-US" w:eastAsia="zh-CN" w:bidi="ar-SA"/>
    </w:rPr>
  </w:style>
  <w:style w:type="paragraph" w:customStyle="1" w:styleId="22">
    <w:name w:val="标准文件_段"/>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23">
    <w:name w:val="标准文件_附录图标题"/>
    <w:next w:val="22"/>
    <w:qFormat/>
    <w:uiPriority w:val="0"/>
    <w:pPr>
      <w:numPr>
        <w:ilvl w:val="1"/>
        <w:numId w:val="2"/>
      </w:numPr>
      <w:adjustRightInd w:val="0"/>
      <w:snapToGrid w:val="0"/>
      <w:spacing w:beforeLines="50" w:afterLines="50"/>
      <w:jc w:val="center"/>
    </w:pPr>
    <w:rPr>
      <w:rFonts w:ascii="黑体" w:hAnsi="Times New Roman" w:eastAsia="黑体" w:cs="Times New Roman"/>
      <w:kern w:val="0"/>
      <w:sz w:val="21"/>
      <w:szCs w:val="20"/>
      <w:lang w:val="en-US" w:eastAsia="zh-CN" w:bidi="ar-SA"/>
    </w:rPr>
  </w:style>
  <w:style w:type="paragraph" w:customStyle="1" w:styleId="24">
    <w:name w:val="标准文件_标准正文"/>
    <w:basedOn w:val="1"/>
    <w:next w:val="22"/>
    <w:qFormat/>
    <w:uiPriority w:val="0"/>
    <w:pPr>
      <w:snapToGrid w:val="0"/>
      <w:ind w:firstLine="200" w:firstLineChars="200"/>
    </w:pPr>
    <w:rPr>
      <w:rFonts w:ascii="Calibri" w:hAnsi="Calibri" w:eastAsia="宋体" w:cs="Times New Roman"/>
      <w:kern w:val="0"/>
      <w:szCs w:val="24"/>
    </w:rPr>
  </w:style>
  <w:style w:type="paragraph" w:customStyle="1" w:styleId="25">
    <w:name w:val="标准文件_附录二级无标题"/>
    <w:basedOn w:val="26"/>
    <w:qFormat/>
    <w:uiPriority w:val="0"/>
    <w:pPr>
      <w:spacing w:beforeLines="0" w:afterLines="0" w:line="276" w:lineRule="auto"/>
      <w:outlineLvl w:val="9"/>
    </w:pPr>
    <w:rPr>
      <w:rFonts w:ascii="宋体" w:eastAsia="宋体"/>
    </w:rPr>
  </w:style>
  <w:style w:type="paragraph" w:customStyle="1" w:styleId="26">
    <w:name w:val="标准文件_附录二级条标题"/>
    <w:basedOn w:val="21"/>
    <w:next w:val="22"/>
    <w:qFormat/>
    <w:uiPriority w:val="0"/>
    <w:pPr>
      <w:widowControl/>
      <w:numPr>
        <w:ilvl w:val="2"/>
      </w:numPr>
      <w:wordWrap w:val="0"/>
      <w:overflowPunct w:val="0"/>
      <w:autoSpaceDE w:val="0"/>
      <w:autoSpaceDN w:val="0"/>
      <w:textAlignment w:val="baseline"/>
      <w:outlineLvl w:val="3"/>
    </w:pPr>
  </w:style>
  <w:style w:type="paragraph" w:customStyle="1" w:styleId="27">
    <w:name w:val="标准文件_附录图标号"/>
    <w:basedOn w:val="22"/>
    <w:next w:val="22"/>
    <w:qFormat/>
    <w:uiPriority w:val="0"/>
    <w:pPr>
      <w:numPr>
        <w:ilvl w:val="0"/>
        <w:numId w:val="2"/>
      </w:numPr>
      <w:spacing w:line="14" w:lineRule="exact"/>
      <w:ind w:firstLine="0" w:firstLineChars="0"/>
      <w:jc w:val="center"/>
    </w:pPr>
    <w:rPr>
      <w:rFonts w:ascii="黑体" w:hAnsi="黑体" w:eastAsia="黑体"/>
      <w:vanish/>
      <w:sz w:val="2"/>
      <w:szCs w:val="21"/>
    </w:rPr>
  </w:style>
  <w:style w:type="paragraph" w:customStyle="1" w:styleId="28">
    <w:name w:val="标准文件_附录表标题"/>
    <w:next w:val="22"/>
    <w:qFormat/>
    <w:uiPriority w:val="0"/>
    <w:pPr>
      <w:numPr>
        <w:ilvl w:val="1"/>
        <w:numId w:val="3"/>
      </w:numPr>
      <w:adjustRightInd w:val="0"/>
      <w:snapToGrid w:val="0"/>
      <w:spacing w:beforeLines="50" w:afterLines="50"/>
      <w:ind w:left="0"/>
      <w:jc w:val="center"/>
      <w:textAlignment w:val="baseline"/>
    </w:pPr>
    <w:rPr>
      <w:rFonts w:ascii="黑体" w:hAnsi="Times New Roman" w:eastAsia="黑体" w:cs="Times New Roman"/>
      <w:kern w:val="21"/>
      <w:sz w:val="21"/>
      <w:szCs w:val="20"/>
      <w:lang w:val="en-US" w:eastAsia="zh-CN" w:bidi="ar-SA"/>
    </w:rPr>
  </w:style>
  <w:style w:type="character" w:customStyle="1" w:styleId="29">
    <w:name w:val="标题 1 字符"/>
    <w:basedOn w:val="13"/>
    <w:link w:val="2"/>
    <w:qFormat/>
    <w:uiPriority w:val="9"/>
    <w:rPr>
      <w:b/>
      <w:kern w:val="44"/>
      <w:sz w:val="36"/>
    </w:rPr>
  </w:style>
  <w:style w:type="character" w:customStyle="1" w:styleId="30">
    <w:name w:val="标题 2 字符"/>
    <w:basedOn w:val="13"/>
    <w:link w:val="3"/>
    <w:qFormat/>
    <w:uiPriority w:val="0"/>
    <w:rPr>
      <w:rFonts w:ascii="Arial" w:hAnsi="Arial" w:eastAsia="黑体"/>
      <w:b/>
      <w:sz w:val="32"/>
    </w:rPr>
  </w:style>
  <w:style w:type="character" w:customStyle="1" w:styleId="31">
    <w:name w:val="font11"/>
    <w:basedOn w:val="13"/>
    <w:qFormat/>
    <w:uiPriority w:val="0"/>
    <w:rPr>
      <w:rFonts w:ascii="微软雅黑" w:hAnsi="微软雅黑" w:eastAsia="微软雅黑" w:cs="微软雅黑"/>
      <w:color w:val="000000"/>
      <w:sz w:val="24"/>
      <w:szCs w:val="24"/>
      <w:u w:val="none"/>
    </w:rPr>
  </w:style>
  <w:style w:type="character" w:customStyle="1" w:styleId="32">
    <w:name w:val="font01"/>
    <w:basedOn w:val="13"/>
    <w:qFormat/>
    <w:uiPriority w:val="0"/>
    <w:rPr>
      <w:rFonts w:hint="eastAsia" w:ascii="宋体" w:hAnsi="宋体" w:eastAsia="宋体" w:cs="宋体"/>
      <w:color w:val="000000"/>
      <w:sz w:val="24"/>
      <w:szCs w:val="24"/>
      <w:u w:val="none"/>
    </w:rPr>
  </w:style>
  <w:style w:type="paragraph" w:customStyle="1" w:styleId="33">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color w:val="2F5597" w:themeColor="accent1" w:themeShade="BF"/>
      <w:kern w:val="0"/>
      <w:sz w:val="32"/>
      <w:szCs w:val="32"/>
    </w:rPr>
  </w:style>
  <w:style w:type="paragraph" w:customStyle="1" w:styleId="34">
    <w:name w:val="默认Default"/>
    <w:qFormat/>
    <w:uiPriority w:val="0"/>
    <w:pPr>
      <w:widowControl w:val="0"/>
      <w:autoSpaceDE w:val="0"/>
      <w:autoSpaceDN w:val="0"/>
      <w:adjustRightInd w:val="0"/>
      <w:spacing w:line="276" w:lineRule="auto"/>
    </w:pPr>
    <w:rPr>
      <w:rFonts w:ascii="Times New Roman" w:hAnsi="Times New Roman" w:eastAsia="宋体" w:cs="Times New Roman"/>
      <w:color w:val="000000"/>
      <w:sz w:val="24"/>
      <w:szCs w:val="24"/>
      <w:lang w:val="en-US" w:eastAsia="zh-CN" w:bidi="ar-SA"/>
    </w:rPr>
  </w:style>
  <w:style w:type="paragraph" w:customStyle="1" w:styleId="35">
    <w:name w:val="GD正文"/>
    <w:basedOn w:val="34"/>
    <w:qFormat/>
    <w:uiPriority w:val="0"/>
    <w:rPr>
      <w:color w:val="auto"/>
      <w:sz w:val="21"/>
      <w:szCs w:val="21"/>
    </w:rPr>
  </w:style>
  <w:style w:type="paragraph" w:customStyle="1" w:styleId="36">
    <w:name w:val="GD缩进"/>
    <w:basedOn w:val="34"/>
    <w:qFormat/>
    <w:uiPriority w:val="0"/>
    <w:pPr>
      <w:ind w:firstLine="200" w:firstLineChars="200"/>
      <w:textAlignment w:val="center"/>
    </w:pPr>
    <w:rPr>
      <w:color w:val="auto"/>
      <w:sz w:val="21"/>
      <w:szCs w:val="21"/>
    </w:rPr>
  </w:style>
  <w:style w:type="paragraph" w:customStyle="1" w:styleId="37">
    <w:name w:val="标题 章"/>
    <w:basedOn w:val="2"/>
    <w:qFormat/>
    <w:uiPriority w:val="0"/>
    <w:pPr>
      <w:spacing w:before="480" w:after="240" w:line="480" w:lineRule="auto"/>
      <w:jc w:val="center"/>
    </w:pPr>
    <w:rPr>
      <w:rFonts w:ascii="Times New Roman" w:hAnsi="Times New Roman"/>
      <w:sz w:val="28"/>
    </w:rPr>
  </w:style>
  <w:style w:type="paragraph" w:customStyle="1" w:styleId="38">
    <w:name w:val="GD表标题"/>
    <w:basedOn w:val="39"/>
    <w:qFormat/>
    <w:uiPriority w:val="0"/>
    <w:pPr>
      <w:spacing w:before="120" w:after="120" w:line="240" w:lineRule="auto"/>
      <w:jc w:val="center"/>
    </w:pPr>
    <w:rPr>
      <w:rFonts w:eastAsia="黑体"/>
      <w:sz w:val="18"/>
    </w:rPr>
  </w:style>
  <w:style w:type="paragraph" w:customStyle="1" w:styleId="39">
    <w:name w:val="x4"/>
    <w:basedOn w:val="1"/>
    <w:qFormat/>
    <w:uiPriority w:val="0"/>
    <w:rPr>
      <w:rFonts w:ascii="Times New Roman" w:hAnsi="Times New Roman" w:eastAsia="仿宋_GB2312"/>
    </w:rPr>
  </w:style>
  <w:style w:type="paragraph" w:customStyle="1" w:styleId="40">
    <w:name w:val="标题 节"/>
    <w:basedOn w:val="3"/>
    <w:qFormat/>
    <w:uiPriority w:val="0"/>
    <w:pPr>
      <w:spacing w:before="100" w:beforeAutospacing="1" w:after="100" w:afterAutospacing="1" w:line="360" w:lineRule="auto"/>
      <w:jc w:val="center"/>
    </w:pPr>
    <w:rPr>
      <w:rFonts w:ascii="Times New Roman" w:hAnsi="Times New Roman" w:eastAsia="黑体"/>
      <w:sz w:val="21"/>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1" Type="http://schemas.openxmlformats.org/officeDocument/2006/relationships/fontTable" Target="fontTable.xml"/><Relationship Id="rId40" Type="http://schemas.openxmlformats.org/officeDocument/2006/relationships/numbering" Target="numbering.xml"/><Relationship Id="rId4" Type="http://schemas.openxmlformats.org/officeDocument/2006/relationships/footer" Target="footer2.xml"/><Relationship Id="rId39" Type="http://schemas.openxmlformats.org/officeDocument/2006/relationships/customXml" Target="../customXml/item1.xml"/><Relationship Id="rId38" Type="http://schemas.openxmlformats.org/officeDocument/2006/relationships/image" Target="media/image23.wmf"/><Relationship Id="rId37" Type="http://schemas.openxmlformats.org/officeDocument/2006/relationships/oleObject" Target="embeddings/oleObject9.bin"/><Relationship Id="rId36" Type="http://schemas.openxmlformats.org/officeDocument/2006/relationships/image" Target="media/image22.wmf"/><Relationship Id="rId35" Type="http://schemas.openxmlformats.org/officeDocument/2006/relationships/oleObject" Target="embeddings/oleObject8.bin"/><Relationship Id="rId34" Type="http://schemas.openxmlformats.org/officeDocument/2006/relationships/image" Target="media/image21.wmf"/><Relationship Id="rId33" Type="http://schemas.openxmlformats.org/officeDocument/2006/relationships/oleObject" Target="embeddings/oleObject7.bin"/><Relationship Id="rId32" Type="http://schemas.openxmlformats.org/officeDocument/2006/relationships/image" Target="media/image20.wmf"/><Relationship Id="rId31" Type="http://schemas.openxmlformats.org/officeDocument/2006/relationships/oleObject" Target="embeddings/oleObject6.bin"/><Relationship Id="rId30" Type="http://schemas.openxmlformats.org/officeDocument/2006/relationships/image" Target="media/image19.wmf"/><Relationship Id="rId3" Type="http://schemas.openxmlformats.org/officeDocument/2006/relationships/footer" Target="footer1.xml"/><Relationship Id="rId29" Type="http://schemas.openxmlformats.org/officeDocument/2006/relationships/oleObject" Target="embeddings/oleObject5.bin"/><Relationship Id="rId28" Type="http://schemas.openxmlformats.org/officeDocument/2006/relationships/image" Target="media/image18.wmf"/><Relationship Id="rId27" Type="http://schemas.openxmlformats.org/officeDocument/2006/relationships/oleObject" Target="embeddings/oleObject4.bin"/><Relationship Id="rId26" Type="http://schemas.openxmlformats.org/officeDocument/2006/relationships/image" Target="media/image17.wmf"/><Relationship Id="rId25" Type="http://schemas.openxmlformats.org/officeDocument/2006/relationships/oleObject" Target="embeddings/oleObject3.bin"/><Relationship Id="rId24" Type="http://schemas.openxmlformats.org/officeDocument/2006/relationships/image" Target="media/image16.wmf"/><Relationship Id="rId23" Type="http://schemas.openxmlformats.org/officeDocument/2006/relationships/oleObject" Target="embeddings/oleObject2.bin"/><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76</Pages>
  <Words>2655</Words>
  <Characters>4496</Characters>
  <Lines>186</Lines>
  <Paragraphs>52</Paragraphs>
  <TotalTime>46</TotalTime>
  <ScaleCrop>false</ScaleCrop>
  <LinksUpToDate>false</LinksUpToDate>
  <CharactersWithSpaces>5167</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2022-05-13T23:34:00Z</dcterms:created>
  <dc:creator>summer huang</dc:creator>
  <cp:lastModifiedBy>hch</cp:lastModifiedBy>
  <cp:lastPrinted>2025-03-17T10:22:00Z</cp:lastPrinted>
  <dcterms:modified xsi:type="dcterms:W3CDTF">2025-04-01T02:12:57Z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62072B4CFC5C440793E217F890F65642_13</vt:lpwstr>
  </property>
  <property fmtid="{D5CDD505-2E9C-101B-9397-08002B2CF9AE}" pid="4" name="KSOTemplateDocerSaveRecord">
    <vt:lpwstr>eyJoZGlkIjoiMDQ1MzJlYTQ2MGEwYTQzZTQ2ZTg0Yzg0MTRjNjRkYjYiLCJ1c2VySWQiOiI0MTk2NjIxODIifQ==</vt:lpwstr>
  </property>
</Properties>
</file>