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3B5AA">
      <w:pPr>
        <w:ind w:firstLine="480"/>
        <w:rPr>
          <w:rFonts w:ascii="Times New Roman" w:hAnsi="Times New Roman" w:eastAsia="黑体" w:cs="Times New Roman"/>
          <w:color w:val="auto"/>
          <w:sz w:val="32"/>
          <w:szCs w:val="32"/>
          <w:highlight w:val="none"/>
        </w:rPr>
      </w:pPr>
      <w:r>
        <w:rPr>
          <w:rFonts w:ascii="Times New Roman" w:hAnsi="Times New Roman" w:cs="Times New Roman"/>
          <w:color w:val="auto"/>
          <w:szCs w:val="22"/>
          <w:highlight w:val="none"/>
        </w:rPr>
        <w:drawing>
          <wp:anchor distT="0" distB="0" distL="114300" distR="114300" simplePos="0" relativeHeight="251660288" behindDoc="0" locked="0" layoutInCell="1" allowOverlap="1">
            <wp:simplePos x="0" y="0"/>
            <wp:positionH relativeFrom="page">
              <wp:posOffset>4733925</wp:posOffset>
            </wp:positionH>
            <wp:positionV relativeFrom="page">
              <wp:posOffset>869315</wp:posOffset>
            </wp:positionV>
            <wp:extent cx="1720215" cy="800100"/>
            <wp:effectExtent l="0" t="0" r="0" b="0"/>
            <wp:wrapNone/>
            <wp:docPr id="12" name="图片 3" descr="说明: 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descr="说明: G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720215" cy="800100"/>
                    </a:xfrm>
                    <a:prstGeom prst="rect">
                      <a:avLst/>
                    </a:prstGeom>
                    <a:noFill/>
                    <a:ln>
                      <a:noFill/>
                    </a:ln>
                  </pic:spPr>
                </pic:pic>
              </a:graphicData>
            </a:graphic>
          </wp:anchor>
        </w:drawing>
      </w:r>
    </w:p>
    <w:p w14:paraId="321C9643">
      <w:pPr>
        <w:ind w:firstLine="640"/>
        <w:rPr>
          <w:rFonts w:ascii="Times New Roman" w:hAnsi="Times New Roman" w:eastAsia="MS Gothic" w:cs="Times New Roman"/>
          <w:b/>
          <w:color w:val="auto"/>
          <w:sz w:val="84"/>
          <w:szCs w:val="84"/>
          <w:highlight w:val="none"/>
        </w:rPr>
      </w:pPr>
      <w:r>
        <w:rPr>
          <w:rFonts w:ascii="Times New Roman" w:hAnsi="Times New Roman" w:eastAsia="黑体" w:cs="Times New Roman"/>
          <w:color w:val="auto"/>
          <w:sz w:val="32"/>
          <w:szCs w:val="32"/>
          <w:highlight w:val="none"/>
        </w:rPr>
        <w:t xml:space="preserve">         </w:t>
      </w:r>
      <w:r>
        <w:rPr>
          <w:rFonts w:ascii="Times New Roman" w:hAnsi="Times New Roman" w:eastAsia="黑体" w:cs="Times New Roman"/>
          <w:color w:val="auto"/>
          <w:spacing w:val="28"/>
          <w:sz w:val="48"/>
          <w:szCs w:val="48"/>
          <w:highlight w:val="none"/>
        </w:rPr>
        <w:t>广东省标准</w:t>
      </w:r>
      <w:r>
        <w:rPr>
          <w:rFonts w:ascii="Times New Roman" w:hAnsi="Times New Roman" w:eastAsia="黑体" w:cs="Times New Roman"/>
          <w:color w:val="auto"/>
          <w:sz w:val="32"/>
          <w:szCs w:val="32"/>
          <w:highlight w:val="none"/>
        </w:rPr>
        <w:t xml:space="preserve">            </w:t>
      </w:r>
      <w:r>
        <w:rPr>
          <w:rFonts w:ascii="Times New Roman" w:hAnsi="Times New Roman" w:cs="Times New Roman"/>
          <w:color w:val="auto"/>
          <w:sz w:val="52"/>
          <w:szCs w:val="22"/>
          <w:highlight w:val="none"/>
        </w:rPr>
        <w:t xml:space="preserve">   </w:t>
      </w:r>
    </w:p>
    <w:p w14:paraId="64E1FF90">
      <w:pPr>
        <w:ind w:firstLine="480"/>
        <w:rPr>
          <w:rFonts w:ascii="Times New Roman" w:hAnsi="Times New Roman" w:cs="Times New Roman"/>
          <w:color w:val="auto"/>
          <w:szCs w:val="22"/>
          <w:highlight w:val="none"/>
        </w:rPr>
      </w:pPr>
      <w:r>
        <w:rPr>
          <w:rFonts w:ascii="Times New Roman" w:hAnsi="Times New Roman" w:cs="Times New Roman"/>
          <w:color w:val="auto"/>
          <w:szCs w:val="22"/>
          <w:highlight w:val="none"/>
        </w:rPr>
        <w:t xml:space="preserve">                              </w:t>
      </w:r>
      <w:bookmarkStart w:id="0" w:name="_Toc337542810"/>
      <w:r>
        <w:rPr>
          <w:rFonts w:ascii="Times New Roman" w:hAnsi="Times New Roman" w:cs="Times New Roman"/>
          <w:color w:val="auto"/>
          <w:szCs w:val="22"/>
          <w:highlight w:val="none"/>
        </w:rPr>
        <w:t xml:space="preserve">                                                        </w:t>
      </w:r>
    </w:p>
    <w:p w14:paraId="1BF28D41">
      <w:pPr>
        <w:spacing w:line="400" w:lineRule="exact"/>
        <w:ind w:firstLine="480"/>
        <w:rPr>
          <w:rFonts w:ascii="Times New Roman" w:hAnsi="Times New Roman" w:cs="Times New Roman"/>
          <w:color w:val="auto"/>
          <w:spacing w:val="17"/>
          <w:sz w:val="30"/>
          <w:szCs w:val="30"/>
          <w:highlight w:val="none"/>
        </w:rPr>
      </w:pPr>
      <w:r>
        <w:rPr>
          <w:rFonts w:ascii="Times New Roman" w:hAnsi="Times New Roman" w:cs="Times New Roman"/>
          <w:color w:val="auto"/>
          <w:szCs w:val="22"/>
          <w:highlight w:val="none"/>
        </w:rPr>
        <w:t xml:space="preserve">                                                </w:t>
      </w:r>
      <w:r>
        <w:rPr>
          <w:rFonts w:ascii="Times New Roman" w:hAnsi="Times New Roman" w:cs="Times New Roman"/>
          <w:color w:val="auto"/>
          <w:spacing w:val="23"/>
          <w:sz w:val="30"/>
          <w:szCs w:val="30"/>
          <w:highlight w:val="none"/>
        </w:rPr>
        <w:t>DBJ/T15-XX-</w:t>
      </w:r>
      <w:bookmarkEnd w:id="0"/>
      <w:r>
        <w:rPr>
          <w:rFonts w:hint="eastAsia" w:ascii="Times New Roman" w:hAnsi="Times New Roman" w:cs="Times New Roman"/>
          <w:color w:val="auto"/>
          <w:spacing w:val="23"/>
          <w:sz w:val="30"/>
          <w:szCs w:val="30"/>
          <w:highlight w:val="none"/>
        </w:rPr>
        <w:t>2</w:t>
      </w:r>
      <w:r>
        <w:rPr>
          <w:rFonts w:ascii="Times New Roman" w:hAnsi="Times New Roman" w:cs="Times New Roman"/>
          <w:color w:val="auto"/>
          <w:sz w:val="30"/>
          <w:szCs w:val="30"/>
          <w:highlight w:val="none"/>
        </w:rPr>
        <w:t>02X</w:t>
      </w:r>
    </w:p>
    <w:p w14:paraId="5A437A50">
      <w:pPr>
        <w:spacing w:line="400" w:lineRule="exact"/>
        <w:ind w:firstLine="56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 xml:space="preserve">                                   </w:t>
      </w:r>
      <w:r>
        <w:rPr>
          <w:rFonts w:ascii="Times New Roman" w:hAnsi="Times New Roman" w:eastAsia="黑体" w:cs="Times New Roman"/>
          <w:color w:val="auto"/>
          <w:sz w:val="28"/>
          <w:szCs w:val="28"/>
          <w:highlight w:val="none"/>
        </w:rPr>
        <w:t>备案</w:t>
      </w:r>
      <w:r>
        <w:rPr>
          <w:rFonts w:hint="eastAsia" w:ascii="Times New Roman" w:hAnsi="Times New Roman" w:eastAsia="黑体" w:cs="Times New Roman"/>
          <w:color w:val="auto"/>
          <w:sz w:val="28"/>
          <w:szCs w:val="28"/>
          <w:highlight w:val="none"/>
        </w:rPr>
        <w:t>号</w:t>
      </w:r>
      <w:r>
        <w:rPr>
          <w:rFonts w:ascii="Times New Roman" w:hAnsi="Times New Roman" w:eastAsia="黑体" w:cs="Times New Roman"/>
          <w:color w:val="auto"/>
          <w:sz w:val="28"/>
          <w:szCs w:val="28"/>
          <w:highlight w:val="none"/>
        </w:rPr>
        <w:t>J XXXXX-202X</w:t>
      </w:r>
    </w:p>
    <w:p w14:paraId="4F19B3B5">
      <w:pPr>
        <w:ind w:firstLine="480"/>
        <w:jc w:val="center"/>
        <w:rPr>
          <w:rFonts w:ascii="Times New Roman" w:hAnsi="Times New Roman" w:cs="Times New Roman"/>
          <w:b/>
          <w:color w:val="auto"/>
          <w:sz w:val="48"/>
          <w:szCs w:val="48"/>
          <w:highlight w:val="none"/>
        </w:rPr>
      </w:pPr>
      <w:r>
        <w:rPr>
          <w:rFonts w:ascii="Times New Roman" w:hAnsi="Times New Roman" w:eastAsia="黑体" w:cs="Times New Roman"/>
          <w:color w:val="auto"/>
          <w:spacing w:val="20"/>
          <w:sz w:val="24"/>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149860</wp:posOffset>
                </wp:positionV>
                <wp:extent cx="5486400" cy="0"/>
                <wp:effectExtent l="9525" t="10160" r="9525" b="8890"/>
                <wp:wrapNone/>
                <wp:docPr id="1173933718" name="Line 7"/>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5875">
                          <a:solidFill>
                            <a:srgbClr val="000000"/>
                          </a:solidFill>
                          <a:round/>
                        </a:ln>
                      </wps:spPr>
                      <wps:bodyPr/>
                    </wps:wsp>
                  </a:graphicData>
                </a:graphic>
              </wp:anchor>
            </w:drawing>
          </mc:Choice>
          <mc:Fallback>
            <w:pict>
              <v:line id="Line 7" o:spid="_x0000_s1026" o:spt="20" style="position:absolute;left:0pt;margin-left:0pt;margin-top:11.8pt;height:0pt;width:432pt;z-index:251659264;mso-width-relative:page;mso-height-relative:page;" filled="f" stroked="t" coordsize="21600,21600" o:gfxdata="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Krilh3VAAAABgEAAA8AAAAAAAAAAQAgAAAAIgAA&#10;AGRycy9kb3ducmV2LnhtbFBLAQIUABQAAAAIAIdO4kCI1mu20gEAAKkDAAAOAAAAAAAAAAEAIAAA&#10;ACQBAABkcnMvZTJvRG9jLnhtbFBLBQYAAAAABgAGAFkBAABoBQAAAAA=&#10;">
                <v:fill on="f" focussize="0,0"/>
                <v:stroke weight="1.25pt" color="#000000" joinstyle="round"/>
                <v:imagedata o:title=""/>
                <o:lock v:ext="edit" aspectratio="f"/>
              </v:line>
            </w:pict>
          </mc:Fallback>
        </mc:AlternateContent>
      </w:r>
    </w:p>
    <w:p w14:paraId="6AC78E58">
      <w:pPr>
        <w:spacing w:line="360" w:lineRule="auto"/>
        <w:ind w:firstLine="960"/>
        <w:jc w:val="center"/>
        <w:rPr>
          <w:rFonts w:ascii="Times New Roman" w:hAnsi="Times New Roman" w:eastAsia="黑体" w:cs="Times New Roman"/>
          <w:color w:val="auto"/>
          <w:sz w:val="48"/>
          <w:highlight w:val="none"/>
        </w:rPr>
      </w:pPr>
    </w:p>
    <w:p w14:paraId="4E1E33F6">
      <w:pPr>
        <w:spacing w:line="360" w:lineRule="auto"/>
        <w:ind w:firstLine="960"/>
        <w:jc w:val="center"/>
        <w:rPr>
          <w:rFonts w:hint="eastAsia" w:ascii="Times New Roman" w:hAnsi="Times New Roman" w:eastAsia="黑体" w:cs="Times New Roman"/>
          <w:color w:val="auto"/>
          <w:sz w:val="48"/>
          <w:highlight w:val="none"/>
        </w:rPr>
      </w:pPr>
    </w:p>
    <w:p w14:paraId="5E92CE3D">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Times New Roman" w:hAnsi="Times New Roman" w:cs="Times New Roman"/>
          <w:b/>
          <w:bCs/>
          <w:color w:val="auto"/>
          <w:sz w:val="40"/>
          <w:szCs w:val="40"/>
          <w:highlight w:val="none"/>
        </w:rPr>
      </w:pPr>
      <w:r>
        <w:rPr>
          <w:rFonts w:ascii="Times New Roman" w:hAnsi="Times New Roman" w:cs="Times New Roman"/>
          <w:b/>
          <w:bCs/>
          <w:color w:val="auto"/>
          <w:sz w:val="40"/>
          <w:szCs w:val="40"/>
          <w:highlight w:val="none"/>
        </w:rPr>
        <w:t>城市轨道交通</w:t>
      </w:r>
      <w:r>
        <w:rPr>
          <w:rFonts w:hint="eastAsia" w:ascii="Times New Roman" w:hAnsi="Times New Roman" w:cs="Times New Roman"/>
          <w:b/>
          <w:bCs/>
          <w:color w:val="auto"/>
          <w:sz w:val="40"/>
          <w:szCs w:val="40"/>
          <w:highlight w:val="none"/>
        </w:rPr>
        <w:t>移动</w:t>
      </w:r>
      <w:r>
        <w:rPr>
          <w:rFonts w:ascii="Times New Roman" w:hAnsi="Times New Roman" w:cs="Times New Roman"/>
          <w:b/>
          <w:bCs/>
          <w:color w:val="auto"/>
          <w:sz w:val="40"/>
          <w:szCs w:val="40"/>
          <w:highlight w:val="none"/>
        </w:rPr>
        <w:t>通信信号分布系统</w:t>
      </w:r>
      <w:r>
        <w:rPr>
          <w:rFonts w:hint="eastAsia" w:ascii="Times New Roman" w:hAnsi="Times New Roman" w:cs="Times New Roman"/>
          <w:b/>
          <w:bCs/>
          <w:color w:val="auto"/>
          <w:sz w:val="40"/>
          <w:szCs w:val="40"/>
          <w:highlight w:val="none"/>
        </w:rPr>
        <w:t>检测标准</w:t>
      </w:r>
    </w:p>
    <w:p w14:paraId="4C977E6F">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kern w:val="0"/>
          <w:sz w:val="30"/>
          <w:szCs w:val="30"/>
          <w:highlight w:val="none"/>
          <w:lang w:val="en-US" w:eastAsia="zh-CN" w:bidi="ar"/>
        </w:rPr>
      </w:pPr>
      <w:r>
        <w:rPr>
          <w:rFonts w:hint="eastAsia" w:ascii="Times New Roman" w:hAnsi="Times New Roman" w:eastAsia="宋体" w:cs="Times New Roman"/>
          <w:color w:val="auto"/>
          <w:kern w:val="0"/>
          <w:sz w:val="30"/>
          <w:szCs w:val="30"/>
          <w:highlight w:val="none"/>
          <w:lang w:val="en-US" w:eastAsia="zh-CN" w:bidi="ar"/>
        </w:rPr>
        <w:t>Standard for m</w:t>
      </w:r>
      <w:r>
        <w:rPr>
          <w:rFonts w:hint="default" w:ascii="Times New Roman" w:hAnsi="Times New Roman" w:eastAsia="宋体" w:cs="Times New Roman"/>
          <w:color w:val="auto"/>
          <w:kern w:val="0"/>
          <w:sz w:val="30"/>
          <w:szCs w:val="30"/>
          <w:highlight w:val="none"/>
          <w:lang w:val="en-US" w:eastAsia="zh-CN" w:bidi="ar"/>
        </w:rPr>
        <w:t>obile communication</w:t>
      </w:r>
      <w:r>
        <w:rPr>
          <w:rFonts w:hint="eastAsia" w:ascii="Times New Roman" w:hAnsi="Times New Roman" w:eastAsia="宋体" w:cs="Times New Roman"/>
          <w:color w:val="auto"/>
          <w:kern w:val="0"/>
          <w:sz w:val="30"/>
          <w:szCs w:val="30"/>
          <w:highlight w:val="none"/>
          <w:lang w:val="en-US" w:eastAsia="zh-CN" w:bidi="ar"/>
        </w:rPr>
        <w:t xml:space="preserve"> </w:t>
      </w:r>
      <w:r>
        <w:rPr>
          <w:rFonts w:hint="default" w:ascii="Times New Roman" w:hAnsi="Times New Roman" w:eastAsia="宋体" w:cs="Times New Roman"/>
          <w:color w:val="auto"/>
          <w:kern w:val="0"/>
          <w:sz w:val="30"/>
          <w:szCs w:val="30"/>
          <w:highlight w:val="none"/>
          <w:lang w:val="en-US" w:eastAsia="zh-CN" w:bidi="ar"/>
        </w:rPr>
        <w:t>signal distribution system</w:t>
      </w:r>
      <w:r>
        <w:rPr>
          <w:rFonts w:hint="eastAsia" w:ascii="Times New Roman" w:hAnsi="Times New Roman" w:eastAsia="宋体" w:cs="Times New Roman"/>
          <w:color w:val="auto"/>
          <w:kern w:val="0"/>
          <w:sz w:val="30"/>
          <w:szCs w:val="30"/>
          <w:highlight w:val="none"/>
          <w:lang w:val="en-US" w:eastAsia="zh-CN" w:bidi="ar"/>
        </w:rPr>
        <w:t xml:space="preserve"> </w:t>
      </w:r>
      <w:r>
        <w:rPr>
          <w:rFonts w:hint="eastAsia" w:ascii="Times New Roman" w:hAnsi="Times New Roman" w:cs="Times New Roman"/>
          <w:color w:val="auto"/>
          <w:kern w:val="0"/>
          <w:sz w:val="30"/>
          <w:szCs w:val="30"/>
          <w:highlight w:val="none"/>
          <w:lang w:val="en-US" w:eastAsia="zh-CN" w:bidi="ar"/>
        </w:rPr>
        <w:t>t</w:t>
      </w:r>
      <w:r>
        <w:rPr>
          <w:rFonts w:hint="default" w:ascii="Times New Roman" w:hAnsi="Times New Roman" w:eastAsia="宋体" w:cs="Times New Roman"/>
          <w:color w:val="auto"/>
          <w:kern w:val="0"/>
          <w:sz w:val="30"/>
          <w:szCs w:val="30"/>
          <w:highlight w:val="none"/>
          <w:lang w:val="en-US" w:eastAsia="zh-CN" w:bidi="ar"/>
        </w:rPr>
        <w:t>esting</w:t>
      </w:r>
      <w:r>
        <w:rPr>
          <w:rFonts w:hint="eastAsia" w:ascii="Times New Roman" w:hAnsi="Times New Roman" w:cs="Times New Roman"/>
          <w:color w:val="auto"/>
          <w:kern w:val="0"/>
          <w:sz w:val="30"/>
          <w:szCs w:val="30"/>
          <w:highlight w:val="none"/>
          <w:lang w:val="en-US" w:eastAsia="zh-CN" w:bidi="ar"/>
        </w:rPr>
        <w:t xml:space="preserve"> </w:t>
      </w:r>
      <w:r>
        <w:rPr>
          <w:rFonts w:hint="eastAsia" w:ascii="Times New Roman" w:hAnsi="Times New Roman" w:eastAsia="宋体" w:cs="Times New Roman"/>
          <w:color w:val="auto"/>
          <w:kern w:val="0"/>
          <w:sz w:val="30"/>
          <w:szCs w:val="30"/>
          <w:highlight w:val="none"/>
          <w:lang w:val="en-US" w:eastAsia="zh-CN" w:bidi="ar"/>
        </w:rPr>
        <w:t xml:space="preserve">of </w:t>
      </w:r>
      <w:r>
        <w:rPr>
          <w:rFonts w:hint="default" w:ascii="Times New Roman" w:hAnsi="Times New Roman" w:eastAsia="宋体" w:cs="Times New Roman"/>
          <w:color w:val="auto"/>
          <w:kern w:val="0"/>
          <w:sz w:val="30"/>
          <w:szCs w:val="30"/>
          <w:highlight w:val="none"/>
          <w:lang w:val="en-US" w:eastAsia="zh-CN" w:bidi="ar"/>
        </w:rPr>
        <w:t>urban rail transit</w:t>
      </w:r>
      <w:r>
        <w:rPr>
          <w:rFonts w:hint="eastAsia" w:ascii="Times New Roman" w:hAnsi="Times New Roman" w:eastAsia="宋体" w:cs="Times New Roman"/>
          <w:color w:val="auto"/>
          <w:kern w:val="0"/>
          <w:sz w:val="30"/>
          <w:szCs w:val="30"/>
          <w:highlight w:val="none"/>
          <w:lang w:val="en-US" w:eastAsia="zh-CN" w:bidi="ar"/>
        </w:rPr>
        <w:t xml:space="preserve"> </w:t>
      </w:r>
    </w:p>
    <w:p w14:paraId="02954A0E">
      <w:pPr>
        <w:jc w:val="center"/>
        <w:rPr>
          <w:rFonts w:ascii="Times New Roman" w:hAnsi="Times New Roman" w:cs="Times New Roman"/>
          <w:b/>
          <w:color w:val="auto"/>
          <w:sz w:val="30"/>
          <w:szCs w:val="30"/>
          <w:highlight w:val="none"/>
        </w:rPr>
      </w:pPr>
      <w:r>
        <w:rPr>
          <w:rFonts w:ascii="Times New Roman" w:hAnsi="Times New Roman" w:cs="Times New Roman"/>
          <w:b/>
          <w:color w:val="auto"/>
          <w:sz w:val="30"/>
          <w:szCs w:val="30"/>
          <w:highlight w:val="none"/>
        </w:rPr>
        <w:t>（</w:t>
      </w:r>
      <w:r>
        <w:rPr>
          <w:rFonts w:hint="eastAsia" w:ascii="Times New Roman" w:hAnsi="Times New Roman" w:cs="Times New Roman"/>
          <w:b/>
          <w:color w:val="auto"/>
          <w:sz w:val="30"/>
          <w:szCs w:val="30"/>
          <w:highlight w:val="none"/>
          <w:lang w:val="en-US" w:eastAsia="zh-CN"/>
        </w:rPr>
        <w:t>征求意见稿</w:t>
      </w:r>
      <w:r>
        <w:rPr>
          <w:rFonts w:ascii="Times New Roman" w:hAnsi="Times New Roman" w:cs="Times New Roman"/>
          <w:b/>
          <w:color w:val="auto"/>
          <w:sz w:val="30"/>
          <w:szCs w:val="30"/>
          <w:highlight w:val="none"/>
        </w:rPr>
        <w:t>）</w:t>
      </w:r>
    </w:p>
    <w:p w14:paraId="1695F411">
      <w:pPr>
        <w:ind w:firstLine="480"/>
        <w:rPr>
          <w:rFonts w:ascii="Times New Roman" w:hAnsi="Times New Roman" w:cs="Times New Roman"/>
          <w:color w:val="auto"/>
          <w:highlight w:val="none"/>
        </w:rPr>
      </w:pPr>
    </w:p>
    <w:p w14:paraId="5FC6EFCC">
      <w:pPr>
        <w:ind w:firstLine="480"/>
        <w:rPr>
          <w:rFonts w:ascii="Times New Roman" w:hAnsi="Times New Roman" w:cs="Times New Roman"/>
          <w:color w:val="auto"/>
          <w:highlight w:val="none"/>
        </w:rPr>
      </w:pPr>
    </w:p>
    <w:p w14:paraId="0FAFEFCE">
      <w:pPr>
        <w:ind w:firstLine="480"/>
        <w:rPr>
          <w:rFonts w:ascii="Times New Roman" w:hAnsi="Times New Roman" w:cs="Times New Roman"/>
          <w:color w:val="auto"/>
          <w:highlight w:val="none"/>
        </w:rPr>
      </w:pPr>
    </w:p>
    <w:p w14:paraId="2DD8F59A">
      <w:pPr>
        <w:ind w:firstLine="480"/>
        <w:rPr>
          <w:rFonts w:ascii="Times New Roman" w:hAnsi="Times New Roman" w:cs="Times New Roman"/>
          <w:color w:val="auto"/>
          <w:highlight w:val="none"/>
        </w:rPr>
      </w:pPr>
    </w:p>
    <w:p w14:paraId="72E72B0F">
      <w:pPr>
        <w:ind w:firstLine="480"/>
        <w:rPr>
          <w:rFonts w:ascii="Times New Roman" w:hAnsi="Times New Roman" w:cs="Times New Roman"/>
          <w:color w:val="auto"/>
          <w:highlight w:val="none"/>
        </w:rPr>
      </w:pPr>
    </w:p>
    <w:p w14:paraId="1FE21329">
      <w:pPr>
        <w:ind w:firstLine="480"/>
        <w:rPr>
          <w:rFonts w:ascii="Times New Roman" w:hAnsi="Times New Roman" w:cs="Times New Roman"/>
          <w:color w:val="auto"/>
          <w:highlight w:val="none"/>
        </w:rPr>
      </w:pPr>
    </w:p>
    <w:p w14:paraId="5482AB89">
      <w:pPr>
        <w:ind w:firstLine="480"/>
        <w:rPr>
          <w:rFonts w:ascii="Times New Roman" w:hAnsi="Times New Roman" w:cs="Times New Roman"/>
          <w:color w:val="auto"/>
          <w:highlight w:val="none"/>
        </w:rPr>
      </w:pPr>
    </w:p>
    <w:p w14:paraId="3DC2C5A9">
      <w:pPr>
        <w:ind w:firstLine="480"/>
        <w:rPr>
          <w:rFonts w:ascii="Times New Roman" w:hAnsi="Times New Roman" w:cs="Times New Roman"/>
          <w:color w:val="auto"/>
          <w:highlight w:val="none"/>
        </w:rPr>
      </w:pPr>
    </w:p>
    <w:p w14:paraId="16E6F3AB">
      <w:pPr>
        <w:ind w:firstLine="480"/>
        <w:rPr>
          <w:rFonts w:ascii="Times New Roman" w:hAnsi="Times New Roman" w:cs="Times New Roman"/>
          <w:color w:val="auto"/>
          <w:highlight w:val="none"/>
        </w:rPr>
      </w:pPr>
    </w:p>
    <w:p w14:paraId="7D369E64">
      <w:pPr>
        <w:ind w:firstLine="480"/>
        <w:rPr>
          <w:rFonts w:ascii="Times New Roman" w:hAnsi="Times New Roman" w:cs="Times New Roman"/>
          <w:color w:val="auto"/>
          <w:highlight w:val="none"/>
        </w:rPr>
      </w:pPr>
    </w:p>
    <w:p w14:paraId="276E4464">
      <w:pPr>
        <w:ind w:firstLine="480"/>
        <w:rPr>
          <w:rFonts w:ascii="Times New Roman" w:hAnsi="Times New Roman" w:cs="Times New Roman"/>
          <w:color w:val="auto"/>
          <w:highlight w:val="none"/>
        </w:rPr>
      </w:pPr>
    </w:p>
    <w:p w14:paraId="0F492122">
      <w:pPr>
        <w:ind w:firstLine="480"/>
        <w:rPr>
          <w:rFonts w:ascii="Times New Roman" w:hAnsi="Times New Roman" w:cs="Times New Roman"/>
          <w:color w:val="auto"/>
          <w:highlight w:val="none"/>
        </w:rPr>
      </w:pPr>
    </w:p>
    <w:p w14:paraId="1712F9BF">
      <w:pPr>
        <w:ind w:firstLine="480"/>
        <w:rPr>
          <w:rFonts w:ascii="Times New Roman" w:hAnsi="Times New Roman" w:cs="Times New Roman"/>
          <w:color w:val="auto"/>
          <w:highlight w:val="none"/>
        </w:rPr>
      </w:pPr>
    </w:p>
    <w:p w14:paraId="28030437">
      <w:pPr>
        <w:ind w:firstLine="480"/>
        <w:rPr>
          <w:rFonts w:ascii="Times New Roman" w:hAnsi="Times New Roman" w:cs="Times New Roman"/>
          <w:color w:val="auto"/>
          <w:highlight w:val="none"/>
        </w:rPr>
      </w:pPr>
    </w:p>
    <w:p w14:paraId="596F095B">
      <w:pPr>
        <w:ind w:firstLine="480"/>
        <w:rPr>
          <w:rFonts w:ascii="Times New Roman" w:hAnsi="Times New Roman" w:cs="Times New Roman"/>
          <w:color w:val="auto"/>
          <w:highlight w:val="none"/>
        </w:rPr>
      </w:pPr>
    </w:p>
    <w:p w14:paraId="329D5BC7">
      <w:pPr>
        <w:ind w:firstLine="560"/>
        <w:jc w:val="center"/>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rPr>
        <w:t>202X-XX-XX  发布                   202X-XX-XX  实施</w:t>
      </w:r>
    </w:p>
    <w:p w14:paraId="1B849F9A">
      <w:pPr>
        <w:tabs>
          <w:tab w:val="left" w:pos="8235"/>
        </w:tabs>
        <w:ind w:firstLine="562"/>
        <w:rPr>
          <w:rFonts w:ascii="Times New Roman" w:hAnsi="Times New Roman" w:eastAsia="黑体" w:cs="Times New Roman"/>
          <w:b/>
          <w:color w:val="auto"/>
          <w:sz w:val="28"/>
          <w:szCs w:val="28"/>
          <w:highlight w:val="none"/>
        </w:rPr>
      </w:pPr>
      <w:r>
        <w:rPr>
          <w:rFonts w:ascii="Times New Roman" w:hAnsi="Times New Roman" w:eastAsia="黑体" w:cs="Times New Roman"/>
          <w:b/>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55880</wp:posOffset>
                </wp:positionV>
                <wp:extent cx="5600700" cy="26670"/>
                <wp:effectExtent l="9525" t="13335" r="9525" b="7620"/>
                <wp:wrapNone/>
                <wp:docPr id="108188484" name="Line 14"/>
                <wp:cNvGraphicFramePr/>
                <a:graphic xmlns:a="http://schemas.openxmlformats.org/drawingml/2006/main">
                  <a:graphicData uri="http://schemas.microsoft.com/office/word/2010/wordprocessingShape">
                    <wps:wsp>
                      <wps:cNvCnPr>
                        <a:cxnSpLocks noChangeShapeType="1"/>
                      </wps:cNvCnPr>
                      <wps:spPr bwMode="auto">
                        <a:xfrm>
                          <a:off x="0" y="0"/>
                          <a:ext cx="5600700" cy="26670"/>
                        </a:xfrm>
                        <a:prstGeom prst="line">
                          <a:avLst/>
                        </a:prstGeom>
                        <a:noFill/>
                        <a:ln w="9525">
                          <a:solidFill>
                            <a:srgbClr val="000000"/>
                          </a:solidFill>
                          <a:round/>
                        </a:ln>
                      </wps:spPr>
                      <wps:bodyPr/>
                    </wps:wsp>
                  </a:graphicData>
                </a:graphic>
              </wp:anchor>
            </w:drawing>
          </mc:Choice>
          <mc:Fallback>
            <w:pict>
              <v:line id="Line 14" o:spid="_x0000_s1026" o:spt="20" style="position:absolute;left:0pt;margin-left:0pt;margin-top:4.4pt;height:2.1pt;width:441pt;z-index:251661312;mso-width-relative:page;mso-height-relative:page;" filled="f" stroked="t" coordsize="21600,21600" o:gfxdata="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k0oqvtIAAAAFAQAADwAAAAAAAAABACAAAAAi&#10;AAAAZHJzL2Rvd25yZXYueG1sUEsBAhQAFAAAAAgAh07iQFQevHjXAQAArAMAAA4AAAAAAAAAAQAg&#10;AAAAIQEAAGRycy9lMm9Eb2MueG1sUEsFBgAAAAAGAAYAWQEAAGoFAAAAAA==&#10;">
                <v:fill on="f" focussize="0,0"/>
                <v:stroke color="#000000" joinstyle="round"/>
                <v:imagedata o:title=""/>
                <o:lock v:ext="edit" aspectratio="f"/>
              </v:line>
            </w:pict>
          </mc:Fallback>
        </mc:AlternateContent>
      </w:r>
      <w:r>
        <w:rPr>
          <w:rFonts w:ascii="Times New Roman" w:hAnsi="Times New Roman" w:eastAsia="黑体" w:cs="Times New Roman"/>
          <w:b/>
          <w:color w:val="auto"/>
          <w:sz w:val="28"/>
          <w:szCs w:val="28"/>
          <w:highlight w:val="none"/>
        </w:rPr>
        <w:tab/>
      </w:r>
    </w:p>
    <w:p w14:paraId="3B094ACD">
      <w:pPr>
        <w:jc w:val="center"/>
        <w:rPr>
          <w:rFonts w:ascii="Times New Roman" w:hAnsi="Times New Roman" w:eastAsia="黑体" w:cs="Times New Roman"/>
          <w:color w:val="auto"/>
          <w:spacing w:val="20"/>
          <w:sz w:val="32"/>
          <w:szCs w:val="32"/>
          <w:highlight w:val="none"/>
        </w:rPr>
      </w:pPr>
      <w:r>
        <w:rPr>
          <w:rFonts w:ascii="Times New Roman" w:hAnsi="Times New Roman" w:eastAsia="黑体" w:cs="Times New Roman"/>
          <w:color w:val="auto"/>
          <w:sz w:val="32"/>
          <w:szCs w:val="32"/>
          <w:highlight w:val="none"/>
        </w:rPr>
        <w:t>广东省住房和城乡建设厅</w:t>
      </w:r>
      <w:r>
        <w:rPr>
          <w:rFonts w:ascii="Times New Roman" w:hAnsi="Times New Roman" w:eastAsia="黑体" w:cs="Times New Roman"/>
          <w:color w:val="auto"/>
          <w:spacing w:val="20"/>
          <w:sz w:val="28"/>
          <w:szCs w:val="28"/>
          <w:highlight w:val="none"/>
        </w:rPr>
        <w:t xml:space="preserve">  </w:t>
      </w:r>
      <w:r>
        <w:rPr>
          <w:rFonts w:ascii="Times New Roman" w:hAnsi="Times New Roman" w:eastAsia="黑体" w:cs="Times New Roman"/>
          <w:color w:val="auto"/>
          <w:spacing w:val="20"/>
          <w:sz w:val="32"/>
          <w:szCs w:val="32"/>
          <w:highlight w:val="none"/>
        </w:rPr>
        <w:t>发布</w:t>
      </w:r>
    </w:p>
    <w:p w14:paraId="71CA0561">
      <w:pPr>
        <w:ind w:firstLine="720"/>
        <w:jc w:val="right"/>
        <w:rPr>
          <w:rFonts w:ascii="Times New Roman" w:hAnsi="Times New Roman" w:eastAsia="黑体" w:cs="Times New Roman"/>
          <w:color w:val="auto"/>
          <w:kern w:val="0"/>
          <w:sz w:val="36"/>
          <w:szCs w:val="36"/>
          <w:highlight w:val="none"/>
        </w:rPr>
      </w:pPr>
    </w:p>
    <w:p w14:paraId="7002389F">
      <w:pPr>
        <w:autoSpaceDE w:val="0"/>
        <w:autoSpaceDN w:val="0"/>
        <w:adjustRightInd w:val="0"/>
        <w:spacing w:line="360" w:lineRule="auto"/>
        <w:ind w:firstLine="480" w:firstLineChars="200"/>
        <w:jc w:val="right"/>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（本标准内容不涉及任何专利）</w:t>
      </w:r>
    </w:p>
    <w:p w14:paraId="16254A37">
      <w:pPr>
        <w:ind w:firstLine="720"/>
        <w:jc w:val="center"/>
        <w:rPr>
          <w:rFonts w:ascii="Times New Roman" w:hAnsi="Times New Roman" w:eastAsia="黑体" w:cs="Times New Roman"/>
          <w:color w:val="auto"/>
          <w:kern w:val="0"/>
          <w:sz w:val="36"/>
          <w:szCs w:val="36"/>
          <w:highlight w:val="none"/>
        </w:rPr>
        <w:sectPr>
          <w:footerReference r:id="rId6" w:type="first"/>
          <w:footerReference r:id="rId4" w:type="default"/>
          <w:headerReference r:id="rId3" w:type="even"/>
          <w:footerReference r:id="rId5" w:type="even"/>
          <w:pgSz w:w="11906" w:h="16838"/>
          <w:pgMar w:top="1440" w:right="1800" w:bottom="1440" w:left="1800" w:header="851" w:footer="992" w:gutter="0"/>
          <w:cols w:space="720" w:num="1"/>
          <w:titlePg/>
          <w:docGrid w:type="lines" w:linePitch="312" w:charSpace="0"/>
        </w:sectPr>
      </w:pPr>
    </w:p>
    <w:p w14:paraId="2C68CCCD">
      <w:pPr>
        <w:jc w:val="center"/>
        <w:rPr>
          <w:rFonts w:eastAsia="黑体"/>
          <w:bCs/>
          <w:color w:val="auto"/>
          <w:sz w:val="36"/>
          <w:szCs w:val="36"/>
          <w:highlight w:val="none"/>
        </w:rPr>
      </w:pPr>
    </w:p>
    <w:p w14:paraId="326CE3A7">
      <w:pPr>
        <w:jc w:val="center"/>
        <w:rPr>
          <w:rFonts w:eastAsia="黑体"/>
          <w:bCs/>
          <w:color w:val="auto"/>
          <w:sz w:val="36"/>
          <w:szCs w:val="36"/>
          <w:highlight w:val="none"/>
        </w:rPr>
      </w:pPr>
    </w:p>
    <w:p w14:paraId="35C6C634">
      <w:pPr>
        <w:jc w:val="center"/>
        <w:rPr>
          <w:rFonts w:eastAsia="黑体"/>
          <w:bCs/>
          <w:color w:val="auto"/>
          <w:sz w:val="36"/>
          <w:szCs w:val="36"/>
          <w:highlight w:val="none"/>
        </w:rPr>
      </w:pPr>
      <w:r>
        <w:rPr>
          <w:rFonts w:eastAsia="黑体"/>
          <w:bCs/>
          <w:color w:val="auto"/>
          <w:sz w:val="36"/>
          <w:szCs w:val="36"/>
          <w:highlight w:val="none"/>
        </w:rPr>
        <w:t>广东省标准</w:t>
      </w:r>
    </w:p>
    <w:p w14:paraId="29355272">
      <w:pPr>
        <w:rPr>
          <w:rFonts w:eastAsia="黑体"/>
          <w:b/>
          <w:color w:val="auto"/>
          <w:sz w:val="32"/>
          <w:szCs w:val="32"/>
          <w:highlight w:val="none"/>
        </w:rPr>
      </w:pPr>
    </w:p>
    <w:p w14:paraId="09366718">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cs="宋体"/>
          <w:b/>
          <w:bCs/>
          <w:color w:val="auto"/>
          <w:sz w:val="36"/>
          <w:szCs w:val="48"/>
          <w:highlight w:val="none"/>
        </w:rPr>
      </w:pPr>
      <w:bookmarkStart w:id="1" w:name="_Toc488326505"/>
      <w:bookmarkStart w:id="2" w:name="_Toc34476486"/>
      <w:bookmarkStart w:id="3" w:name="_Toc488326399"/>
      <w:bookmarkStart w:id="4" w:name="_Toc515960628"/>
      <w:bookmarkStart w:id="5" w:name="_Toc34476186"/>
      <w:bookmarkStart w:id="6" w:name="_Toc492476352"/>
      <w:r>
        <w:rPr>
          <w:rFonts w:hint="eastAsia" w:ascii="宋体" w:hAnsi="宋体" w:cs="宋体"/>
          <w:b/>
          <w:bCs/>
          <w:color w:val="auto"/>
          <w:sz w:val="36"/>
          <w:szCs w:val="48"/>
          <w:highlight w:val="none"/>
        </w:rPr>
        <w:t>城市轨道交通移动通信信号分布系统检测标准</w:t>
      </w:r>
    </w:p>
    <w:p w14:paraId="3F457834">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kern w:val="0"/>
          <w:sz w:val="28"/>
          <w:szCs w:val="28"/>
          <w:highlight w:val="none"/>
          <w:lang w:val="en-US" w:eastAsia="zh-CN" w:bidi="ar"/>
        </w:rPr>
      </w:pPr>
      <w:r>
        <w:rPr>
          <w:rFonts w:hint="eastAsia" w:ascii="Times New Roman" w:hAnsi="Times New Roman" w:eastAsia="宋体" w:cs="Times New Roman"/>
          <w:color w:val="auto"/>
          <w:kern w:val="0"/>
          <w:sz w:val="28"/>
          <w:szCs w:val="28"/>
          <w:highlight w:val="none"/>
          <w:lang w:val="en-US" w:eastAsia="zh-CN" w:bidi="ar"/>
        </w:rPr>
        <w:t xml:space="preserve">Standard for </w:t>
      </w:r>
      <w:r>
        <w:rPr>
          <w:rFonts w:hint="eastAsia" w:ascii="Times New Roman" w:hAnsi="Times New Roman" w:cs="Times New Roman"/>
          <w:color w:val="auto"/>
          <w:kern w:val="0"/>
          <w:sz w:val="28"/>
          <w:szCs w:val="28"/>
          <w:highlight w:val="none"/>
          <w:lang w:val="en-US" w:eastAsia="zh-CN" w:bidi="ar"/>
        </w:rPr>
        <w:t>m</w:t>
      </w:r>
      <w:r>
        <w:rPr>
          <w:rFonts w:hint="default" w:ascii="Times New Roman" w:hAnsi="Times New Roman" w:eastAsia="宋体" w:cs="Times New Roman"/>
          <w:color w:val="auto"/>
          <w:kern w:val="0"/>
          <w:sz w:val="28"/>
          <w:szCs w:val="28"/>
          <w:highlight w:val="none"/>
          <w:lang w:val="en-US" w:eastAsia="zh-CN" w:bidi="ar"/>
        </w:rPr>
        <w:t>obile communication</w:t>
      </w:r>
      <w:r>
        <w:rPr>
          <w:rFonts w:hint="eastAsia" w:ascii="Times New Roman" w:hAnsi="Times New Roman" w:cs="Times New Roman"/>
          <w:color w:val="auto"/>
          <w:kern w:val="0"/>
          <w:sz w:val="28"/>
          <w:szCs w:val="28"/>
          <w:highlight w:val="none"/>
          <w:lang w:val="en-US" w:eastAsia="zh-CN" w:bidi="ar"/>
        </w:rPr>
        <w:t xml:space="preserve"> </w:t>
      </w:r>
      <w:r>
        <w:rPr>
          <w:rFonts w:hint="default" w:ascii="Times New Roman" w:hAnsi="Times New Roman" w:eastAsia="宋体" w:cs="Times New Roman"/>
          <w:color w:val="auto"/>
          <w:kern w:val="0"/>
          <w:sz w:val="28"/>
          <w:szCs w:val="28"/>
          <w:highlight w:val="none"/>
          <w:lang w:val="en-US" w:eastAsia="zh-CN" w:bidi="ar"/>
        </w:rPr>
        <w:t>signal distribution system</w:t>
      </w:r>
    </w:p>
    <w:p w14:paraId="297921E9">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kern w:val="0"/>
          <w:sz w:val="28"/>
          <w:szCs w:val="28"/>
          <w:highlight w:val="none"/>
          <w:lang w:val="en-US" w:eastAsia="zh-CN" w:bidi="ar"/>
        </w:rPr>
      </w:pPr>
      <w:r>
        <w:rPr>
          <w:rFonts w:hint="default" w:ascii="Times New Roman" w:hAnsi="Times New Roman" w:eastAsia="宋体" w:cs="Times New Roman"/>
          <w:color w:val="auto"/>
          <w:kern w:val="0"/>
          <w:sz w:val="28"/>
          <w:szCs w:val="28"/>
          <w:highlight w:val="none"/>
          <w:lang w:val="en-US" w:eastAsia="zh-CN" w:bidi="ar"/>
        </w:rPr>
        <w:t>testing</w:t>
      </w:r>
      <w:r>
        <w:rPr>
          <w:rFonts w:hint="eastAsia" w:ascii="Times New Roman" w:hAnsi="Times New Roman" w:cs="Times New Roman"/>
          <w:color w:val="auto"/>
          <w:kern w:val="0"/>
          <w:sz w:val="28"/>
          <w:szCs w:val="28"/>
          <w:highlight w:val="none"/>
          <w:lang w:val="en-US" w:eastAsia="zh-CN" w:bidi="ar"/>
        </w:rPr>
        <w:t xml:space="preserve"> </w:t>
      </w:r>
      <w:r>
        <w:rPr>
          <w:rFonts w:hint="eastAsia" w:ascii="Times New Roman" w:hAnsi="Times New Roman" w:eastAsia="宋体" w:cs="Times New Roman"/>
          <w:color w:val="auto"/>
          <w:kern w:val="0"/>
          <w:sz w:val="28"/>
          <w:szCs w:val="28"/>
          <w:highlight w:val="none"/>
          <w:lang w:val="en-US" w:eastAsia="zh-CN" w:bidi="ar"/>
        </w:rPr>
        <w:t xml:space="preserve">of </w:t>
      </w:r>
      <w:r>
        <w:rPr>
          <w:rFonts w:hint="default" w:ascii="Times New Roman" w:hAnsi="Times New Roman" w:eastAsia="宋体" w:cs="Times New Roman"/>
          <w:color w:val="auto"/>
          <w:kern w:val="0"/>
          <w:sz w:val="28"/>
          <w:szCs w:val="28"/>
          <w:highlight w:val="none"/>
          <w:lang w:val="en-US" w:eastAsia="zh-CN" w:bidi="ar"/>
        </w:rPr>
        <w:t>urban rail transit</w:t>
      </w:r>
      <w:r>
        <w:rPr>
          <w:rFonts w:hint="eastAsia" w:ascii="Times New Roman" w:hAnsi="Times New Roman" w:cs="Times New Roman"/>
          <w:color w:val="auto"/>
          <w:kern w:val="0"/>
          <w:sz w:val="28"/>
          <w:szCs w:val="28"/>
          <w:highlight w:val="none"/>
          <w:lang w:val="en-US" w:eastAsia="zh-CN" w:bidi="ar"/>
        </w:rPr>
        <w:t xml:space="preserve"> </w:t>
      </w:r>
    </w:p>
    <w:p w14:paraId="4507510D">
      <w:pPr>
        <w:keepNext w:val="0"/>
        <w:keepLines w:val="0"/>
        <w:widowControl/>
        <w:suppressLineNumbers w:val="0"/>
        <w:jc w:val="center"/>
        <w:rPr>
          <w:rFonts w:hint="eastAsia" w:ascii="Times New Roman" w:hAnsi="Times New Roman" w:eastAsia="宋体" w:cs="Times New Roman"/>
          <w:color w:val="auto"/>
          <w:kern w:val="0"/>
          <w:sz w:val="28"/>
          <w:szCs w:val="28"/>
          <w:highlight w:val="none"/>
          <w:lang w:val="en-US" w:eastAsia="zh-CN" w:bidi="ar"/>
        </w:rPr>
      </w:pPr>
    </w:p>
    <w:bookmarkEnd w:id="1"/>
    <w:bookmarkEnd w:id="2"/>
    <w:bookmarkEnd w:id="3"/>
    <w:bookmarkEnd w:id="4"/>
    <w:bookmarkEnd w:id="5"/>
    <w:bookmarkEnd w:id="6"/>
    <w:p w14:paraId="20DAF971">
      <w:pPr>
        <w:jc w:val="center"/>
        <w:rPr>
          <w:rFonts w:hint="default" w:ascii="Times New Roman" w:hAnsi="Times New Roman" w:cs="Times New Roman" w:eastAsiaTheme="majorEastAsia"/>
          <w:b/>
          <w:color w:val="auto"/>
          <w:sz w:val="28"/>
          <w:szCs w:val="28"/>
          <w:highlight w:val="none"/>
          <w:lang w:eastAsia="zh-CN"/>
        </w:rPr>
      </w:pPr>
      <w:r>
        <w:rPr>
          <w:rFonts w:hint="default" w:ascii="Times New Roman" w:hAnsi="Times New Roman" w:cs="Times New Roman" w:eastAsiaTheme="majorEastAsia"/>
          <w:b/>
          <w:color w:val="auto"/>
          <w:sz w:val="28"/>
          <w:szCs w:val="28"/>
          <w:highlight w:val="none"/>
        </w:rPr>
        <w:t>DBJ/T 15-</w:t>
      </w:r>
      <w:r>
        <w:rPr>
          <w:rFonts w:hint="default" w:ascii="Times New Roman" w:hAnsi="Times New Roman" w:cs="Times New Roman" w:eastAsiaTheme="majorEastAsia"/>
          <w:b/>
          <w:color w:val="auto"/>
          <w:sz w:val="28"/>
          <w:szCs w:val="28"/>
          <w:highlight w:val="none"/>
          <w:lang w:val="en-US" w:eastAsia="zh-CN"/>
        </w:rPr>
        <w:t>XXX</w:t>
      </w:r>
      <w:r>
        <w:rPr>
          <w:rFonts w:hint="default" w:ascii="Times New Roman" w:hAnsi="Times New Roman" w:cs="Times New Roman" w:eastAsiaTheme="majorEastAsia"/>
          <w:b/>
          <w:color w:val="auto"/>
          <w:sz w:val="28"/>
          <w:szCs w:val="28"/>
          <w:highlight w:val="none"/>
        </w:rPr>
        <w:t>-202</w:t>
      </w:r>
      <w:r>
        <w:rPr>
          <w:rFonts w:hint="default" w:ascii="Times New Roman" w:hAnsi="Times New Roman" w:cs="Times New Roman" w:eastAsiaTheme="majorEastAsia"/>
          <w:b/>
          <w:color w:val="auto"/>
          <w:sz w:val="28"/>
          <w:szCs w:val="28"/>
          <w:highlight w:val="none"/>
          <w:lang w:val="en-US" w:eastAsia="zh-CN"/>
        </w:rPr>
        <w:t>X</w:t>
      </w:r>
    </w:p>
    <w:p w14:paraId="3D443CF4">
      <w:pPr>
        <w:jc w:val="center"/>
        <w:rPr>
          <w:b/>
          <w:color w:val="auto"/>
          <w:sz w:val="32"/>
          <w:szCs w:val="32"/>
          <w:highlight w:val="none"/>
        </w:rPr>
      </w:pPr>
    </w:p>
    <w:p w14:paraId="1CA0B230">
      <w:pPr>
        <w:spacing w:line="400" w:lineRule="exact"/>
        <w:ind w:firstLine="2160" w:firstLineChars="9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住房和城乡建设部备案号：</w:t>
      </w:r>
    </w:p>
    <w:p w14:paraId="203E390C">
      <w:pPr>
        <w:spacing w:line="400" w:lineRule="exact"/>
        <w:ind w:firstLine="2160" w:firstLineChars="9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批准部门：广东省住房和城乡建设厅</w:t>
      </w:r>
    </w:p>
    <w:p w14:paraId="50E31433">
      <w:pPr>
        <w:spacing w:line="400" w:lineRule="exact"/>
        <w:ind w:firstLine="2160" w:firstLineChars="9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实施日期：202</w:t>
      </w:r>
      <w:r>
        <w:rPr>
          <w:rFonts w:hint="default" w:ascii="Times New Roman" w:hAnsi="Times New Roman" w:eastAsia="宋体" w:cs="Times New Roman"/>
          <w:color w:val="auto"/>
          <w:sz w:val="24"/>
          <w:szCs w:val="24"/>
          <w:highlight w:val="none"/>
          <w:lang w:val="en-US" w:eastAsia="zh-CN"/>
        </w:rPr>
        <w:t>X</w:t>
      </w:r>
      <w:r>
        <w:rPr>
          <w:rFonts w:hint="default" w:ascii="Times New Roman" w:hAnsi="Times New Roman" w:eastAsia="宋体" w:cs="Times New Roman"/>
          <w:color w:val="auto"/>
          <w:sz w:val="24"/>
          <w:szCs w:val="24"/>
          <w:highlight w:val="none"/>
        </w:rPr>
        <w:t>年</w:t>
      </w:r>
      <w:r>
        <w:rPr>
          <w:rFonts w:hint="default" w:ascii="Times New Roman" w:hAnsi="Times New Roman" w:eastAsia="宋体" w:cs="Times New Roman"/>
          <w:color w:val="auto"/>
          <w:sz w:val="24"/>
          <w:szCs w:val="24"/>
          <w:highlight w:val="none"/>
          <w:lang w:val="en-US" w:eastAsia="zh-CN"/>
        </w:rPr>
        <w:t>XX</w:t>
      </w:r>
      <w:r>
        <w:rPr>
          <w:rFonts w:hint="default" w:ascii="Times New Roman" w:hAnsi="Times New Roman" w:eastAsia="宋体" w:cs="Times New Roman"/>
          <w:color w:val="auto"/>
          <w:sz w:val="24"/>
          <w:szCs w:val="24"/>
          <w:highlight w:val="none"/>
        </w:rPr>
        <w:t>月</w:t>
      </w:r>
      <w:r>
        <w:rPr>
          <w:rFonts w:hint="default" w:ascii="Times New Roman" w:hAnsi="Times New Roman" w:eastAsia="宋体" w:cs="Times New Roman"/>
          <w:color w:val="auto"/>
          <w:sz w:val="24"/>
          <w:szCs w:val="24"/>
          <w:highlight w:val="none"/>
          <w:lang w:val="en-US" w:eastAsia="zh-CN"/>
        </w:rPr>
        <w:t>XX</w:t>
      </w:r>
      <w:r>
        <w:rPr>
          <w:rFonts w:hint="default" w:ascii="Times New Roman" w:hAnsi="Times New Roman" w:eastAsia="宋体" w:cs="Times New Roman"/>
          <w:color w:val="auto"/>
          <w:sz w:val="24"/>
          <w:szCs w:val="24"/>
          <w:highlight w:val="none"/>
        </w:rPr>
        <w:t>日</w:t>
      </w:r>
    </w:p>
    <w:p w14:paraId="2C4F0471">
      <w:pPr>
        <w:rPr>
          <w:rFonts w:eastAsia="黑体"/>
          <w:b/>
          <w:color w:val="auto"/>
          <w:sz w:val="32"/>
          <w:szCs w:val="32"/>
          <w:highlight w:val="none"/>
        </w:rPr>
      </w:pPr>
      <w:r>
        <w:rPr>
          <w:rFonts w:eastAsia="黑体"/>
          <w:b/>
          <w:color w:val="auto"/>
          <w:sz w:val="32"/>
          <w:szCs w:val="32"/>
          <w:highlight w:val="none"/>
        </w:rPr>
        <w:br w:type="page"/>
      </w:r>
    </w:p>
    <w:p w14:paraId="650411D0">
      <w:pPr>
        <w:jc w:val="center"/>
        <w:rPr>
          <w:rFonts w:hint="eastAsia" w:ascii="宋体" w:hAnsi="宋体" w:cs="宋体"/>
          <w:b/>
          <w:bCs/>
          <w:color w:val="auto"/>
          <w:sz w:val="36"/>
          <w:szCs w:val="48"/>
          <w:highlight w:val="none"/>
        </w:rPr>
      </w:pPr>
    </w:p>
    <w:p w14:paraId="406A01C1">
      <w:pPr>
        <w:jc w:val="center"/>
        <w:rPr>
          <w:rFonts w:hint="eastAsia" w:ascii="宋体" w:hAnsi="宋体" w:cs="宋体"/>
          <w:b/>
          <w:bCs/>
          <w:color w:val="auto"/>
          <w:sz w:val="36"/>
          <w:szCs w:val="48"/>
          <w:highlight w:val="none"/>
        </w:rPr>
      </w:pPr>
    </w:p>
    <w:p w14:paraId="4E595A17">
      <w:pPr>
        <w:jc w:val="center"/>
        <w:rPr>
          <w:rFonts w:hint="eastAsia" w:ascii="宋体" w:hAnsi="宋体" w:cs="宋体"/>
          <w:b/>
          <w:bCs/>
          <w:color w:val="auto"/>
          <w:sz w:val="36"/>
          <w:szCs w:val="48"/>
          <w:highlight w:val="none"/>
        </w:rPr>
      </w:pPr>
      <w:r>
        <w:rPr>
          <w:rFonts w:hint="eastAsia" w:ascii="宋体" w:hAnsi="宋体" w:cs="宋体"/>
          <w:b/>
          <w:bCs/>
          <w:color w:val="auto"/>
          <w:sz w:val="36"/>
          <w:szCs w:val="48"/>
          <w:highlight w:val="none"/>
        </w:rPr>
        <w:t>广东省住房和城乡建设厅关于发布广东省标准《城市轨道交通移动通信信号分布系统检测标准》的公告</w:t>
      </w:r>
    </w:p>
    <w:p w14:paraId="54E2E85D">
      <w:pPr>
        <w:autoSpaceDE w:val="0"/>
        <w:autoSpaceDN w:val="0"/>
        <w:adjustRightInd w:val="0"/>
        <w:jc w:val="center"/>
        <w:rPr>
          <w:rFonts w:hint="eastAsia" w:ascii="宋体" w:hAnsi="宋体" w:cs="宋体"/>
          <w:color w:val="auto"/>
          <w:kern w:val="0"/>
          <w:sz w:val="32"/>
          <w:szCs w:val="32"/>
          <w:highlight w:val="none"/>
        </w:rPr>
      </w:pPr>
    </w:p>
    <w:p w14:paraId="05629EA4">
      <w:pPr>
        <w:autoSpaceDE w:val="0"/>
        <w:autoSpaceDN w:val="0"/>
        <w:adjustRightInd w:val="0"/>
        <w:jc w:val="center"/>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rPr>
        <w:t>粤建公告〔202</w:t>
      </w:r>
      <w:r>
        <w:rPr>
          <w:rFonts w:hint="default" w:ascii="Times New Roman" w:hAnsi="Times New Roman" w:cs="Times New Roman"/>
          <w:color w:val="auto"/>
          <w:kern w:val="0"/>
          <w:sz w:val="32"/>
          <w:szCs w:val="32"/>
          <w:highlight w:val="none"/>
          <w:lang w:val="en-US" w:eastAsia="zh-CN"/>
        </w:rPr>
        <w:t>X</w:t>
      </w:r>
      <w:r>
        <w:rPr>
          <w:rFonts w:hint="default" w:ascii="Times New Roman" w:hAnsi="Times New Roman" w:cs="Times New Roman"/>
          <w:color w:val="auto"/>
          <w:kern w:val="0"/>
          <w:sz w:val="32"/>
          <w:szCs w:val="32"/>
          <w:highlight w:val="none"/>
        </w:rPr>
        <w:t>〕</w:t>
      </w:r>
      <w:r>
        <w:rPr>
          <w:rFonts w:hint="default" w:ascii="Times New Roman" w:hAnsi="Times New Roman" w:cs="Times New Roman"/>
          <w:color w:val="auto"/>
          <w:kern w:val="0"/>
          <w:sz w:val="32"/>
          <w:szCs w:val="32"/>
          <w:highlight w:val="none"/>
          <w:lang w:val="en-US" w:eastAsia="zh-CN"/>
        </w:rPr>
        <w:t>XX</w:t>
      </w:r>
      <w:r>
        <w:rPr>
          <w:rFonts w:hint="default" w:ascii="Times New Roman" w:hAnsi="Times New Roman" w:cs="Times New Roman"/>
          <w:color w:val="auto"/>
          <w:kern w:val="0"/>
          <w:sz w:val="32"/>
          <w:szCs w:val="32"/>
          <w:highlight w:val="none"/>
        </w:rPr>
        <w:t xml:space="preserve"> 号</w:t>
      </w:r>
    </w:p>
    <w:p w14:paraId="768B9AC8">
      <w:pPr>
        <w:autoSpaceDE w:val="0"/>
        <w:autoSpaceDN w:val="0"/>
        <w:adjustRightInd w:val="0"/>
        <w:jc w:val="center"/>
        <w:rPr>
          <w:rFonts w:hint="default" w:ascii="Times New Roman" w:hAnsi="Times New Roman" w:eastAsia="仿宋_GB2312" w:cs="Times New Roman"/>
          <w:color w:val="auto"/>
          <w:kern w:val="0"/>
          <w:sz w:val="32"/>
          <w:szCs w:val="32"/>
          <w:highlight w:val="none"/>
        </w:rPr>
      </w:pPr>
    </w:p>
    <w:p w14:paraId="62FC5BB9">
      <w:pPr>
        <w:autoSpaceDE w:val="0"/>
        <w:autoSpaceDN w:val="0"/>
        <w:adjustRightInd w:val="0"/>
        <w:ind w:firstLine="560" w:firstLineChars="200"/>
        <w:jc w:val="both"/>
        <w:rPr>
          <w:rFonts w:hint="default" w:ascii="Times New Roman" w:hAnsi="Times New Roman" w:cs="Times New Roman"/>
          <w:color w:val="auto"/>
          <w:kern w:val="0"/>
          <w:sz w:val="28"/>
          <w:szCs w:val="28"/>
          <w:highlight w:val="none"/>
        </w:rPr>
      </w:pPr>
      <w:r>
        <w:rPr>
          <w:rFonts w:hint="default" w:ascii="Times New Roman" w:hAnsi="Times New Roman" w:cs="Times New Roman"/>
          <w:color w:val="auto"/>
          <w:kern w:val="0"/>
          <w:sz w:val="28"/>
          <w:szCs w:val="28"/>
          <w:highlight w:val="none"/>
        </w:rPr>
        <w:t>经组织专家委员会审查，现批准《城市轨道交通移动通信信号分布系统检测标准》为广东省地方标准，编号为</w:t>
      </w:r>
      <w:r>
        <w:rPr>
          <w:rFonts w:hint="default" w:ascii="Times New Roman" w:hAnsi="Times New Roman" w:cs="Times New Roman"/>
          <w:color w:val="auto"/>
          <w:spacing w:val="23"/>
          <w:sz w:val="28"/>
          <w:szCs w:val="28"/>
          <w:highlight w:val="none"/>
        </w:rPr>
        <w:t>DBJ/T 15-XX-202X</w:t>
      </w:r>
      <w:r>
        <w:rPr>
          <w:rFonts w:hint="default" w:ascii="Times New Roman" w:hAnsi="Times New Roman" w:cs="Times New Roman"/>
          <w:color w:val="auto"/>
          <w:kern w:val="0"/>
          <w:sz w:val="28"/>
          <w:szCs w:val="28"/>
          <w:highlight w:val="none"/>
        </w:rPr>
        <w:t>。本标准自202</w:t>
      </w:r>
      <w:r>
        <w:rPr>
          <w:rFonts w:hint="default" w:ascii="Times New Roman" w:hAnsi="Times New Roman" w:cs="Times New Roman"/>
          <w:color w:val="auto"/>
          <w:kern w:val="0"/>
          <w:sz w:val="28"/>
          <w:szCs w:val="28"/>
          <w:highlight w:val="none"/>
          <w:lang w:val="en-US" w:eastAsia="zh-CN"/>
        </w:rPr>
        <w:t>X</w:t>
      </w:r>
      <w:r>
        <w:rPr>
          <w:rFonts w:hint="default" w:ascii="Times New Roman" w:hAnsi="Times New Roman" w:cs="Times New Roman"/>
          <w:color w:val="auto"/>
          <w:kern w:val="0"/>
          <w:sz w:val="28"/>
          <w:szCs w:val="28"/>
          <w:highlight w:val="none"/>
        </w:rPr>
        <w:t>年</w:t>
      </w:r>
      <w:r>
        <w:rPr>
          <w:rFonts w:hint="default" w:ascii="Times New Roman" w:hAnsi="Times New Roman" w:cs="Times New Roman"/>
          <w:color w:val="auto"/>
          <w:kern w:val="0"/>
          <w:sz w:val="28"/>
          <w:szCs w:val="28"/>
          <w:highlight w:val="none"/>
          <w:lang w:val="en-US" w:eastAsia="zh-CN"/>
        </w:rPr>
        <w:t>XX</w:t>
      </w:r>
      <w:r>
        <w:rPr>
          <w:rFonts w:hint="default" w:ascii="Times New Roman" w:hAnsi="Times New Roman" w:cs="Times New Roman"/>
          <w:color w:val="auto"/>
          <w:kern w:val="0"/>
          <w:sz w:val="28"/>
          <w:szCs w:val="28"/>
          <w:highlight w:val="none"/>
        </w:rPr>
        <w:t>月</w:t>
      </w:r>
      <w:r>
        <w:rPr>
          <w:rFonts w:hint="default" w:ascii="Times New Roman" w:hAnsi="Times New Roman" w:cs="Times New Roman"/>
          <w:color w:val="auto"/>
          <w:kern w:val="0"/>
          <w:sz w:val="28"/>
          <w:szCs w:val="28"/>
          <w:highlight w:val="none"/>
          <w:lang w:val="en-US" w:eastAsia="zh-CN"/>
        </w:rPr>
        <w:t>XX</w:t>
      </w:r>
      <w:r>
        <w:rPr>
          <w:rFonts w:hint="default" w:ascii="Times New Roman" w:hAnsi="Times New Roman" w:cs="Times New Roman"/>
          <w:color w:val="auto"/>
          <w:kern w:val="0"/>
          <w:sz w:val="28"/>
          <w:szCs w:val="28"/>
          <w:highlight w:val="none"/>
        </w:rPr>
        <w:t>日起实施。</w:t>
      </w:r>
    </w:p>
    <w:p w14:paraId="1DA26CF6">
      <w:pPr>
        <w:autoSpaceDE w:val="0"/>
        <w:autoSpaceDN w:val="0"/>
        <w:adjustRightInd w:val="0"/>
        <w:ind w:firstLine="560" w:firstLineChars="200"/>
        <w:jc w:val="both"/>
        <w:rPr>
          <w:rFonts w:hint="default" w:ascii="Times New Roman" w:hAnsi="Times New Roman" w:cs="Times New Roman"/>
          <w:color w:val="auto"/>
          <w:kern w:val="0"/>
          <w:sz w:val="28"/>
          <w:szCs w:val="28"/>
          <w:highlight w:val="none"/>
        </w:rPr>
      </w:pPr>
      <w:r>
        <w:rPr>
          <w:rFonts w:hint="default" w:ascii="Times New Roman" w:hAnsi="Times New Roman" w:cs="Times New Roman"/>
          <w:color w:val="auto"/>
          <w:kern w:val="0"/>
          <w:sz w:val="28"/>
          <w:szCs w:val="28"/>
          <w:highlight w:val="none"/>
        </w:rPr>
        <w:t>本标准由广东省住房和城乡建设厅负责管理，由主编单位广州市盛通建设工程质量检测有限公司</w:t>
      </w:r>
      <w:r>
        <w:rPr>
          <w:rFonts w:hint="default" w:ascii="Times New Roman" w:hAnsi="Times New Roman" w:cs="Times New Roman"/>
          <w:color w:val="auto"/>
          <w:kern w:val="0"/>
          <w:sz w:val="28"/>
          <w:szCs w:val="28"/>
          <w:highlight w:val="none"/>
          <w:lang w:val="en-US" w:eastAsia="zh-CN"/>
        </w:rPr>
        <w:t>、</w:t>
      </w:r>
      <w:r>
        <w:rPr>
          <w:rFonts w:hint="default" w:ascii="Times New Roman" w:hAnsi="Times New Roman" w:cs="Times New Roman"/>
          <w:color w:val="auto"/>
          <w:kern w:val="0"/>
          <w:sz w:val="28"/>
          <w:szCs w:val="28"/>
          <w:highlight w:val="none"/>
        </w:rPr>
        <w:t>广州市建筑科学研究院集团有限公司负责具体技术内容的解释，在广东省住房和城乡建设厅门户网站（http://zfcxjst.gd.gov.cn）公开。</w:t>
      </w:r>
    </w:p>
    <w:p w14:paraId="4A4E3D93">
      <w:pPr>
        <w:autoSpaceDE w:val="0"/>
        <w:autoSpaceDN w:val="0"/>
        <w:adjustRightInd w:val="0"/>
        <w:ind w:firstLine="560" w:firstLineChars="200"/>
        <w:jc w:val="left"/>
        <w:rPr>
          <w:rFonts w:hint="default" w:ascii="Times New Roman" w:hAnsi="Times New Roman" w:cs="Times New Roman"/>
          <w:color w:val="auto"/>
          <w:kern w:val="0"/>
          <w:sz w:val="28"/>
          <w:szCs w:val="28"/>
          <w:highlight w:val="none"/>
        </w:rPr>
      </w:pPr>
    </w:p>
    <w:p w14:paraId="091F8B40">
      <w:pPr>
        <w:autoSpaceDE w:val="0"/>
        <w:autoSpaceDN w:val="0"/>
        <w:adjustRightInd w:val="0"/>
        <w:jc w:val="right"/>
        <w:rPr>
          <w:rFonts w:hint="default" w:ascii="Times New Roman" w:hAnsi="Times New Roman" w:cs="Times New Roman"/>
          <w:color w:val="auto"/>
          <w:kern w:val="0"/>
          <w:sz w:val="28"/>
          <w:szCs w:val="28"/>
          <w:highlight w:val="none"/>
        </w:rPr>
      </w:pPr>
      <w:r>
        <w:rPr>
          <w:rFonts w:hint="default" w:ascii="Times New Roman" w:hAnsi="Times New Roman" w:cs="Times New Roman"/>
          <w:color w:val="auto"/>
          <w:kern w:val="0"/>
          <w:sz w:val="28"/>
          <w:szCs w:val="28"/>
          <w:highlight w:val="none"/>
        </w:rPr>
        <w:t>广东省住房和城乡建设厅</w:t>
      </w:r>
    </w:p>
    <w:p w14:paraId="33DB14D9">
      <w:pPr>
        <w:jc w:val="right"/>
        <w:rPr>
          <w:rFonts w:hint="default" w:ascii="Times New Roman" w:hAnsi="Times New Roman" w:eastAsia="黑体" w:cs="Times New Roman"/>
          <w:b/>
          <w:color w:val="auto"/>
          <w:sz w:val="28"/>
          <w:szCs w:val="28"/>
          <w:highlight w:val="none"/>
        </w:rPr>
      </w:pPr>
      <w:r>
        <w:rPr>
          <w:rFonts w:hint="default" w:ascii="Times New Roman" w:hAnsi="Times New Roman" w:cs="Times New Roman"/>
          <w:color w:val="auto"/>
          <w:kern w:val="0"/>
          <w:sz w:val="28"/>
          <w:szCs w:val="28"/>
          <w:highlight w:val="none"/>
        </w:rPr>
        <w:t>202</w:t>
      </w:r>
      <w:r>
        <w:rPr>
          <w:rFonts w:hint="default" w:ascii="Times New Roman" w:hAnsi="Times New Roman" w:cs="Times New Roman"/>
          <w:color w:val="auto"/>
          <w:kern w:val="0"/>
          <w:sz w:val="28"/>
          <w:szCs w:val="28"/>
          <w:highlight w:val="none"/>
          <w:lang w:val="en-US" w:eastAsia="zh-CN"/>
        </w:rPr>
        <w:t>X</w:t>
      </w:r>
      <w:r>
        <w:rPr>
          <w:rFonts w:hint="default" w:ascii="Times New Roman" w:hAnsi="Times New Roman" w:cs="Times New Roman"/>
          <w:color w:val="auto"/>
          <w:kern w:val="0"/>
          <w:sz w:val="28"/>
          <w:szCs w:val="28"/>
          <w:highlight w:val="none"/>
        </w:rPr>
        <w:t>年</w:t>
      </w:r>
      <w:r>
        <w:rPr>
          <w:rFonts w:hint="default" w:ascii="Times New Roman" w:hAnsi="Times New Roman" w:cs="Times New Roman"/>
          <w:color w:val="auto"/>
          <w:kern w:val="0"/>
          <w:sz w:val="28"/>
          <w:szCs w:val="28"/>
          <w:highlight w:val="none"/>
          <w:lang w:val="en-US" w:eastAsia="zh-CN"/>
        </w:rPr>
        <w:t>XX</w:t>
      </w:r>
      <w:r>
        <w:rPr>
          <w:rFonts w:hint="default" w:ascii="Times New Roman" w:hAnsi="Times New Roman" w:cs="Times New Roman"/>
          <w:color w:val="auto"/>
          <w:kern w:val="0"/>
          <w:sz w:val="28"/>
          <w:szCs w:val="28"/>
          <w:highlight w:val="none"/>
        </w:rPr>
        <w:t>月</w:t>
      </w:r>
      <w:r>
        <w:rPr>
          <w:rFonts w:hint="default" w:ascii="Times New Roman" w:hAnsi="Times New Roman" w:cs="Times New Roman"/>
          <w:color w:val="auto"/>
          <w:kern w:val="0"/>
          <w:sz w:val="28"/>
          <w:szCs w:val="28"/>
          <w:highlight w:val="none"/>
          <w:lang w:val="en-US" w:eastAsia="zh-CN"/>
        </w:rPr>
        <w:t>XX</w:t>
      </w:r>
      <w:r>
        <w:rPr>
          <w:rFonts w:hint="default" w:ascii="Times New Roman" w:hAnsi="Times New Roman" w:cs="Times New Roman"/>
          <w:color w:val="auto"/>
          <w:kern w:val="0"/>
          <w:sz w:val="28"/>
          <w:szCs w:val="28"/>
          <w:highlight w:val="none"/>
        </w:rPr>
        <w:t>日</w:t>
      </w:r>
    </w:p>
    <w:p w14:paraId="6D2A3065">
      <w:pPr>
        <w:keepNext w:val="0"/>
        <w:keepLines w:val="0"/>
        <w:widowControl/>
        <w:suppressLineNumbers w:val="0"/>
        <w:jc w:val="left"/>
        <w:rPr>
          <w:color w:val="auto"/>
          <w:highlight w:val="none"/>
        </w:rPr>
      </w:pPr>
    </w:p>
    <w:p w14:paraId="1B090F20">
      <w:pPr>
        <w:rPr>
          <w:rFonts w:ascii="Times New Roman" w:hAnsi="Times New Roman" w:eastAsia="黑体" w:cs="Times New Roman"/>
          <w:color w:val="auto"/>
          <w:kern w:val="0"/>
          <w:sz w:val="36"/>
          <w:szCs w:val="36"/>
          <w:highlight w:val="none"/>
        </w:rPr>
      </w:pPr>
      <w:r>
        <w:rPr>
          <w:rFonts w:ascii="Times New Roman" w:hAnsi="Times New Roman" w:eastAsia="黑体" w:cs="Times New Roman"/>
          <w:color w:val="auto"/>
          <w:kern w:val="0"/>
          <w:sz w:val="36"/>
          <w:szCs w:val="36"/>
          <w:highlight w:val="none"/>
        </w:rPr>
        <w:br w:type="page"/>
      </w:r>
    </w:p>
    <w:p w14:paraId="33FE186F">
      <w:pPr>
        <w:keepNext w:val="0"/>
        <w:keepLines w:val="0"/>
        <w:pageBreakBefore w:val="0"/>
        <w:widowControl w:val="0"/>
        <w:kinsoku/>
        <w:wordWrap/>
        <w:overflowPunct/>
        <w:topLinePunct w:val="0"/>
        <w:autoSpaceDE w:val="0"/>
        <w:autoSpaceDN w:val="0"/>
        <w:bidi w:val="0"/>
        <w:adjustRightInd w:val="0"/>
        <w:snapToGrid/>
        <w:spacing w:before="313" w:beforeLines="100" w:after="313" w:afterLines="100" w:line="240" w:lineRule="auto"/>
        <w:jc w:val="center"/>
        <w:textAlignment w:val="auto"/>
        <w:rPr>
          <w:rFonts w:ascii="Times New Roman" w:hAnsi="Times New Roman" w:eastAsia="黑体" w:cs="Times New Roman"/>
          <w:color w:val="auto"/>
          <w:kern w:val="0"/>
          <w:sz w:val="36"/>
          <w:szCs w:val="36"/>
          <w:highlight w:val="none"/>
        </w:rPr>
      </w:pPr>
    </w:p>
    <w:p w14:paraId="7C35B0C3">
      <w:pPr>
        <w:keepNext w:val="0"/>
        <w:keepLines w:val="0"/>
        <w:pageBreakBefore w:val="0"/>
        <w:widowControl w:val="0"/>
        <w:kinsoku/>
        <w:wordWrap/>
        <w:overflowPunct/>
        <w:topLinePunct w:val="0"/>
        <w:autoSpaceDE w:val="0"/>
        <w:autoSpaceDN w:val="0"/>
        <w:bidi w:val="0"/>
        <w:adjustRightInd w:val="0"/>
        <w:snapToGrid/>
        <w:spacing w:after="313" w:afterLines="100" w:line="240" w:lineRule="auto"/>
        <w:jc w:val="center"/>
        <w:textAlignment w:val="auto"/>
        <w:rPr>
          <w:rFonts w:ascii="Times New Roman" w:hAnsi="Times New Roman" w:eastAsia="黑体" w:cs="Times New Roman"/>
          <w:color w:val="auto"/>
          <w:kern w:val="0"/>
          <w:sz w:val="36"/>
          <w:szCs w:val="36"/>
          <w:highlight w:val="none"/>
        </w:rPr>
      </w:pPr>
      <w:r>
        <w:rPr>
          <w:rFonts w:ascii="Times New Roman" w:hAnsi="Times New Roman" w:eastAsia="黑体" w:cs="Times New Roman"/>
          <w:color w:val="auto"/>
          <w:kern w:val="0"/>
          <w:sz w:val="36"/>
          <w:szCs w:val="36"/>
          <w:highlight w:val="none"/>
        </w:rPr>
        <w:t>前  言</w:t>
      </w:r>
    </w:p>
    <w:p w14:paraId="7B7F1496">
      <w:pPr>
        <w:autoSpaceDE w:val="0"/>
        <w:autoSpaceDN w:val="0"/>
        <w:adjustRightInd w:val="0"/>
        <w:spacing w:line="360" w:lineRule="auto"/>
        <w:ind w:firstLine="480" w:firstLineChars="200"/>
        <w:rPr>
          <w:rFonts w:ascii="Times New Roman" w:hAnsi="Times New Roman" w:cs="Times New Roman"/>
          <w:color w:val="auto"/>
          <w:kern w:val="0"/>
          <w:sz w:val="24"/>
          <w:highlight w:val="none"/>
        </w:rPr>
      </w:pPr>
      <w:r>
        <w:rPr>
          <w:rFonts w:ascii="Times New Roman" w:hAnsi="Times New Roman" w:cs="Times New Roman"/>
          <w:color w:val="auto"/>
          <w:kern w:val="0"/>
          <w:sz w:val="24"/>
          <w:highlight w:val="none"/>
        </w:rPr>
        <w:t>根据《广东省市场监督管理局关于批准下达 2023 年第二批广东省地方标准制修订计划的通知》（粤市监标准〔2023〕591 号）的要求，标准编制组经广泛调查研究，认真总结近年来城市轨道交通移动通信信号分布系统实施经验，仔细分析有关国家标准和行业标准在广东省的适应性，参考国内、外其他有关先进标准，并在广泛征求意见的基础上，制定了本标准。</w:t>
      </w:r>
    </w:p>
    <w:p w14:paraId="5852865E">
      <w:pPr>
        <w:autoSpaceDE w:val="0"/>
        <w:autoSpaceDN w:val="0"/>
        <w:adjustRightInd w:val="0"/>
        <w:spacing w:line="360" w:lineRule="auto"/>
        <w:ind w:firstLine="480" w:firstLineChars="200"/>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本标准内容不涉及任何专利。</w:t>
      </w:r>
    </w:p>
    <w:p w14:paraId="15E89DDA">
      <w:pPr>
        <w:autoSpaceDE w:val="0"/>
        <w:autoSpaceDN w:val="0"/>
        <w:adjustRightInd w:val="0"/>
        <w:spacing w:line="360" w:lineRule="auto"/>
        <w:ind w:firstLine="480" w:firstLineChars="200"/>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本标准共分为8章和2个附录，主要内容包括：1.总则；2.术语和缩略语；3.基本规定；4.安装质量；5.系统组网；6.系统性能；7.系统网管功能；8.系统安全。</w:t>
      </w:r>
    </w:p>
    <w:p w14:paraId="3B5CF690">
      <w:pPr>
        <w:autoSpaceDE w:val="0"/>
        <w:autoSpaceDN w:val="0"/>
        <w:adjustRightInd w:val="0"/>
        <w:spacing w:line="360" w:lineRule="auto"/>
        <w:ind w:firstLine="480" w:firstLineChars="200"/>
        <w:rPr>
          <w:rFonts w:ascii="Times New Roman" w:hAnsi="Times New Roman" w:cs="Times New Roman"/>
          <w:color w:val="auto"/>
          <w:kern w:val="0"/>
          <w:sz w:val="24"/>
          <w:highlight w:val="none"/>
        </w:rPr>
      </w:pPr>
      <w:r>
        <w:rPr>
          <w:rFonts w:ascii="Times New Roman" w:hAnsi="Times New Roman" w:cs="Times New Roman"/>
          <w:color w:val="auto"/>
          <w:kern w:val="0"/>
          <w:sz w:val="24"/>
          <w:highlight w:val="none"/>
        </w:rPr>
        <w:t>本标准由广东省住房和城乡建设厅负责管理，由主编单位负责具体技术内容的解释。在执行过程中如有需要修改或补充之处，请将意见或有关资料寄送广州市盛通建设工程质量检测有限公司（地址：广州市天河路34号，邮编：510075）</w:t>
      </w:r>
    </w:p>
    <w:p w14:paraId="5FA93CE0">
      <w:pPr>
        <w:autoSpaceDE w:val="0"/>
        <w:autoSpaceDN w:val="0"/>
        <w:adjustRightInd w:val="0"/>
        <w:spacing w:line="360" w:lineRule="auto"/>
        <w:ind w:firstLine="480" w:firstLineChars="200"/>
        <w:jc w:val="left"/>
        <w:rPr>
          <w:rFonts w:ascii="Times New Roman" w:hAnsi="Times New Roman" w:cs="Times New Roman"/>
          <w:color w:val="auto"/>
          <w:kern w:val="0"/>
          <w:sz w:val="24"/>
          <w:highlight w:val="none"/>
        </w:rPr>
      </w:pPr>
      <w:r>
        <w:rPr>
          <w:rFonts w:ascii="Times New Roman" w:hAnsi="Times New Roman" w:cs="Times New Roman"/>
          <w:color w:val="auto"/>
          <w:kern w:val="0"/>
          <w:sz w:val="24"/>
          <w:highlight w:val="none"/>
        </w:rPr>
        <w:t>主编单位：广州市盛通建设工程质量检测有限公司</w:t>
      </w:r>
    </w:p>
    <w:p w14:paraId="5F67895B">
      <w:pPr>
        <w:autoSpaceDE w:val="0"/>
        <w:autoSpaceDN w:val="0"/>
        <w:adjustRightInd w:val="0"/>
        <w:spacing w:line="360" w:lineRule="auto"/>
        <w:ind w:firstLine="1680" w:firstLineChars="700"/>
        <w:jc w:val="left"/>
        <w:rPr>
          <w:rFonts w:ascii="Times New Roman" w:hAnsi="Times New Roman" w:cs="Times New Roman"/>
          <w:color w:val="auto"/>
          <w:kern w:val="0"/>
          <w:sz w:val="24"/>
          <w:highlight w:val="none"/>
        </w:rPr>
      </w:pPr>
      <w:r>
        <w:rPr>
          <w:rFonts w:ascii="Times New Roman" w:hAnsi="Times New Roman" w:cs="Times New Roman"/>
          <w:color w:val="auto"/>
          <w:kern w:val="0"/>
          <w:sz w:val="24"/>
          <w:highlight w:val="none"/>
        </w:rPr>
        <w:t>广州市建筑科学研究院集团有限公司</w:t>
      </w:r>
    </w:p>
    <w:p w14:paraId="176F6807">
      <w:pPr>
        <w:autoSpaceDE w:val="0"/>
        <w:autoSpaceDN w:val="0"/>
        <w:adjustRightInd w:val="0"/>
        <w:spacing w:line="360" w:lineRule="auto"/>
        <w:ind w:firstLine="480" w:firstLineChars="200"/>
        <w:jc w:val="left"/>
        <w:rPr>
          <w:rFonts w:ascii="Times New Roman" w:hAnsi="Times New Roman" w:cs="Times New Roman"/>
          <w:color w:val="auto"/>
          <w:kern w:val="0"/>
          <w:sz w:val="24"/>
          <w:highlight w:val="none"/>
        </w:rPr>
      </w:pPr>
      <w:r>
        <w:rPr>
          <w:rFonts w:ascii="Times New Roman" w:hAnsi="Times New Roman" w:cs="Times New Roman"/>
          <w:color w:val="auto"/>
          <w:kern w:val="0"/>
          <w:sz w:val="24"/>
          <w:highlight w:val="none"/>
        </w:rPr>
        <w:t>参编单位：广州地铁集团有限公司</w:t>
      </w:r>
    </w:p>
    <w:p w14:paraId="0361D281">
      <w:pPr>
        <w:autoSpaceDE w:val="0"/>
        <w:autoSpaceDN w:val="0"/>
        <w:adjustRightInd w:val="0"/>
        <w:spacing w:line="360" w:lineRule="auto"/>
        <w:ind w:firstLine="1680" w:firstLineChars="800"/>
        <w:jc w:val="left"/>
        <w:rPr>
          <w:rFonts w:ascii="Times New Roman" w:hAnsi="Times New Roman" w:cs="Times New Roman"/>
          <w:color w:val="auto"/>
          <w:kern w:val="0"/>
          <w:sz w:val="24"/>
          <w:highlight w:val="none"/>
        </w:rPr>
      </w:pPr>
      <w:r>
        <w:rPr>
          <w:color w:val="auto"/>
          <w:highlight w:val="none"/>
        </w:rPr>
        <w:fldChar w:fldCharType="begin"/>
      </w:r>
      <w:r>
        <w:rPr>
          <w:color w:val="auto"/>
          <w:highlight w:val="none"/>
        </w:rPr>
        <w:instrText xml:space="preserve"> HYPERLINK "https://aiqicha.baidu.com/detail/compinfo?pid=35128863221457&amp;rq=es&amp;pd=ee&amp;from=ps&amp;query=%E5%B9%BF%E6%A3%80%E6%A3%80%E6%B5%8B%E4%B8%AD%E5%BF%83" \t "https://www.baidu.com/_blank" </w:instrText>
      </w:r>
      <w:r>
        <w:rPr>
          <w:color w:val="auto"/>
          <w:highlight w:val="none"/>
        </w:rPr>
        <w:fldChar w:fldCharType="separate"/>
      </w:r>
      <w:r>
        <w:rPr>
          <w:rFonts w:ascii="Times New Roman" w:hAnsi="Times New Roman" w:cs="Times New Roman"/>
          <w:color w:val="auto"/>
          <w:kern w:val="0"/>
          <w:sz w:val="24"/>
          <w:highlight w:val="none"/>
        </w:rPr>
        <w:t>广州广检建设工程检测中心有限公司</w:t>
      </w:r>
      <w:r>
        <w:rPr>
          <w:rFonts w:ascii="Times New Roman" w:hAnsi="Times New Roman" w:cs="Times New Roman"/>
          <w:color w:val="auto"/>
          <w:kern w:val="0"/>
          <w:sz w:val="24"/>
          <w:highlight w:val="none"/>
        </w:rPr>
        <w:fldChar w:fldCharType="end"/>
      </w:r>
    </w:p>
    <w:p w14:paraId="18368456">
      <w:pPr>
        <w:autoSpaceDE w:val="0"/>
        <w:autoSpaceDN w:val="0"/>
        <w:adjustRightInd w:val="0"/>
        <w:spacing w:line="360" w:lineRule="auto"/>
        <w:ind w:firstLine="1680" w:firstLineChars="800"/>
        <w:jc w:val="left"/>
        <w:rPr>
          <w:rFonts w:ascii="Times New Roman" w:hAnsi="Times New Roman" w:cs="Times New Roman"/>
          <w:color w:val="auto"/>
          <w:kern w:val="0"/>
          <w:sz w:val="24"/>
          <w:highlight w:val="none"/>
        </w:rPr>
      </w:pPr>
      <w:r>
        <w:rPr>
          <w:color w:val="auto"/>
          <w:highlight w:val="none"/>
        </w:rPr>
        <w:fldChar w:fldCharType="begin"/>
      </w:r>
      <w:r>
        <w:rPr>
          <w:color w:val="auto"/>
          <w:highlight w:val="none"/>
        </w:rPr>
        <w:instrText xml:space="preserve"> HYPERLINK "http://www.baidu.com/link?url=0OBgl-j_IgF4EgGFUJeJFHKooAv5KLFPZU46q3wek7xdEmxddbzXhWpXwGW8_lLk" \t "https://www.baidu.com/_blank" </w:instrText>
      </w:r>
      <w:r>
        <w:rPr>
          <w:color w:val="auto"/>
          <w:highlight w:val="none"/>
        </w:rPr>
        <w:fldChar w:fldCharType="separate"/>
      </w:r>
      <w:r>
        <w:rPr>
          <w:rFonts w:ascii="Times New Roman" w:hAnsi="Times New Roman" w:cs="Times New Roman"/>
          <w:color w:val="auto"/>
          <w:kern w:val="0"/>
          <w:sz w:val="24"/>
          <w:highlight w:val="none"/>
        </w:rPr>
        <w:t>广州市稳建工程检测有限公司</w:t>
      </w:r>
      <w:r>
        <w:rPr>
          <w:rFonts w:ascii="Times New Roman" w:hAnsi="Times New Roman" w:cs="Times New Roman"/>
          <w:color w:val="auto"/>
          <w:kern w:val="0"/>
          <w:sz w:val="24"/>
          <w:highlight w:val="none"/>
        </w:rPr>
        <w:fldChar w:fldCharType="end"/>
      </w:r>
    </w:p>
    <w:p w14:paraId="4CB42D69">
      <w:pPr>
        <w:autoSpaceDE w:val="0"/>
        <w:autoSpaceDN w:val="0"/>
        <w:adjustRightInd w:val="0"/>
        <w:spacing w:line="360" w:lineRule="auto"/>
        <w:ind w:firstLine="1680" w:firstLineChars="700"/>
        <w:jc w:val="left"/>
        <w:rPr>
          <w:rFonts w:ascii="Times New Roman" w:hAnsi="Times New Roman" w:cs="Times New Roman"/>
          <w:color w:val="auto"/>
          <w:kern w:val="0"/>
          <w:sz w:val="24"/>
          <w:highlight w:val="none"/>
        </w:rPr>
      </w:pPr>
      <w:r>
        <w:rPr>
          <w:rFonts w:ascii="Times New Roman" w:hAnsi="Times New Roman" w:cs="Times New Roman"/>
          <w:color w:val="auto"/>
          <w:kern w:val="0"/>
          <w:sz w:val="24"/>
          <w:highlight w:val="none"/>
        </w:rPr>
        <w:t>佛山市地铁集团有限公司</w:t>
      </w:r>
    </w:p>
    <w:p w14:paraId="6A199F65">
      <w:pPr>
        <w:autoSpaceDE w:val="0"/>
        <w:autoSpaceDN w:val="0"/>
        <w:adjustRightInd w:val="0"/>
        <w:spacing w:line="360" w:lineRule="auto"/>
        <w:ind w:firstLine="1680" w:firstLineChars="700"/>
        <w:jc w:val="left"/>
        <w:rPr>
          <w:rFonts w:ascii="Times New Roman" w:hAnsi="Times New Roman" w:cs="Times New Roman"/>
          <w:color w:val="auto"/>
          <w:kern w:val="0"/>
          <w:sz w:val="24"/>
          <w:highlight w:val="none"/>
        </w:rPr>
      </w:pPr>
      <w:r>
        <w:rPr>
          <w:rFonts w:ascii="Times New Roman" w:hAnsi="Times New Roman" w:cs="Times New Roman"/>
          <w:color w:val="auto"/>
          <w:kern w:val="0"/>
          <w:sz w:val="24"/>
          <w:highlight w:val="none"/>
        </w:rPr>
        <w:t>广州信息技术研究所</w:t>
      </w:r>
    </w:p>
    <w:p w14:paraId="1B004DB5">
      <w:pPr>
        <w:autoSpaceDE w:val="0"/>
        <w:autoSpaceDN w:val="0"/>
        <w:adjustRightInd w:val="0"/>
        <w:spacing w:line="360" w:lineRule="auto"/>
        <w:ind w:firstLine="1680" w:firstLineChars="700"/>
        <w:jc w:val="left"/>
        <w:rPr>
          <w:rFonts w:ascii="Times New Roman" w:hAnsi="Times New Roman" w:cs="Times New Roman"/>
          <w:color w:val="auto"/>
          <w:kern w:val="0"/>
          <w:sz w:val="24"/>
          <w:highlight w:val="none"/>
        </w:rPr>
      </w:pPr>
      <w:r>
        <w:rPr>
          <w:rFonts w:ascii="Times New Roman" w:hAnsi="Times New Roman" w:cs="Times New Roman"/>
          <w:color w:val="auto"/>
          <w:kern w:val="0"/>
          <w:sz w:val="24"/>
          <w:highlight w:val="none"/>
        </w:rPr>
        <w:t>中通服中睿科技有限公司</w:t>
      </w:r>
    </w:p>
    <w:p w14:paraId="0526EB34">
      <w:pPr>
        <w:autoSpaceDE w:val="0"/>
        <w:autoSpaceDN w:val="0"/>
        <w:adjustRightInd w:val="0"/>
        <w:spacing w:line="360" w:lineRule="auto"/>
        <w:ind w:firstLine="1680" w:firstLineChars="700"/>
        <w:jc w:val="left"/>
        <w:rPr>
          <w:rFonts w:ascii="Times New Roman" w:hAnsi="Times New Roman" w:cs="Times New Roman"/>
          <w:color w:val="auto"/>
          <w:kern w:val="0"/>
          <w:sz w:val="24"/>
          <w:highlight w:val="none"/>
        </w:rPr>
      </w:pPr>
      <w:r>
        <w:rPr>
          <w:rFonts w:ascii="Times New Roman" w:hAnsi="Times New Roman" w:cs="Times New Roman"/>
          <w:color w:val="auto"/>
          <w:kern w:val="0"/>
          <w:sz w:val="24"/>
          <w:highlight w:val="none"/>
        </w:rPr>
        <w:t>广东暨通信息发展有限公司</w:t>
      </w:r>
    </w:p>
    <w:p w14:paraId="4ED105A2">
      <w:pPr>
        <w:autoSpaceDE w:val="0"/>
        <w:autoSpaceDN w:val="0"/>
        <w:adjustRightInd w:val="0"/>
        <w:spacing w:line="360" w:lineRule="auto"/>
        <w:ind w:firstLine="1680" w:firstLineChars="700"/>
        <w:jc w:val="left"/>
        <w:rPr>
          <w:rFonts w:ascii="Times New Roman" w:hAnsi="Times New Roman" w:cs="Times New Roman"/>
          <w:color w:val="auto"/>
          <w:kern w:val="0"/>
          <w:sz w:val="24"/>
          <w:highlight w:val="none"/>
        </w:rPr>
      </w:pPr>
      <w:r>
        <w:rPr>
          <w:rFonts w:ascii="Times New Roman" w:hAnsi="Times New Roman" w:cs="Times New Roman"/>
          <w:color w:val="auto"/>
          <w:kern w:val="0"/>
          <w:sz w:val="24"/>
          <w:highlight w:val="none"/>
        </w:rPr>
        <w:t>广东省通信管理局广州市通信建设管理办公室</w:t>
      </w:r>
    </w:p>
    <w:p w14:paraId="71E318C3">
      <w:pPr>
        <w:autoSpaceDE w:val="0"/>
        <w:autoSpaceDN w:val="0"/>
        <w:adjustRightInd w:val="0"/>
        <w:spacing w:line="360" w:lineRule="auto"/>
        <w:ind w:firstLine="1680" w:firstLineChars="800"/>
        <w:jc w:val="left"/>
        <w:rPr>
          <w:rFonts w:ascii="Times New Roman" w:hAnsi="Times New Roman" w:cs="Times New Roman"/>
          <w:color w:val="auto"/>
          <w:kern w:val="0"/>
          <w:sz w:val="24"/>
          <w:highlight w:val="none"/>
        </w:rPr>
      </w:pPr>
      <w:r>
        <w:rPr>
          <w:color w:val="auto"/>
          <w:highlight w:val="none"/>
        </w:rPr>
        <w:fldChar w:fldCharType="begin"/>
      </w:r>
      <w:r>
        <w:rPr>
          <w:color w:val="auto"/>
          <w:highlight w:val="none"/>
        </w:rPr>
        <w:instrText xml:space="preserve"> HYPERLINK "http://www.baidu.com/link?url=Q1MF2Kz9joADLEGDkvjwFnTEK72YESl9o2kVKQ70n5ogyiKOSF7zroZZuntvrUEO" \t "https://www.baidu.com/_blank" </w:instrText>
      </w:r>
      <w:r>
        <w:rPr>
          <w:color w:val="auto"/>
          <w:highlight w:val="none"/>
        </w:rPr>
        <w:fldChar w:fldCharType="separate"/>
      </w:r>
      <w:r>
        <w:rPr>
          <w:rFonts w:ascii="Times New Roman" w:hAnsi="Times New Roman" w:cs="Times New Roman"/>
          <w:color w:val="auto"/>
          <w:kern w:val="0"/>
          <w:sz w:val="24"/>
          <w:highlight w:val="none"/>
        </w:rPr>
        <w:t>广州市市政工程试验检测有限公司</w:t>
      </w:r>
      <w:r>
        <w:rPr>
          <w:rFonts w:ascii="Times New Roman" w:hAnsi="Times New Roman" w:cs="Times New Roman"/>
          <w:color w:val="auto"/>
          <w:kern w:val="0"/>
          <w:sz w:val="24"/>
          <w:highlight w:val="none"/>
        </w:rPr>
        <w:fldChar w:fldCharType="end"/>
      </w:r>
    </w:p>
    <w:p w14:paraId="7742F18C">
      <w:pPr>
        <w:autoSpaceDE w:val="0"/>
        <w:autoSpaceDN w:val="0"/>
        <w:adjustRightInd w:val="0"/>
        <w:spacing w:line="360" w:lineRule="auto"/>
        <w:ind w:firstLine="1680" w:firstLineChars="700"/>
        <w:jc w:val="left"/>
        <w:rPr>
          <w:rFonts w:ascii="Times New Roman" w:hAnsi="Times New Roman" w:cs="Times New Roman"/>
          <w:color w:val="auto"/>
          <w:kern w:val="0"/>
          <w:sz w:val="24"/>
          <w:highlight w:val="none"/>
        </w:rPr>
      </w:pPr>
      <w:r>
        <w:rPr>
          <w:rFonts w:ascii="Times New Roman" w:hAnsi="Times New Roman" w:cs="Times New Roman"/>
          <w:color w:val="auto"/>
          <w:kern w:val="0"/>
          <w:sz w:val="24"/>
          <w:highlight w:val="none"/>
        </w:rPr>
        <w:t>广东省新一代通信与网络创新研究院</w:t>
      </w:r>
    </w:p>
    <w:p w14:paraId="164958D0">
      <w:pPr>
        <w:autoSpaceDE w:val="0"/>
        <w:autoSpaceDN w:val="0"/>
        <w:adjustRightInd w:val="0"/>
        <w:spacing w:line="360" w:lineRule="auto"/>
        <w:ind w:firstLine="1680" w:firstLineChars="700"/>
        <w:jc w:val="left"/>
        <w:rPr>
          <w:rFonts w:ascii="Times New Roman" w:hAnsi="Times New Roman" w:cs="Times New Roman"/>
          <w:color w:val="auto"/>
          <w:kern w:val="0"/>
          <w:sz w:val="24"/>
          <w:highlight w:val="none"/>
        </w:rPr>
      </w:pPr>
      <w:r>
        <w:rPr>
          <w:rFonts w:ascii="Times New Roman" w:hAnsi="Times New Roman" w:cs="Times New Roman"/>
          <w:color w:val="auto"/>
          <w:kern w:val="0"/>
          <w:sz w:val="24"/>
          <w:highlight w:val="none"/>
        </w:rPr>
        <w:t>广东省建设工程质量安全检测总站有限公司</w:t>
      </w:r>
    </w:p>
    <w:p w14:paraId="147FB69B">
      <w:pPr>
        <w:autoSpaceDE w:val="0"/>
        <w:autoSpaceDN w:val="0"/>
        <w:adjustRightInd w:val="0"/>
        <w:spacing w:line="360" w:lineRule="auto"/>
        <w:ind w:firstLine="1680" w:firstLineChars="800"/>
        <w:jc w:val="left"/>
        <w:rPr>
          <w:rFonts w:ascii="Times New Roman" w:hAnsi="Times New Roman" w:cs="Times New Roman"/>
          <w:color w:val="auto"/>
          <w:kern w:val="0"/>
          <w:sz w:val="24"/>
          <w:highlight w:val="none"/>
        </w:rPr>
      </w:pPr>
      <w:r>
        <w:rPr>
          <w:color w:val="auto"/>
          <w:highlight w:val="none"/>
        </w:rPr>
        <w:fldChar w:fldCharType="begin"/>
      </w:r>
      <w:r>
        <w:rPr>
          <w:color w:val="auto"/>
          <w:highlight w:val="none"/>
        </w:rPr>
        <w:instrText xml:space="preserve"> HYPERLINK "http://www.baidu.com/link?url=f3XNEdO0tnptbxCp3VQR8_8jRDwqYpORtRoYdqRqha7PFu_XW3WO7M-KQl4kGpGneNhFRLWr2qzGN8emPGfaAw_wWgwR8aWg_yQoDb7yOj91QvKOhO0tOkcO04xz4I-bTAP6JfBtEMsiyMiuVZeeELETEL-hcvhhNQQyhOX4cXhtH5GIeBwZn7fO9xozv4yio3Tjkjw7qtkmJSL7INjqS6iK5OBV2-c83_ro9TUIdHQcBvh89ZbclYAYqaua0Jmm" \t "https://www.baidu.com/_blank" </w:instrText>
      </w:r>
      <w:r>
        <w:rPr>
          <w:color w:val="auto"/>
          <w:highlight w:val="none"/>
        </w:rPr>
        <w:fldChar w:fldCharType="separate"/>
      </w:r>
      <w:r>
        <w:rPr>
          <w:rFonts w:ascii="Times New Roman" w:hAnsi="Times New Roman" w:cs="Times New Roman"/>
          <w:color w:val="auto"/>
          <w:kern w:val="0"/>
          <w:sz w:val="24"/>
          <w:highlight w:val="none"/>
        </w:rPr>
        <w:t>广州市建设工程质量安全检测中心</w:t>
      </w:r>
      <w:r>
        <w:rPr>
          <w:rFonts w:ascii="Times New Roman" w:hAnsi="Times New Roman" w:cs="Times New Roman"/>
          <w:color w:val="auto"/>
          <w:kern w:val="0"/>
          <w:sz w:val="24"/>
          <w:highlight w:val="none"/>
        </w:rPr>
        <w:fldChar w:fldCharType="end"/>
      </w:r>
      <w:r>
        <w:rPr>
          <w:rFonts w:ascii="Times New Roman" w:hAnsi="Times New Roman" w:cs="Times New Roman"/>
          <w:color w:val="auto"/>
          <w:kern w:val="0"/>
          <w:sz w:val="24"/>
          <w:highlight w:val="none"/>
        </w:rPr>
        <w:t>有限公司</w:t>
      </w:r>
    </w:p>
    <w:p w14:paraId="62034F4A">
      <w:pPr>
        <w:autoSpaceDE w:val="0"/>
        <w:autoSpaceDN w:val="0"/>
        <w:adjustRightInd w:val="0"/>
        <w:spacing w:line="360" w:lineRule="auto"/>
        <w:ind w:firstLine="1680" w:firstLineChars="800"/>
        <w:jc w:val="left"/>
        <w:rPr>
          <w:rFonts w:ascii="Times New Roman" w:hAnsi="Times New Roman" w:cs="Times New Roman"/>
          <w:color w:val="auto"/>
          <w:kern w:val="0"/>
          <w:sz w:val="24"/>
          <w:highlight w:val="none"/>
        </w:rPr>
      </w:pPr>
      <w:r>
        <w:rPr>
          <w:color w:val="auto"/>
          <w:highlight w:val="none"/>
        </w:rPr>
        <w:fldChar w:fldCharType="begin"/>
      </w:r>
      <w:r>
        <w:rPr>
          <w:color w:val="auto"/>
          <w:highlight w:val="none"/>
        </w:rPr>
        <w:instrText xml:space="preserve"> HYPERLINK "http://www.baidu.com/link?url=Kpy0p4GrGHMbWgXJP8I8FtbC6ntTjlk0rtWHk8RUJbROS4vv-g1Y-4oKf3GAlEwbDNd8vVm59INMBu0xv49rJK3x4kr_9BrrJ8sLQVSwO7_bsIW2iyk8H_Ts_11_DlouB8zM92ORxsMZdbL88cCh-VKkG2SexH7xoTGGFLSiyGzhWgVpRTqd_3PJ-aniGfIAwL-YvxRqR6QPHdLbNcbFqSW4BpxcsJCoLQ9Rw3Acp9xU_jQNb7XSn1sHE4EjmTWV8IdIN0oJKp45_dmapwrQnxZtIpkZHEco85PcuK8qSm1geEB9eaw3aavCEcH9eTcSMEYqOs0g2Zn3aAvBZOp0XKIh-wk9OkrNR6k6sbhM1OSXdla9MY_MRQJ_LdPlmVdH6XjgQV8litTMFX3oElTEYK" \t "https://www.baidu.com/_blank" </w:instrText>
      </w:r>
      <w:r>
        <w:rPr>
          <w:color w:val="auto"/>
          <w:highlight w:val="none"/>
        </w:rPr>
        <w:fldChar w:fldCharType="separate"/>
      </w:r>
      <w:r>
        <w:rPr>
          <w:rFonts w:ascii="Times New Roman" w:hAnsi="Times New Roman" w:cs="Times New Roman"/>
          <w:color w:val="auto"/>
          <w:kern w:val="0"/>
          <w:sz w:val="24"/>
          <w:highlight w:val="none"/>
        </w:rPr>
        <w:t>广州开发区建设工程检测中心有限公司</w:t>
      </w:r>
      <w:r>
        <w:rPr>
          <w:rFonts w:ascii="Times New Roman" w:hAnsi="Times New Roman" w:cs="Times New Roman"/>
          <w:color w:val="auto"/>
          <w:kern w:val="0"/>
          <w:sz w:val="24"/>
          <w:highlight w:val="none"/>
        </w:rPr>
        <w:fldChar w:fldCharType="end"/>
      </w:r>
    </w:p>
    <w:p w14:paraId="2C730ACB">
      <w:pPr>
        <w:autoSpaceDE w:val="0"/>
        <w:autoSpaceDN w:val="0"/>
        <w:adjustRightInd w:val="0"/>
        <w:spacing w:line="360" w:lineRule="auto"/>
        <w:ind w:firstLine="1680" w:firstLineChars="700"/>
        <w:jc w:val="left"/>
        <w:rPr>
          <w:rFonts w:hint="default"/>
          <w:color w:val="auto"/>
          <w:sz w:val="24"/>
          <w:szCs w:val="24"/>
          <w:highlight w:val="none"/>
          <w:lang w:val="en-US"/>
        </w:rPr>
      </w:pPr>
      <w:bookmarkStart w:id="322" w:name="_GoBack"/>
      <w:bookmarkEnd w:id="322"/>
      <w:r>
        <w:rPr>
          <w:rFonts w:hint="eastAsia"/>
          <w:color w:val="auto"/>
          <w:sz w:val="24"/>
          <w:szCs w:val="24"/>
          <w:highlight w:val="none"/>
          <w:lang w:val="en-US" w:eastAsia="zh-CN"/>
        </w:rPr>
        <w:t>吉華進科安全監測有限公司</w:t>
      </w:r>
    </w:p>
    <w:p w14:paraId="6F4FC223">
      <w:pPr>
        <w:autoSpaceDE w:val="0"/>
        <w:autoSpaceDN w:val="0"/>
        <w:adjustRightInd w:val="0"/>
        <w:spacing w:line="360" w:lineRule="auto"/>
        <w:ind w:firstLine="240" w:firstLineChars="100"/>
        <w:jc w:val="left"/>
        <w:rPr>
          <w:rFonts w:hint="eastAsia"/>
          <w:color w:val="auto"/>
          <w:kern w:val="0"/>
          <w:sz w:val="24"/>
          <w:highlight w:val="none"/>
          <w:lang w:val="en-US" w:eastAsia="zh-CN"/>
        </w:rPr>
      </w:pPr>
      <w:r>
        <w:rPr>
          <w:rFonts w:ascii="Times New Roman" w:hAnsi="Times New Roman" w:cs="Times New Roman"/>
          <w:color w:val="auto"/>
          <w:kern w:val="0"/>
          <w:sz w:val="24"/>
          <w:highlight w:val="none"/>
        </w:rPr>
        <w:t>主要起草人员：</w:t>
      </w:r>
      <w:r>
        <w:rPr>
          <w:rFonts w:hint="eastAsia"/>
          <w:color w:val="auto"/>
          <w:kern w:val="0"/>
          <w:sz w:val="24"/>
          <w:highlight w:val="none"/>
          <w:lang w:val="en-US" w:eastAsia="zh-CN"/>
        </w:rPr>
        <w:t>游才文  胡贺松  罗  辉  张  震  王怀志  谢  朝</w:t>
      </w:r>
    </w:p>
    <w:p w14:paraId="596CD47E">
      <w:pPr>
        <w:autoSpaceDE w:val="0"/>
        <w:autoSpaceDN w:val="0"/>
        <w:adjustRightInd w:val="0"/>
        <w:spacing w:line="360" w:lineRule="auto"/>
        <w:ind w:firstLine="1920" w:firstLineChars="800"/>
        <w:jc w:val="left"/>
        <w:rPr>
          <w:rFonts w:hint="eastAsia"/>
          <w:color w:val="auto"/>
          <w:kern w:val="0"/>
          <w:sz w:val="24"/>
          <w:highlight w:val="none"/>
          <w:lang w:val="en-US" w:eastAsia="zh-CN"/>
        </w:rPr>
      </w:pPr>
      <w:r>
        <w:rPr>
          <w:rFonts w:hint="eastAsia"/>
          <w:color w:val="auto"/>
          <w:kern w:val="0"/>
          <w:sz w:val="24"/>
          <w:highlight w:val="none"/>
          <w:lang w:val="en-US" w:eastAsia="zh-CN"/>
        </w:rPr>
        <w:t>罗创涟  黄贵勇  曹绍林  张惠乐  李  婕  周广民</w:t>
      </w:r>
    </w:p>
    <w:p w14:paraId="7A253A28">
      <w:pPr>
        <w:autoSpaceDE w:val="0"/>
        <w:autoSpaceDN w:val="0"/>
        <w:adjustRightInd w:val="0"/>
        <w:spacing w:line="360" w:lineRule="auto"/>
        <w:ind w:firstLine="1920" w:firstLineChars="800"/>
        <w:jc w:val="left"/>
        <w:rPr>
          <w:rFonts w:hint="eastAsia"/>
          <w:color w:val="auto"/>
          <w:kern w:val="0"/>
          <w:sz w:val="24"/>
          <w:highlight w:val="none"/>
          <w:lang w:val="en-US" w:eastAsia="zh-CN"/>
        </w:rPr>
      </w:pPr>
      <w:r>
        <w:rPr>
          <w:rFonts w:hint="eastAsia"/>
          <w:color w:val="auto"/>
          <w:kern w:val="0"/>
          <w:sz w:val="24"/>
          <w:highlight w:val="none"/>
          <w:lang w:val="en-US" w:eastAsia="zh-CN"/>
        </w:rPr>
        <w:t xml:space="preserve">饶  彪  周光明  刘焕民  卢浩忠  王  超  陈文雄  </w:t>
      </w:r>
    </w:p>
    <w:p w14:paraId="7D7329DB">
      <w:pPr>
        <w:autoSpaceDE w:val="0"/>
        <w:autoSpaceDN w:val="0"/>
        <w:adjustRightInd w:val="0"/>
        <w:spacing w:line="360" w:lineRule="auto"/>
        <w:ind w:firstLine="1920" w:firstLineChars="800"/>
        <w:jc w:val="left"/>
        <w:rPr>
          <w:rFonts w:hint="eastAsia"/>
          <w:color w:val="auto"/>
          <w:kern w:val="0"/>
          <w:sz w:val="24"/>
          <w:highlight w:val="none"/>
          <w:lang w:val="en-US" w:eastAsia="zh-CN"/>
        </w:rPr>
      </w:pPr>
      <w:r>
        <w:rPr>
          <w:rFonts w:hint="eastAsia"/>
          <w:color w:val="auto"/>
          <w:kern w:val="0"/>
          <w:sz w:val="24"/>
          <w:highlight w:val="none"/>
          <w:lang w:val="en-US" w:eastAsia="zh-CN"/>
        </w:rPr>
        <w:t>甘润华  张  聪  朱伏生  马  妍  伍阳军  杨  军</w:t>
      </w:r>
    </w:p>
    <w:p w14:paraId="00EC9001">
      <w:pPr>
        <w:autoSpaceDE w:val="0"/>
        <w:autoSpaceDN w:val="0"/>
        <w:adjustRightInd w:val="0"/>
        <w:spacing w:line="360" w:lineRule="auto"/>
        <w:ind w:firstLine="1920" w:firstLineChars="800"/>
        <w:jc w:val="left"/>
        <w:rPr>
          <w:rFonts w:hint="default" w:ascii="Times New Roman" w:hAnsi="Times New Roman" w:cs="Times New Roman"/>
          <w:color w:val="auto"/>
          <w:kern w:val="0"/>
          <w:sz w:val="24"/>
          <w:highlight w:val="none"/>
          <w:lang w:val="en-US"/>
        </w:rPr>
      </w:pPr>
      <w:r>
        <w:rPr>
          <w:rFonts w:hint="eastAsia"/>
          <w:color w:val="auto"/>
          <w:kern w:val="0"/>
          <w:sz w:val="24"/>
          <w:highlight w:val="none"/>
          <w:lang w:val="en-US" w:eastAsia="zh-CN"/>
        </w:rPr>
        <w:t>仇培云  凌光清  黄小兵  吴国林  毛日泉  陈景华</w:t>
      </w:r>
    </w:p>
    <w:p w14:paraId="47D4E73F">
      <w:pPr>
        <w:autoSpaceDE w:val="0"/>
        <w:autoSpaceDN w:val="0"/>
        <w:adjustRightInd w:val="0"/>
        <w:spacing w:line="360" w:lineRule="auto"/>
        <w:ind w:firstLine="240" w:firstLineChars="100"/>
        <w:jc w:val="left"/>
        <w:rPr>
          <w:rFonts w:ascii="Times New Roman" w:hAnsi="Times New Roman" w:cs="Times New Roman"/>
          <w:color w:val="auto"/>
          <w:kern w:val="0"/>
          <w:sz w:val="24"/>
          <w:highlight w:val="none"/>
        </w:rPr>
      </w:pPr>
      <w:r>
        <w:rPr>
          <w:rFonts w:ascii="Times New Roman" w:hAnsi="Times New Roman" w:cs="Times New Roman"/>
          <w:color w:val="auto"/>
          <w:kern w:val="0"/>
          <w:sz w:val="24"/>
          <w:highlight w:val="none"/>
        </w:rPr>
        <w:t>主要审查人员：</w:t>
      </w:r>
    </w:p>
    <w:p w14:paraId="0DD91D09">
      <w:pPr>
        <w:jc w:val="center"/>
        <w:rPr>
          <w:rFonts w:ascii="Times New Roman" w:hAnsi="Times New Roman" w:eastAsia="宋体" w:cs="Times New Roman"/>
          <w:color w:val="auto"/>
          <w:kern w:val="2"/>
          <w:sz w:val="21"/>
          <w:szCs w:val="24"/>
          <w:highlight w:val="none"/>
          <w:lang w:val="en-US" w:eastAsia="zh-CN" w:bidi="ar-SA"/>
        </w:rPr>
      </w:pPr>
      <w:r>
        <w:rPr>
          <w:rFonts w:ascii="Times New Roman" w:hAnsi="Times New Roman" w:cs="Times New Roman"/>
          <w:color w:val="auto"/>
          <w:highlight w:val="none"/>
        </w:rPr>
        <w:br w:type="page"/>
      </w:r>
      <w:r>
        <w:rPr>
          <w:rFonts w:ascii="Times New Roman" w:hAnsi="Times New Roman" w:cs="Times New Roman"/>
          <w:bCs/>
          <w:color w:val="auto"/>
          <w:sz w:val="44"/>
          <w:szCs w:val="44"/>
          <w:highlight w:val="none"/>
        </w:rPr>
        <w:t>目  次</w:t>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TOC \o "1-3" \h \z \u </w:instrText>
      </w:r>
      <w:r>
        <w:rPr>
          <w:rFonts w:ascii="Times New Roman" w:hAnsi="Times New Roman" w:cs="Times New Roman"/>
          <w:color w:val="auto"/>
          <w:sz w:val="28"/>
          <w:szCs w:val="28"/>
          <w:highlight w:val="none"/>
        </w:rPr>
        <w:fldChar w:fldCharType="separate"/>
      </w:r>
    </w:p>
    <w:p w14:paraId="05F6E470">
      <w:pPr>
        <w:pStyle w:val="22"/>
        <w:tabs>
          <w:tab w:val="right" w:leader="dot" w:pos="8306"/>
          <w:tab w:val="clear" w:pos="8296"/>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_Toc2670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1 总则</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_Toc2670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1</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36F990BC">
      <w:pPr>
        <w:pStyle w:val="22"/>
        <w:tabs>
          <w:tab w:val="right" w:leader="dot" w:pos="8306"/>
          <w:tab w:val="clear" w:pos="8296"/>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_Toc5307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2 术语和缩略语</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_Toc5307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2</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2350F702">
      <w:pPr>
        <w:pStyle w:val="25"/>
        <w:tabs>
          <w:tab w:val="right" w:leader="dot" w:pos="8306"/>
        </w:tabs>
        <w:ind w:left="0" w:leftChars="0" w:firstLine="210" w:firstLineChars="100"/>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_Toc8263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2.1 术语</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_Toc8263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2</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7B7BB9C8">
      <w:pPr>
        <w:pStyle w:val="25"/>
        <w:tabs>
          <w:tab w:val="right" w:leader="dot" w:pos="8306"/>
        </w:tabs>
        <w:ind w:left="0" w:leftChars="0" w:firstLine="210" w:firstLineChars="100"/>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_Toc31359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2.2 缩略语</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_Toc31359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4</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29A820F0">
      <w:pPr>
        <w:pStyle w:val="22"/>
        <w:tabs>
          <w:tab w:val="right" w:leader="dot" w:pos="8306"/>
          <w:tab w:val="clear" w:pos="8296"/>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_Toc16562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3 基本规定</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_Toc16562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5</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2272F86C">
      <w:pPr>
        <w:pStyle w:val="22"/>
        <w:tabs>
          <w:tab w:val="right" w:leader="dot" w:pos="8306"/>
          <w:tab w:val="clear" w:pos="8296"/>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_Toc19766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4 安装质量</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_Toc19766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6</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0631E967">
      <w:pPr>
        <w:pStyle w:val="25"/>
        <w:tabs>
          <w:tab w:val="right" w:leader="dot" w:pos="8306"/>
        </w:tabs>
        <w:ind w:left="0" w:leftChars="0" w:firstLine="210" w:firstLineChars="100"/>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_Toc12610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4.1 一般要求</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_Toc12610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6</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09AF3D6A">
      <w:pPr>
        <w:pStyle w:val="25"/>
        <w:tabs>
          <w:tab w:val="right" w:leader="dot" w:pos="8306"/>
        </w:tabs>
        <w:ind w:left="0" w:leftChars="0" w:firstLine="210" w:firstLineChars="100"/>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_Toc13189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4.2 缆线安装质量检查</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_Toc13189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7</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73E1ABCB">
      <w:pPr>
        <w:pStyle w:val="25"/>
        <w:tabs>
          <w:tab w:val="right" w:leader="dot" w:pos="8306"/>
        </w:tabs>
        <w:ind w:left="0" w:leftChars="0" w:firstLine="210" w:firstLineChars="100"/>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_Toc31240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4.3 设备安装质量检查</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_Toc31240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9</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19AF8B42">
      <w:pPr>
        <w:pStyle w:val="25"/>
        <w:tabs>
          <w:tab w:val="right" w:leader="dot" w:pos="8306"/>
        </w:tabs>
        <w:ind w:left="0" w:leftChars="0" w:firstLine="210" w:firstLineChars="100"/>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_Toc6395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4.4 接地装置检测</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_Toc6395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12</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2228A3AE">
      <w:pPr>
        <w:pStyle w:val="25"/>
        <w:tabs>
          <w:tab w:val="right" w:leader="dot" w:pos="8306"/>
        </w:tabs>
        <w:ind w:left="0" w:leftChars="0" w:firstLine="210" w:firstLineChars="100"/>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_Toc24811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4.5 机房环境检查</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_Toc24811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12</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67B67A28">
      <w:pPr>
        <w:pStyle w:val="22"/>
        <w:tabs>
          <w:tab w:val="right" w:leader="dot" w:pos="8306"/>
          <w:tab w:val="clear" w:pos="8296"/>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_Toc17499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5 系统组网</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_Toc17499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13</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10639460">
      <w:pPr>
        <w:pStyle w:val="25"/>
        <w:tabs>
          <w:tab w:val="right" w:leader="dot" w:pos="8306"/>
        </w:tabs>
        <w:ind w:left="0" w:leftChars="0" w:firstLine="210" w:firstLineChars="100"/>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_Toc304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5.1 一般要求</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_Toc304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13</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5180519F">
      <w:pPr>
        <w:pStyle w:val="25"/>
        <w:tabs>
          <w:tab w:val="right" w:leader="dot" w:pos="8306"/>
        </w:tabs>
        <w:ind w:left="0" w:leftChars="0" w:firstLine="210" w:firstLineChars="100"/>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_Toc21092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5.2 各网元间传输接口与介质</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_Toc21092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13</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36F5DD8D">
      <w:pPr>
        <w:pStyle w:val="25"/>
        <w:tabs>
          <w:tab w:val="right" w:leader="dot" w:pos="8306"/>
        </w:tabs>
        <w:ind w:left="0" w:leftChars="0" w:firstLine="210" w:firstLineChars="100"/>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_Toc27425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5.3 拓扑结构检测</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_Toc27425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14</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4F6A2B66">
      <w:pPr>
        <w:pStyle w:val="25"/>
        <w:tabs>
          <w:tab w:val="right" w:leader="dot" w:pos="8306"/>
        </w:tabs>
        <w:ind w:left="0" w:leftChars="0" w:firstLine="210" w:firstLineChars="100"/>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_Toc20876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5.4 组网能力检测</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_Toc20876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14</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52F09853">
      <w:pPr>
        <w:pStyle w:val="22"/>
        <w:tabs>
          <w:tab w:val="right" w:leader="dot" w:pos="8306"/>
          <w:tab w:val="clear" w:pos="8296"/>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_Toc19283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6 系统性能</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_Toc19283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16</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61BE0ED8">
      <w:pPr>
        <w:pStyle w:val="25"/>
        <w:tabs>
          <w:tab w:val="right" w:leader="dot" w:pos="8306"/>
        </w:tabs>
        <w:ind w:left="0" w:leftChars="0" w:firstLine="210" w:firstLineChars="100"/>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_Toc23064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6.1 一般要求</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_Toc23064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16</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16488250">
      <w:pPr>
        <w:pStyle w:val="25"/>
        <w:tabs>
          <w:tab w:val="right" w:leader="dot" w:pos="8306"/>
        </w:tabs>
        <w:ind w:left="0" w:leftChars="0" w:firstLine="210" w:firstLineChars="100"/>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_Toc28648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6.2 缆线性能检测</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_Toc28648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16</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34390A7B">
      <w:pPr>
        <w:pStyle w:val="25"/>
        <w:tabs>
          <w:tab w:val="right" w:leader="dot" w:pos="8306"/>
        </w:tabs>
        <w:ind w:left="0" w:leftChars="0" w:firstLine="210" w:firstLineChars="100"/>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_Toc1227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6.3 设备性能检测</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_Toc1227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17</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450F8318">
      <w:pPr>
        <w:pStyle w:val="25"/>
        <w:tabs>
          <w:tab w:val="right" w:leader="dot" w:pos="8306"/>
        </w:tabs>
        <w:ind w:left="0" w:leftChars="0" w:firstLine="210" w:firstLineChars="100"/>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_Toc11549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6.4 网络性能检测</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_Toc11549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17</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1B87B089">
      <w:pPr>
        <w:pStyle w:val="22"/>
        <w:tabs>
          <w:tab w:val="right" w:leader="dot" w:pos="8306"/>
          <w:tab w:val="clear" w:pos="8296"/>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_Toc359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7 系统网管功能</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_Toc359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20</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2011B037">
      <w:pPr>
        <w:pStyle w:val="25"/>
        <w:tabs>
          <w:tab w:val="right" w:leader="dot" w:pos="8306"/>
        </w:tabs>
        <w:ind w:left="0" w:leftChars="0" w:firstLine="210" w:firstLineChars="100"/>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_Toc22073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7.1 一般要求</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_Toc22073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20</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75F4C2E9">
      <w:pPr>
        <w:pStyle w:val="25"/>
        <w:tabs>
          <w:tab w:val="right" w:leader="dot" w:pos="8306"/>
        </w:tabs>
        <w:ind w:left="0" w:leftChars="0" w:firstLine="210" w:firstLineChars="100"/>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_Toc30304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7.2 系统功能检测</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_Toc30304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20</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596A81E8">
      <w:pPr>
        <w:pStyle w:val="22"/>
        <w:tabs>
          <w:tab w:val="right" w:leader="dot" w:pos="8306"/>
          <w:tab w:val="clear" w:pos="8296"/>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_Toc16132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8 系统安全</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_Toc16132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22</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23631E8F">
      <w:pPr>
        <w:pStyle w:val="25"/>
        <w:tabs>
          <w:tab w:val="right" w:leader="dot" w:pos="8306"/>
        </w:tabs>
        <w:ind w:left="0" w:leftChars="0" w:firstLine="210" w:firstLineChars="100"/>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_Toc6905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8.1 一般要求</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_Toc6905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22</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23334670">
      <w:pPr>
        <w:pStyle w:val="25"/>
        <w:tabs>
          <w:tab w:val="right" w:leader="dot" w:pos="8306"/>
        </w:tabs>
        <w:ind w:left="0" w:leftChars="0" w:firstLine="210" w:firstLineChars="100"/>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_Toc4586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8.2 电气及系统安全检测</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_Toc4586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22</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46FC85DD">
      <w:pPr>
        <w:pStyle w:val="25"/>
        <w:tabs>
          <w:tab w:val="right" w:leader="dot" w:pos="8306"/>
        </w:tabs>
        <w:ind w:left="0" w:leftChars="0" w:firstLine="210" w:firstLineChars="100"/>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_Toc18267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8.3 系统网络安全检测</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_Toc18267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22</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2F102DED">
      <w:pPr>
        <w:pStyle w:val="22"/>
        <w:tabs>
          <w:tab w:val="right" w:leader="dot" w:pos="8306"/>
          <w:tab w:val="clear" w:pos="8296"/>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_Toc26671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附录 A 检测仪器的主要性能和参数指标</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_Toc26671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26</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0B04B4A3">
      <w:pPr>
        <w:pStyle w:val="22"/>
        <w:tabs>
          <w:tab w:val="right" w:leader="dot" w:pos="8306"/>
          <w:tab w:val="clear" w:pos="8296"/>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_Toc21103 </w:instrText>
      </w:r>
      <w:r>
        <w:rPr>
          <w:rFonts w:hint="default" w:ascii="Times New Roman" w:hAnsi="Times New Roman" w:cs="Times New Roman"/>
          <w:color w:val="auto"/>
          <w:highlight w:val="none"/>
        </w:rPr>
        <w:fldChar w:fldCharType="separate"/>
      </w:r>
      <w:r>
        <w:rPr>
          <w:rFonts w:hint="default" w:ascii="Times New Roman" w:hAnsi="Times New Roman" w:cs="Times New Roman"/>
          <w:bCs/>
          <w:color w:val="auto"/>
          <w:szCs w:val="28"/>
          <w:highlight w:val="none"/>
        </w:rPr>
        <w:t>附录 B 检测报告格式</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_Toc21103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2</w:t>
      </w:r>
      <w:r>
        <w:rPr>
          <w:rFonts w:hint="eastAsia" w:cs="Times New Roman"/>
          <w:color w:val="auto"/>
          <w:highlight w:val="none"/>
          <w:lang w:val="en-US" w:eastAsia="zh-CN"/>
        </w:rPr>
        <w:t>9</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1F7E5F00">
      <w:pPr>
        <w:pStyle w:val="22"/>
        <w:tabs>
          <w:tab w:val="right" w:leader="dot" w:pos="8306"/>
          <w:tab w:val="clear" w:pos="8296"/>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_Toc15592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本</w:t>
      </w:r>
      <w:r>
        <w:rPr>
          <w:rFonts w:hint="default" w:ascii="Times New Roman" w:hAnsi="Times New Roman" w:cs="Times New Roman"/>
          <w:color w:val="auto"/>
          <w:highlight w:val="none"/>
          <w:lang w:val="en-US" w:eastAsia="zh-CN"/>
        </w:rPr>
        <w:t>标准</w:t>
      </w:r>
      <w:r>
        <w:rPr>
          <w:rFonts w:hint="default" w:ascii="Times New Roman" w:hAnsi="Times New Roman" w:cs="Times New Roman"/>
          <w:color w:val="auto"/>
          <w:highlight w:val="none"/>
        </w:rPr>
        <w:t>用词说明</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_Toc15592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3</w:t>
      </w:r>
      <w:r>
        <w:rPr>
          <w:rFonts w:hint="eastAsia" w:cs="Times New Roman"/>
          <w:color w:val="auto"/>
          <w:highlight w:val="none"/>
          <w:lang w:val="en-US" w:eastAsia="zh-CN"/>
        </w:rPr>
        <w:t>2</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2B7B73A1">
      <w:pPr>
        <w:pStyle w:val="22"/>
        <w:tabs>
          <w:tab w:val="right" w:leader="dot" w:pos="8306"/>
          <w:tab w:val="clear" w:pos="8296"/>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_Toc4994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引用标准名录</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_Toc4994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3</w:t>
      </w:r>
      <w:r>
        <w:rPr>
          <w:rFonts w:hint="eastAsia" w:cs="Times New Roman"/>
          <w:color w:val="auto"/>
          <w:highlight w:val="none"/>
          <w:lang w:val="en-US" w:eastAsia="zh-CN"/>
        </w:rPr>
        <w:t>3</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25A202A7">
      <w:pPr>
        <w:pStyle w:val="22"/>
        <w:tabs>
          <w:tab w:val="right" w:leader="dot" w:pos="8306"/>
          <w:tab w:val="clear" w:pos="8296"/>
        </w:tabs>
        <w:rPr>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_Toc22675 </w:instrText>
      </w:r>
      <w:r>
        <w:rPr>
          <w:rFonts w:hint="default" w:ascii="Times New Roman" w:hAnsi="Times New Roman" w:cs="Times New Roman"/>
          <w:color w:val="auto"/>
          <w:highlight w:val="none"/>
        </w:rPr>
        <w:fldChar w:fldCharType="separate"/>
      </w:r>
      <w:r>
        <w:rPr>
          <w:rFonts w:hint="default" w:ascii="Times New Roman" w:hAnsi="Times New Roman" w:cs="Times New Roman"/>
          <w:bCs/>
          <w:color w:val="auto"/>
          <w:kern w:val="44"/>
          <w:szCs w:val="28"/>
          <w:highlight w:val="none"/>
        </w:rPr>
        <w:t>条文说明</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_Toc22675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3</w:t>
      </w:r>
      <w:r>
        <w:rPr>
          <w:rFonts w:hint="eastAsia" w:cs="Times New Roman"/>
          <w:color w:val="auto"/>
          <w:highlight w:val="none"/>
          <w:lang w:val="en-US" w:eastAsia="zh-CN"/>
        </w:rPr>
        <w:t>4</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52808BCD">
      <w:pPr>
        <w:pStyle w:val="25"/>
        <w:tabs>
          <w:tab w:val="right" w:leader="dot" w:pos="8306"/>
        </w:tabs>
        <w:ind w:left="0" w:leftChars="0" w:firstLine="0" w:firstLineChars="0"/>
        <w:rPr>
          <w:color w:val="auto"/>
          <w:highlight w:val="none"/>
        </w:rPr>
      </w:pPr>
    </w:p>
    <w:p w14:paraId="432D70A0">
      <w:pPr>
        <w:ind w:firstLine="480"/>
        <w:jc w:val="center"/>
        <w:rPr>
          <w:rFonts w:ascii="Times New Roman" w:hAnsi="Times New Roman" w:cs="Times New Roman"/>
          <w:color w:val="auto"/>
          <w:highlight w:val="none"/>
        </w:rPr>
      </w:pPr>
      <w:r>
        <w:rPr>
          <w:rFonts w:ascii="Times New Roman" w:hAnsi="Times New Roman" w:cs="Times New Roman"/>
          <w:color w:val="auto"/>
          <w:highlight w:val="none"/>
        </w:rPr>
        <w:fldChar w:fldCharType="end"/>
      </w:r>
    </w:p>
    <w:p w14:paraId="2DBDF9C0">
      <w:pPr>
        <w:rPr>
          <w:rFonts w:ascii="Times New Roman" w:hAnsi="Times New Roman" w:cs="Times New Roman"/>
          <w:color w:val="auto"/>
          <w:highlight w:val="none"/>
        </w:rPr>
      </w:pPr>
      <w:r>
        <w:rPr>
          <w:rFonts w:ascii="Times New Roman" w:hAnsi="Times New Roman" w:cs="Times New Roman"/>
          <w:color w:val="auto"/>
          <w:highlight w:val="none"/>
        </w:rPr>
        <w:br w:type="page"/>
      </w:r>
    </w:p>
    <w:p w14:paraId="0548629A">
      <w:pPr>
        <w:rPr>
          <w:rFonts w:ascii="Times New Roman" w:hAnsi="Times New Roman" w:cs="Times New Roman"/>
          <w:color w:val="auto"/>
          <w:highlight w:val="none"/>
        </w:rPr>
        <w:sectPr>
          <w:footerReference r:id="rId7" w:type="default"/>
          <w:pgSz w:w="11906" w:h="16838"/>
          <w:pgMar w:top="1440" w:right="1800" w:bottom="1440" w:left="1800" w:header="851" w:footer="992" w:gutter="0"/>
          <w:cols w:space="720" w:num="1"/>
          <w:docGrid w:type="lines" w:linePitch="312" w:charSpace="0"/>
        </w:sectPr>
      </w:pPr>
    </w:p>
    <w:p w14:paraId="37485A3F">
      <w:pPr>
        <w:widowControl/>
        <w:ind w:firstLine="562"/>
        <w:jc w:val="center"/>
        <w:rPr>
          <w:rFonts w:ascii="Times New Roman" w:hAnsi="Times New Roman" w:cs="Times New Roman"/>
          <w:b/>
          <w:bCs/>
          <w:color w:val="auto"/>
          <w:kern w:val="0"/>
          <w:sz w:val="28"/>
          <w:szCs w:val="28"/>
          <w:highlight w:val="none"/>
          <w:lang w:bidi="ar"/>
        </w:rPr>
      </w:pPr>
      <w:r>
        <w:rPr>
          <w:rFonts w:ascii="Times New Roman" w:hAnsi="Times New Roman" w:cs="Times New Roman"/>
          <w:b/>
          <w:bCs/>
          <w:color w:val="auto"/>
          <w:kern w:val="0"/>
          <w:sz w:val="28"/>
          <w:szCs w:val="28"/>
          <w:highlight w:val="none"/>
          <w:lang w:bidi="ar"/>
        </w:rPr>
        <w:t>Contents</w:t>
      </w:r>
    </w:p>
    <w:p w14:paraId="28847280">
      <w:pPr>
        <w:pStyle w:val="22"/>
        <w:rPr>
          <w:rFonts w:hint="default" w:ascii="Times New Roman" w:hAnsi="Times New Roman" w:cs="Times New Roman" w:eastAsiaTheme="minorEastAsia"/>
          <w:color w:val="auto"/>
          <w:szCs w:val="22"/>
          <w:highlight w:val="none"/>
          <w14:ligatures w14:val="standardContextual"/>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"_Toc174911308" </w:instrText>
      </w:r>
      <w:r>
        <w:rPr>
          <w:rFonts w:hint="default" w:ascii="Times New Roman" w:hAnsi="Times New Roman" w:cs="Times New Roman"/>
          <w:color w:val="auto"/>
          <w:highlight w:val="none"/>
        </w:rPr>
        <w:fldChar w:fldCharType="separate"/>
      </w:r>
      <w:r>
        <w:rPr>
          <w:rStyle w:val="37"/>
          <w:rFonts w:hint="default" w:ascii="Times New Roman" w:hAnsi="Times New Roman" w:cs="Times New Roman"/>
          <w:color w:val="auto"/>
          <w:highlight w:val="none"/>
          <w:u w:val="none"/>
        </w:rPr>
        <w:t xml:space="preserve">1 </w:t>
      </w:r>
      <w:r>
        <w:rPr>
          <w:rFonts w:hint="default" w:ascii="Times New Roman" w:hAnsi="Times New Roman" w:cs="Times New Roman"/>
          <w:color w:val="auto"/>
          <w:highlight w:val="none"/>
        </w:rPr>
        <w:t>General Provisions</w:t>
      </w:r>
      <w:r>
        <w:rPr>
          <w:rFonts w:hint="default" w:ascii="Times New Roman" w:hAnsi="Times New Roman" w:cs="Times New Roman"/>
          <w:color w:val="auto"/>
          <w:highlight w:val="none"/>
        </w:rPr>
        <w:tab/>
      </w: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fldChar w:fldCharType="end"/>
      </w:r>
    </w:p>
    <w:p w14:paraId="2D9DB392">
      <w:pPr>
        <w:pStyle w:val="22"/>
        <w:rPr>
          <w:rFonts w:hint="default" w:ascii="Times New Roman" w:hAnsi="Times New Roman" w:cs="Times New Roman" w:eastAsiaTheme="minorEastAsia"/>
          <w:color w:val="auto"/>
          <w:szCs w:val="22"/>
          <w:highlight w:val="none"/>
          <w14:ligatures w14:val="standardContextual"/>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"_Toc174911309" </w:instrText>
      </w:r>
      <w:r>
        <w:rPr>
          <w:rFonts w:hint="default" w:ascii="Times New Roman" w:hAnsi="Times New Roman" w:cs="Times New Roman"/>
          <w:color w:val="auto"/>
          <w:highlight w:val="none"/>
        </w:rPr>
        <w:fldChar w:fldCharType="separate"/>
      </w:r>
      <w:r>
        <w:rPr>
          <w:rStyle w:val="37"/>
          <w:rFonts w:hint="default" w:ascii="Times New Roman" w:hAnsi="Times New Roman" w:cs="Times New Roman"/>
          <w:color w:val="auto"/>
          <w:highlight w:val="none"/>
          <w:u w:val="none"/>
        </w:rPr>
        <w:t xml:space="preserve">2 </w:t>
      </w:r>
      <w:r>
        <w:rPr>
          <w:rFonts w:hint="default" w:ascii="Times New Roman" w:hAnsi="Times New Roman" w:cs="Times New Roman"/>
          <w:color w:val="auto"/>
          <w:highlight w:val="none"/>
        </w:rPr>
        <w:t>Terms and Symbols</w:t>
      </w:r>
      <w:r>
        <w:rPr>
          <w:rFonts w:hint="default" w:ascii="Times New Roman" w:hAnsi="Times New Roman" w:cs="Times New Roman"/>
          <w:color w:val="auto"/>
          <w:highlight w:val="none"/>
        </w:rPr>
        <w:tab/>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fldChar w:fldCharType="end"/>
      </w:r>
    </w:p>
    <w:p w14:paraId="2715C2F0">
      <w:pPr>
        <w:pStyle w:val="25"/>
        <w:tabs>
          <w:tab w:val="right" w:leader="dot" w:pos="8296"/>
        </w:tabs>
        <w:ind w:left="0" w:leftChars="0" w:firstLine="210" w:firstLineChars="100"/>
        <w:rPr>
          <w:rFonts w:hint="default" w:ascii="Times New Roman" w:hAnsi="Times New Roman" w:cs="Times New Roman" w:eastAsiaTheme="minorEastAsia"/>
          <w:color w:val="auto"/>
          <w:szCs w:val="22"/>
          <w:highlight w:val="none"/>
          <w14:ligatures w14:val="standardContextual"/>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"_Toc174911310" </w:instrText>
      </w:r>
      <w:r>
        <w:rPr>
          <w:rFonts w:hint="default" w:ascii="Times New Roman" w:hAnsi="Times New Roman" w:cs="Times New Roman"/>
          <w:color w:val="auto"/>
          <w:highlight w:val="none"/>
        </w:rPr>
        <w:fldChar w:fldCharType="separate"/>
      </w:r>
      <w:r>
        <w:rPr>
          <w:rStyle w:val="37"/>
          <w:rFonts w:hint="default" w:ascii="Times New Roman" w:hAnsi="Times New Roman" w:cs="Times New Roman"/>
          <w:color w:val="auto"/>
          <w:highlight w:val="none"/>
          <w:u w:val="none"/>
        </w:rPr>
        <w:t xml:space="preserve">2.1 </w:t>
      </w:r>
      <w:r>
        <w:rPr>
          <w:rFonts w:hint="default" w:ascii="Times New Roman" w:hAnsi="Times New Roman" w:cs="Times New Roman"/>
          <w:color w:val="auto"/>
          <w:highlight w:val="none"/>
        </w:rPr>
        <w:t>Terms</w:t>
      </w:r>
      <w:r>
        <w:rPr>
          <w:rFonts w:hint="default" w:ascii="Times New Roman" w:hAnsi="Times New Roman" w:cs="Times New Roman"/>
          <w:color w:val="auto"/>
          <w:highlight w:val="none"/>
        </w:rPr>
        <w:tab/>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fldChar w:fldCharType="end"/>
      </w:r>
    </w:p>
    <w:p w14:paraId="3DDE3599">
      <w:pPr>
        <w:pStyle w:val="25"/>
        <w:tabs>
          <w:tab w:val="right" w:leader="dot" w:pos="8296"/>
        </w:tabs>
        <w:ind w:left="0" w:leftChars="0" w:firstLine="210" w:firstLineChars="100"/>
        <w:rPr>
          <w:rFonts w:hint="default" w:ascii="Times New Roman" w:hAnsi="Times New Roman" w:cs="Times New Roman" w:eastAsiaTheme="minorEastAsia"/>
          <w:color w:val="auto"/>
          <w:szCs w:val="22"/>
          <w:highlight w:val="none"/>
          <w14:ligatures w14:val="standardContextual"/>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"_Toc174911311" </w:instrText>
      </w:r>
      <w:r>
        <w:rPr>
          <w:rFonts w:hint="default" w:ascii="Times New Roman" w:hAnsi="Times New Roman" w:cs="Times New Roman"/>
          <w:color w:val="auto"/>
          <w:highlight w:val="none"/>
        </w:rPr>
        <w:fldChar w:fldCharType="separate"/>
      </w:r>
      <w:r>
        <w:rPr>
          <w:rStyle w:val="37"/>
          <w:rFonts w:hint="default" w:ascii="Times New Roman" w:hAnsi="Times New Roman" w:cs="Times New Roman"/>
          <w:color w:val="auto"/>
          <w:highlight w:val="none"/>
          <w:u w:val="none"/>
        </w:rPr>
        <w:t xml:space="preserve">2.2 </w:t>
      </w:r>
      <w:r>
        <w:rPr>
          <w:rFonts w:hint="default" w:ascii="Times New Roman" w:hAnsi="Times New Roman" w:cs="Times New Roman"/>
          <w:color w:val="auto"/>
          <w:highlight w:val="none"/>
        </w:rPr>
        <w:t>Symbols</w:t>
      </w:r>
      <w:r>
        <w:rPr>
          <w:rFonts w:hint="default" w:ascii="Times New Roman" w:hAnsi="Times New Roman" w:cs="Times New Roman"/>
          <w:color w:val="auto"/>
          <w:highlight w:val="none"/>
        </w:rPr>
        <w:tab/>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fldChar w:fldCharType="end"/>
      </w:r>
    </w:p>
    <w:p w14:paraId="72DC5C69">
      <w:pPr>
        <w:pStyle w:val="22"/>
        <w:rPr>
          <w:rFonts w:hint="default" w:ascii="Times New Roman" w:hAnsi="Times New Roman" w:cs="Times New Roman" w:eastAsiaTheme="minorEastAsia"/>
          <w:color w:val="auto"/>
          <w:szCs w:val="22"/>
          <w:highlight w:val="none"/>
          <w14:ligatures w14:val="standardContextual"/>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"_Toc174911312" </w:instrText>
      </w:r>
      <w:r>
        <w:rPr>
          <w:rFonts w:hint="default" w:ascii="Times New Roman" w:hAnsi="Times New Roman" w:cs="Times New Roman"/>
          <w:color w:val="auto"/>
          <w:highlight w:val="none"/>
        </w:rPr>
        <w:fldChar w:fldCharType="separate"/>
      </w:r>
      <w:r>
        <w:rPr>
          <w:rStyle w:val="37"/>
          <w:rFonts w:hint="default" w:ascii="Times New Roman" w:hAnsi="Times New Roman" w:cs="Times New Roman"/>
          <w:color w:val="auto"/>
          <w:highlight w:val="none"/>
          <w:u w:val="none"/>
        </w:rPr>
        <w:t xml:space="preserve">3 </w:t>
      </w:r>
      <w:r>
        <w:rPr>
          <w:rFonts w:hint="default" w:ascii="Times New Roman" w:hAnsi="Times New Roman" w:cs="Times New Roman"/>
          <w:color w:val="auto"/>
          <w:highlight w:val="none"/>
        </w:rPr>
        <w:t>Basic requirements</w:t>
      </w:r>
      <w:r>
        <w:rPr>
          <w:rFonts w:hint="default" w:ascii="Times New Roman" w:hAnsi="Times New Roman" w:cs="Times New Roman"/>
          <w:color w:val="auto"/>
          <w:highlight w:val="none"/>
        </w:rPr>
        <w:tab/>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fldChar w:fldCharType="end"/>
      </w:r>
    </w:p>
    <w:p w14:paraId="58909FA8">
      <w:pPr>
        <w:pStyle w:val="22"/>
        <w:rPr>
          <w:rFonts w:hint="default" w:ascii="Times New Roman" w:hAnsi="Times New Roman" w:cs="Times New Roman" w:eastAsiaTheme="minorEastAsia"/>
          <w:color w:val="auto"/>
          <w:szCs w:val="22"/>
          <w:highlight w:val="none"/>
          <w14:ligatures w14:val="standardContextual"/>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"_Toc174911313" </w:instrText>
      </w:r>
      <w:r>
        <w:rPr>
          <w:rFonts w:hint="default" w:ascii="Times New Roman" w:hAnsi="Times New Roman" w:cs="Times New Roman"/>
          <w:color w:val="auto"/>
          <w:highlight w:val="none"/>
        </w:rPr>
        <w:fldChar w:fldCharType="separate"/>
      </w:r>
      <w:r>
        <w:rPr>
          <w:rStyle w:val="37"/>
          <w:rFonts w:hint="default" w:ascii="Times New Roman" w:hAnsi="Times New Roman" w:cs="Times New Roman"/>
          <w:color w:val="auto"/>
          <w:highlight w:val="none"/>
          <w:u w:val="none"/>
        </w:rPr>
        <w:t xml:space="preserve">4 </w:t>
      </w:r>
      <w:r>
        <w:rPr>
          <w:rFonts w:hint="default" w:ascii="Times New Roman" w:hAnsi="Times New Roman" w:cs="Times New Roman"/>
          <w:color w:val="auto"/>
          <w:highlight w:val="none"/>
        </w:rPr>
        <w:t>Construction Quality</w:t>
      </w:r>
      <w:r>
        <w:rPr>
          <w:rFonts w:hint="default" w:ascii="Times New Roman" w:hAnsi="Times New Roman" w:cs="Times New Roman"/>
          <w:color w:val="auto"/>
          <w:highlight w:val="none"/>
        </w:rPr>
        <w:tab/>
      </w: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rPr>
        <w:fldChar w:fldCharType="end"/>
      </w:r>
    </w:p>
    <w:p w14:paraId="596470A8">
      <w:pPr>
        <w:pStyle w:val="25"/>
        <w:tabs>
          <w:tab w:val="right" w:leader="dot" w:pos="8296"/>
        </w:tabs>
        <w:ind w:left="0" w:leftChars="0" w:firstLine="210" w:firstLineChars="100"/>
        <w:rPr>
          <w:rStyle w:val="37"/>
          <w:rFonts w:hint="default" w:ascii="Times New Roman" w:hAnsi="Times New Roman" w:cs="Times New Roman"/>
          <w:color w:val="auto"/>
          <w:highlight w:val="none"/>
          <w:u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"_Toc174911314" </w:instrText>
      </w:r>
      <w:r>
        <w:rPr>
          <w:rFonts w:hint="default" w:ascii="Times New Roman" w:hAnsi="Times New Roman" w:cs="Times New Roman"/>
          <w:color w:val="auto"/>
          <w:highlight w:val="none"/>
        </w:rPr>
        <w:fldChar w:fldCharType="separate"/>
      </w:r>
      <w:r>
        <w:rPr>
          <w:rStyle w:val="37"/>
          <w:rFonts w:hint="default" w:ascii="Times New Roman" w:hAnsi="Times New Roman" w:cs="Times New Roman"/>
          <w:color w:val="auto"/>
          <w:highlight w:val="none"/>
          <w:u w:val="none"/>
        </w:rPr>
        <w:t>4.1 General Requirements</w:t>
      </w:r>
      <w:r>
        <w:rPr>
          <w:rStyle w:val="37"/>
          <w:rFonts w:hint="default" w:ascii="Times New Roman" w:hAnsi="Times New Roman" w:cs="Times New Roman"/>
          <w:color w:val="auto"/>
          <w:highlight w:val="none"/>
          <w:u w:val="none"/>
        </w:rPr>
        <w:tab/>
      </w:r>
      <w:r>
        <w:rPr>
          <w:rStyle w:val="37"/>
          <w:rFonts w:hint="default" w:ascii="Times New Roman" w:hAnsi="Times New Roman" w:cs="Times New Roman"/>
          <w:color w:val="auto"/>
          <w:highlight w:val="none"/>
          <w:u w:val="none"/>
          <w:lang w:val="en-US" w:eastAsia="zh-CN"/>
        </w:rPr>
        <w:t>6</w:t>
      </w:r>
      <w:r>
        <w:rPr>
          <w:rStyle w:val="37"/>
          <w:rFonts w:hint="default" w:ascii="Times New Roman" w:hAnsi="Times New Roman" w:cs="Times New Roman"/>
          <w:color w:val="auto"/>
          <w:highlight w:val="none"/>
          <w:u w:val="none"/>
        </w:rPr>
        <w:fldChar w:fldCharType="end"/>
      </w:r>
    </w:p>
    <w:p w14:paraId="32D9F4DB">
      <w:pPr>
        <w:pStyle w:val="25"/>
        <w:tabs>
          <w:tab w:val="right" w:leader="dot" w:pos="8296"/>
        </w:tabs>
        <w:ind w:left="0" w:leftChars="0" w:firstLine="210" w:firstLineChars="100"/>
        <w:rPr>
          <w:rStyle w:val="37"/>
          <w:rFonts w:hint="default" w:ascii="Times New Roman" w:hAnsi="Times New Roman" w:cs="Times New Roman"/>
          <w:color w:val="auto"/>
          <w:highlight w:val="none"/>
          <w:u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"_Toc174911315" </w:instrText>
      </w:r>
      <w:r>
        <w:rPr>
          <w:rFonts w:hint="default" w:ascii="Times New Roman" w:hAnsi="Times New Roman" w:cs="Times New Roman"/>
          <w:color w:val="auto"/>
          <w:highlight w:val="none"/>
        </w:rPr>
        <w:fldChar w:fldCharType="separate"/>
      </w:r>
      <w:r>
        <w:rPr>
          <w:rStyle w:val="37"/>
          <w:rFonts w:hint="default" w:ascii="Times New Roman" w:hAnsi="Times New Roman" w:cs="Times New Roman"/>
          <w:color w:val="auto"/>
          <w:highlight w:val="none"/>
          <w:u w:val="none"/>
        </w:rPr>
        <w:t>4.2 Cable Installation Quality Inspection</w:t>
      </w:r>
      <w:r>
        <w:rPr>
          <w:rStyle w:val="37"/>
          <w:rFonts w:hint="default" w:ascii="Times New Roman" w:hAnsi="Times New Roman" w:cs="Times New Roman"/>
          <w:color w:val="auto"/>
          <w:highlight w:val="none"/>
          <w:u w:val="none"/>
        </w:rPr>
        <w:tab/>
      </w:r>
      <w:r>
        <w:rPr>
          <w:rStyle w:val="37"/>
          <w:rFonts w:hint="default" w:ascii="Times New Roman" w:hAnsi="Times New Roman" w:cs="Times New Roman"/>
          <w:color w:val="auto"/>
          <w:highlight w:val="none"/>
          <w:u w:val="none"/>
          <w:lang w:val="en-US" w:eastAsia="zh-CN"/>
        </w:rPr>
        <w:t>7</w:t>
      </w:r>
      <w:r>
        <w:rPr>
          <w:rStyle w:val="37"/>
          <w:rFonts w:hint="default" w:ascii="Times New Roman" w:hAnsi="Times New Roman" w:cs="Times New Roman"/>
          <w:color w:val="auto"/>
          <w:highlight w:val="none"/>
          <w:u w:val="none"/>
        </w:rPr>
        <w:fldChar w:fldCharType="end"/>
      </w:r>
    </w:p>
    <w:p w14:paraId="3650CBCA">
      <w:pPr>
        <w:pStyle w:val="25"/>
        <w:tabs>
          <w:tab w:val="right" w:leader="dot" w:pos="8296"/>
        </w:tabs>
        <w:ind w:left="0" w:leftChars="0" w:firstLine="210" w:firstLineChars="100"/>
        <w:rPr>
          <w:rStyle w:val="37"/>
          <w:rFonts w:hint="default" w:ascii="Times New Roman" w:hAnsi="Times New Roman" w:cs="Times New Roman"/>
          <w:color w:val="auto"/>
          <w:highlight w:val="none"/>
          <w:u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"_Toc174911319" </w:instrText>
      </w:r>
      <w:r>
        <w:rPr>
          <w:rFonts w:hint="default" w:ascii="Times New Roman" w:hAnsi="Times New Roman" w:cs="Times New Roman"/>
          <w:color w:val="auto"/>
          <w:highlight w:val="none"/>
        </w:rPr>
        <w:fldChar w:fldCharType="separate"/>
      </w:r>
      <w:r>
        <w:rPr>
          <w:rStyle w:val="37"/>
          <w:rFonts w:hint="default" w:ascii="Times New Roman" w:hAnsi="Times New Roman" w:cs="Times New Roman"/>
          <w:color w:val="auto"/>
          <w:highlight w:val="none"/>
          <w:u w:val="none"/>
        </w:rPr>
        <w:t>4.3 Equipment Installation Quality Inspection</w:t>
      </w:r>
      <w:r>
        <w:rPr>
          <w:rStyle w:val="37"/>
          <w:rFonts w:hint="default" w:ascii="Times New Roman" w:hAnsi="Times New Roman" w:cs="Times New Roman"/>
          <w:color w:val="auto"/>
          <w:highlight w:val="none"/>
          <w:u w:val="none"/>
        </w:rPr>
        <w:tab/>
      </w:r>
      <w:r>
        <w:rPr>
          <w:rStyle w:val="37"/>
          <w:rFonts w:hint="default" w:ascii="Times New Roman" w:hAnsi="Times New Roman" w:cs="Times New Roman"/>
          <w:color w:val="auto"/>
          <w:highlight w:val="none"/>
          <w:u w:val="none"/>
          <w:lang w:val="en-US" w:eastAsia="zh-CN"/>
        </w:rPr>
        <w:t>9</w:t>
      </w:r>
      <w:r>
        <w:rPr>
          <w:rStyle w:val="37"/>
          <w:rFonts w:hint="default" w:ascii="Times New Roman" w:hAnsi="Times New Roman" w:cs="Times New Roman"/>
          <w:color w:val="auto"/>
          <w:highlight w:val="none"/>
          <w:u w:val="none"/>
        </w:rPr>
        <w:fldChar w:fldCharType="end"/>
      </w:r>
    </w:p>
    <w:p w14:paraId="3DBAFE77">
      <w:pPr>
        <w:pStyle w:val="25"/>
        <w:tabs>
          <w:tab w:val="right" w:leader="dot" w:pos="8296"/>
        </w:tabs>
        <w:ind w:left="0" w:leftChars="0" w:firstLine="210" w:firstLineChars="100"/>
        <w:rPr>
          <w:rStyle w:val="37"/>
          <w:rFonts w:hint="default" w:ascii="Times New Roman" w:hAnsi="Times New Roman" w:eastAsia="宋体" w:cs="Times New Roman"/>
          <w:color w:val="auto"/>
          <w:highlight w:val="none"/>
          <w:u w:val="none"/>
          <w:lang w:val="en-US" w:eastAsia="zh-CN"/>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"_Toc174911330" </w:instrText>
      </w:r>
      <w:r>
        <w:rPr>
          <w:rFonts w:hint="default" w:ascii="Times New Roman" w:hAnsi="Times New Roman" w:cs="Times New Roman"/>
          <w:color w:val="auto"/>
          <w:highlight w:val="none"/>
        </w:rPr>
        <w:fldChar w:fldCharType="separate"/>
      </w:r>
      <w:r>
        <w:rPr>
          <w:rStyle w:val="37"/>
          <w:rFonts w:hint="default" w:ascii="Times New Roman" w:hAnsi="Times New Roman" w:cs="Times New Roman"/>
          <w:color w:val="auto"/>
          <w:highlight w:val="none"/>
          <w:u w:val="none"/>
        </w:rPr>
        <w:t>4.4 Ground Resistance Testing</w:t>
      </w:r>
      <w:r>
        <w:rPr>
          <w:rStyle w:val="37"/>
          <w:rFonts w:hint="default" w:ascii="Times New Roman" w:hAnsi="Times New Roman" w:cs="Times New Roman"/>
          <w:color w:val="auto"/>
          <w:highlight w:val="none"/>
          <w:u w:val="none"/>
        </w:rPr>
        <w:tab/>
      </w:r>
      <w:r>
        <w:rPr>
          <w:rStyle w:val="37"/>
          <w:rFonts w:hint="default" w:ascii="Times New Roman" w:hAnsi="Times New Roman" w:cs="Times New Roman"/>
          <w:color w:val="auto"/>
          <w:highlight w:val="none"/>
          <w:u w:val="none"/>
          <w:lang w:val="en-US" w:eastAsia="zh-CN"/>
        </w:rPr>
        <w:t>1</w:t>
      </w:r>
      <w:r>
        <w:rPr>
          <w:rStyle w:val="37"/>
          <w:rFonts w:hint="default" w:ascii="Times New Roman" w:hAnsi="Times New Roman" w:cs="Times New Roman"/>
          <w:color w:val="auto"/>
          <w:highlight w:val="none"/>
          <w:u w:val="none"/>
        </w:rPr>
        <w:fldChar w:fldCharType="end"/>
      </w:r>
      <w:r>
        <w:rPr>
          <w:rStyle w:val="37"/>
          <w:rFonts w:hint="default" w:ascii="Times New Roman" w:hAnsi="Times New Roman" w:cs="Times New Roman"/>
          <w:color w:val="auto"/>
          <w:highlight w:val="none"/>
          <w:u w:val="none"/>
          <w:lang w:val="en-US" w:eastAsia="zh-CN"/>
        </w:rPr>
        <w:t>2</w:t>
      </w:r>
    </w:p>
    <w:p w14:paraId="51056796">
      <w:pPr>
        <w:pStyle w:val="25"/>
        <w:tabs>
          <w:tab w:val="right" w:leader="dot" w:pos="8296"/>
        </w:tabs>
        <w:ind w:left="0" w:leftChars="0" w:firstLine="210" w:firstLineChars="100"/>
        <w:rPr>
          <w:rFonts w:hint="default" w:ascii="Times New Roman" w:hAnsi="Times New Roman" w:eastAsia="宋体" w:cs="Times New Roman"/>
          <w:color w:val="auto"/>
          <w:szCs w:val="22"/>
          <w:highlight w:val="none"/>
          <w:lang w:val="en-US" w:eastAsia="zh-CN"/>
          <w14:ligatures w14:val="standardContextual"/>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"_Toc174911331" </w:instrText>
      </w:r>
      <w:r>
        <w:rPr>
          <w:rFonts w:hint="default" w:ascii="Times New Roman" w:hAnsi="Times New Roman" w:cs="Times New Roman"/>
          <w:color w:val="auto"/>
          <w:highlight w:val="none"/>
        </w:rPr>
        <w:fldChar w:fldCharType="separate"/>
      </w:r>
      <w:r>
        <w:rPr>
          <w:rStyle w:val="37"/>
          <w:rFonts w:hint="default" w:ascii="Times New Roman" w:hAnsi="Times New Roman" w:cs="Times New Roman"/>
          <w:color w:val="auto"/>
          <w:highlight w:val="none"/>
          <w:u w:val="none"/>
        </w:rPr>
        <w:t>4.5</w:t>
      </w:r>
      <w:r>
        <w:rPr>
          <w:rFonts w:hint="default" w:ascii="Times New Roman" w:hAnsi="Times New Roman" w:cs="Times New Roman"/>
          <w:color w:val="auto"/>
          <w:highlight w:val="none"/>
        </w:rPr>
        <w:t xml:space="preserve"> </w:t>
      </w:r>
      <w:r>
        <w:rPr>
          <w:rStyle w:val="37"/>
          <w:rFonts w:hint="default" w:ascii="Times New Roman" w:hAnsi="Times New Roman" w:cs="Times New Roman"/>
          <w:color w:val="auto"/>
          <w:highlight w:val="none"/>
          <w:u w:val="none"/>
        </w:rPr>
        <w:t>Equipment Room Environment Inspection</w:t>
      </w:r>
      <w:r>
        <w:rPr>
          <w:rStyle w:val="37"/>
          <w:rFonts w:hint="default" w:ascii="Times New Roman" w:hAnsi="Times New Roman" w:cs="Times New Roman"/>
          <w:color w:val="auto"/>
          <w:highlight w:val="none"/>
          <w:u w:val="none"/>
        </w:rPr>
        <w:tab/>
      </w:r>
      <w:r>
        <w:rPr>
          <w:rStyle w:val="37"/>
          <w:rFonts w:hint="default" w:ascii="Times New Roman" w:hAnsi="Times New Roman" w:cs="Times New Roman"/>
          <w:color w:val="auto"/>
          <w:highlight w:val="none"/>
          <w:u w:val="none"/>
          <w:lang w:val="en-US" w:eastAsia="zh-CN"/>
        </w:rPr>
        <w:t>1</w:t>
      </w:r>
      <w:r>
        <w:rPr>
          <w:rStyle w:val="37"/>
          <w:rFonts w:hint="default" w:ascii="Times New Roman" w:hAnsi="Times New Roman" w:cs="Times New Roman"/>
          <w:color w:val="auto"/>
          <w:highlight w:val="none"/>
          <w:u w:val="none"/>
        </w:rPr>
        <w:fldChar w:fldCharType="end"/>
      </w:r>
      <w:r>
        <w:rPr>
          <w:rStyle w:val="37"/>
          <w:rFonts w:hint="default" w:ascii="Times New Roman" w:hAnsi="Times New Roman" w:cs="Times New Roman"/>
          <w:color w:val="auto"/>
          <w:highlight w:val="none"/>
          <w:u w:val="none"/>
          <w:lang w:val="en-US" w:eastAsia="zh-CN"/>
        </w:rPr>
        <w:t>2</w:t>
      </w:r>
    </w:p>
    <w:p w14:paraId="74A9CD9C">
      <w:pPr>
        <w:pStyle w:val="22"/>
        <w:rPr>
          <w:rFonts w:hint="default" w:ascii="Times New Roman" w:hAnsi="Times New Roman" w:eastAsia="宋体" w:cs="Times New Roman"/>
          <w:color w:val="auto"/>
          <w:szCs w:val="22"/>
          <w:highlight w:val="none"/>
          <w:lang w:val="en-US" w:eastAsia="zh-CN"/>
          <w14:ligatures w14:val="standardContextual"/>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"_Toc174911333" </w:instrText>
      </w:r>
      <w:r>
        <w:rPr>
          <w:rFonts w:hint="default" w:ascii="Times New Roman" w:hAnsi="Times New Roman" w:cs="Times New Roman"/>
          <w:color w:val="auto"/>
          <w:highlight w:val="none"/>
        </w:rPr>
        <w:fldChar w:fldCharType="separate"/>
      </w:r>
      <w:r>
        <w:rPr>
          <w:rStyle w:val="37"/>
          <w:rFonts w:hint="default" w:ascii="Times New Roman" w:hAnsi="Times New Roman" w:cs="Times New Roman"/>
          <w:color w:val="auto"/>
          <w:highlight w:val="none"/>
          <w:u w:val="none"/>
        </w:rPr>
        <w:t>5</w:t>
      </w:r>
      <w:r>
        <w:rPr>
          <w:rFonts w:hint="default" w:ascii="Times New Roman" w:hAnsi="Times New Roman" w:cs="Times New Roman"/>
          <w:color w:val="auto"/>
          <w:highlight w:val="none"/>
        </w:rPr>
        <w:t xml:space="preserve"> General Requirements</w:t>
      </w:r>
      <w:r>
        <w:rPr>
          <w:rFonts w:hint="default" w:ascii="Times New Roman" w:hAnsi="Times New Roman" w:cs="Times New Roman"/>
          <w:color w:val="auto"/>
          <w:highlight w:val="none"/>
        </w:rPr>
        <w:tab/>
      </w: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lang w:val="en-US" w:eastAsia="zh-CN"/>
        </w:rPr>
        <w:t>3</w:t>
      </w:r>
    </w:p>
    <w:p w14:paraId="1C9C9A25">
      <w:pPr>
        <w:pStyle w:val="25"/>
        <w:tabs>
          <w:tab w:val="right" w:leader="dot" w:pos="8296"/>
        </w:tabs>
        <w:ind w:left="0" w:leftChars="0" w:firstLine="210" w:firstLineChars="100"/>
        <w:rPr>
          <w:rStyle w:val="37"/>
          <w:rFonts w:hint="default" w:ascii="Times New Roman" w:hAnsi="Times New Roman" w:eastAsia="宋体" w:cs="Times New Roman"/>
          <w:color w:val="auto"/>
          <w:highlight w:val="none"/>
          <w:u w:val="none"/>
          <w:lang w:val="en-US" w:eastAsia="zh-CN"/>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"_Toc174911334" </w:instrText>
      </w:r>
      <w:r>
        <w:rPr>
          <w:rFonts w:hint="default" w:ascii="Times New Roman" w:hAnsi="Times New Roman" w:cs="Times New Roman"/>
          <w:color w:val="auto"/>
          <w:highlight w:val="none"/>
        </w:rPr>
        <w:fldChar w:fldCharType="separate"/>
      </w:r>
      <w:r>
        <w:rPr>
          <w:rStyle w:val="37"/>
          <w:rFonts w:hint="default" w:ascii="Times New Roman" w:hAnsi="Times New Roman" w:cs="Times New Roman"/>
          <w:color w:val="auto"/>
          <w:highlight w:val="none"/>
          <w:u w:val="none"/>
        </w:rPr>
        <w:t>5.1 General Requirements</w:t>
      </w:r>
      <w:r>
        <w:rPr>
          <w:rStyle w:val="37"/>
          <w:rFonts w:hint="default" w:ascii="Times New Roman" w:hAnsi="Times New Roman" w:cs="Times New Roman"/>
          <w:color w:val="auto"/>
          <w:highlight w:val="none"/>
          <w:u w:val="none"/>
        </w:rPr>
        <w:tab/>
      </w:r>
      <w:r>
        <w:rPr>
          <w:rStyle w:val="37"/>
          <w:rFonts w:hint="default" w:ascii="Times New Roman" w:hAnsi="Times New Roman" w:cs="Times New Roman"/>
          <w:color w:val="auto"/>
          <w:highlight w:val="none"/>
          <w:u w:val="none"/>
          <w:lang w:val="en-US" w:eastAsia="zh-CN"/>
        </w:rPr>
        <w:t>1</w:t>
      </w:r>
      <w:r>
        <w:rPr>
          <w:rStyle w:val="37"/>
          <w:rFonts w:hint="default" w:ascii="Times New Roman" w:hAnsi="Times New Roman" w:cs="Times New Roman"/>
          <w:color w:val="auto"/>
          <w:highlight w:val="none"/>
          <w:u w:val="none"/>
        </w:rPr>
        <w:fldChar w:fldCharType="end"/>
      </w:r>
      <w:r>
        <w:rPr>
          <w:rStyle w:val="37"/>
          <w:rFonts w:hint="default" w:ascii="Times New Roman" w:hAnsi="Times New Roman" w:cs="Times New Roman"/>
          <w:color w:val="auto"/>
          <w:highlight w:val="none"/>
          <w:u w:val="none"/>
          <w:lang w:val="en-US" w:eastAsia="zh-CN"/>
        </w:rPr>
        <w:t>3</w:t>
      </w:r>
    </w:p>
    <w:p w14:paraId="252C87A8">
      <w:pPr>
        <w:pStyle w:val="25"/>
        <w:tabs>
          <w:tab w:val="right" w:leader="dot" w:pos="8296"/>
        </w:tabs>
        <w:ind w:left="0" w:leftChars="0" w:firstLine="210" w:firstLineChars="100"/>
        <w:rPr>
          <w:rStyle w:val="37"/>
          <w:rFonts w:hint="default" w:ascii="Times New Roman" w:hAnsi="Times New Roman" w:eastAsia="宋体" w:cs="Times New Roman"/>
          <w:color w:val="auto"/>
          <w:highlight w:val="none"/>
          <w:u w:val="none"/>
          <w:lang w:val="en-US" w:eastAsia="zh-CN"/>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"_Toc174911335" </w:instrText>
      </w:r>
      <w:r>
        <w:rPr>
          <w:rFonts w:hint="default" w:ascii="Times New Roman" w:hAnsi="Times New Roman" w:cs="Times New Roman"/>
          <w:color w:val="auto"/>
          <w:highlight w:val="none"/>
        </w:rPr>
        <w:fldChar w:fldCharType="separate"/>
      </w:r>
      <w:r>
        <w:rPr>
          <w:rStyle w:val="37"/>
          <w:rFonts w:hint="default" w:ascii="Times New Roman" w:hAnsi="Times New Roman" w:cs="Times New Roman"/>
          <w:color w:val="auto"/>
          <w:highlight w:val="none"/>
          <w:u w:val="none"/>
        </w:rPr>
        <w:t>5.2 Transmission Interfaces and Media Between Network Elements</w:t>
      </w:r>
      <w:r>
        <w:rPr>
          <w:rStyle w:val="37"/>
          <w:rFonts w:hint="default" w:ascii="Times New Roman" w:hAnsi="Times New Roman" w:cs="Times New Roman"/>
          <w:color w:val="auto"/>
          <w:highlight w:val="none"/>
          <w:u w:val="none"/>
        </w:rPr>
        <w:tab/>
      </w:r>
      <w:r>
        <w:rPr>
          <w:rStyle w:val="37"/>
          <w:rFonts w:hint="default" w:ascii="Times New Roman" w:hAnsi="Times New Roman" w:cs="Times New Roman"/>
          <w:color w:val="auto"/>
          <w:highlight w:val="none"/>
          <w:u w:val="none"/>
          <w:lang w:val="en-US" w:eastAsia="zh-CN"/>
        </w:rPr>
        <w:t>1</w:t>
      </w:r>
      <w:r>
        <w:rPr>
          <w:rStyle w:val="37"/>
          <w:rFonts w:hint="default" w:ascii="Times New Roman" w:hAnsi="Times New Roman" w:cs="Times New Roman"/>
          <w:color w:val="auto"/>
          <w:highlight w:val="none"/>
          <w:u w:val="none"/>
        </w:rPr>
        <w:fldChar w:fldCharType="end"/>
      </w:r>
      <w:r>
        <w:rPr>
          <w:rStyle w:val="37"/>
          <w:rFonts w:hint="default" w:ascii="Times New Roman" w:hAnsi="Times New Roman" w:cs="Times New Roman"/>
          <w:color w:val="auto"/>
          <w:highlight w:val="none"/>
          <w:u w:val="none"/>
          <w:lang w:val="en-US" w:eastAsia="zh-CN"/>
        </w:rPr>
        <w:t>3</w:t>
      </w:r>
    </w:p>
    <w:p w14:paraId="56710A3F">
      <w:pPr>
        <w:pStyle w:val="25"/>
        <w:tabs>
          <w:tab w:val="right" w:leader="dot" w:pos="8296"/>
        </w:tabs>
        <w:ind w:left="0" w:leftChars="0" w:firstLine="210" w:firstLineChars="100"/>
        <w:rPr>
          <w:rStyle w:val="37"/>
          <w:rFonts w:hint="default" w:ascii="Times New Roman" w:hAnsi="Times New Roman" w:eastAsia="宋体" w:cs="Times New Roman"/>
          <w:color w:val="auto"/>
          <w:highlight w:val="none"/>
          <w:u w:val="none"/>
          <w:lang w:val="en-US" w:eastAsia="zh-CN"/>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"_Toc174911336" </w:instrText>
      </w:r>
      <w:r>
        <w:rPr>
          <w:rFonts w:hint="default" w:ascii="Times New Roman" w:hAnsi="Times New Roman" w:cs="Times New Roman"/>
          <w:color w:val="auto"/>
          <w:highlight w:val="none"/>
        </w:rPr>
        <w:fldChar w:fldCharType="separate"/>
      </w:r>
      <w:r>
        <w:rPr>
          <w:rStyle w:val="37"/>
          <w:rFonts w:hint="default" w:ascii="Times New Roman" w:hAnsi="Times New Roman" w:cs="Times New Roman"/>
          <w:color w:val="auto"/>
          <w:highlight w:val="none"/>
          <w:u w:val="none"/>
        </w:rPr>
        <w:t>5.3 Topology Structure Detection</w:t>
      </w:r>
      <w:r>
        <w:rPr>
          <w:rStyle w:val="37"/>
          <w:rFonts w:hint="default" w:ascii="Times New Roman" w:hAnsi="Times New Roman" w:cs="Times New Roman"/>
          <w:color w:val="auto"/>
          <w:highlight w:val="none"/>
          <w:u w:val="none"/>
        </w:rPr>
        <w:tab/>
      </w:r>
      <w:r>
        <w:rPr>
          <w:rStyle w:val="37"/>
          <w:rFonts w:hint="default" w:ascii="Times New Roman" w:hAnsi="Times New Roman" w:cs="Times New Roman"/>
          <w:color w:val="auto"/>
          <w:highlight w:val="none"/>
          <w:u w:val="none"/>
          <w:lang w:val="en-US" w:eastAsia="zh-CN"/>
        </w:rPr>
        <w:t>1</w:t>
      </w:r>
      <w:r>
        <w:rPr>
          <w:rStyle w:val="37"/>
          <w:rFonts w:hint="default" w:ascii="Times New Roman" w:hAnsi="Times New Roman" w:cs="Times New Roman"/>
          <w:color w:val="auto"/>
          <w:highlight w:val="none"/>
          <w:u w:val="none"/>
        </w:rPr>
        <w:fldChar w:fldCharType="end"/>
      </w:r>
      <w:r>
        <w:rPr>
          <w:rStyle w:val="37"/>
          <w:rFonts w:hint="default" w:ascii="Times New Roman" w:hAnsi="Times New Roman" w:cs="Times New Roman"/>
          <w:color w:val="auto"/>
          <w:highlight w:val="none"/>
          <w:u w:val="none"/>
          <w:lang w:val="en-US" w:eastAsia="zh-CN"/>
        </w:rPr>
        <w:t>4</w:t>
      </w:r>
    </w:p>
    <w:p w14:paraId="7131F5F1">
      <w:pPr>
        <w:pStyle w:val="25"/>
        <w:tabs>
          <w:tab w:val="right" w:leader="dot" w:pos="8296"/>
        </w:tabs>
        <w:ind w:left="0" w:leftChars="0" w:firstLine="210" w:firstLineChars="100"/>
        <w:rPr>
          <w:rFonts w:hint="default" w:ascii="Times New Roman" w:hAnsi="Times New Roman" w:eastAsia="宋体" w:cs="Times New Roman"/>
          <w:color w:val="auto"/>
          <w:szCs w:val="22"/>
          <w:highlight w:val="none"/>
          <w:lang w:val="en-US" w:eastAsia="zh-CN"/>
          <w14:ligatures w14:val="standardContextual"/>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"_Toc174911337" </w:instrText>
      </w:r>
      <w:r>
        <w:rPr>
          <w:rFonts w:hint="default" w:ascii="Times New Roman" w:hAnsi="Times New Roman" w:cs="Times New Roman"/>
          <w:color w:val="auto"/>
          <w:highlight w:val="none"/>
        </w:rPr>
        <w:fldChar w:fldCharType="separate"/>
      </w:r>
      <w:r>
        <w:rPr>
          <w:rStyle w:val="37"/>
          <w:rFonts w:hint="default" w:ascii="Times New Roman" w:hAnsi="Times New Roman" w:cs="Times New Roman"/>
          <w:color w:val="auto"/>
          <w:highlight w:val="none"/>
          <w:u w:val="none"/>
        </w:rPr>
        <w:t>5.4 Networking Capability Testing</w:t>
      </w:r>
      <w:r>
        <w:rPr>
          <w:rStyle w:val="37"/>
          <w:rFonts w:hint="default" w:ascii="Times New Roman" w:hAnsi="Times New Roman" w:cs="Times New Roman"/>
          <w:color w:val="auto"/>
          <w:highlight w:val="none"/>
          <w:u w:val="none"/>
        </w:rPr>
        <w:tab/>
      </w:r>
      <w:r>
        <w:rPr>
          <w:rStyle w:val="37"/>
          <w:rFonts w:hint="default" w:ascii="Times New Roman" w:hAnsi="Times New Roman" w:cs="Times New Roman"/>
          <w:color w:val="auto"/>
          <w:highlight w:val="none"/>
          <w:u w:val="none"/>
          <w:lang w:val="en-US" w:eastAsia="zh-CN"/>
        </w:rPr>
        <w:t>1</w:t>
      </w:r>
      <w:r>
        <w:rPr>
          <w:rStyle w:val="37"/>
          <w:rFonts w:hint="default" w:ascii="Times New Roman" w:hAnsi="Times New Roman" w:cs="Times New Roman"/>
          <w:color w:val="auto"/>
          <w:highlight w:val="none"/>
          <w:u w:val="none"/>
        </w:rPr>
        <w:fldChar w:fldCharType="end"/>
      </w:r>
      <w:r>
        <w:rPr>
          <w:rStyle w:val="37"/>
          <w:rFonts w:hint="default" w:ascii="Times New Roman" w:hAnsi="Times New Roman" w:cs="Times New Roman"/>
          <w:color w:val="auto"/>
          <w:highlight w:val="none"/>
          <w:u w:val="none"/>
          <w:lang w:val="en-US" w:eastAsia="zh-CN"/>
        </w:rPr>
        <w:t>4</w:t>
      </w:r>
    </w:p>
    <w:p w14:paraId="7B6B4301">
      <w:pPr>
        <w:pStyle w:val="22"/>
        <w:rPr>
          <w:rFonts w:hint="default" w:ascii="Times New Roman" w:hAnsi="Times New Roman" w:eastAsia="宋体" w:cs="Times New Roman"/>
          <w:color w:val="auto"/>
          <w:szCs w:val="22"/>
          <w:highlight w:val="none"/>
          <w:lang w:val="en-US" w:eastAsia="zh-CN"/>
          <w14:ligatures w14:val="standardContextual"/>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"_Toc174911338" </w:instrText>
      </w:r>
      <w:r>
        <w:rPr>
          <w:rFonts w:hint="default" w:ascii="Times New Roman" w:hAnsi="Times New Roman" w:cs="Times New Roman"/>
          <w:color w:val="auto"/>
          <w:highlight w:val="none"/>
        </w:rPr>
        <w:fldChar w:fldCharType="separate"/>
      </w:r>
      <w:r>
        <w:rPr>
          <w:rStyle w:val="37"/>
          <w:rFonts w:hint="default" w:ascii="Times New Roman" w:hAnsi="Times New Roman" w:cs="Times New Roman"/>
          <w:color w:val="auto"/>
          <w:highlight w:val="none"/>
          <w:u w:val="none"/>
        </w:rPr>
        <w:t xml:space="preserve">6 </w:t>
      </w:r>
      <w:r>
        <w:rPr>
          <w:rFonts w:hint="default" w:ascii="Times New Roman" w:hAnsi="Times New Roman" w:cs="Times New Roman"/>
          <w:color w:val="auto"/>
          <w:highlight w:val="none"/>
        </w:rPr>
        <w:t>System Performance</w:t>
      </w:r>
      <w:r>
        <w:rPr>
          <w:rFonts w:hint="default" w:ascii="Times New Roman" w:hAnsi="Times New Roman" w:cs="Times New Roman"/>
          <w:color w:val="auto"/>
          <w:highlight w:val="none"/>
        </w:rPr>
        <w:tab/>
      </w: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lang w:val="en-US" w:eastAsia="zh-CN"/>
        </w:rPr>
        <w:t>6</w:t>
      </w:r>
    </w:p>
    <w:p w14:paraId="5AB21432">
      <w:pPr>
        <w:pStyle w:val="25"/>
        <w:tabs>
          <w:tab w:val="right" w:leader="dot" w:pos="8296"/>
        </w:tabs>
        <w:ind w:left="0" w:leftChars="0" w:firstLine="210" w:firstLineChars="100"/>
        <w:rPr>
          <w:rStyle w:val="37"/>
          <w:rFonts w:hint="default" w:ascii="Times New Roman" w:hAnsi="Times New Roman" w:eastAsia="宋体" w:cs="Times New Roman"/>
          <w:color w:val="auto"/>
          <w:highlight w:val="none"/>
          <w:u w:val="none"/>
          <w:lang w:val="en-US" w:eastAsia="zh-CN"/>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"_Toc174911339" </w:instrText>
      </w:r>
      <w:r>
        <w:rPr>
          <w:rFonts w:hint="default" w:ascii="Times New Roman" w:hAnsi="Times New Roman" w:cs="Times New Roman"/>
          <w:color w:val="auto"/>
          <w:highlight w:val="none"/>
        </w:rPr>
        <w:fldChar w:fldCharType="separate"/>
      </w:r>
      <w:r>
        <w:rPr>
          <w:rStyle w:val="37"/>
          <w:rFonts w:hint="default" w:ascii="Times New Roman" w:hAnsi="Times New Roman" w:cs="Times New Roman"/>
          <w:color w:val="auto"/>
          <w:highlight w:val="none"/>
          <w:u w:val="none"/>
        </w:rPr>
        <w:t>6.1 General Requirements</w:t>
      </w:r>
      <w:r>
        <w:rPr>
          <w:rStyle w:val="37"/>
          <w:rFonts w:hint="default" w:ascii="Times New Roman" w:hAnsi="Times New Roman" w:cs="Times New Roman"/>
          <w:color w:val="auto"/>
          <w:highlight w:val="none"/>
          <w:u w:val="none"/>
        </w:rPr>
        <w:tab/>
      </w:r>
      <w:r>
        <w:rPr>
          <w:rStyle w:val="37"/>
          <w:rFonts w:hint="default" w:ascii="Times New Roman" w:hAnsi="Times New Roman" w:cs="Times New Roman"/>
          <w:color w:val="auto"/>
          <w:highlight w:val="none"/>
          <w:u w:val="none"/>
          <w:lang w:val="en-US" w:eastAsia="zh-CN"/>
        </w:rPr>
        <w:t>1</w:t>
      </w:r>
      <w:r>
        <w:rPr>
          <w:rStyle w:val="37"/>
          <w:rFonts w:hint="default" w:ascii="Times New Roman" w:hAnsi="Times New Roman" w:cs="Times New Roman"/>
          <w:color w:val="auto"/>
          <w:highlight w:val="none"/>
          <w:u w:val="none"/>
        </w:rPr>
        <w:fldChar w:fldCharType="end"/>
      </w:r>
      <w:r>
        <w:rPr>
          <w:rStyle w:val="37"/>
          <w:rFonts w:hint="default" w:ascii="Times New Roman" w:hAnsi="Times New Roman" w:cs="Times New Roman"/>
          <w:color w:val="auto"/>
          <w:highlight w:val="none"/>
          <w:u w:val="none"/>
          <w:lang w:val="en-US" w:eastAsia="zh-CN"/>
        </w:rPr>
        <w:t>6</w:t>
      </w:r>
    </w:p>
    <w:p w14:paraId="27BC8206">
      <w:pPr>
        <w:pStyle w:val="25"/>
        <w:tabs>
          <w:tab w:val="right" w:leader="dot" w:pos="8296"/>
        </w:tabs>
        <w:ind w:left="0" w:leftChars="0" w:firstLine="210" w:firstLineChars="100"/>
        <w:rPr>
          <w:rStyle w:val="37"/>
          <w:rFonts w:hint="default" w:ascii="Times New Roman" w:hAnsi="Times New Roman" w:eastAsia="宋体" w:cs="Times New Roman"/>
          <w:color w:val="auto"/>
          <w:highlight w:val="none"/>
          <w:u w:val="none"/>
          <w:lang w:val="en-US" w:eastAsia="zh-CN"/>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"_Toc174911340" </w:instrText>
      </w:r>
      <w:r>
        <w:rPr>
          <w:rFonts w:hint="default" w:ascii="Times New Roman" w:hAnsi="Times New Roman" w:cs="Times New Roman"/>
          <w:color w:val="auto"/>
          <w:highlight w:val="none"/>
        </w:rPr>
        <w:fldChar w:fldCharType="separate"/>
      </w:r>
      <w:r>
        <w:rPr>
          <w:rStyle w:val="37"/>
          <w:rFonts w:hint="default" w:ascii="Times New Roman" w:hAnsi="Times New Roman" w:cs="Times New Roman"/>
          <w:color w:val="auto"/>
          <w:highlight w:val="none"/>
          <w:u w:val="none"/>
        </w:rPr>
        <w:t>6.2 Cable Performance Testing</w:t>
      </w:r>
      <w:r>
        <w:rPr>
          <w:rStyle w:val="37"/>
          <w:rFonts w:hint="default" w:ascii="Times New Roman" w:hAnsi="Times New Roman" w:cs="Times New Roman"/>
          <w:color w:val="auto"/>
          <w:highlight w:val="none"/>
          <w:u w:val="none"/>
        </w:rPr>
        <w:tab/>
      </w:r>
      <w:r>
        <w:rPr>
          <w:rStyle w:val="37"/>
          <w:rFonts w:hint="default" w:ascii="Times New Roman" w:hAnsi="Times New Roman" w:cs="Times New Roman"/>
          <w:color w:val="auto"/>
          <w:highlight w:val="none"/>
          <w:u w:val="none"/>
          <w:lang w:val="en-US" w:eastAsia="zh-CN"/>
        </w:rPr>
        <w:t>1</w:t>
      </w:r>
      <w:r>
        <w:rPr>
          <w:rStyle w:val="37"/>
          <w:rFonts w:hint="default" w:ascii="Times New Roman" w:hAnsi="Times New Roman" w:cs="Times New Roman"/>
          <w:color w:val="auto"/>
          <w:highlight w:val="none"/>
          <w:u w:val="none"/>
        </w:rPr>
        <w:fldChar w:fldCharType="end"/>
      </w:r>
      <w:r>
        <w:rPr>
          <w:rStyle w:val="37"/>
          <w:rFonts w:hint="default" w:ascii="Times New Roman" w:hAnsi="Times New Roman" w:cs="Times New Roman"/>
          <w:color w:val="auto"/>
          <w:highlight w:val="none"/>
          <w:u w:val="none"/>
          <w:lang w:val="en-US" w:eastAsia="zh-CN"/>
        </w:rPr>
        <w:t>6</w:t>
      </w:r>
    </w:p>
    <w:p w14:paraId="2A3CFDAB">
      <w:pPr>
        <w:pStyle w:val="25"/>
        <w:tabs>
          <w:tab w:val="right" w:leader="dot" w:pos="8296"/>
        </w:tabs>
        <w:ind w:left="0" w:leftChars="0" w:firstLine="210" w:firstLineChars="100"/>
        <w:rPr>
          <w:rStyle w:val="37"/>
          <w:rFonts w:hint="default" w:ascii="Times New Roman" w:hAnsi="Times New Roman" w:eastAsia="宋体" w:cs="Times New Roman"/>
          <w:color w:val="auto"/>
          <w:highlight w:val="none"/>
          <w:u w:val="none"/>
          <w:lang w:val="en-US" w:eastAsia="zh-CN"/>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"_Toc174911341" </w:instrText>
      </w:r>
      <w:r>
        <w:rPr>
          <w:rFonts w:hint="default" w:ascii="Times New Roman" w:hAnsi="Times New Roman" w:cs="Times New Roman"/>
          <w:color w:val="auto"/>
          <w:highlight w:val="none"/>
        </w:rPr>
        <w:fldChar w:fldCharType="separate"/>
      </w:r>
      <w:r>
        <w:rPr>
          <w:rStyle w:val="37"/>
          <w:rFonts w:hint="default" w:ascii="Times New Roman" w:hAnsi="Times New Roman" w:cs="Times New Roman"/>
          <w:color w:val="auto"/>
          <w:highlight w:val="none"/>
          <w:u w:val="none"/>
        </w:rPr>
        <w:t>6.3 Equipment Performance Testing</w:t>
      </w:r>
      <w:r>
        <w:rPr>
          <w:rStyle w:val="37"/>
          <w:rFonts w:hint="default" w:ascii="Times New Roman" w:hAnsi="Times New Roman" w:cs="Times New Roman"/>
          <w:color w:val="auto"/>
          <w:highlight w:val="none"/>
          <w:u w:val="none"/>
        </w:rPr>
        <w:tab/>
      </w:r>
      <w:r>
        <w:rPr>
          <w:rStyle w:val="37"/>
          <w:rFonts w:hint="default" w:ascii="Times New Roman" w:hAnsi="Times New Roman" w:cs="Times New Roman"/>
          <w:color w:val="auto"/>
          <w:highlight w:val="none"/>
          <w:u w:val="none"/>
          <w:lang w:val="en-US" w:eastAsia="zh-CN"/>
        </w:rPr>
        <w:t>1</w:t>
      </w:r>
      <w:r>
        <w:rPr>
          <w:rStyle w:val="37"/>
          <w:rFonts w:hint="default" w:ascii="Times New Roman" w:hAnsi="Times New Roman" w:cs="Times New Roman"/>
          <w:color w:val="auto"/>
          <w:highlight w:val="none"/>
          <w:u w:val="none"/>
        </w:rPr>
        <w:fldChar w:fldCharType="end"/>
      </w:r>
      <w:r>
        <w:rPr>
          <w:rStyle w:val="37"/>
          <w:rFonts w:hint="default" w:ascii="Times New Roman" w:hAnsi="Times New Roman" w:cs="Times New Roman"/>
          <w:color w:val="auto"/>
          <w:highlight w:val="none"/>
          <w:u w:val="none"/>
          <w:lang w:val="en-US" w:eastAsia="zh-CN"/>
        </w:rPr>
        <w:t>7</w:t>
      </w:r>
    </w:p>
    <w:p w14:paraId="13BCF55F">
      <w:pPr>
        <w:pStyle w:val="25"/>
        <w:tabs>
          <w:tab w:val="right" w:leader="dot" w:pos="8296"/>
        </w:tabs>
        <w:ind w:left="0" w:leftChars="0" w:firstLine="210" w:firstLineChars="100"/>
        <w:rPr>
          <w:rFonts w:hint="default" w:ascii="Times New Roman" w:hAnsi="Times New Roman" w:eastAsia="宋体" w:cs="Times New Roman"/>
          <w:color w:val="auto"/>
          <w:szCs w:val="22"/>
          <w:highlight w:val="none"/>
          <w:lang w:val="en-US" w:eastAsia="zh-CN"/>
          <w14:ligatures w14:val="standardContextual"/>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"_Toc174911342" </w:instrText>
      </w:r>
      <w:r>
        <w:rPr>
          <w:rFonts w:hint="default" w:ascii="Times New Roman" w:hAnsi="Times New Roman" w:cs="Times New Roman"/>
          <w:color w:val="auto"/>
          <w:highlight w:val="none"/>
        </w:rPr>
        <w:fldChar w:fldCharType="separate"/>
      </w:r>
      <w:r>
        <w:rPr>
          <w:rStyle w:val="37"/>
          <w:rFonts w:hint="default" w:ascii="Times New Roman" w:hAnsi="Times New Roman" w:cs="Times New Roman"/>
          <w:color w:val="auto"/>
          <w:highlight w:val="none"/>
          <w:u w:val="none"/>
        </w:rPr>
        <w:t>6.4 Network Performance Testing</w:t>
      </w:r>
      <w:r>
        <w:rPr>
          <w:rStyle w:val="37"/>
          <w:rFonts w:hint="default" w:ascii="Times New Roman" w:hAnsi="Times New Roman" w:cs="Times New Roman"/>
          <w:color w:val="auto"/>
          <w:highlight w:val="none"/>
          <w:u w:val="none"/>
        </w:rPr>
        <w:tab/>
      </w:r>
      <w:r>
        <w:rPr>
          <w:rStyle w:val="37"/>
          <w:rFonts w:hint="default" w:ascii="Times New Roman" w:hAnsi="Times New Roman" w:cs="Times New Roman"/>
          <w:color w:val="auto"/>
          <w:highlight w:val="none"/>
          <w:u w:val="none"/>
          <w:lang w:val="en-US" w:eastAsia="zh-CN"/>
        </w:rPr>
        <w:t>1</w:t>
      </w:r>
      <w:r>
        <w:rPr>
          <w:rStyle w:val="37"/>
          <w:rFonts w:hint="default" w:ascii="Times New Roman" w:hAnsi="Times New Roman" w:cs="Times New Roman"/>
          <w:color w:val="auto"/>
          <w:highlight w:val="none"/>
          <w:u w:val="none"/>
        </w:rPr>
        <w:fldChar w:fldCharType="end"/>
      </w:r>
      <w:r>
        <w:rPr>
          <w:rStyle w:val="37"/>
          <w:rFonts w:hint="default" w:ascii="Times New Roman" w:hAnsi="Times New Roman" w:cs="Times New Roman"/>
          <w:color w:val="auto"/>
          <w:highlight w:val="none"/>
          <w:u w:val="none"/>
          <w:lang w:val="en-US" w:eastAsia="zh-CN"/>
        </w:rPr>
        <w:t>7</w:t>
      </w:r>
    </w:p>
    <w:p w14:paraId="05708AD0">
      <w:pPr>
        <w:pStyle w:val="22"/>
        <w:rPr>
          <w:rFonts w:hint="default" w:ascii="Times New Roman" w:hAnsi="Times New Roman" w:eastAsia="宋体" w:cs="Times New Roman"/>
          <w:color w:val="auto"/>
          <w:szCs w:val="22"/>
          <w:highlight w:val="none"/>
          <w:lang w:val="en-US" w:eastAsia="zh-CN"/>
          <w14:ligatures w14:val="standardContextual"/>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"_Toc174911343" </w:instrText>
      </w:r>
      <w:r>
        <w:rPr>
          <w:rFonts w:hint="default" w:ascii="Times New Roman" w:hAnsi="Times New Roman" w:cs="Times New Roman"/>
          <w:color w:val="auto"/>
          <w:highlight w:val="none"/>
        </w:rPr>
        <w:fldChar w:fldCharType="separate"/>
      </w:r>
      <w:r>
        <w:rPr>
          <w:rStyle w:val="37"/>
          <w:rFonts w:hint="default" w:ascii="Times New Roman" w:hAnsi="Times New Roman" w:cs="Times New Roman"/>
          <w:color w:val="auto"/>
          <w:highlight w:val="none"/>
          <w:u w:val="none"/>
        </w:rPr>
        <w:t xml:space="preserve">7 </w:t>
      </w:r>
      <w:r>
        <w:rPr>
          <w:rFonts w:hint="default" w:ascii="Times New Roman" w:hAnsi="Times New Roman" w:cs="Times New Roman"/>
          <w:color w:val="auto"/>
          <w:highlight w:val="none"/>
        </w:rPr>
        <w:t>Function of The Network Management System</w:t>
      </w:r>
      <w:r>
        <w:rPr>
          <w:rFonts w:hint="default" w:ascii="Times New Roman" w:hAnsi="Times New Roman" w:cs="Times New Roman"/>
          <w:color w:val="auto"/>
          <w:highlight w:val="none"/>
        </w:rPr>
        <w:tab/>
      </w:r>
      <w:r>
        <w:rPr>
          <w:rFonts w:hint="default" w:ascii="Times New Roman" w:hAnsi="Times New Roman" w:cs="Times New Roman"/>
          <w:color w:val="auto"/>
          <w:highlight w:val="none"/>
          <w:lang w:val="en-US" w:eastAsia="zh-CN"/>
        </w:rPr>
        <w:t>20</w:t>
      </w:r>
      <w:r>
        <w:rPr>
          <w:rFonts w:hint="default" w:ascii="Times New Roman" w:hAnsi="Times New Roman" w:cs="Times New Roman"/>
          <w:color w:val="auto"/>
          <w:highlight w:val="none"/>
        </w:rPr>
        <w:fldChar w:fldCharType="end"/>
      </w:r>
    </w:p>
    <w:p w14:paraId="034B904D">
      <w:pPr>
        <w:pStyle w:val="25"/>
        <w:tabs>
          <w:tab w:val="right" w:leader="dot" w:pos="8296"/>
        </w:tabs>
        <w:ind w:left="0" w:leftChars="0" w:firstLine="210" w:firstLineChars="100"/>
        <w:rPr>
          <w:rStyle w:val="37"/>
          <w:rFonts w:hint="default" w:ascii="Times New Roman" w:hAnsi="Times New Roman" w:eastAsia="宋体" w:cs="Times New Roman"/>
          <w:color w:val="auto"/>
          <w:highlight w:val="none"/>
          <w:u w:val="none"/>
          <w:lang w:val="en-US" w:eastAsia="zh-CN"/>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"_Toc174911344" </w:instrText>
      </w:r>
      <w:r>
        <w:rPr>
          <w:rFonts w:hint="default" w:ascii="Times New Roman" w:hAnsi="Times New Roman" w:cs="Times New Roman"/>
          <w:color w:val="auto"/>
          <w:highlight w:val="none"/>
        </w:rPr>
        <w:fldChar w:fldCharType="separate"/>
      </w:r>
      <w:r>
        <w:rPr>
          <w:rStyle w:val="37"/>
          <w:rFonts w:hint="default" w:ascii="Times New Roman" w:hAnsi="Times New Roman" w:cs="Times New Roman"/>
          <w:color w:val="auto"/>
          <w:highlight w:val="none"/>
          <w:u w:val="none"/>
        </w:rPr>
        <w:t>7.1 General Requirements</w:t>
      </w:r>
      <w:r>
        <w:rPr>
          <w:rStyle w:val="37"/>
          <w:rFonts w:hint="default" w:ascii="Times New Roman" w:hAnsi="Times New Roman" w:cs="Times New Roman"/>
          <w:color w:val="auto"/>
          <w:highlight w:val="none"/>
          <w:u w:val="none"/>
        </w:rPr>
        <w:tab/>
      </w:r>
      <w:r>
        <w:rPr>
          <w:rFonts w:hint="default" w:ascii="Times New Roman" w:hAnsi="Times New Roman" w:cs="Times New Roman"/>
          <w:color w:val="auto"/>
          <w:highlight w:val="none"/>
          <w:lang w:val="en-US" w:eastAsia="zh-CN"/>
        </w:rPr>
        <w:t>20</w:t>
      </w:r>
      <w:r>
        <w:rPr>
          <w:rStyle w:val="37"/>
          <w:rFonts w:hint="default" w:ascii="Times New Roman" w:hAnsi="Times New Roman" w:cs="Times New Roman"/>
          <w:color w:val="auto"/>
          <w:highlight w:val="none"/>
          <w:u w:val="none"/>
        </w:rPr>
        <w:fldChar w:fldCharType="end"/>
      </w:r>
    </w:p>
    <w:p w14:paraId="1D6C1EA4">
      <w:pPr>
        <w:pStyle w:val="25"/>
        <w:tabs>
          <w:tab w:val="right" w:leader="dot" w:pos="8296"/>
        </w:tabs>
        <w:ind w:left="0" w:leftChars="0" w:firstLine="210" w:firstLineChars="100"/>
        <w:rPr>
          <w:rFonts w:hint="default" w:ascii="Times New Roman" w:hAnsi="Times New Roman" w:eastAsia="宋体" w:cs="Times New Roman"/>
          <w:color w:val="auto"/>
          <w:szCs w:val="22"/>
          <w:highlight w:val="none"/>
          <w:lang w:val="en-US" w:eastAsia="zh-CN"/>
          <w14:ligatures w14:val="standardContextual"/>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"_Toc174911345" </w:instrText>
      </w:r>
      <w:r>
        <w:rPr>
          <w:rFonts w:hint="default" w:ascii="Times New Roman" w:hAnsi="Times New Roman" w:cs="Times New Roman"/>
          <w:color w:val="auto"/>
          <w:highlight w:val="none"/>
        </w:rPr>
        <w:fldChar w:fldCharType="separate"/>
      </w:r>
      <w:r>
        <w:rPr>
          <w:rStyle w:val="37"/>
          <w:rFonts w:hint="default" w:ascii="Times New Roman" w:hAnsi="Times New Roman" w:cs="Times New Roman"/>
          <w:color w:val="auto"/>
          <w:highlight w:val="none"/>
          <w:u w:val="none"/>
        </w:rPr>
        <w:t>7.2 Function Of The System Inspection</w:t>
      </w:r>
      <w:r>
        <w:rPr>
          <w:rStyle w:val="37"/>
          <w:rFonts w:hint="default" w:ascii="Times New Roman" w:hAnsi="Times New Roman" w:cs="Times New Roman"/>
          <w:color w:val="auto"/>
          <w:highlight w:val="none"/>
          <w:u w:val="none"/>
        </w:rPr>
        <w:tab/>
      </w:r>
      <w:r>
        <w:rPr>
          <w:rFonts w:hint="default" w:ascii="Times New Roman" w:hAnsi="Times New Roman" w:cs="Times New Roman"/>
          <w:color w:val="auto"/>
          <w:highlight w:val="none"/>
          <w:lang w:val="en-US" w:eastAsia="zh-CN"/>
        </w:rPr>
        <w:t>20</w:t>
      </w:r>
      <w:r>
        <w:rPr>
          <w:rStyle w:val="37"/>
          <w:rFonts w:hint="default" w:ascii="Times New Roman" w:hAnsi="Times New Roman" w:cs="Times New Roman"/>
          <w:color w:val="auto"/>
          <w:highlight w:val="none"/>
          <w:u w:val="none"/>
        </w:rPr>
        <w:fldChar w:fldCharType="end"/>
      </w:r>
    </w:p>
    <w:p w14:paraId="2DC3B353">
      <w:pPr>
        <w:pStyle w:val="22"/>
        <w:rPr>
          <w:rFonts w:hint="default" w:ascii="Times New Roman" w:hAnsi="Times New Roman" w:eastAsia="宋体" w:cs="Times New Roman"/>
          <w:color w:val="auto"/>
          <w:szCs w:val="22"/>
          <w:highlight w:val="none"/>
          <w:lang w:val="en-US" w:eastAsia="zh-CN"/>
          <w14:ligatures w14:val="standardContextual"/>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"_Toc174911346" </w:instrText>
      </w:r>
      <w:r>
        <w:rPr>
          <w:rFonts w:hint="default" w:ascii="Times New Roman" w:hAnsi="Times New Roman" w:cs="Times New Roman"/>
          <w:color w:val="auto"/>
          <w:highlight w:val="none"/>
        </w:rPr>
        <w:fldChar w:fldCharType="separate"/>
      </w:r>
      <w:r>
        <w:rPr>
          <w:rStyle w:val="35"/>
          <w:rFonts w:hint="default" w:ascii="Times New Roman" w:hAnsi="Times New Roman" w:cs="Times New Roman"/>
          <w:color w:val="auto"/>
          <w:highlight w:val="none"/>
          <w:u w:val="none"/>
        </w:rPr>
        <w:t xml:space="preserve">8 </w:t>
      </w:r>
      <w:r>
        <w:rPr>
          <w:rFonts w:hint="default" w:ascii="Times New Roman" w:hAnsi="Times New Roman" w:cs="Times New Roman"/>
          <w:color w:val="auto"/>
          <w:highlight w:val="none"/>
        </w:rPr>
        <w:t>Security Of The System</w:t>
      </w:r>
      <w:r>
        <w:rPr>
          <w:rFonts w:hint="default" w:ascii="Times New Roman" w:hAnsi="Times New Roman" w:cs="Times New Roman"/>
          <w:color w:val="auto"/>
          <w:highlight w:val="none"/>
        </w:rPr>
        <w:tab/>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lang w:val="en-US" w:eastAsia="zh-CN"/>
        </w:rPr>
        <w:t>2</w:t>
      </w:r>
    </w:p>
    <w:p w14:paraId="56F30252">
      <w:pPr>
        <w:pStyle w:val="25"/>
        <w:tabs>
          <w:tab w:val="right" w:leader="dot" w:pos="8296"/>
        </w:tabs>
        <w:ind w:left="0" w:leftChars="0" w:firstLine="210" w:firstLineChars="100"/>
        <w:rPr>
          <w:rStyle w:val="37"/>
          <w:rFonts w:hint="default" w:ascii="Times New Roman" w:hAnsi="Times New Roman" w:eastAsia="宋体" w:cs="Times New Roman"/>
          <w:color w:val="auto"/>
          <w:highlight w:val="none"/>
          <w:u w:val="none"/>
          <w:lang w:val="en-US" w:eastAsia="zh-CN"/>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"_Toc174911347" </w:instrText>
      </w:r>
      <w:r>
        <w:rPr>
          <w:rFonts w:hint="default" w:ascii="Times New Roman" w:hAnsi="Times New Roman" w:cs="Times New Roman"/>
          <w:color w:val="auto"/>
          <w:highlight w:val="none"/>
        </w:rPr>
        <w:fldChar w:fldCharType="separate"/>
      </w:r>
      <w:r>
        <w:rPr>
          <w:rStyle w:val="37"/>
          <w:rFonts w:hint="default" w:ascii="Times New Roman" w:hAnsi="Times New Roman" w:cs="Times New Roman"/>
          <w:color w:val="auto"/>
          <w:highlight w:val="none"/>
          <w:u w:val="none"/>
        </w:rPr>
        <w:t>8.1 General Requirements</w:t>
      </w:r>
      <w:r>
        <w:rPr>
          <w:rStyle w:val="37"/>
          <w:rFonts w:hint="default" w:ascii="Times New Roman" w:hAnsi="Times New Roman" w:cs="Times New Roman"/>
          <w:color w:val="auto"/>
          <w:highlight w:val="none"/>
          <w:u w:val="none"/>
        </w:rPr>
        <w:tab/>
      </w:r>
      <w:r>
        <w:rPr>
          <w:rStyle w:val="37"/>
          <w:rFonts w:hint="default" w:ascii="Times New Roman" w:hAnsi="Times New Roman" w:cs="Times New Roman"/>
          <w:color w:val="auto"/>
          <w:highlight w:val="none"/>
          <w:u w:val="none"/>
          <w:lang w:val="en-US" w:eastAsia="zh-CN"/>
        </w:rPr>
        <w:t>2</w:t>
      </w:r>
      <w:r>
        <w:rPr>
          <w:rStyle w:val="37"/>
          <w:rFonts w:hint="default" w:ascii="Times New Roman" w:hAnsi="Times New Roman" w:cs="Times New Roman"/>
          <w:color w:val="auto"/>
          <w:highlight w:val="none"/>
          <w:u w:val="none"/>
        </w:rPr>
        <w:fldChar w:fldCharType="end"/>
      </w:r>
      <w:r>
        <w:rPr>
          <w:rStyle w:val="37"/>
          <w:rFonts w:hint="default" w:ascii="Times New Roman" w:hAnsi="Times New Roman" w:cs="Times New Roman"/>
          <w:color w:val="auto"/>
          <w:highlight w:val="none"/>
          <w:u w:val="none"/>
          <w:lang w:val="en-US" w:eastAsia="zh-CN"/>
        </w:rPr>
        <w:t>2</w:t>
      </w:r>
    </w:p>
    <w:p w14:paraId="08FCFC0C">
      <w:pPr>
        <w:pStyle w:val="25"/>
        <w:tabs>
          <w:tab w:val="right" w:leader="dot" w:pos="8296"/>
        </w:tabs>
        <w:ind w:left="0" w:leftChars="0" w:firstLine="210" w:firstLineChars="100"/>
        <w:rPr>
          <w:rStyle w:val="37"/>
          <w:rFonts w:hint="default" w:ascii="Times New Roman" w:hAnsi="Times New Roman" w:eastAsia="宋体" w:cs="Times New Roman"/>
          <w:color w:val="auto"/>
          <w:highlight w:val="none"/>
          <w:u w:val="none"/>
          <w:lang w:val="en-US" w:eastAsia="zh-CN"/>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"_Toc174911348" </w:instrText>
      </w:r>
      <w:r>
        <w:rPr>
          <w:rFonts w:hint="default" w:ascii="Times New Roman" w:hAnsi="Times New Roman" w:cs="Times New Roman"/>
          <w:color w:val="auto"/>
          <w:highlight w:val="none"/>
        </w:rPr>
        <w:fldChar w:fldCharType="separate"/>
      </w:r>
      <w:r>
        <w:rPr>
          <w:rStyle w:val="37"/>
          <w:rFonts w:hint="default" w:ascii="Times New Roman" w:hAnsi="Times New Roman" w:cs="Times New Roman"/>
          <w:color w:val="auto"/>
          <w:highlight w:val="none"/>
          <w:u w:val="none"/>
        </w:rPr>
        <w:t>8.2 Electrical and System Safety Testing</w:t>
      </w:r>
      <w:r>
        <w:rPr>
          <w:rStyle w:val="37"/>
          <w:rFonts w:hint="default" w:ascii="Times New Roman" w:hAnsi="Times New Roman" w:cs="Times New Roman"/>
          <w:color w:val="auto"/>
          <w:highlight w:val="none"/>
          <w:u w:val="none"/>
        </w:rPr>
        <w:tab/>
      </w:r>
      <w:r>
        <w:rPr>
          <w:rStyle w:val="37"/>
          <w:rFonts w:hint="default" w:ascii="Times New Roman" w:hAnsi="Times New Roman" w:cs="Times New Roman"/>
          <w:color w:val="auto"/>
          <w:highlight w:val="none"/>
          <w:u w:val="none"/>
          <w:lang w:val="en-US" w:eastAsia="zh-CN"/>
        </w:rPr>
        <w:t>2</w:t>
      </w:r>
      <w:r>
        <w:rPr>
          <w:rStyle w:val="37"/>
          <w:rFonts w:hint="default" w:ascii="Times New Roman" w:hAnsi="Times New Roman" w:cs="Times New Roman"/>
          <w:color w:val="auto"/>
          <w:highlight w:val="none"/>
          <w:u w:val="none"/>
        </w:rPr>
        <w:fldChar w:fldCharType="end"/>
      </w:r>
      <w:r>
        <w:rPr>
          <w:rStyle w:val="37"/>
          <w:rFonts w:hint="default" w:ascii="Times New Roman" w:hAnsi="Times New Roman" w:cs="Times New Roman"/>
          <w:color w:val="auto"/>
          <w:highlight w:val="none"/>
          <w:u w:val="none"/>
          <w:lang w:val="en-US" w:eastAsia="zh-CN"/>
        </w:rPr>
        <w:t>2</w:t>
      </w:r>
    </w:p>
    <w:p w14:paraId="44BC1DF1">
      <w:pPr>
        <w:pStyle w:val="25"/>
        <w:tabs>
          <w:tab w:val="right" w:leader="dot" w:pos="8296"/>
        </w:tabs>
        <w:ind w:left="0" w:leftChars="0" w:firstLine="210" w:firstLineChars="100"/>
        <w:rPr>
          <w:rFonts w:hint="default" w:ascii="Times New Roman" w:hAnsi="Times New Roman" w:eastAsia="宋体" w:cs="Times New Roman"/>
          <w:color w:val="auto"/>
          <w:szCs w:val="22"/>
          <w:highlight w:val="none"/>
          <w:lang w:val="en-US" w:eastAsia="zh-CN"/>
          <w14:ligatures w14:val="standardContextual"/>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"_Toc174911349" </w:instrText>
      </w:r>
      <w:r>
        <w:rPr>
          <w:rFonts w:hint="default" w:ascii="Times New Roman" w:hAnsi="Times New Roman" w:cs="Times New Roman"/>
          <w:color w:val="auto"/>
          <w:highlight w:val="none"/>
        </w:rPr>
        <w:fldChar w:fldCharType="separate"/>
      </w:r>
      <w:r>
        <w:rPr>
          <w:rStyle w:val="37"/>
          <w:rFonts w:hint="default" w:ascii="Times New Roman" w:hAnsi="Times New Roman" w:cs="Times New Roman"/>
          <w:color w:val="auto"/>
          <w:highlight w:val="none"/>
          <w:u w:val="none"/>
        </w:rPr>
        <w:t>8.3 Network System Security Testing</w:t>
      </w:r>
      <w:r>
        <w:rPr>
          <w:rStyle w:val="37"/>
          <w:rFonts w:hint="default" w:ascii="Times New Roman" w:hAnsi="Times New Roman" w:cs="Times New Roman"/>
          <w:color w:val="auto"/>
          <w:highlight w:val="none"/>
          <w:u w:val="none"/>
        </w:rPr>
        <w:tab/>
      </w:r>
      <w:r>
        <w:rPr>
          <w:rStyle w:val="37"/>
          <w:rFonts w:hint="default" w:ascii="Times New Roman" w:hAnsi="Times New Roman" w:cs="Times New Roman"/>
          <w:color w:val="auto"/>
          <w:highlight w:val="none"/>
          <w:u w:val="none"/>
          <w:lang w:val="en-US" w:eastAsia="zh-CN"/>
        </w:rPr>
        <w:t>2</w:t>
      </w:r>
      <w:r>
        <w:rPr>
          <w:rStyle w:val="37"/>
          <w:rFonts w:hint="default" w:ascii="Times New Roman" w:hAnsi="Times New Roman" w:cs="Times New Roman"/>
          <w:color w:val="auto"/>
          <w:highlight w:val="none"/>
          <w:u w:val="none"/>
        </w:rPr>
        <w:fldChar w:fldCharType="end"/>
      </w:r>
      <w:r>
        <w:rPr>
          <w:rStyle w:val="37"/>
          <w:rFonts w:hint="default" w:ascii="Times New Roman" w:hAnsi="Times New Roman" w:cs="Times New Roman"/>
          <w:color w:val="auto"/>
          <w:highlight w:val="none"/>
          <w:u w:val="none"/>
          <w:lang w:val="en-US" w:eastAsia="zh-CN"/>
        </w:rPr>
        <w:t>2</w:t>
      </w:r>
    </w:p>
    <w:p w14:paraId="51824F56">
      <w:pPr>
        <w:pStyle w:val="22"/>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"_Toc174911350"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Appendix A: Performance and Parameters of Testing Instruments</w:t>
      </w:r>
      <w:r>
        <w:rPr>
          <w:rFonts w:hint="default" w:ascii="Times New Roman" w:hAnsi="Times New Roman" w:cs="Times New Roman"/>
          <w:color w:val="auto"/>
          <w:highlight w:val="none"/>
        </w:rPr>
        <w:tab/>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lang w:val="en-US" w:eastAsia="zh-CN"/>
        </w:rPr>
        <w:t>6</w:t>
      </w:r>
    </w:p>
    <w:p w14:paraId="5782B470">
      <w:pPr>
        <w:pStyle w:val="22"/>
        <w:rPr>
          <w:rFonts w:hint="default" w:ascii="Times New Roman" w:hAnsi="Times New Roman" w:eastAsia="宋体" w:cs="Times New Roman"/>
          <w:color w:val="auto"/>
          <w:szCs w:val="22"/>
          <w:highlight w:val="none"/>
          <w:lang w:val="en-US" w:eastAsia="zh-CN"/>
          <w14:ligatures w14:val="standardContextual"/>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"_Toc174911351"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Appendix B: Template of Testing Report</w:t>
      </w:r>
      <w:r>
        <w:rPr>
          <w:rFonts w:hint="default" w:ascii="Times New Roman" w:hAnsi="Times New Roman" w:cs="Times New Roman"/>
          <w:color w:val="auto"/>
          <w:highlight w:val="none"/>
        </w:rPr>
        <w:tab/>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fldChar w:fldCharType="end"/>
      </w:r>
      <w:r>
        <w:rPr>
          <w:rFonts w:hint="eastAsia" w:cs="Times New Roman"/>
          <w:color w:val="auto"/>
          <w:highlight w:val="none"/>
          <w:lang w:val="en-US" w:eastAsia="zh-CN"/>
        </w:rPr>
        <w:t>9</w:t>
      </w:r>
    </w:p>
    <w:p w14:paraId="78D8DEF4">
      <w:pPr>
        <w:pStyle w:val="22"/>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"_Toc174911352"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Explanation of Wording in This Standard</w:t>
      </w:r>
      <w:r>
        <w:rPr>
          <w:rFonts w:hint="default" w:ascii="Times New Roman" w:hAnsi="Times New Roman" w:cs="Times New Roman"/>
          <w:color w:val="auto"/>
          <w:highlight w:val="none"/>
        </w:rPr>
        <w:tab/>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fldChar w:fldCharType="end"/>
      </w:r>
      <w:r>
        <w:rPr>
          <w:rFonts w:hint="eastAsia" w:cs="Times New Roman"/>
          <w:color w:val="auto"/>
          <w:highlight w:val="none"/>
          <w:lang w:val="en-US" w:eastAsia="zh-CN"/>
        </w:rPr>
        <w:t>2</w:t>
      </w:r>
    </w:p>
    <w:p w14:paraId="3B8D30FD">
      <w:pPr>
        <w:pStyle w:val="22"/>
        <w:rPr>
          <w:rFonts w:hint="default" w:ascii="Times New Roman" w:hAnsi="Times New Roman" w:cs="Times New Roman"/>
          <w:color w:val="auto"/>
          <w:highlight w:val="none"/>
          <w:lang w:val="en-US" w:eastAsia="zh-CN"/>
        </w:rPr>
      </w:pPr>
      <w:r>
        <w:rPr>
          <w:rFonts w:hint="default" w:ascii="Times New Roman" w:hAnsi="Times New Roman" w:eastAsia="宋体" w:cs="Times New Roman"/>
          <w:color w:val="auto"/>
          <w:kern w:val="44"/>
          <w:sz w:val="21"/>
          <w:szCs w:val="24"/>
          <w:highlight w:val="none"/>
          <w:lang w:val="en-US" w:eastAsia="zh-CN" w:bidi="ar-SA"/>
        </w:rPr>
        <w:t>List of quoted standards</w:t>
      </w:r>
      <w:r>
        <w:rPr>
          <w:rFonts w:hint="default" w:ascii="Times New Roman" w:hAnsi="Times New Roman" w:eastAsia="宋体" w:cs="Times New Roman"/>
          <w:color w:val="auto"/>
          <w:kern w:val="44"/>
          <w:sz w:val="21"/>
          <w:szCs w:val="24"/>
          <w:highlight w:val="none"/>
          <w:lang w:val="en-US" w:eastAsia="zh-CN" w:bidi="ar-SA"/>
        </w:rPr>
        <w:tab/>
      </w:r>
      <w:r>
        <w:rPr>
          <w:rFonts w:hint="default" w:ascii="Times New Roman" w:hAnsi="Times New Roman" w:cs="Times New Roman"/>
          <w:color w:val="auto"/>
          <w:kern w:val="44"/>
          <w:sz w:val="21"/>
          <w:szCs w:val="24"/>
          <w:highlight w:val="none"/>
          <w:lang w:val="en-US" w:eastAsia="zh-CN" w:bidi="ar-SA"/>
        </w:rPr>
        <w:t>3</w:t>
      </w:r>
      <w:r>
        <w:rPr>
          <w:rFonts w:hint="eastAsia" w:cs="Times New Roman"/>
          <w:color w:val="auto"/>
          <w:highlight w:val="none"/>
          <w:lang w:val="en-US" w:eastAsia="zh-CN"/>
        </w:rPr>
        <w:t>3</w:t>
      </w:r>
    </w:p>
    <w:p w14:paraId="438AD390">
      <w:pPr>
        <w:pStyle w:val="22"/>
        <w:rPr>
          <w:rFonts w:hint="default" w:ascii="Times New Roman" w:hAnsi="Times New Roman" w:eastAsia="宋体" w:cs="Times New Roman"/>
          <w:color w:val="auto"/>
          <w:szCs w:val="22"/>
          <w:highlight w:val="none"/>
          <w:lang w:val="en-US" w:eastAsia="zh-CN"/>
          <w14:ligatures w14:val="standardContextual"/>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"_Toc174911353"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Addition:Explanation of provisions</w:t>
      </w:r>
      <w:r>
        <w:rPr>
          <w:rFonts w:hint="default" w:ascii="Times New Roman" w:hAnsi="Times New Roman" w:cs="Times New Roman"/>
          <w:color w:val="auto"/>
          <w:highlight w:val="none"/>
        </w:rPr>
        <w:tab/>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fldChar w:fldCharType="end"/>
      </w:r>
      <w:r>
        <w:rPr>
          <w:rFonts w:hint="eastAsia" w:cs="Times New Roman"/>
          <w:color w:val="auto"/>
          <w:highlight w:val="none"/>
          <w:lang w:val="en-US" w:eastAsia="zh-CN"/>
        </w:rPr>
        <w:t>4</w:t>
      </w:r>
    </w:p>
    <w:p w14:paraId="2E2BD4A0">
      <w:pPr>
        <w:ind w:firstLine="480"/>
        <w:rPr>
          <w:rFonts w:ascii="Times New Roman" w:hAnsi="Times New Roman" w:cs="Times New Roman"/>
          <w:color w:val="auto"/>
          <w:highlight w:val="none"/>
        </w:rPr>
      </w:pPr>
    </w:p>
    <w:p w14:paraId="0A9C11B2">
      <w:pPr>
        <w:widowControl/>
        <w:ind w:firstLine="480"/>
        <w:jc w:val="left"/>
        <w:rPr>
          <w:rFonts w:ascii="Times New Roman" w:hAnsi="Times New Roman" w:cs="Times New Roman"/>
          <w:color w:val="auto"/>
          <w:highlight w:val="none"/>
        </w:rPr>
        <w:sectPr>
          <w:pgSz w:w="11906" w:h="16838"/>
          <w:pgMar w:top="1440" w:right="1800" w:bottom="1440" w:left="1800" w:header="851" w:footer="992" w:gutter="0"/>
          <w:cols w:space="720" w:num="1"/>
          <w:docGrid w:type="lines" w:linePitch="312" w:charSpace="0"/>
        </w:sectPr>
      </w:pPr>
    </w:p>
    <w:p w14:paraId="7F3089DE">
      <w:pPr>
        <w:pStyle w:val="2"/>
        <w:rPr>
          <w:bCs/>
          <w:color w:val="auto"/>
          <w:highlight w:val="none"/>
        </w:rPr>
      </w:pPr>
      <w:bookmarkStart w:id="7" w:name="_Toc2670"/>
      <w:bookmarkStart w:id="8" w:name="_Toc180960169"/>
      <w:bookmarkStart w:id="9" w:name="_Toc16720"/>
      <w:bookmarkStart w:id="10" w:name="_Toc18540"/>
      <w:r>
        <w:rPr>
          <w:color w:val="auto"/>
          <w:highlight w:val="none"/>
        </w:rPr>
        <w:t>1 总则</w:t>
      </w:r>
      <w:bookmarkEnd w:id="7"/>
      <w:bookmarkEnd w:id="8"/>
      <w:bookmarkEnd w:id="9"/>
      <w:bookmarkEnd w:id="10"/>
    </w:p>
    <w:p w14:paraId="3BD9FC56">
      <w:pPr>
        <w:spacing w:line="40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1.0.1 为规范广东省城市轨道交通移动通信信号分布系统的检测活动，保证工程检测质量，做到安全适用、数据准确、技术先进、经济合理，制定本标准。</w:t>
      </w:r>
    </w:p>
    <w:p w14:paraId="04F70128">
      <w:pPr>
        <w:spacing w:line="400" w:lineRule="exact"/>
        <w:rPr>
          <w:rFonts w:ascii="Times New Roman" w:hAnsi="Times New Roman" w:cs="Times New Roman"/>
          <w:color w:val="auto"/>
          <w:sz w:val="24"/>
          <w:highlight w:val="none"/>
        </w:rPr>
      </w:pPr>
      <w:bookmarkStart w:id="11" w:name="_Hlk176435102"/>
      <w:bookmarkStart w:id="12" w:name="_Hlk176431836"/>
      <w:r>
        <w:rPr>
          <w:rFonts w:ascii="Times New Roman" w:hAnsi="Times New Roman" w:cs="Times New Roman"/>
          <w:color w:val="auto"/>
          <w:sz w:val="24"/>
          <w:highlight w:val="none"/>
        </w:rPr>
        <w:t>1.0.2</w:t>
      </w:r>
      <w:bookmarkEnd w:id="11"/>
      <w:r>
        <w:rPr>
          <w:rFonts w:ascii="Times New Roman" w:hAnsi="Times New Roman" w:cs="Times New Roman"/>
          <w:color w:val="auto"/>
          <w:sz w:val="24"/>
          <w:highlight w:val="none"/>
        </w:rPr>
        <w:t xml:space="preserve"> 本标准适用于广东省</w:t>
      </w:r>
      <w:r>
        <w:rPr>
          <w:rFonts w:hint="eastAsia" w:ascii="Times New Roman" w:hAnsi="Times New Roman" w:cs="Times New Roman"/>
          <w:color w:val="auto"/>
          <w:sz w:val="24"/>
          <w:highlight w:val="none"/>
        </w:rPr>
        <w:t>轨道交通公用和专用</w:t>
      </w:r>
      <w:r>
        <w:rPr>
          <w:rFonts w:ascii="Times New Roman" w:hAnsi="Times New Roman" w:cs="Times New Roman"/>
          <w:color w:val="auto"/>
          <w:sz w:val="24"/>
          <w:highlight w:val="none"/>
        </w:rPr>
        <w:t>移动通信信号分布系统工程质量检测。</w:t>
      </w:r>
    </w:p>
    <w:bookmarkEnd w:id="12"/>
    <w:p w14:paraId="7396C5BF">
      <w:pPr>
        <w:spacing w:line="40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1.0.3 城市轨道交通移动通信信号分布系统工程质量检测应综合考虑设计要求、地理位置等因素，合理选择检测部位、确定检测数量</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统一检测方法和标准</w:t>
      </w:r>
      <w:r>
        <w:rPr>
          <w:rFonts w:ascii="Times New Roman" w:hAnsi="Times New Roman" w:cs="Times New Roman"/>
          <w:color w:val="auto"/>
          <w:sz w:val="24"/>
          <w:highlight w:val="none"/>
        </w:rPr>
        <w:t>，确保检测的规范性、适应性和可操作性。</w:t>
      </w:r>
    </w:p>
    <w:p w14:paraId="33D0F40E">
      <w:pPr>
        <w:spacing w:line="40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1.0.4 城市轨道交通移动通信信号分布系统工程的质量检测除应符合本标准外，尚应符合国家</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行业</w:t>
      </w:r>
      <w:r>
        <w:rPr>
          <w:rFonts w:ascii="Times New Roman" w:hAnsi="Times New Roman" w:cs="Times New Roman"/>
          <w:color w:val="auto"/>
          <w:sz w:val="24"/>
          <w:highlight w:val="none"/>
        </w:rPr>
        <w:t>及广东省现行有关标准的规定。</w:t>
      </w:r>
      <w:bookmarkStart w:id="13" w:name="_Toc12231"/>
    </w:p>
    <w:p w14:paraId="716C1CE3">
      <w:pPr>
        <w:widowControl/>
        <w:ind w:firstLine="480"/>
        <w:jc w:val="left"/>
        <w:rPr>
          <w:rFonts w:ascii="Times New Roman" w:hAnsi="Times New Roman" w:cs="Times New Roman"/>
          <w:b/>
          <w:color w:val="auto"/>
          <w:kern w:val="44"/>
          <w:sz w:val="30"/>
          <w:szCs w:val="30"/>
          <w:highlight w:val="none"/>
        </w:rPr>
      </w:pPr>
      <w:r>
        <w:rPr>
          <w:rFonts w:ascii="Times New Roman" w:hAnsi="Times New Roman"/>
          <w:color w:val="auto"/>
          <w:highlight w:val="none"/>
        </w:rPr>
        <w:br w:type="page"/>
      </w:r>
    </w:p>
    <w:p w14:paraId="17E40FFF">
      <w:pPr>
        <w:pStyle w:val="2"/>
        <w:rPr>
          <w:bCs/>
          <w:color w:val="auto"/>
          <w:highlight w:val="none"/>
        </w:rPr>
      </w:pPr>
      <w:bookmarkStart w:id="14" w:name="_Toc5307"/>
      <w:bookmarkStart w:id="15" w:name="_Toc5438"/>
      <w:bookmarkStart w:id="16" w:name="_Toc180960170"/>
      <w:r>
        <w:rPr>
          <w:color w:val="auto"/>
          <w:highlight w:val="none"/>
        </w:rPr>
        <w:t>2 术语和缩略语</w:t>
      </w:r>
      <w:bookmarkEnd w:id="14"/>
      <w:bookmarkEnd w:id="15"/>
      <w:bookmarkEnd w:id="16"/>
    </w:p>
    <w:p w14:paraId="443251D0">
      <w:pPr>
        <w:pStyle w:val="3"/>
        <w:ind w:firstLine="482"/>
        <w:rPr>
          <w:color w:val="auto"/>
          <w:highlight w:val="none"/>
        </w:rPr>
      </w:pPr>
      <w:bookmarkStart w:id="17" w:name="_Toc18978"/>
      <w:bookmarkStart w:id="18" w:name="_Toc34244592"/>
      <w:bookmarkStart w:id="19" w:name="_Toc45890738"/>
      <w:bookmarkStart w:id="20" w:name="_Toc180960171"/>
      <w:bookmarkStart w:id="21" w:name="_Toc8263"/>
      <w:r>
        <w:rPr>
          <w:color w:val="auto"/>
          <w:highlight w:val="none"/>
        </w:rPr>
        <w:t>2.1 术语</w:t>
      </w:r>
      <w:bookmarkEnd w:id="17"/>
      <w:bookmarkEnd w:id="18"/>
      <w:bookmarkEnd w:id="19"/>
      <w:bookmarkEnd w:id="20"/>
      <w:bookmarkEnd w:id="21"/>
    </w:p>
    <w:p w14:paraId="2A73436B">
      <w:pPr>
        <w:spacing w:line="40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2.1.1 驻波比</w:t>
      </w:r>
      <w:r>
        <w:rPr>
          <w:rFonts w:hint="eastAsia" w:ascii="Times New Roman" w:hAnsi="Times New Roman" w:cs="Times New Roman"/>
          <w:color w:val="auto"/>
          <w:sz w:val="24"/>
          <w:highlight w:val="none"/>
          <w:lang w:val="en-US" w:eastAsia="zh-CN"/>
        </w:rPr>
        <w:t>v</w:t>
      </w:r>
      <w:r>
        <w:rPr>
          <w:rFonts w:ascii="Times New Roman" w:hAnsi="Times New Roman" w:cs="Times New Roman"/>
          <w:color w:val="auto"/>
          <w:sz w:val="24"/>
          <w:highlight w:val="none"/>
        </w:rPr>
        <w:t xml:space="preserve">oltage </w:t>
      </w:r>
      <w:r>
        <w:rPr>
          <w:rFonts w:hint="eastAsia" w:ascii="Times New Roman" w:hAnsi="Times New Roman" w:cs="Times New Roman"/>
          <w:color w:val="auto"/>
          <w:sz w:val="24"/>
          <w:highlight w:val="none"/>
          <w:lang w:val="en-US" w:eastAsia="zh-CN"/>
        </w:rPr>
        <w:t>s</w:t>
      </w:r>
      <w:r>
        <w:rPr>
          <w:rFonts w:ascii="Times New Roman" w:hAnsi="Times New Roman" w:cs="Times New Roman"/>
          <w:color w:val="auto"/>
          <w:sz w:val="24"/>
          <w:highlight w:val="none"/>
        </w:rPr>
        <w:t xml:space="preserve">tanding </w:t>
      </w:r>
      <w:r>
        <w:rPr>
          <w:rFonts w:hint="eastAsia" w:ascii="Times New Roman" w:hAnsi="Times New Roman" w:cs="Times New Roman"/>
          <w:color w:val="auto"/>
          <w:sz w:val="24"/>
          <w:highlight w:val="none"/>
          <w:lang w:val="en-US" w:eastAsia="zh-CN"/>
        </w:rPr>
        <w:t>w</w:t>
      </w:r>
      <w:r>
        <w:rPr>
          <w:rFonts w:ascii="Times New Roman" w:hAnsi="Times New Roman" w:cs="Times New Roman"/>
          <w:color w:val="auto"/>
          <w:sz w:val="24"/>
          <w:highlight w:val="none"/>
        </w:rPr>
        <w:t xml:space="preserve">ave </w:t>
      </w:r>
      <w:r>
        <w:rPr>
          <w:rFonts w:hint="eastAsia" w:ascii="Times New Roman" w:hAnsi="Times New Roman" w:cs="Times New Roman"/>
          <w:color w:val="auto"/>
          <w:sz w:val="24"/>
          <w:highlight w:val="none"/>
          <w:lang w:val="en-US" w:eastAsia="zh-CN"/>
        </w:rPr>
        <w:t>r</w:t>
      </w:r>
      <w:r>
        <w:rPr>
          <w:rFonts w:ascii="Times New Roman" w:hAnsi="Times New Roman" w:cs="Times New Roman"/>
          <w:color w:val="auto"/>
          <w:sz w:val="24"/>
          <w:highlight w:val="none"/>
        </w:rPr>
        <w:t>atio</w:t>
      </w:r>
    </w:p>
    <w:p w14:paraId="3FE70343">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室内分布系统各个单元衔接射频接口输入端（或输出端）电压的波峰和波谷的比值。</w:t>
      </w:r>
    </w:p>
    <w:p w14:paraId="0BE0F883">
      <w:pPr>
        <w:spacing w:line="40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2.1.2 插入损耗</w:t>
      </w:r>
      <w:r>
        <w:rPr>
          <w:rFonts w:hint="eastAsia" w:ascii="Times New Roman" w:hAnsi="Times New Roman" w:cs="Times New Roman"/>
          <w:color w:val="auto"/>
          <w:sz w:val="24"/>
          <w:highlight w:val="none"/>
          <w:lang w:val="en-US" w:eastAsia="zh-CN"/>
        </w:rPr>
        <w:t>insertion loss</w:t>
      </w:r>
    </w:p>
    <w:p w14:paraId="45F9F2ED">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通过无源或有源器件，在有效工作带宽内引入的传输损耗，单位用dB表示。</w:t>
      </w:r>
    </w:p>
    <w:p w14:paraId="625520CE">
      <w:pPr>
        <w:spacing w:line="40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2.1.3 隔离度</w:t>
      </w:r>
      <w:r>
        <w:rPr>
          <w:rFonts w:hint="eastAsia" w:ascii="Times New Roman" w:hAnsi="Times New Roman" w:cs="Times New Roman"/>
          <w:color w:val="auto"/>
          <w:sz w:val="24"/>
          <w:highlight w:val="none"/>
          <w:lang w:val="en-US" w:eastAsia="zh-CN"/>
        </w:rPr>
        <w:t>i</w:t>
      </w:r>
      <w:r>
        <w:rPr>
          <w:rFonts w:ascii="Times New Roman" w:hAnsi="Times New Roman" w:cs="Times New Roman"/>
          <w:color w:val="auto"/>
          <w:sz w:val="24"/>
          <w:highlight w:val="none"/>
        </w:rPr>
        <w:t>solation</w:t>
      </w:r>
    </w:p>
    <w:p w14:paraId="52BF3D70">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不同传输端口之间的信号传输衰减量值或从一个端口送入的功率泄漏到另外一个端口输出的功率差值，单位用dB表示。</w:t>
      </w:r>
    </w:p>
    <w:p w14:paraId="38EDD930">
      <w:pPr>
        <w:spacing w:line="40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2.1.4 互调</w:t>
      </w:r>
      <w:r>
        <w:rPr>
          <w:rFonts w:hint="eastAsia" w:ascii="Times New Roman" w:hAnsi="Times New Roman" w:cs="Times New Roman"/>
          <w:color w:val="auto"/>
          <w:sz w:val="24"/>
          <w:highlight w:val="none"/>
        </w:rPr>
        <w:t>干扰</w:t>
      </w:r>
      <w:r>
        <w:rPr>
          <w:rFonts w:hint="eastAsia" w:ascii="Times New Roman" w:hAnsi="Times New Roman" w:cs="Times New Roman"/>
          <w:color w:val="auto"/>
          <w:sz w:val="24"/>
          <w:highlight w:val="none"/>
          <w:lang w:val="en-US" w:eastAsia="zh-CN"/>
        </w:rPr>
        <w:t>i</w:t>
      </w:r>
      <w:r>
        <w:rPr>
          <w:rFonts w:ascii="Times New Roman" w:hAnsi="Times New Roman" w:cs="Times New Roman"/>
          <w:color w:val="auto"/>
          <w:sz w:val="24"/>
          <w:highlight w:val="none"/>
        </w:rPr>
        <w:t xml:space="preserve">ntermodulation </w:t>
      </w:r>
      <w:r>
        <w:rPr>
          <w:rFonts w:hint="eastAsia" w:ascii="Times New Roman" w:hAnsi="Times New Roman" w:cs="Times New Roman"/>
          <w:color w:val="auto"/>
          <w:sz w:val="24"/>
          <w:highlight w:val="none"/>
          <w:lang w:val="en-US" w:eastAsia="zh-CN"/>
        </w:rPr>
        <w:t>i</w:t>
      </w:r>
      <w:r>
        <w:rPr>
          <w:rFonts w:ascii="Times New Roman" w:hAnsi="Times New Roman" w:cs="Times New Roman"/>
          <w:color w:val="auto"/>
          <w:sz w:val="24"/>
          <w:highlight w:val="none"/>
        </w:rPr>
        <w:t>nterference</w:t>
      </w:r>
    </w:p>
    <w:p w14:paraId="263FC62A">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当两个以上不同频率信号作用于一</w:t>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HYPERLINK "https://baike.baidu.com/item/%E9%9D%9E%E7%BA%BF%E6%80%A7%E7%94%B5%E8%B7%AF/5893264?fromModule=lemma_inlink" \t "_blank"</w:instrText>
      </w:r>
      <w:r>
        <w:rPr>
          <w:rFonts w:ascii="Times New Roman" w:hAnsi="Times New Roman" w:cs="Times New Roman"/>
          <w:color w:val="auto"/>
          <w:highlight w:val="none"/>
        </w:rPr>
        <w:fldChar w:fldCharType="separate"/>
      </w:r>
      <w:r>
        <w:rPr>
          <w:rFonts w:ascii="Times New Roman" w:hAnsi="Times New Roman" w:cs="Times New Roman"/>
          <w:color w:val="auto"/>
          <w:sz w:val="24"/>
          <w:highlight w:val="none"/>
        </w:rPr>
        <w:t>非线性电路</w:t>
      </w:r>
      <w:r>
        <w:rPr>
          <w:rFonts w:ascii="Times New Roman" w:hAnsi="Times New Roman" w:cs="Times New Roman"/>
          <w:color w:val="auto"/>
          <w:sz w:val="24"/>
          <w:highlight w:val="none"/>
        </w:rPr>
        <w:fldChar w:fldCharType="end"/>
      </w:r>
      <w:r>
        <w:rPr>
          <w:rFonts w:ascii="Times New Roman" w:hAnsi="Times New Roman" w:cs="Times New Roman"/>
          <w:color w:val="auto"/>
          <w:sz w:val="24"/>
          <w:highlight w:val="none"/>
        </w:rPr>
        <w:t>时，将互相调制，产生新频率信号输出，如果该频率正好落在接收机工作信道带宽内，则构成对该接收机的干扰。</w:t>
      </w:r>
    </w:p>
    <w:p w14:paraId="23BD66D9">
      <w:pPr>
        <w:spacing w:line="400" w:lineRule="exact"/>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2.1.5 信号源</w:t>
      </w:r>
      <w:r>
        <w:rPr>
          <w:rFonts w:hint="eastAsia" w:ascii="Times New Roman" w:hAnsi="Times New Roman" w:cs="Times New Roman"/>
          <w:color w:val="auto"/>
          <w:sz w:val="24"/>
          <w:highlight w:val="none"/>
          <w:lang w:val="en-US" w:eastAsia="zh-CN"/>
        </w:rPr>
        <w:t>signal source</w:t>
      </w:r>
    </w:p>
    <w:p w14:paraId="46A5417B">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信号源指产生和发出通信信号的各种基站设备或接入点设备。</w:t>
      </w:r>
    </w:p>
    <w:p w14:paraId="11956E6E">
      <w:pPr>
        <w:spacing w:line="40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2.1.</w:t>
      </w:r>
      <w:r>
        <w:rPr>
          <w:rFonts w:hint="eastAsia" w:ascii="Times New Roman" w:hAnsi="Times New Roman" w:cs="Times New Roman"/>
          <w:color w:val="auto"/>
          <w:sz w:val="24"/>
          <w:highlight w:val="none"/>
        </w:rPr>
        <w:t>6</w:t>
      </w:r>
      <w:r>
        <w:rPr>
          <w:rFonts w:ascii="Times New Roman" w:hAnsi="Times New Roman" w:cs="Times New Roman"/>
          <w:color w:val="auto"/>
          <w:sz w:val="24"/>
          <w:highlight w:val="none"/>
        </w:rPr>
        <w:t xml:space="preserve"> 基带单元</w:t>
      </w:r>
      <w:r>
        <w:rPr>
          <w:rFonts w:hint="eastAsia" w:ascii="Times New Roman" w:hAnsi="Times New Roman" w:cs="Times New Roman"/>
          <w:color w:val="auto"/>
          <w:sz w:val="24"/>
          <w:highlight w:val="none"/>
          <w:lang w:val="en-US" w:eastAsia="zh-CN"/>
        </w:rPr>
        <w:t>b</w:t>
      </w:r>
      <w:r>
        <w:rPr>
          <w:rFonts w:ascii="Times New Roman" w:hAnsi="Times New Roman" w:cs="Times New Roman"/>
          <w:color w:val="auto"/>
          <w:sz w:val="24"/>
          <w:highlight w:val="none"/>
        </w:rPr>
        <w:t xml:space="preserve">ase </w:t>
      </w:r>
      <w:r>
        <w:rPr>
          <w:rFonts w:hint="eastAsia" w:ascii="Times New Roman" w:hAnsi="Times New Roman" w:cs="Times New Roman"/>
          <w:color w:val="auto"/>
          <w:sz w:val="24"/>
          <w:highlight w:val="none"/>
          <w:lang w:val="en-US" w:eastAsia="zh-CN"/>
        </w:rPr>
        <w:t>b</w:t>
      </w:r>
      <w:r>
        <w:rPr>
          <w:rFonts w:ascii="Times New Roman" w:hAnsi="Times New Roman" w:cs="Times New Roman"/>
          <w:color w:val="auto"/>
          <w:sz w:val="24"/>
          <w:highlight w:val="none"/>
        </w:rPr>
        <w:t xml:space="preserve">and </w:t>
      </w:r>
      <w:r>
        <w:rPr>
          <w:rFonts w:hint="eastAsia" w:ascii="Times New Roman" w:hAnsi="Times New Roman" w:cs="Times New Roman"/>
          <w:color w:val="auto"/>
          <w:sz w:val="24"/>
          <w:highlight w:val="none"/>
          <w:lang w:val="en-US" w:eastAsia="zh-CN"/>
        </w:rPr>
        <w:t>u</w:t>
      </w:r>
      <w:r>
        <w:rPr>
          <w:rFonts w:ascii="Times New Roman" w:hAnsi="Times New Roman" w:cs="Times New Roman"/>
          <w:color w:val="auto"/>
          <w:sz w:val="24"/>
          <w:highlight w:val="none"/>
        </w:rPr>
        <w:t>nit</w:t>
      </w:r>
    </w:p>
    <w:p w14:paraId="7755409D">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主要完成信道编解码、基带信号的调制解调、协议处理等功能</w:t>
      </w: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提供与上层网元的接口功能以及完成非常重要的物理层核心技术的处理过程。</w:t>
      </w:r>
    </w:p>
    <w:p w14:paraId="6D081FC0">
      <w:pPr>
        <w:spacing w:line="400" w:lineRule="exact"/>
        <w:rPr>
          <w:rFonts w:ascii="Times New Roman" w:hAnsi="Times New Roman"/>
          <w:b/>
          <w:bCs/>
          <w:color w:val="auto"/>
          <w:highlight w:val="none"/>
        </w:rPr>
      </w:pPr>
      <w:r>
        <w:rPr>
          <w:rFonts w:ascii="Times New Roman" w:hAnsi="Times New Roman" w:cs="Times New Roman"/>
          <w:color w:val="auto"/>
          <w:sz w:val="24"/>
          <w:highlight w:val="none"/>
        </w:rPr>
        <w:t>2.1.</w:t>
      </w:r>
      <w:bookmarkStart w:id="22" w:name="_Hlk176433175"/>
      <w:r>
        <w:rPr>
          <w:rFonts w:hint="eastAsia" w:ascii="Times New Roman" w:hAnsi="Times New Roman" w:cs="Times New Roman"/>
          <w:color w:val="auto"/>
          <w:sz w:val="24"/>
          <w:highlight w:val="none"/>
        </w:rPr>
        <w:t>7</w:t>
      </w:r>
      <w:r>
        <w:rPr>
          <w:rFonts w:ascii="Times New Roman" w:hAnsi="Times New Roman" w:cs="Times New Roman"/>
          <w:color w:val="auto"/>
          <w:sz w:val="24"/>
          <w:highlight w:val="none"/>
        </w:rPr>
        <w:t>远端汇聚单元</w:t>
      </w:r>
      <w:bookmarkEnd w:id="22"/>
      <w:r>
        <w:rPr>
          <w:rFonts w:hint="eastAsia" w:ascii="Times New Roman" w:hAnsi="Times New Roman" w:cs="Times New Roman"/>
          <w:color w:val="auto"/>
          <w:sz w:val="24"/>
          <w:highlight w:val="none"/>
          <w:lang w:val="en-US" w:eastAsia="zh-CN"/>
        </w:rPr>
        <w:t>r</w:t>
      </w:r>
      <w:r>
        <w:rPr>
          <w:rFonts w:hint="eastAsia" w:ascii="Times New Roman" w:hAnsi="Times New Roman" w:cs="Times New Roman"/>
          <w:color w:val="auto"/>
          <w:sz w:val="24"/>
          <w:highlight w:val="none"/>
        </w:rPr>
        <w:t xml:space="preserve">emote </w:t>
      </w:r>
      <w:r>
        <w:rPr>
          <w:rFonts w:hint="eastAsia" w:ascii="Times New Roman" w:hAnsi="Times New Roman" w:cs="Times New Roman"/>
          <w:color w:val="auto"/>
          <w:sz w:val="24"/>
          <w:highlight w:val="none"/>
          <w:lang w:val="en-US" w:eastAsia="zh-CN"/>
        </w:rPr>
        <w:t>a</w:t>
      </w:r>
      <w:r>
        <w:rPr>
          <w:rFonts w:hint="eastAsia" w:ascii="Times New Roman" w:hAnsi="Times New Roman" w:cs="Times New Roman"/>
          <w:color w:val="auto"/>
          <w:sz w:val="24"/>
          <w:highlight w:val="none"/>
        </w:rPr>
        <w:t xml:space="preserve">ggregation </w:t>
      </w:r>
      <w:r>
        <w:rPr>
          <w:rFonts w:hint="eastAsia" w:ascii="Times New Roman" w:hAnsi="Times New Roman" w:cs="Times New Roman"/>
          <w:color w:val="auto"/>
          <w:sz w:val="24"/>
          <w:highlight w:val="none"/>
          <w:lang w:val="en-US" w:eastAsia="zh-CN"/>
        </w:rPr>
        <w:t>u</w:t>
      </w:r>
      <w:r>
        <w:rPr>
          <w:rFonts w:hint="eastAsia" w:ascii="Times New Roman" w:hAnsi="Times New Roman" w:cs="Times New Roman"/>
          <w:color w:val="auto"/>
          <w:sz w:val="24"/>
          <w:highlight w:val="none"/>
        </w:rPr>
        <w:t>nit</w:t>
      </w:r>
    </w:p>
    <w:p w14:paraId="59D8A16F">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远端汇聚单元接收基带单元发送的下行数据，经过转换和分路处理后传给无线射频单元</w:t>
      </w:r>
      <w:r>
        <w:rPr>
          <w:rFonts w:hint="eastAsia" w:ascii="Times New Roman" w:hAnsi="Times New Roman" w:cs="Times New Roman"/>
          <w:color w:val="auto"/>
          <w:sz w:val="24"/>
          <w:highlight w:val="none"/>
          <w:lang w:eastAsia="zh-CN"/>
        </w:rPr>
        <w:t>，</w:t>
      </w:r>
      <w:r>
        <w:rPr>
          <w:rFonts w:ascii="Times New Roman" w:hAnsi="Times New Roman" w:cs="Times New Roman"/>
          <w:color w:val="auto"/>
          <w:sz w:val="24"/>
          <w:highlight w:val="none"/>
        </w:rPr>
        <w:t>将无线射频单元发送的上行数据经过一定的合路处理转换后向基带单元发送，实现与基带单元的通信，通常简称为P-Bridge或R-Hub。</w:t>
      </w:r>
    </w:p>
    <w:p w14:paraId="1CB0676F">
      <w:pPr>
        <w:spacing w:line="400" w:lineRule="exact"/>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2.1.8 无线射频单元</w:t>
      </w:r>
      <w:r>
        <w:rPr>
          <w:rFonts w:hint="eastAsia" w:ascii="Times New Roman" w:hAnsi="Times New Roman" w:cs="Times New Roman"/>
          <w:color w:val="auto"/>
          <w:sz w:val="24"/>
          <w:highlight w:val="none"/>
          <w:lang w:val="en-US" w:eastAsia="zh-CN"/>
        </w:rPr>
        <w:t>r</w:t>
      </w:r>
      <w:r>
        <w:rPr>
          <w:rFonts w:ascii="Times New Roman" w:hAnsi="Times New Roman" w:cs="Times New Roman"/>
          <w:color w:val="auto"/>
          <w:sz w:val="24"/>
          <w:highlight w:val="none"/>
        </w:rPr>
        <w:t xml:space="preserve">adio </w:t>
      </w:r>
      <w:r>
        <w:rPr>
          <w:rFonts w:hint="eastAsia" w:ascii="Times New Roman" w:hAnsi="Times New Roman" w:cs="Times New Roman"/>
          <w:color w:val="auto"/>
          <w:sz w:val="24"/>
          <w:highlight w:val="none"/>
          <w:lang w:val="en-US" w:eastAsia="zh-CN"/>
        </w:rPr>
        <w:t>f</w:t>
      </w:r>
      <w:r>
        <w:rPr>
          <w:rFonts w:hint="eastAsia" w:ascii="Times New Roman" w:hAnsi="Times New Roman" w:cs="Times New Roman"/>
          <w:color w:val="auto"/>
          <w:sz w:val="24"/>
          <w:highlight w:val="none"/>
        </w:rPr>
        <w:t xml:space="preserve">requency </w:t>
      </w:r>
      <w:r>
        <w:rPr>
          <w:rFonts w:hint="eastAsia" w:ascii="Times New Roman" w:hAnsi="Times New Roman" w:cs="Times New Roman"/>
          <w:color w:val="auto"/>
          <w:sz w:val="24"/>
          <w:highlight w:val="none"/>
          <w:lang w:val="en-US" w:eastAsia="zh-CN"/>
        </w:rPr>
        <w:t>u</w:t>
      </w:r>
      <w:r>
        <w:rPr>
          <w:rFonts w:ascii="Times New Roman" w:hAnsi="Times New Roman" w:cs="Times New Roman"/>
          <w:color w:val="auto"/>
          <w:sz w:val="24"/>
          <w:highlight w:val="none"/>
        </w:rPr>
        <w:t>nit</w:t>
      </w:r>
    </w:p>
    <w:p w14:paraId="10F7AD97">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实现射频信号的发射和接收。接收来自远端汇聚单元的下行信号，调制为射频信号后通过天线发射；从天线接收射频信号，进行相应信号处理后，通过远端汇聚单元发送给基带单元处理</w:t>
      </w:r>
      <w:r>
        <w:rPr>
          <w:rFonts w:hint="eastAsia" w:ascii="Times New Roman" w:hAnsi="Times New Roman" w:cs="Times New Roman"/>
          <w:color w:val="auto"/>
          <w:sz w:val="24"/>
          <w:highlight w:val="none"/>
        </w:rPr>
        <w:t>。</w:t>
      </w:r>
    </w:p>
    <w:p w14:paraId="41F68B55">
      <w:pPr>
        <w:spacing w:line="40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2.1.</w:t>
      </w:r>
      <w:r>
        <w:rPr>
          <w:rFonts w:hint="eastAsia" w:ascii="Times New Roman" w:hAnsi="Times New Roman" w:cs="Times New Roman"/>
          <w:color w:val="auto"/>
          <w:sz w:val="24"/>
          <w:highlight w:val="none"/>
        </w:rPr>
        <w:t>9</w:t>
      </w:r>
      <w:r>
        <w:rPr>
          <w:rFonts w:ascii="Times New Roman" w:hAnsi="Times New Roman" w:cs="Times New Roman"/>
          <w:color w:val="auto"/>
          <w:sz w:val="24"/>
          <w:highlight w:val="none"/>
        </w:rPr>
        <w:t xml:space="preserve"> 射频拉远单元</w:t>
      </w:r>
      <w:r>
        <w:rPr>
          <w:rFonts w:hint="eastAsia" w:ascii="Times New Roman" w:hAnsi="Times New Roman" w:cs="Times New Roman"/>
          <w:color w:val="auto"/>
          <w:sz w:val="24"/>
          <w:highlight w:val="none"/>
          <w:lang w:val="en-US" w:eastAsia="zh-CN"/>
        </w:rPr>
        <w:t>r</w:t>
      </w:r>
      <w:r>
        <w:rPr>
          <w:rFonts w:ascii="Times New Roman" w:hAnsi="Times New Roman" w:cs="Times New Roman"/>
          <w:color w:val="auto"/>
          <w:sz w:val="24"/>
          <w:highlight w:val="none"/>
        </w:rPr>
        <w:t xml:space="preserve">emote </w:t>
      </w:r>
      <w:r>
        <w:rPr>
          <w:rFonts w:hint="eastAsia" w:ascii="Times New Roman" w:hAnsi="Times New Roman" w:cs="Times New Roman"/>
          <w:color w:val="auto"/>
          <w:sz w:val="24"/>
          <w:highlight w:val="none"/>
          <w:lang w:val="en-US" w:eastAsia="zh-CN"/>
        </w:rPr>
        <w:t>r</w:t>
      </w:r>
      <w:r>
        <w:rPr>
          <w:rFonts w:ascii="Times New Roman" w:hAnsi="Times New Roman" w:cs="Times New Roman"/>
          <w:color w:val="auto"/>
          <w:sz w:val="24"/>
          <w:highlight w:val="none"/>
        </w:rPr>
        <w:t xml:space="preserve">adio </w:t>
      </w:r>
      <w:r>
        <w:rPr>
          <w:rFonts w:hint="eastAsia" w:ascii="Times New Roman" w:hAnsi="Times New Roman" w:cs="Times New Roman"/>
          <w:color w:val="auto"/>
          <w:sz w:val="24"/>
          <w:highlight w:val="none"/>
          <w:lang w:val="en-US" w:eastAsia="zh-CN"/>
        </w:rPr>
        <w:t>u</w:t>
      </w:r>
      <w:r>
        <w:rPr>
          <w:rFonts w:ascii="Times New Roman" w:hAnsi="Times New Roman" w:cs="Times New Roman"/>
          <w:color w:val="auto"/>
          <w:sz w:val="24"/>
          <w:highlight w:val="none"/>
        </w:rPr>
        <w:t>nit</w:t>
      </w:r>
    </w:p>
    <w:p w14:paraId="1A0C6037">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简称RRU</w:t>
      </w: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将基站的射频部分拉远至覆盖区域，通过光纤与基站的基带单元BBU相连。RRU接收来自BBU的数字基带信号，经过数模转换、上变频、功率放大等处理后将射频信号发射出去，实现无线</w:t>
      </w:r>
      <w:r>
        <w:rPr>
          <w:rFonts w:hint="eastAsia" w:ascii="Times New Roman" w:hAnsi="Times New Roman" w:cs="Times New Roman"/>
          <w:color w:val="auto"/>
          <w:sz w:val="24"/>
          <w:highlight w:val="none"/>
          <w:lang w:val="en-US" w:eastAsia="zh-CN"/>
        </w:rPr>
        <w:t>信号</w:t>
      </w:r>
      <w:r>
        <w:rPr>
          <w:rFonts w:ascii="Times New Roman" w:hAnsi="Times New Roman" w:cs="Times New Roman"/>
          <w:color w:val="auto"/>
          <w:sz w:val="24"/>
          <w:highlight w:val="none"/>
        </w:rPr>
        <w:t>覆盖。</w:t>
      </w:r>
    </w:p>
    <w:p w14:paraId="1DCDCAD6">
      <w:pPr>
        <w:spacing w:line="40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2.1.</w:t>
      </w:r>
      <w:r>
        <w:rPr>
          <w:rFonts w:hint="eastAsia" w:ascii="Times New Roman" w:hAnsi="Times New Roman" w:cs="Times New Roman"/>
          <w:color w:val="auto"/>
          <w:sz w:val="24"/>
          <w:highlight w:val="none"/>
        </w:rPr>
        <w:t xml:space="preserve">10 </w:t>
      </w:r>
      <w:r>
        <w:rPr>
          <w:rFonts w:ascii="Times New Roman" w:hAnsi="Times New Roman" w:cs="Times New Roman"/>
          <w:color w:val="auto"/>
          <w:sz w:val="24"/>
          <w:highlight w:val="none"/>
        </w:rPr>
        <w:t>多系统接入平台</w:t>
      </w:r>
      <w:r>
        <w:rPr>
          <w:rFonts w:hint="eastAsia" w:ascii="Times New Roman" w:hAnsi="Times New Roman" w:cs="Times New Roman"/>
          <w:color w:val="auto"/>
          <w:sz w:val="24"/>
          <w:highlight w:val="none"/>
          <w:lang w:val="en-US" w:eastAsia="zh-CN"/>
        </w:rPr>
        <w:t>p</w:t>
      </w:r>
      <w:r>
        <w:rPr>
          <w:rFonts w:ascii="Times New Roman" w:hAnsi="Times New Roman" w:cs="Times New Roman"/>
          <w:color w:val="auto"/>
          <w:sz w:val="24"/>
          <w:highlight w:val="none"/>
        </w:rPr>
        <w:t xml:space="preserve">oint </w:t>
      </w:r>
      <w:r>
        <w:rPr>
          <w:rFonts w:hint="eastAsia" w:ascii="Times New Roman" w:hAnsi="Times New Roman" w:cs="Times New Roman"/>
          <w:color w:val="auto"/>
          <w:sz w:val="24"/>
          <w:highlight w:val="none"/>
          <w:lang w:val="en-US" w:eastAsia="zh-CN"/>
        </w:rPr>
        <w:t>o</w:t>
      </w:r>
      <w:r>
        <w:rPr>
          <w:rFonts w:ascii="Times New Roman" w:hAnsi="Times New Roman" w:cs="Times New Roman"/>
          <w:color w:val="auto"/>
          <w:sz w:val="24"/>
          <w:highlight w:val="none"/>
        </w:rPr>
        <w:t xml:space="preserve">f </w:t>
      </w:r>
      <w:r>
        <w:rPr>
          <w:rFonts w:hint="eastAsia" w:ascii="Times New Roman" w:hAnsi="Times New Roman" w:cs="Times New Roman"/>
          <w:color w:val="auto"/>
          <w:sz w:val="24"/>
          <w:highlight w:val="none"/>
          <w:lang w:val="en-US" w:eastAsia="zh-CN"/>
        </w:rPr>
        <w:t>i</w:t>
      </w:r>
      <w:r>
        <w:rPr>
          <w:rFonts w:ascii="Times New Roman" w:hAnsi="Times New Roman" w:cs="Times New Roman"/>
          <w:color w:val="auto"/>
          <w:sz w:val="24"/>
          <w:highlight w:val="none"/>
        </w:rPr>
        <w:t>nterface</w:t>
      </w:r>
    </w:p>
    <w:p w14:paraId="3203AA24">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简称POI，运用频率合路器与电桥合路器，根据不同制式将基站或直放站下行信号经POI相应频段的输入端口进行合路和分路，馈送至室内分布系统的辐射口</w:t>
      </w:r>
      <w:r>
        <w:rPr>
          <w:rFonts w:hint="eastAsia" w:ascii="Times New Roman" w:hAnsi="Times New Roman" w:cs="Times New Roman"/>
          <w:color w:val="auto"/>
          <w:sz w:val="24"/>
          <w:highlight w:val="none"/>
          <w:lang w:eastAsia="zh-CN"/>
        </w:rPr>
        <w:t>。</w:t>
      </w:r>
      <w:r>
        <w:rPr>
          <w:rFonts w:ascii="Times New Roman" w:hAnsi="Times New Roman" w:cs="Times New Roman"/>
          <w:color w:val="auto"/>
          <w:sz w:val="24"/>
          <w:highlight w:val="none"/>
        </w:rPr>
        <w:t>同时将其覆盖区域用户终端发送的上行信号通过室分系统送至基站或直放站接收端口。</w:t>
      </w:r>
    </w:p>
    <w:p w14:paraId="5AF65F30">
      <w:pPr>
        <w:spacing w:line="40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2.1.</w:t>
      </w:r>
      <w:bookmarkStart w:id="23" w:name="_Hlk176433245"/>
      <w:r>
        <w:rPr>
          <w:rFonts w:hint="eastAsia" w:ascii="Times New Roman" w:hAnsi="Times New Roman" w:cs="Times New Roman"/>
          <w:color w:val="auto"/>
          <w:sz w:val="24"/>
          <w:highlight w:val="none"/>
        </w:rPr>
        <w:t xml:space="preserve">11 </w:t>
      </w:r>
      <w:r>
        <w:rPr>
          <w:rFonts w:ascii="Times New Roman" w:hAnsi="Times New Roman" w:cs="Times New Roman"/>
          <w:color w:val="auto"/>
          <w:sz w:val="24"/>
          <w:highlight w:val="none"/>
        </w:rPr>
        <w:t xml:space="preserve">泄漏同轴电缆 </w:t>
      </w:r>
      <w:r>
        <w:rPr>
          <w:rFonts w:hint="eastAsia" w:ascii="Times New Roman" w:hAnsi="Times New Roman" w:cs="Times New Roman"/>
          <w:color w:val="auto"/>
          <w:sz w:val="24"/>
          <w:highlight w:val="none"/>
          <w:lang w:val="en-US" w:eastAsia="zh-CN"/>
        </w:rPr>
        <w:t>l</w:t>
      </w:r>
      <w:r>
        <w:rPr>
          <w:rFonts w:ascii="Times New Roman" w:hAnsi="Times New Roman" w:cs="Times New Roman"/>
          <w:color w:val="auto"/>
          <w:sz w:val="24"/>
          <w:highlight w:val="none"/>
        </w:rPr>
        <w:t xml:space="preserve">eaky coaxial </w:t>
      </w:r>
      <w:r>
        <w:rPr>
          <w:rFonts w:hint="eastAsia" w:ascii="Times New Roman" w:hAnsi="Times New Roman" w:cs="Times New Roman"/>
          <w:color w:val="auto"/>
          <w:sz w:val="24"/>
          <w:highlight w:val="none"/>
          <w:lang w:val="en-US" w:eastAsia="zh-CN"/>
        </w:rPr>
        <w:t>c</w:t>
      </w:r>
      <w:r>
        <w:rPr>
          <w:rFonts w:ascii="Times New Roman" w:hAnsi="Times New Roman" w:cs="Times New Roman"/>
          <w:color w:val="auto"/>
          <w:sz w:val="24"/>
          <w:highlight w:val="none"/>
        </w:rPr>
        <w:t>able</w:t>
      </w:r>
      <w:bookmarkEnd w:id="23"/>
    </w:p>
    <w:p w14:paraId="1E7DC5E2">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泄漏同轴电缆是</w:t>
      </w:r>
      <w:r>
        <w:rPr>
          <w:rFonts w:hint="eastAsia" w:ascii="Times New Roman" w:hAnsi="Times New Roman" w:cs="Times New Roman"/>
          <w:color w:val="auto"/>
          <w:sz w:val="24"/>
          <w:highlight w:val="none"/>
        </w:rPr>
        <w:t>一种不完全屏蔽的同轴电缆，电磁波可在其导向结构中纵向传播，可按弱磁耦合原理或缝隙天线原理与其周围空间之间实现射频能量的双向传播。</w:t>
      </w:r>
    </w:p>
    <w:p w14:paraId="54D81CC6">
      <w:pPr>
        <w:spacing w:line="40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2.1.1</w:t>
      </w:r>
      <w:r>
        <w:rPr>
          <w:rFonts w:hint="eastAsia" w:ascii="Times New Roman" w:hAnsi="Times New Roman" w:cs="Times New Roman"/>
          <w:color w:val="auto"/>
          <w:sz w:val="24"/>
          <w:highlight w:val="none"/>
        </w:rPr>
        <w:t>2</w:t>
      </w:r>
      <w:r>
        <w:rPr>
          <w:rFonts w:ascii="Times New Roman" w:hAnsi="Times New Roman" w:cs="Times New Roman"/>
          <w:color w:val="auto"/>
          <w:sz w:val="24"/>
          <w:highlight w:val="none"/>
        </w:rPr>
        <w:t xml:space="preserve"> 射频同轴电缆 </w:t>
      </w:r>
      <w:r>
        <w:rPr>
          <w:rFonts w:hint="eastAsia" w:ascii="Times New Roman" w:hAnsi="Times New Roman" w:cs="Times New Roman"/>
          <w:color w:val="auto"/>
          <w:sz w:val="24"/>
          <w:highlight w:val="none"/>
          <w:lang w:val="en-US" w:eastAsia="zh-CN"/>
        </w:rPr>
        <w:t>RF</w:t>
      </w:r>
      <w:r>
        <w:rPr>
          <w:rFonts w:ascii="Times New Roman" w:hAnsi="Times New Roman" w:cs="Times New Roman"/>
          <w:color w:val="auto"/>
          <w:sz w:val="24"/>
          <w:highlight w:val="none"/>
        </w:rPr>
        <w:t xml:space="preserve"> </w:t>
      </w:r>
      <w:r>
        <w:rPr>
          <w:rFonts w:hint="eastAsia" w:ascii="Times New Roman" w:hAnsi="Times New Roman" w:cs="Times New Roman"/>
          <w:color w:val="auto"/>
          <w:sz w:val="24"/>
          <w:highlight w:val="none"/>
          <w:lang w:val="en-US" w:eastAsia="zh-CN"/>
        </w:rPr>
        <w:t>c</w:t>
      </w:r>
      <w:r>
        <w:rPr>
          <w:rFonts w:ascii="Times New Roman" w:hAnsi="Times New Roman" w:cs="Times New Roman"/>
          <w:color w:val="auto"/>
          <w:sz w:val="24"/>
          <w:highlight w:val="none"/>
        </w:rPr>
        <w:t xml:space="preserve">oaxial </w:t>
      </w:r>
      <w:r>
        <w:rPr>
          <w:rFonts w:hint="eastAsia" w:ascii="Times New Roman" w:hAnsi="Times New Roman" w:cs="Times New Roman"/>
          <w:color w:val="auto"/>
          <w:sz w:val="24"/>
          <w:highlight w:val="none"/>
          <w:lang w:val="en-US" w:eastAsia="zh-CN"/>
        </w:rPr>
        <w:t>c</w:t>
      </w:r>
      <w:r>
        <w:rPr>
          <w:rFonts w:ascii="Times New Roman" w:hAnsi="Times New Roman" w:cs="Times New Roman"/>
          <w:color w:val="auto"/>
          <w:sz w:val="24"/>
          <w:highlight w:val="none"/>
        </w:rPr>
        <w:t>able</w:t>
      </w:r>
    </w:p>
    <w:p w14:paraId="31E1B986">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外导体和内导体共用同一轴心的电缆。主要为皱纹铜外导体射频同轴电缆和编织外导体射频同轴电缆在室分系统中用于的无线工作频段的通信信号馈送。</w:t>
      </w:r>
    </w:p>
    <w:p w14:paraId="6F12FE59">
      <w:pPr>
        <w:spacing w:line="40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2.1.1</w:t>
      </w:r>
      <w:r>
        <w:rPr>
          <w:rFonts w:hint="eastAsia" w:ascii="Times New Roman" w:hAnsi="Times New Roman" w:cs="Times New Roman"/>
          <w:color w:val="auto"/>
          <w:sz w:val="24"/>
          <w:highlight w:val="none"/>
        </w:rPr>
        <w:t>3</w:t>
      </w:r>
      <w:r>
        <w:rPr>
          <w:rFonts w:ascii="Times New Roman" w:hAnsi="Times New Roman" w:cs="Times New Roman"/>
          <w:color w:val="auto"/>
          <w:sz w:val="24"/>
          <w:highlight w:val="none"/>
        </w:rPr>
        <w:t xml:space="preserve"> 光电复合缆 </w:t>
      </w:r>
      <w:r>
        <w:rPr>
          <w:rFonts w:hint="eastAsia" w:ascii="Times New Roman" w:hAnsi="Times New Roman" w:cs="Times New Roman"/>
          <w:color w:val="auto"/>
          <w:sz w:val="24"/>
          <w:highlight w:val="none"/>
          <w:lang w:val="en-US" w:eastAsia="zh-CN"/>
        </w:rPr>
        <w:t>p</w:t>
      </w:r>
      <w:r>
        <w:rPr>
          <w:rFonts w:ascii="Times New Roman" w:hAnsi="Times New Roman" w:cs="Times New Roman"/>
          <w:color w:val="auto"/>
          <w:sz w:val="24"/>
          <w:highlight w:val="none"/>
        </w:rPr>
        <w:t xml:space="preserve">hotoelectric </w:t>
      </w:r>
      <w:r>
        <w:rPr>
          <w:rFonts w:hint="eastAsia" w:ascii="Times New Roman" w:hAnsi="Times New Roman" w:cs="Times New Roman"/>
          <w:color w:val="auto"/>
          <w:sz w:val="24"/>
          <w:highlight w:val="none"/>
          <w:lang w:val="en-US" w:eastAsia="zh-CN"/>
        </w:rPr>
        <w:t>c</w:t>
      </w:r>
      <w:r>
        <w:rPr>
          <w:rFonts w:ascii="Times New Roman" w:hAnsi="Times New Roman" w:cs="Times New Roman"/>
          <w:color w:val="auto"/>
          <w:sz w:val="24"/>
          <w:highlight w:val="none"/>
        </w:rPr>
        <w:t xml:space="preserve">omposite </w:t>
      </w:r>
      <w:r>
        <w:rPr>
          <w:rFonts w:hint="eastAsia" w:ascii="Times New Roman" w:hAnsi="Times New Roman" w:cs="Times New Roman"/>
          <w:color w:val="auto"/>
          <w:sz w:val="24"/>
          <w:highlight w:val="none"/>
          <w:lang w:val="en-US" w:eastAsia="zh-CN"/>
        </w:rPr>
        <w:t>c</w:t>
      </w:r>
      <w:r>
        <w:rPr>
          <w:rFonts w:ascii="Times New Roman" w:hAnsi="Times New Roman" w:cs="Times New Roman"/>
          <w:color w:val="auto"/>
          <w:sz w:val="24"/>
          <w:highlight w:val="none"/>
        </w:rPr>
        <w:t>able</w:t>
      </w:r>
    </w:p>
    <w:p w14:paraId="718F84C9">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一种混合了传输光信号的单芯或者多芯光纤以及向远端有源设备传输电能的</w:t>
      </w:r>
      <w:r>
        <w:rPr>
          <w:rFonts w:hint="eastAsia" w:ascii="Times New Roman" w:hAnsi="Times New Roman" w:cs="Times New Roman"/>
          <w:color w:val="auto"/>
          <w:sz w:val="24"/>
          <w:highlight w:val="none"/>
        </w:rPr>
        <w:t>单</w:t>
      </w:r>
      <w:r>
        <w:rPr>
          <w:rFonts w:ascii="Times New Roman" w:hAnsi="Times New Roman" w:cs="Times New Roman"/>
          <w:color w:val="auto"/>
          <w:sz w:val="24"/>
          <w:highlight w:val="none"/>
        </w:rPr>
        <w:t>对或多对铜线复合缆</w:t>
      </w:r>
      <w:r>
        <w:rPr>
          <w:rFonts w:hint="eastAsia" w:ascii="Times New Roman" w:hAnsi="Times New Roman" w:cs="Times New Roman"/>
          <w:color w:val="auto"/>
          <w:sz w:val="24"/>
          <w:highlight w:val="none"/>
        </w:rPr>
        <w:t>。</w:t>
      </w:r>
    </w:p>
    <w:p w14:paraId="2EE061C4">
      <w:pPr>
        <w:spacing w:line="40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2.1.1</w:t>
      </w:r>
      <w:r>
        <w:rPr>
          <w:rFonts w:hint="eastAsia" w:ascii="Times New Roman" w:hAnsi="Times New Roman" w:cs="Times New Roman"/>
          <w:color w:val="auto"/>
          <w:sz w:val="24"/>
          <w:highlight w:val="none"/>
        </w:rPr>
        <w:t>4</w:t>
      </w:r>
      <w:r>
        <w:rPr>
          <w:rFonts w:ascii="Times New Roman" w:hAnsi="Times New Roman" w:cs="Times New Roman"/>
          <w:color w:val="auto"/>
          <w:sz w:val="24"/>
          <w:highlight w:val="none"/>
        </w:rPr>
        <w:t xml:space="preserve"> 覆盖率 </w:t>
      </w:r>
      <w:r>
        <w:rPr>
          <w:rFonts w:hint="eastAsia" w:ascii="Times New Roman" w:hAnsi="Times New Roman" w:cs="Times New Roman"/>
          <w:color w:val="auto"/>
          <w:sz w:val="24"/>
          <w:highlight w:val="none"/>
          <w:lang w:val="en-US" w:eastAsia="zh-CN"/>
        </w:rPr>
        <w:t>s</w:t>
      </w:r>
      <w:r>
        <w:rPr>
          <w:rFonts w:ascii="Times New Roman" w:hAnsi="Times New Roman" w:cs="Times New Roman"/>
          <w:color w:val="auto"/>
          <w:sz w:val="24"/>
          <w:highlight w:val="none"/>
        </w:rPr>
        <w:t xml:space="preserve">ignal </w:t>
      </w:r>
      <w:r>
        <w:rPr>
          <w:rFonts w:hint="eastAsia" w:ascii="Times New Roman" w:hAnsi="Times New Roman" w:cs="Times New Roman"/>
          <w:color w:val="auto"/>
          <w:sz w:val="24"/>
          <w:highlight w:val="none"/>
          <w:lang w:val="en-US" w:eastAsia="zh-CN"/>
        </w:rPr>
        <w:t>c</w:t>
      </w:r>
      <w:r>
        <w:rPr>
          <w:rFonts w:ascii="Times New Roman" w:hAnsi="Times New Roman" w:cs="Times New Roman"/>
          <w:color w:val="auto"/>
          <w:sz w:val="24"/>
          <w:highlight w:val="none"/>
        </w:rPr>
        <w:t>overage</w:t>
      </w:r>
    </w:p>
    <w:p w14:paraId="55533F18">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在划定的覆盖范围内（目标覆盖范围内或边缘区域） 获得所规定功率占有率，即表示为（获得所规定场强或功率数值的来样测试点数／目标覆盖范围来样测试点总数）×100%或（在规定覆盖区域内的符合某一规定的场强或功率之内的采样点数／规定覆盖区域内的采样总数）×100%。</w:t>
      </w:r>
    </w:p>
    <w:p w14:paraId="36C21449">
      <w:pPr>
        <w:spacing w:line="40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2.1.1</w:t>
      </w:r>
      <w:r>
        <w:rPr>
          <w:rFonts w:hint="eastAsia" w:ascii="Times New Roman" w:hAnsi="Times New Roman" w:cs="Times New Roman"/>
          <w:color w:val="auto"/>
          <w:sz w:val="24"/>
          <w:highlight w:val="none"/>
        </w:rPr>
        <w:t>5</w:t>
      </w:r>
      <w:r>
        <w:rPr>
          <w:rFonts w:ascii="Times New Roman" w:hAnsi="Times New Roman" w:cs="Times New Roman"/>
          <w:color w:val="auto"/>
          <w:sz w:val="24"/>
          <w:highlight w:val="none"/>
        </w:rPr>
        <w:t xml:space="preserve"> 语音呼叫建立成功率 </w:t>
      </w:r>
      <w:r>
        <w:rPr>
          <w:rFonts w:hint="eastAsia" w:ascii="Times New Roman" w:hAnsi="Times New Roman" w:cs="Times New Roman"/>
          <w:color w:val="auto"/>
          <w:sz w:val="24"/>
          <w:highlight w:val="none"/>
          <w:lang w:val="en-US" w:eastAsia="zh-CN"/>
        </w:rPr>
        <w:t>v</w:t>
      </w:r>
      <w:r>
        <w:rPr>
          <w:rFonts w:ascii="Times New Roman" w:hAnsi="Times New Roman" w:cs="Times New Roman"/>
          <w:color w:val="auto"/>
          <w:sz w:val="24"/>
          <w:highlight w:val="none"/>
        </w:rPr>
        <w:t xml:space="preserve">oice </w:t>
      </w:r>
      <w:r>
        <w:rPr>
          <w:rFonts w:hint="eastAsia" w:ascii="Times New Roman" w:hAnsi="Times New Roman" w:cs="Times New Roman"/>
          <w:color w:val="auto"/>
          <w:sz w:val="24"/>
          <w:highlight w:val="none"/>
          <w:lang w:val="en-US" w:eastAsia="zh-CN"/>
        </w:rPr>
        <w:t>c</w:t>
      </w:r>
      <w:r>
        <w:rPr>
          <w:rFonts w:ascii="Times New Roman" w:hAnsi="Times New Roman" w:cs="Times New Roman"/>
          <w:color w:val="auto"/>
          <w:sz w:val="24"/>
          <w:highlight w:val="none"/>
        </w:rPr>
        <w:t xml:space="preserve">all </w:t>
      </w:r>
      <w:r>
        <w:rPr>
          <w:rFonts w:hint="eastAsia" w:ascii="Times New Roman" w:hAnsi="Times New Roman" w:cs="Times New Roman"/>
          <w:color w:val="auto"/>
          <w:sz w:val="24"/>
          <w:highlight w:val="none"/>
          <w:lang w:val="en-US" w:eastAsia="zh-CN"/>
        </w:rPr>
        <w:t>s</w:t>
      </w:r>
      <w:r>
        <w:rPr>
          <w:rFonts w:ascii="Times New Roman" w:hAnsi="Times New Roman" w:cs="Times New Roman"/>
          <w:color w:val="auto"/>
          <w:sz w:val="24"/>
          <w:highlight w:val="none"/>
        </w:rPr>
        <w:t xml:space="preserve">etup </w:t>
      </w:r>
      <w:r>
        <w:rPr>
          <w:rFonts w:hint="eastAsia" w:ascii="Times New Roman" w:hAnsi="Times New Roman" w:cs="Times New Roman"/>
          <w:color w:val="auto"/>
          <w:sz w:val="24"/>
          <w:highlight w:val="none"/>
          <w:lang w:val="en-US" w:eastAsia="zh-CN"/>
        </w:rPr>
        <w:t>s</w:t>
      </w:r>
      <w:r>
        <w:rPr>
          <w:rFonts w:ascii="Times New Roman" w:hAnsi="Times New Roman" w:cs="Times New Roman"/>
          <w:color w:val="auto"/>
          <w:sz w:val="24"/>
          <w:highlight w:val="none"/>
        </w:rPr>
        <w:t xml:space="preserve">uccess </w:t>
      </w:r>
      <w:r>
        <w:rPr>
          <w:rFonts w:hint="eastAsia" w:ascii="Times New Roman" w:hAnsi="Times New Roman" w:cs="Times New Roman"/>
          <w:color w:val="auto"/>
          <w:sz w:val="24"/>
          <w:highlight w:val="none"/>
          <w:lang w:val="en-US" w:eastAsia="zh-CN"/>
        </w:rPr>
        <w:t>r</w:t>
      </w:r>
      <w:r>
        <w:rPr>
          <w:rFonts w:ascii="Times New Roman" w:hAnsi="Times New Roman" w:cs="Times New Roman"/>
          <w:color w:val="auto"/>
          <w:sz w:val="24"/>
          <w:highlight w:val="none"/>
        </w:rPr>
        <w:t>ate</w:t>
      </w:r>
    </w:p>
    <w:p w14:paraId="46126DE8">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在获得所规定场强或功率占有率范围内呼叫建链的成功率，即表示为：</w:t>
      </w:r>
    </w:p>
    <w:p w14:paraId="2D4462B1">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（成功的呼叫或应答次数／总的呼叫尝试次数）×100%。</w:t>
      </w:r>
    </w:p>
    <w:p w14:paraId="5BFA35C0">
      <w:pPr>
        <w:spacing w:line="40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2.1.1</w:t>
      </w:r>
      <w:r>
        <w:rPr>
          <w:rFonts w:hint="eastAsia" w:ascii="Times New Roman" w:hAnsi="Times New Roman" w:cs="Times New Roman"/>
          <w:color w:val="auto"/>
          <w:sz w:val="24"/>
          <w:highlight w:val="none"/>
        </w:rPr>
        <w:t>6</w:t>
      </w:r>
      <w:r>
        <w:rPr>
          <w:rFonts w:ascii="Times New Roman" w:hAnsi="Times New Roman" w:cs="Times New Roman"/>
          <w:color w:val="auto"/>
          <w:sz w:val="24"/>
          <w:highlight w:val="none"/>
        </w:rPr>
        <w:t xml:space="preserve"> 语音掉话率 </w:t>
      </w:r>
      <w:r>
        <w:rPr>
          <w:rFonts w:hint="eastAsia" w:ascii="Times New Roman" w:hAnsi="Times New Roman" w:cs="Times New Roman"/>
          <w:color w:val="auto"/>
          <w:sz w:val="24"/>
          <w:highlight w:val="none"/>
          <w:lang w:val="en-US" w:eastAsia="zh-CN"/>
        </w:rPr>
        <w:t>v</w:t>
      </w:r>
      <w:r>
        <w:rPr>
          <w:rFonts w:ascii="Times New Roman" w:hAnsi="Times New Roman" w:cs="Times New Roman"/>
          <w:color w:val="auto"/>
          <w:sz w:val="24"/>
          <w:highlight w:val="none"/>
        </w:rPr>
        <w:t xml:space="preserve">oice call </w:t>
      </w:r>
      <w:r>
        <w:rPr>
          <w:rFonts w:hint="eastAsia" w:ascii="Times New Roman" w:hAnsi="Times New Roman" w:cs="Times New Roman"/>
          <w:color w:val="auto"/>
          <w:sz w:val="24"/>
          <w:highlight w:val="none"/>
          <w:lang w:val="en-US" w:eastAsia="zh-CN"/>
        </w:rPr>
        <w:t>d</w:t>
      </w:r>
      <w:r>
        <w:rPr>
          <w:rFonts w:ascii="Times New Roman" w:hAnsi="Times New Roman" w:cs="Times New Roman"/>
          <w:color w:val="auto"/>
          <w:sz w:val="24"/>
          <w:highlight w:val="none"/>
        </w:rPr>
        <w:t xml:space="preserve">rop </w:t>
      </w:r>
      <w:r>
        <w:rPr>
          <w:rFonts w:hint="eastAsia" w:ascii="Times New Roman" w:hAnsi="Times New Roman" w:cs="Times New Roman"/>
          <w:color w:val="auto"/>
          <w:sz w:val="24"/>
          <w:highlight w:val="none"/>
          <w:lang w:val="en-US" w:eastAsia="zh-CN"/>
        </w:rPr>
        <w:t>r</w:t>
      </w:r>
      <w:r>
        <w:rPr>
          <w:rFonts w:ascii="Times New Roman" w:hAnsi="Times New Roman" w:cs="Times New Roman"/>
          <w:color w:val="auto"/>
          <w:sz w:val="24"/>
          <w:highlight w:val="none"/>
        </w:rPr>
        <w:t xml:space="preserve">ate </w:t>
      </w:r>
    </w:p>
    <w:p w14:paraId="7E515E07">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在获得所规定场强或功率占有率范围内掉话率，即表示为： </w:t>
      </w:r>
    </w:p>
    <w:p w14:paraId="24C652C1">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语音业务掉话次数／释放前语音业务占用次数×100%</w:t>
      </w:r>
    </w:p>
    <w:p w14:paraId="28368C9A">
      <w:pPr>
        <w:spacing w:line="40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2.1.1</w:t>
      </w:r>
      <w:r>
        <w:rPr>
          <w:rFonts w:hint="eastAsia" w:ascii="Times New Roman" w:hAnsi="Times New Roman" w:cs="Times New Roman"/>
          <w:color w:val="auto"/>
          <w:sz w:val="24"/>
          <w:highlight w:val="none"/>
        </w:rPr>
        <w:t xml:space="preserve">7 </w:t>
      </w:r>
      <w:r>
        <w:rPr>
          <w:rFonts w:ascii="Times New Roman" w:hAnsi="Times New Roman" w:cs="Times New Roman"/>
          <w:color w:val="auto"/>
          <w:sz w:val="24"/>
          <w:highlight w:val="none"/>
        </w:rPr>
        <w:t xml:space="preserve">信号分布系统 </w:t>
      </w:r>
      <w:r>
        <w:rPr>
          <w:rFonts w:hint="eastAsia" w:ascii="Times New Roman" w:hAnsi="Times New Roman" w:cs="Times New Roman"/>
          <w:color w:val="auto"/>
          <w:sz w:val="24"/>
          <w:highlight w:val="none"/>
          <w:lang w:val="en-US" w:eastAsia="zh-CN"/>
        </w:rPr>
        <w:t>s</w:t>
      </w:r>
      <w:r>
        <w:rPr>
          <w:rFonts w:ascii="Times New Roman" w:hAnsi="Times New Roman" w:cs="Times New Roman"/>
          <w:color w:val="auto"/>
          <w:sz w:val="24"/>
          <w:highlight w:val="none"/>
        </w:rPr>
        <w:t xml:space="preserve">ignal </w:t>
      </w:r>
      <w:r>
        <w:rPr>
          <w:rFonts w:hint="eastAsia" w:ascii="Times New Roman" w:hAnsi="Times New Roman" w:cs="Times New Roman"/>
          <w:color w:val="auto"/>
          <w:sz w:val="24"/>
          <w:highlight w:val="none"/>
          <w:lang w:val="en-US" w:eastAsia="zh-CN"/>
        </w:rPr>
        <w:t>d</w:t>
      </w:r>
      <w:r>
        <w:rPr>
          <w:rFonts w:ascii="Times New Roman" w:hAnsi="Times New Roman" w:cs="Times New Roman"/>
          <w:color w:val="auto"/>
          <w:sz w:val="24"/>
          <w:highlight w:val="none"/>
        </w:rPr>
        <w:t xml:space="preserve">istributing </w:t>
      </w:r>
      <w:r>
        <w:rPr>
          <w:rFonts w:hint="eastAsia" w:ascii="Times New Roman" w:hAnsi="Times New Roman" w:cs="Times New Roman"/>
          <w:color w:val="auto"/>
          <w:sz w:val="24"/>
          <w:highlight w:val="none"/>
          <w:lang w:val="en-US" w:eastAsia="zh-CN"/>
        </w:rPr>
        <w:t>s</w:t>
      </w:r>
      <w:r>
        <w:rPr>
          <w:rFonts w:ascii="Times New Roman" w:hAnsi="Times New Roman" w:cs="Times New Roman"/>
          <w:color w:val="auto"/>
          <w:sz w:val="24"/>
          <w:highlight w:val="none"/>
        </w:rPr>
        <w:t>ystem</w:t>
      </w:r>
      <w:r>
        <w:rPr>
          <w:rFonts w:hint="eastAsia" w:ascii="Times New Roman" w:hAnsi="Times New Roman" w:cs="Times New Roman"/>
          <w:color w:val="auto"/>
          <w:sz w:val="24"/>
          <w:highlight w:val="none"/>
        </w:rPr>
        <w:t xml:space="preserve"> </w:t>
      </w:r>
    </w:p>
    <w:p w14:paraId="703A1DA9">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将移动通信基站的信号均匀分布在建筑物各个区域，从而保证</w:t>
      </w:r>
      <w:r>
        <w:rPr>
          <w:rFonts w:hint="eastAsia" w:ascii="Times New Roman" w:hAnsi="Times New Roman" w:cs="Times New Roman"/>
          <w:color w:val="auto"/>
          <w:sz w:val="24"/>
          <w:highlight w:val="none"/>
        </w:rPr>
        <w:t>各</w:t>
      </w:r>
      <w:r>
        <w:rPr>
          <w:rFonts w:ascii="Times New Roman" w:hAnsi="Times New Roman" w:cs="Times New Roman"/>
          <w:color w:val="auto"/>
          <w:sz w:val="24"/>
          <w:highlight w:val="none"/>
        </w:rPr>
        <w:t>区域拥有良好的信号覆盖。通常情况下，</w:t>
      </w:r>
      <w:r>
        <w:rPr>
          <w:rFonts w:hint="eastAsia" w:ascii="Times New Roman" w:hAnsi="Times New Roman" w:cs="Times New Roman"/>
          <w:color w:val="auto"/>
          <w:sz w:val="24"/>
          <w:highlight w:val="none"/>
        </w:rPr>
        <w:t>信号分布</w:t>
      </w:r>
      <w:r>
        <w:rPr>
          <w:rFonts w:ascii="Times New Roman" w:hAnsi="Times New Roman" w:cs="Times New Roman"/>
          <w:color w:val="auto"/>
          <w:sz w:val="24"/>
          <w:highlight w:val="none"/>
        </w:rPr>
        <w:t>系统包括信源设备、远端设备、末端设备器件、电源设备、传输设备、天线和连接线缆等。</w:t>
      </w:r>
    </w:p>
    <w:p w14:paraId="5FC292AD">
      <w:pPr>
        <w:widowControl/>
        <w:ind w:firstLine="480"/>
        <w:jc w:val="left"/>
        <w:rPr>
          <w:rFonts w:ascii="Times New Roman" w:hAnsi="Times New Roman" w:cs="Times New Roman"/>
          <w:b/>
          <w:bCs/>
          <w:color w:val="auto"/>
          <w:sz w:val="24"/>
          <w:highlight w:val="none"/>
        </w:rPr>
      </w:pPr>
      <w:r>
        <w:rPr>
          <w:rFonts w:ascii="Times New Roman" w:hAnsi="Times New Roman"/>
          <w:color w:val="auto"/>
          <w:highlight w:val="none"/>
        </w:rPr>
        <w:br w:type="page"/>
      </w:r>
    </w:p>
    <w:p w14:paraId="008E1DC2">
      <w:pPr>
        <w:pStyle w:val="3"/>
        <w:ind w:firstLine="482"/>
        <w:rPr>
          <w:color w:val="auto"/>
          <w:highlight w:val="none"/>
        </w:rPr>
      </w:pPr>
      <w:bookmarkStart w:id="24" w:name="_Toc180960172"/>
      <w:bookmarkStart w:id="25" w:name="_Toc10785"/>
      <w:bookmarkStart w:id="26" w:name="_Toc31359"/>
      <w:r>
        <w:rPr>
          <w:color w:val="auto"/>
          <w:highlight w:val="none"/>
        </w:rPr>
        <w:t xml:space="preserve">2.2 </w:t>
      </w:r>
      <w:r>
        <w:rPr>
          <w:rFonts w:hint="eastAsia"/>
          <w:color w:val="auto"/>
          <w:highlight w:val="none"/>
        </w:rPr>
        <w:t>缩略语</w:t>
      </w:r>
      <w:bookmarkEnd w:id="24"/>
      <w:bookmarkEnd w:id="25"/>
      <w:bookmarkEnd w:id="26"/>
    </w:p>
    <w:tbl>
      <w:tblPr>
        <w:tblStyle w:val="30"/>
        <w:tblW w:w="8227" w:type="dxa"/>
        <w:tblInd w:w="0" w:type="dxa"/>
        <w:tblLayout w:type="fixed"/>
        <w:tblCellMar>
          <w:top w:w="0" w:type="dxa"/>
          <w:left w:w="0" w:type="dxa"/>
          <w:bottom w:w="0" w:type="dxa"/>
          <w:right w:w="0" w:type="dxa"/>
        </w:tblCellMar>
      </w:tblPr>
      <w:tblGrid>
        <w:gridCol w:w="1244"/>
        <w:gridCol w:w="3602"/>
        <w:gridCol w:w="3381"/>
      </w:tblGrid>
      <w:tr w14:paraId="1536B8A7">
        <w:tblPrEx>
          <w:tblCellMar>
            <w:top w:w="0" w:type="dxa"/>
            <w:left w:w="0" w:type="dxa"/>
            <w:bottom w:w="0" w:type="dxa"/>
            <w:right w:w="0" w:type="dxa"/>
          </w:tblCellMar>
        </w:tblPrEx>
        <w:trPr>
          <w:trHeight w:val="380" w:hRule="atLeast"/>
        </w:trPr>
        <w:tc>
          <w:tcPr>
            <w:tcW w:w="1244" w:type="dxa"/>
          </w:tcPr>
          <w:p w14:paraId="68C648C6">
            <w:pPr>
              <w:pStyle w:val="96"/>
              <w:rPr>
                <w:color w:val="auto"/>
                <w:highlight w:val="none"/>
              </w:rPr>
            </w:pPr>
            <w:r>
              <w:rPr>
                <w:color w:val="auto"/>
                <w:highlight w:val="none"/>
              </w:rPr>
              <w:t>AP</w:t>
            </w:r>
          </w:p>
        </w:tc>
        <w:tc>
          <w:tcPr>
            <w:tcW w:w="3602" w:type="dxa"/>
          </w:tcPr>
          <w:p w14:paraId="55AD9F20">
            <w:pPr>
              <w:pStyle w:val="96"/>
              <w:rPr>
                <w:color w:val="auto"/>
                <w:highlight w:val="none"/>
              </w:rPr>
            </w:pPr>
            <w:r>
              <w:rPr>
                <w:color w:val="auto"/>
                <w:highlight w:val="none"/>
              </w:rPr>
              <w:t>Access Point</w:t>
            </w:r>
          </w:p>
        </w:tc>
        <w:tc>
          <w:tcPr>
            <w:tcW w:w="3381" w:type="dxa"/>
          </w:tcPr>
          <w:p w14:paraId="5FF684E3">
            <w:pPr>
              <w:pStyle w:val="96"/>
              <w:rPr>
                <w:color w:val="auto"/>
                <w:highlight w:val="none"/>
              </w:rPr>
            </w:pPr>
            <w:r>
              <w:rPr>
                <w:color w:val="auto"/>
                <w:highlight w:val="none"/>
              </w:rPr>
              <w:t>WLAN无线接入点</w:t>
            </w:r>
          </w:p>
        </w:tc>
      </w:tr>
      <w:tr w14:paraId="15C9E3AC">
        <w:tblPrEx>
          <w:tblCellMar>
            <w:top w:w="0" w:type="dxa"/>
            <w:left w:w="0" w:type="dxa"/>
            <w:bottom w:w="0" w:type="dxa"/>
            <w:right w:w="0" w:type="dxa"/>
          </w:tblCellMar>
        </w:tblPrEx>
        <w:trPr>
          <w:trHeight w:val="380" w:hRule="atLeast"/>
        </w:trPr>
        <w:tc>
          <w:tcPr>
            <w:tcW w:w="1244" w:type="dxa"/>
          </w:tcPr>
          <w:p w14:paraId="371E443F">
            <w:pPr>
              <w:pStyle w:val="96"/>
              <w:rPr>
                <w:color w:val="auto"/>
                <w:highlight w:val="none"/>
              </w:rPr>
            </w:pPr>
            <w:r>
              <w:rPr>
                <w:color w:val="auto"/>
                <w:highlight w:val="none"/>
              </w:rPr>
              <w:t>CQT</w:t>
            </w:r>
          </w:p>
        </w:tc>
        <w:tc>
          <w:tcPr>
            <w:tcW w:w="3602" w:type="dxa"/>
          </w:tcPr>
          <w:p w14:paraId="223CA53A">
            <w:pPr>
              <w:pStyle w:val="96"/>
              <w:rPr>
                <w:color w:val="auto"/>
                <w:highlight w:val="none"/>
              </w:rPr>
            </w:pPr>
            <w:r>
              <w:rPr>
                <w:color w:val="auto"/>
                <w:highlight w:val="none"/>
              </w:rPr>
              <w:t>Call Quality Test</w:t>
            </w:r>
          </w:p>
        </w:tc>
        <w:tc>
          <w:tcPr>
            <w:tcW w:w="3381" w:type="dxa"/>
          </w:tcPr>
          <w:p w14:paraId="306FE136">
            <w:pPr>
              <w:pStyle w:val="96"/>
              <w:rPr>
                <w:color w:val="auto"/>
                <w:highlight w:val="none"/>
              </w:rPr>
            </w:pPr>
            <w:r>
              <w:rPr>
                <w:color w:val="auto"/>
                <w:highlight w:val="none"/>
              </w:rPr>
              <w:t>语音呼叫质量测试</w:t>
            </w:r>
          </w:p>
        </w:tc>
      </w:tr>
      <w:tr w14:paraId="2034D2C9">
        <w:tblPrEx>
          <w:tblCellMar>
            <w:top w:w="0" w:type="dxa"/>
            <w:left w:w="0" w:type="dxa"/>
            <w:bottom w:w="0" w:type="dxa"/>
            <w:right w:w="0" w:type="dxa"/>
          </w:tblCellMar>
        </w:tblPrEx>
        <w:trPr>
          <w:trHeight w:val="380" w:hRule="atLeast"/>
        </w:trPr>
        <w:tc>
          <w:tcPr>
            <w:tcW w:w="1244" w:type="dxa"/>
          </w:tcPr>
          <w:p w14:paraId="24D1C184">
            <w:pPr>
              <w:pStyle w:val="96"/>
              <w:rPr>
                <w:color w:val="auto"/>
                <w:highlight w:val="none"/>
              </w:rPr>
            </w:pPr>
            <w:r>
              <w:rPr>
                <w:color w:val="auto"/>
                <w:highlight w:val="none"/>
              </w:rPr>
              <w:t>DT</w:t>
            </w:r>
          </w:p>
        </w:tc>
        <w:tc>
          <w:tcPr>
            <w:tcW w:w="3602" w:type="dxa"/>
          </w:tcPr>
          <w:p w14:paraId="25E2301A">
            <w:pPr>
              <w:pStyle w:val="96"/>
              <w:rPr>
                <w:color w:val="auto"/>
                <w:highlight w:val="none"/>
              </w:rPr>
            </w:pPr>
            <w:r>
              <w:rPr>
                <w:color w:val="auto"/>
                <w:highlight w:val="none"/>
              </w:rPr>
              <w:t>Drive Test</w:t>
            </w:r>
          </w:p>
        </w:tc>
        <w:tc>
          <w:tcPr>
            <w:tcW w:w="3381" w:type="dxa"/>
          </w:tcPr>
          <w:p w14:paraId="0589F0A4">
            <w:pPr>
              <w:pStyle w:val="96"/>
              <w:rPr>
                <w:color w:val="auto"/>
                <w:highlight w:val="none"/>
              </w:rPr>
            </w:pPr>
            <w:r>
              <w:rPr>
                <w:color w:val="auto"/>
                <w:highlight w:val="none"/>
              </w:rPr>
              <w:t>路测</w:t>
            </w:r>
          </w:p>
        </w:tc>
      </w:tr>
      <w:tr w14:paraId="61192857">
        <w:tblPrEx>
          <w:tblCellMar>
            <w:top w:w="0" w:type="dxa"/>
            <w:left w:w="0" w:type="dxa"/>
            <w:bottom w:w="0" w:type="dxa"/>
            <w:right w:w="0" w:type="dxa"/>
          </w:tblCellMar>
        </w:tblPrEx>
        <w:trPr>
          <w:trHeight w:val="380" w:hRule="atLeast"/>
        </w:trPr>
        <w:tc>
          <w:tcPr>
            <w:tcW w:w="1244" w:type="dxa"/>
          </w:tcPr>
          <w:p w14:paraId="03409104">
            <w:pPr>
              <w:pStyle w:val="96"/>
              <w:rPr>
                <w:color w:val="auto"/>
                <w:highlight w:val="none"/>
              </w:rPr>
            </w:pPr>
            <w:r>
              <w:rPr>
                <w:color w:val="auto"/>
                <w:highlight w:val="none"/>
              </w:rPr>
              <w:t>MOS</w:t>
            </w:r>
          </w:p>
        </w:tc>
        <w:tc>
          <w:tcPr>
            <w:tcW w:w="3602" w:type="dxa"/>
          </w:tcPr>
          <w:p w14:paraId="7C191BB3">
            <w:pPr>
              <w:pStyle w:val="96"/>
              <w:rPr>
                <w:color w:val="auto"/>
                <w:highlight w:val="none"/>
              </w:rPr>
            </w:pPr>
            <w:r>
              <w:rPr>
                <w:color w:val="auto"/>
                <w:highlight w:val="none"/>
              </w:rPr>
              <w:t>Mean Opinion Score</w:t>
            </w:r>
          </w:p>
        </w:tc>
        <w:tc>
          <w:tcPr>
            <w:tcW w:w="3381" w:type="dxa"/>
          </w:tcPr>
          <w:p w14:paraId="2BFBB29D">
            <w:pPr>
              <w:pStyle w:val="96"/>
              <w:rPr>
                <w:color w:val="auto"/>
                <w:highlight w:val="none"/>
              </w:rPr>
            </w:pPr>
            <w:r>
              <w:rPr>
                <w:color w:val="auto"/>
                <w:highlight w:val="none"/>
              </w:rPr>
              <w:t>平均主观意见分</w:t>
            </w:r>
          </w:p>
        </w:tc>
      </w:tr>
      <w:tr w14:paraId="77F7609E">
        <w:tblPrEx>
          <w:tblCellMar>
            <w:top w:w="0" w:type="dxa"/>
            <w:left w:w="0" w:type="dxa"/>
            <w:bottom w:w="0" w:type="dxa"/>
            <w:right w:w="0" w:type="dxa"/>
          </w:tblCellMar>
        </w:tblPrEx>
        <w:trPr>
          <w:trHeight w:val="380" w:hRule="atLeast"/>
        </w:trPr>
        <w:tc>
          <w:tcPr>
            <w:tcW w:w="1244" w:type="dxa"/>
          </w:tcPr>
          <w:p w14:paraId="45EBB7DD">
            <w:pPr>
              <w:pStyle w:val="96"/>
              <w:rPr>
                <w:color w:val="auto"/>
                <w:highlight w:val="none"/>
              </w:rPr>
            </w:pPr>
            <w:r>
              <w:rPr>
                <w:color w:val="auto"/>
                <w:highlight w:val="none"/>
              </w:rPr>
              <w:t>BER</w:t>
            </w:r>
          </w:p>
        </w:tc>
        <w:tc>
          <w:tcPr>
            <w:tcW w:w="3602" w:type="dxa"/>
          </w:tcPr>
          <w:p w14:paraId="1C622C7E">
            <w:pPr>
              <w:pStyle w:val="96"/>
              <w:rPr>
                <w:color w:val="auto"/>
                <w:highlight w:val="none"/>
              </w:rPr>
            </w:pPr>
            <w:r>
              <w:rPr>
                <w:color w:val="auto"/>
                <w:highlight w:val="none"/>
              </w:rPr>
              <w:t>Bit Error Rate</w:t>
            </w:r>
          </w:p>
        </w:tc>
        <w:tc>
          <w:tcPr>
            <w:tcW w:w="3381" w:type="dxa"/>
          </w:tcPr>
          <w:p w14:paraId="3ECFA6F9">
            <w:pPr>
              <w:pStyle w:val="96"/>
              <w:rPr>
                <w:color w:val="auto"/>
                <w:highlight w:val="none"/>
              </w:rPr>
            </w:pPr>
            <w:r>
              <w:rPr>
                <w:color w:val="auto"/>
                <w:highlight w:val="none"/>
              </w:rPr>
              <w:t>误码率</w:t>
            </w:r>
          </w:p>
        </w:tc>
      </w:tr>
      <w:tr w14:paraId="0F6E3D05">
        <w:tblPrEx>
          <w:tblCellMar>
            <w:top w:w="0" w:type="dxa"/>
            <w:left w:w="0" w:type="dxa"/>
            <w:bottom w:w="0" w:type="dxa"/>
            <w:right w:w="0" w:type="dxa"/>
          </w:tblCellMar>
        </w:tblPrEx>
        <w:trPr>
          <w:trHeight w:val="380" w:hRule="atLeast"/>
        </w:trPr>
        <w:tc>
          <w:tcPr>
            <w:tcW w:w="1244" w:type="dxa"/>
          </w:tcPr>
          <w:p w14:paraId="42C3E513">
            <w:pPr>
              <w:pStyle w:val="96"/>
              <w:rPr>
                <w:color w:val="auto"/>
                <w:highlight w:val="none"/>
              </w:rPr>
            </w:pPr>
            <w:r>
              <w:rPr>
                <w:color w:val="auto"/>
                <w:highlight w:val="none"/>
              </w:rPr>
              <w:t>FER</w:t>
            </w:r>
          </w:p>
        </w:tc>
        <w:tc>
          <w:tcPr>
            <w:tcW w:w="3602" w:type="dxa"/>
          </w:tcPr>
          <w:p w14:paraId="293A1F67">
            <w:pPr>
              <w:pStyle w:val="96"/>
              <w:rPr>
                <w:color w:val="auto"/>
                <w:highlight w:val="none"/>
              </w:rPr>
            </w:pPr>
            <w:r>
              <w:rPr>
                <w:color w:val="auto"/>
                <w:highlight w:val="none"/>
              </w:rPr>
              <w:t>Frame Error Rate</w:t>
            </w:r>
          </w:p>
        </w:tc>
        <w:tc>
          <w:tcPr>
            <w:tcW w:w="3381" w:type="dxa"/>
          </w:tcPr>
          <w:p w14:paraId="11051BEC">
            <w:pPr>
              <w:pStyle w:val="96"/>
              <w:rPr>
                <w:color w:val="auto"/>
                <w:highlight w:val="none"/>
              </w:rPr>
            </w:pPr>
            <w:r>
              <w:rPr>
                <w:color w:val="auto"/>
                <w:highlight w:val="none"/>
              </w:rPr>
              <w:t>误帧率</w:t>
            </w:r>
          </w:p>
        </w:tc>
      </w:tr>
      <w:tr w14:paraId="0908B863">
        <w:tblPrEx>
          <w:tblCellMar>
            <w:top w:w="0" w:type="dxa"/>
            <w:left w:w="0" w:type="dxa"/>
            <w:bottom w:w="0" w:type="dxa"/>
            <w:right w:w="0" w:type="dxa"/>
          </w:tblCellMar>
        </w:tblPrEx>
        <w:trPr>
          <w:trHeight w:val="380" w:hRule="atLeast"/>
        </w:trPr>
        <w:tc>
          <w:tcPr>
            <w:tcW w:w="1244" w:type="dxa"/>
          </w:tcPr>
          <w:p w14:paraId="471BAD6B">
            <w:pPr>
              <w:pStyle w:val="96"/>
              <w:rPr>
                <w:color w:val="auto"/>
                <w:highlight w:val="none"/>
              </w:rPr>
            </w:pPr>
            <w:r>
              <w:rPr>
                <w:color w:val="auto"/>
                <w:highlight w:val="none"/>
              </w:rPr>
              <w:t>POI</w:t>
            </w:r>
          </w:p>
        </w:tc>
        <w:tc>
          <w:tcPr>
            <w:tcW w:w="3602" w:type="dxa"/>
          </w:tcPr>
          <w:p w14:paraId="15C2D966">
            <w:pPr>
              <w:pStyle w:val="96"/>
              <w:rPr>
                <w:color w:val="auto"/>
                <w:highlight w:val="none"/>
              </w:rPr>
            </w:pPr>
            <w:r>
              <w:rPr>
                <w:color w:val="auto"/>
                <w:highlight w:val="none"/>
              </w:rPr>
              <w:t>Point of Interface</w:t>
            </w:r>
          </w:p>
        </w:tc>
        <w:tc>
          <w:tcPr>
            <w:tcW w:w="3381" w:type="dxa"/>
          </w:tcPr>
          <w:p w14:paraId="6DFE425E">
            <w:pPr>
              <w:pStyle w:val="96"/>
              <w:rPr>
                <w:color w:val="auto"/>
                <w:highlight w:val="none"/>
              </w:rPr>
            </w:pPr>
            <w:r>
              <w:rPr>
                <w:color w:val="auto"/>
                <w:highlight w:val="none"/>
              </w:rPr>
              <w:t>多系统接入平台</w:t>
            </w:r>
          </w:p>
        </w:tc>
      </w:tr>
      <w:tr w14:paraId="229A37EA">
        <w:tblPrEx>
          <w:tblCellMar>
            <w:top w:w="0" w:type="dxa"/>
            <w:left w:w="0" w:type="dxa"/>
            <w:bottom w:w="0" w:type="dxa"/>
            <w:right w:w="0" w:type="dxa"/>
          </w:tblCellMar>
        </w:tblPrEx>
        <w:trPr>
          <w:trHeight w:val="380" w:hRule="atLeast"/>
        </w:trPr>
        <w:tc>
          <w:tcPr>
            <w:tcW w:w="1244" w:type="dxa"/>
          </w:tcPr>
          <w:p w14:paraId="61F489BC">
            <w:pPr>
              <w:pStyle w:val="96"/>
              <w:rPr>
                <w:color w:val="auto"/>
                <w:highlight w:val="none"/>
              </w:rPr>
            </w:pPr>
            <w:r>
              <w:rPr>
                <w:color w:val="auto"/>
                <w:highlight w:val="none"/>
              </w:rPr>
              <w:t>RxQual</w:t>
            </w:r>
          </w:p>
        </w:tc>
        <w:tc>
          <w:tcPr>
            <w:tcW w:w="3602" w:type="dxa"/>
          </w:tcPr>
          <w:p w14:paraId="39FFC464">
            <w:pPr>
              <w:pStyle w:val="96"/>
              <w:rPr>
                <w:color w:val="auto"/>
                <w:highlight w:val="none"/>
              </w:rPr>
            </w:pPr>
            <w:r>
              <w:rPr>
                <w:color w:val="auto"/>
                <w:highlight w:val="none"/>
              </w:rPr>
              <w:t>Receiving Singal Quality</w:t>
            </w:r>
          </w:p>
        </w:tc>
        <w:tc>
          <w:tcPr>
            <w:tcW w:w="3381" w:type="dxa"/>
          </w:tcPr>
          <w:p w14:paraId="23C3B5E2">
            <w:pPr>
              <w:pStyle w:val="96"/>
              <w:rPr>
                <w:color w:val="auto"/>
                <w:highlight w:val="none"/>
              </w:rPr>
            </w:pPr>
            <w:r>
              <w:rPr>
                <w:color w:val="auto"/>
                <w:highlight w:val="none"/>
              </w:rPr>
              <w:t>接收信号质量</w:t>
            </w:r>
          </w:p>
        </w:tc>
      </w:tr>
      <w:tr w14:paraId="6925D75D">
        <w:tblPrEx>
          <w:tblCellMar>
            <w:top w:w="0" w:type="dxa"/>
            <w:left w:w="0" w:type="dxa"/>
            <w:bottom w:w="0" w:type="dxa"/>
            <w:right w:w="0" w:type="dxa"/>
          </w:tblCellMar>
        </w:tblPrEx>
        <w:trPr>
          <w:trHeight w:val="380" w:hRule="atLeast"/>
        </w:trPr>
        <w:tc>
          <w:tcPr>
            <w:tcW w:w="1244" w:type="dxa"/>
          </w:tcPr>
          <w:p w14:paraId="0840EB8D">
            <w:pPr>
              <w:pStyle w:val="96"/>
              <w:rPr>
                <w:color w:val="auto"/>
                <w:highlight w:val="none"/>
              </w:rPr>
            </w:pPr>
            <w:r>
              <w:rPr>
                <w:color w:val="auto"/>
                <w:highlight w:val="none"/>
              </w:rPr>
              <w:t>VSWR</w:t>
            </w:r>
          </w:p>
        </w:tc>
        <w:tc>
          <w:tcPr>
            <w:tcW w:w="3602" w:type="dxa"/>
          </w:tcPr>
          <w:p w14:paraId="0463CDF4">
            <w:pPr>
              <w:pStyle w:val="96"/>
              <w:rPr>
                <w:color w:val="auto"/>
                <w:highlight w:val="none"/>
              </w:rPr>
            </w:pPr>
            <w:r>
              <w:rPr>
                <w:color w:val="auto"/>
                <w:highlight w:val="none"/>
              </w:rPr>
              <w:t>Voltag Standing Wave Ratio</w:t>
            </w:r>
          </w:p>
        </w:tc>
        <w:tc>
          <w:tcPr>
            <w:tcW w:w="3381" w:type="dxa"/>
          </w:tcPr>
          <w:p w14:paraId="7F2387D2">
            <w:pPr>
              <w:pStyle w:val="96"/>
              <w:rPr>
                <w:color w:val="auto"/>
                <w:highlight w:val="none"/>
              </w:rPr>
            </w:pPr>
            <w:r>
              <w:rPr>
                <w:color w:val="auto"/>
                <w:highlight w:val="none"/>
              </w:rPr>
              <w:t>驻</w:t>
            </w:r>
            <w:r>
              <w:rPr>
                <w:rFonts w:hint="eastAsia"/>
                <w:color w:val="auto"/>
                <w:highlight w:val="none"/>
              </w:rPr>
              <w:t>波</w:t>
            </w:r>
            <w:r>
              <w:rPr>
                <w:color w:val="auto"/>
                <w:highlight w:val="none"/>
              </w:rPr>
              <w:t>比</w:t>
            </w:r>
          </w:p>
        </w:tc>
      </w:tr>
      <w:tr w14:paraId="546BE7EB">
        <w:tblPrEx>
          <w:tblCellMar>
            <w:top w:w="0" w:type="dxa"/>
            <w:left w:w="0" w:type="dxa"/>
            <w:bottom w:w="0" w:type="dxa"/>
            <w:right w:w="0" w:type="dxa"/>
          </w:tblCellMar>
        </w:tblPrEx>
        <w:trPr>
          <w:trHeight w:val="380" w:hRule="atLeast"/>
        </w:trPr>
        <w:tc>
          <w:tcPr>
            <w:tcW w:w="1244" w:type="dxa"/>
          </w:tcPr>
          <w:p w14:paraId="50A562DE">
            <w:pPr>
              <w:pStyle w:val="96"/>
              <w:rPr>
                <w:color w:val="auto"/>
                <w:highlight w:val="none"/>
              </w:rPr>
            </w:pPr>
            <w:r>
              <w:rPr>
                <w:color w:val="auto"/>
                <w:highlight w:val="none"/>
              </w:rPr>
              <w:t>LTE</w:t>
            </w:r>
          </w:p>
        </w:tc>
        <w:tc>
          <w:tcPr>
            <w:tcW w:w="3602" w:type="dxa"/>
          </w:tcPr>
          <w:p w14:paraId="2C40EE95">
            <w:pPr>
              <w:pStyle w:val="96"/>
              <w:rPr>
                <w:color w:val="auto"/>
                <w:highlight w:val="none"/>
              </w:rPr>
            </w:pPr>
            <w:r>
              <w:rPr>
                <w:color w:val="auto"/>
                <w:highlight w:val="none"/>
              </w:rPr>
              <w:t>Long Term Evolution</w:t>
            </w:r>
          </w:p>
        </w:tc>
        <w:tc>
          <w:tcPr>
            <w:tcW w:w="3381" w:type="dxa"/>
          </w:tcPr>
          <w:p w14:paraId="2DDFDF6B">
            <w:pPr>
              <w:pStyle w:val="96"/>
              <w:rPr>
                <w:color w:val="auto"/>
                <w:highlight w:val="none"/>
              </w:rPr>
            </w:pPr>
            <w:r>
              <w:rPr>
                <w:color w:val="auto"/>
                <w:highlight w:val="none"/>
              </w:rPr>
              <w:t>长期演进</w:t>
            </w:r>
          </w:p>
        </w:tc>
      </w:tr>
      <w:tr w14:paraId="299015CB">
        <w:tblPrEx>
          <w:tblCellMar>
            <w:top w:w="0" w:type="dxa"/>
            <w:left w:w="0" w:type="dxa"/>
            <w:bottom w:w="0" w:type="dxa"/>
            <w:right w:w="0" w:type="dxa"/>
          </w:tblCellMar>
        </w:tblPrEx>
        <w:trPr>
          <w:trHeight w:val="380" w:hRule="atLeast"/>
        </w:trPr>
        <w:tc>
          <w:tcPr>
            <w:tcW w:w="1244" w:type="dxa"/>
          </w:tcPr>
          <w:p w14:paraId="743C5DDC">
            <w:pPr>
              <w:pStyle w:val="96"/>
              <w:rPr>
                <w:color w:val="auto"/>
                <w:highlight w:val="none"/>
              </w:rPr>
            </w:pPr>
            <w:r>
              <w:rPr>
                <w:color w:val="auto"/>
                <w:highlight w:val="none"/>
              </w:rPr>
              <w:t xml:space="preserve">NR        </w:t>
            </w:r>
          </w:p>
        </w:tc>
        <w:tc>
          <w:tcPr>
            <w:tcW w:w="3602" w:type="dxa"/>
          </w:tcPr>
          <w:p w14:paraId="4B1F12DF">
            <w:pPr>
              <w:pStyle w:val="96"/>
              <w:rPr>
                <w:color w:val="auto"/>
                <w:highlight w:val="none"/>
              </w:rPr>
            </w:pPr>
            <w:r>
              <w:rPr>
                <w:color w:val="auto"/>
                <w:highlight w:val="none"/>
              </w:rPr>
              <w:t>New Radio</w:t>
            </w:r>
          </w:p>
        </w:tc>
        <w:tc>
          <w:tcPr>
            <w:tcW w:w="3381" w:type="dxa"/>
          </w:tcPr>
          <w:p w14:paraId="204BFB41">
            <w:pPr>
              <w:pStyle w:val="96"/>
              <w:rPr>
                <w:color w:val="auto"/>
                <w:highlight w:val="none"/>
              </w:rPr>
            </w:pPr>
            <w:r>
              <w:rPr>
                <w:color w:val="auto"/>
                <w:highlight w:val="none"/>
              </w:rPr>
              <w:t>新空口</w:t>
            </w:r>
          </w:p>
        </w:tc>
      </w:tr>
      <w:tr w14:paraId="4BFD79D3">
        <w:tblPrEx>
          <w:tblCellMar>
            <w:top w:w="0" w:type="dxa"/>
            <w:left w:w="0" w:type="dxa"/>
            <w:bottom w:w="0" w:type="dxa"/>
            <w:right w:w="0" w:type="dxa"/>
          </w:tblCellMar>
        </w:tblPrEx>
        <w:trPr>
          <w:trHeight w:val="380" w:hRule="atLeast"/>
        </w:trPr>
        <w:tc>
          <w:tcPr>
            <w:tcW w:w="1244" w:type="dxa"/>
          </w:tcPr>
          <w:p w14:paraId="41E6B4BD">
            <w:pPr>
              <w:pStyle w:val="96"/>
              <w:rPr>
                <w:color w:val="auto"/>
                <w:highlight w:val="none"/>
              </w:rPr>
            </w:pPr>
            <w:r>
              <w:rPr>
                <w:color w:val="auto"/>
                <w:highlight w:val="none"/>
              </w:rPr>
              <w:t>BBU</w:t>
            </w:r>
          </w:p>
        </w:tc>
        <w:tc>
          <w:tcPr>
            <w:tcW w:w="3602" w:type="dxa"/>
          </w:tcPr>
          <w:p w14:paraId="5947607D">
            <w:pPr>
              <w:pStyle w:val="96"/>
              <w:rPr>
                <w:color w:val="auto"/>
                <w:highlight w:val="none"/>
              </w:rPr>
            </w:pPr>
            <w:r>
              <w:rPr>
                <w:color w:val="auto"/>
                <w:highlight w:val="none"/>
              </w:rPr>
              <w:t>Base Band Unit</w:t>
            </w:r>
          </w:p>
        </w:tc>
        <w:tc>
          <w:tcPr>
            <w:tcW w:w="3381" w:type="dxa"/>
          </w:tcPr>
          <w:p w14:paraId="3D8B9DE9">
            <w:pPr>
              <w:pStyle w:val="96"/>
              <w:rPr>
                <w:color w:val="auto"/>
                <w:highlight w:val="none"/>
              </w:rPr>
            </w:pPr>
            <w:r>
              <w:rPr>
                <w:color w:val="auto"/>
                <w:highlight w:val="none"/>
              </w:rPr>
              <w:t>基带单元</w:t>
            </w:r>
          </w:p>
        </w:tc>
      </w:tr>
      <w:tr w14:paraId="7CC81EE4">
        <w:tblPrEx>
          <w:tblCellMar>
            <w:top w:w="0" w:type="dxa"/>
            <w:left w:w="0" w:type="dxa"/>
            <w:bottom w:w="0" w:type="dxa"/>
            <w:right w:w="0" w:type="dxa"/>
          </w:tblCellMar>
        </w:tblPrEx>
        <w:trPr>
          <w:trHeight w:val="380" w:hRule="atLeast"/>
        </w:trPr>
        <w:tc>
          <w:tcPr>
            <w:tcW w:w="1244" w:type="dxa"/>
          </w:tcPr>
          <w:p w14:paraId="37BDD7B4">
            <w:pPr>
              <w:pStyle w:val="96"/>
              <w:rPr>
                <w:color w:val="auto"/>
                <w:highlight w:val="none"/>
              </w:rPr>
            </w:pPr>
            <w:r>
              <w:rPr>
                <w:color w:val="auto"/>
                <w:highlight w:val="none"/>
              </w:rPr>
              <w:t>RRU</w:t>
            </w:r>
          </w:p>
        </w:tc>
        <w:tc>
          <w:tcPr>
            <w:tcW w:w="3602" w:type="dxa"/>
          </w:tcPr>
          <w:p w14:paraId="19256DF4">
            <w:pPr>
              <w:pStyle w:val="96"/>
              <w:rPr>
                <w:color w:val="auto"/>
                <w:highlight w:val="none"/>
              </w:rPr>
            </w:pPr>
            <w:r>
              <w:rPr>
                <w:color w:val="auto"/>
                <w:highlight w:val="none"/>
              </w:rPr>
              <w:t>Remote Radio Unit</w:t>
            </w:r>
          </w:p>
        </w:tc>
        <w:tc>
          <w:tcPr>
            <w:tcW w:w="3381" w:type="dxa"/>
          </w:tcPr>
          <w:p w14:paraId="22760F49">
            <w:pPr>
              <w:pStyle w:val="96"/>
              <w:rPr>
                <w:color w:val="auto"/>
                <w:highlight w:val="none"/>
              </w:rPr>
            </w:pPr>
            <w:r>
              <w:rPr>
                <w:color w:val="auto"/>
                <w:highlight w:val="none"/>
              </w:rPr>
              <w:t>射频拉远单元</w:t>
            </w:r>
          </w:p>
        </w:tc>
      </w:tr>
      <w:tr w14:paraId="53261BC9">
        <w:tblPrEx>
          <w:tblCellMar>
            <w:top w:w="0" w:type="dxa"/>
            <w:left w:w="0" w:type="dxa"/>
            <w:bottom w:w="0" w:type="dxa"/>
            <w:right w:w="0" w:type="dxa"/>
          </w:tblCellMar>
        </w:tblPrEx>
        <w:trPr>
          <w:trHeight w:val="380" w:hRule="atLeast"/>
        </w:trPr>
        <w:tc>
          <w:tcPr>
            <w:tcW w:w="1244" w:type="dxa"/>
          </w:tcPr>
          <w:p w14:paraId="644101B2">
            <w:pPr>
              <w:pStyle w:val="96"/>
              <w:rPr>
                <w:color w:val="auto"/>
                <w:highlight w:val="none"/>
              </w:rPr>
            </w:pPr>
            <w:r>
              <w:rPr>
                <w:rFonts w:hint="eastAsia"/>
                <w:color w:val="auto"/>
                <w:highlight w:val="none"/>
              </w:rPr>
              <w:t>GNSS</w:t>
            </w:r>
          </w:p>
        </w:tc>
        <w:tc>
          <w:tcPr>
            <w:tcW w:w="3602" w:type="dxa"/>
          </w:tcPr>
          <w:p w14:paraId="1C01A342">
            <w:pPr>
              <w:pStyle w:val="96"/>
              <w:rPr>
                <w:color w:val="auto"/>
                <w:highlight w:val="none"/>
              </w:rPr>
            </w:pPr>
            <w:r>
              <w:rPr>
                <w:color w:val="auto"/>
                <w:highlight w:val="none"/>
              </w:rPr>
              <w:t>Global Navigation Satellite System</w:t>
            </w:r>
          </w:p>
        </w:tc>
        <w:tc>
          <w:tcPr>
            <w:tcW w:w="3381" w:type="dxa"/>
          </w:tcPr>
          <w:p w14:paraId="55B533A7">
            <w:pPr>
              <w:pStyle w:val="96"/>
              <w:rPr>
                <w:color w:val="auto"/>
                <w:highlight w:val="none"/>
              </w:rPr>
            </w:pPr>
            <w:r>
              <w:rPr>
                <w:color w:val="auto"/>
                <w:highlight w:val="none"/>
              </w:rPr>
              <w:t>全球导航卫星系统</w:t>
            </w:r>
          </w:p>
        </w:tc>
      </w:tr>
      <w:tr w14:paraId="4F707F2A">
        <w:tblPrEx>
          <w:tblCellMar>
            <w:top w:w="0" w:type="dxa"/>
            <w:left w:w="0" w:type="dxa"/>
            <w:bottom w:w="0" w:type="dxa"/>
            <w:right w:w="0" w:type="dxa"/>
          </w:tblCellMar>
        </w:tblPrEx>
        <w:trPr>
          <w:trHeight w:val="380" w:hRule="atLeast"/>
        </w:trPr>
        <w:tc>
          <w:tcPr>
            <w:tcW w:w="1244" w:type="dxa"/>
          </w:tcPr>
          <w:p w14:paraId="61323D17">
            <w:pPr>
              <w:pStyle w:val="96"/>
              <w:rPr>
                <w:color w:val="auto"/>
                <w:highlight w:val="none"/>
              </w:rPr>
            </w:pPr>
            <w:r>
              <w:rPr>
                <w:color w:val="auto"/>
                <w:highlight w:val="none"/>
              </w:rPr>
              <w:t>POE</w:t>
            </w:r>
          </w:p>
        </w:tc>
        <w:tc>
          <w:tcPr>
            <w:tcW w:w="3602" w:type="dxa"/>
          </w:tcPr>
          <w:p w14:paraId="4999B88F">
            <w:pPr>
              <w:pStyle w:val="96"/>
              <w:rPr>
                <w:color w:val="auto"/>
                <w:highlight w:val="none"/>
              </w:rPr>
            </w:pPr>
            <w:r>
              <w:rPr>
                <w:color w:val="auto"/>
                <w:highlight w:val="none"/>
              </w:rPr>
              <w:t>Power over Ethernet</w:t>
            </w:r>
          </w:p>
        </w:tc>
        <w:tc>
          <w:tcPr>
            <w:tcW w:w="3381" w:type="dxa"/>
          </w:tcPr>
          <w:p w14:paraId="1BF26A8F">
            <w:pPr>
              <w:pStyle w:val="96"/>
              <w:rPr>
                <w:color w:val="auto"/>
                <w:highlight w:val="none"/>
              </w:rPr>
            </w:pPr>
            <w:r>
              <w:rPr>
                <w:color w:val="auto"/>
                <w:highlight w:val="none"/>
              </w:rPr>
              <w:t>以太网供电</w:t>
            </w:r>
          </w:p>
        </w:tc>
      </w:tr>
      <w:tr w14:paraId="11BBF63A">
        <w:tblPrEx>
          <w:tblCellMar>
            <w:top w:w="0" w:type="dxa"/>
            <w:left w:w="0" w:type="dxa"/>
            <w:bottom w:w="0" w:type="dxa"/>
            <w:right w:w="0" w:type="dxa"/>
          </w:tblCellMar>
        </w:tblPrEx>
        <w:trPr>
          <w:trHeight w:val="380" w:hRule="atLeast"/>
        </w:trPr>
        <w:tc>
          <w:tcPr>
            <w:tcW w:w="1244" w:type="dxa"/>
          </w:tcPr>
          <w:p w14:paraId="23D3CC49">
            <w:pPr>
              <w:pStyle w:val="96"/>
              <w:rPr>
                <w:color w:val="auto"/>
                <w:highlight w:val="none"/>
              </w:rPr>
            </w:pPr>
            <w:r>
              <w:rPr>
                <w:color w:val="auto"/>
                <w:highlight w:val="none"/>
              </w:rPr>
              <w:t>UDP</w:t>
            </w:r>
          </w:p>
        </w:tc>
        <w:tc>
          <w:tcPr>
            <w:tcW w:w="3602" w:type="dxa"/>
          </w:tcPr>
          <w:p w14:paraId="41BB01B0">
            <w:pPr>
              <w:pStyle w:val="96"/>
              <w:rPr>
                <w:color w:val="auto"/>
                <w:highlight w:val="none"/>
              </w:rPr>
            </w:pPr>
            <w:r>
              <w:rPr>
                <w:color w:val="auto"/>
                <w:highlight w:val="none"/>
              </w:rPr>
              <w:t>User Dategram Protocol</w:t>
            </w:r>
          </w:p>
        </w:tc>
        <w:tc>
          <w:tcPr>
            <w:tcW w:w="3381" w:type="dxa"/>
          </w:tcPr>
          <w:p w14:paraId="67298BF0">
            <w:pPr>
              <w:pStyle w:val="96"/>
              <w:rPr>
                <w:color w:val="auto"/>
                <w:highlight w:val="none"/>
              </w:rPr>
            </w:pPr>
            <w:r>
              <w:rPr>
                <w:color w:val="auto"/>
                <w:highlight w:val="none"/>
              </w:rPr>
              <w:t>用户数据包协议</w:t>
            </w:r>
          </w:p>
        </w:tc>
      </w:tr>
    </w:tbl>
    <w:p w14:paraId="6FF544EC">
      <w:pPr>
        <w:tabs>
          <w:tab w:val="left" w:pos="2853"/>
        </w:tabs>
        <w:spacing w:before="312" w:line="381" w:lineRule="auto"/>
        <w:ind w:left="1103" w:firstLine="718"/>
        <w:rPr>
          <w:rFonts w:ascii="Times New Roman" w:hAnsi="Times New Roman" w:cs="Times New Roman"/>
          <w:color w:val="auto"/>
          <w:highlight w:val="none"/>
        </w:rPr>
      </w:pPr>
      <w:r>
        <w:rPr>
          <w:rFonts w:ascii="Times New Roman" w:hAnsi="Times New Roman" w:eastAsia="Times New Roman" w:cs="Times New Roman"/>
          <w:color w:val="auto"/>
          <w:w w:val="95"/>
          <w:sz w:val="38"/>
          <w:szCs w:val="38"/>
          <w:highlight w:val="none"/>
        </w:rPr>
        <w:tab/>
      </w:r>
    </w:p>
    <w:bookmarkEnd w:id="13"/>
    <w:p w14:paraId="632E0B8B">
      <w:pPr>
        <w:widowControl/>
        <w:ind w:firstLine="480"/>
        <w:jc w:val="left"/>
        <w:rPr>
          <w:rFonts w:ascii="Times New Roman" w:hAnsi="Times New Roman" w:cs="Times New Roman"/>
          <w:b/>
          <w:color w:val="auto"/>
          <w:kern w:val="44"/>
          <w:sz w:val="30"/>
          <w:szCs w:val="30"/>
          <w:highlight w:val="none"/>
        </w:rPr>
      </w:pPr>
      <w:r>
        <w:rPr>
          <w:rFonts w:ascii="Times New Roman" w:hAnsi="Times New Roman"/>
          <w:color w:val="auto"/>
          <w:highlight w:val="none"/>
        </w:rPr>
        <w:br w:type="page"/>
      </w:r>
    </w:p>
    <w:p w14:paraId="288BCFE5">
      <w:pPr>
        <w:pStyle w:val="2"/>
        <w:rPr>
          <w:bCs/>
          <w:color w:val="auto"/>
          <w:highlight w:val="none"/>
        </w:rPr>
      </w:pPr>
      <w:bookmarkStart w:id="27" w:name="_Toc16562"/>
      <w:bookmarkStart w:id="28" w:name="_Toc7187"/>
      <w:bookmarkStart w:id="29" w:name="_Toc180960173"/>
      <w:r>
        <w:rPr>
          <w:color w:val="auto"/>
          <w:highlight w:val="none"/>
        </w:rPr>
        <w:t>3 基本规定</w:t>
      </w:r>
      <w:bookmarkEnd w:id="27"/>
      <w:bookmarkEnd w:id="28"/>
      <w:bookmarkEnd w:id="29"/>
    </w:p>
    <w:p w14:paraId="66E20F1B">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color w:val="auto"/>
          <w:sz w:val="24"/>
          <w:highlight w:val="none"/>
        </w:rPr>
      </w:pPr>
      <w:r>
        <w:rPr>
          <w:rFonts w:ascii="Times New Roman" w:hAnsi="Times New Roman" w:cs="Times New Roman"/>
          <w:color w:val="auto"/>
          <w:sz w:val="24"/>
          <w:highlight w:val="none"/>
        </w:rPr>
        <w:t>3.0.1 城市轨道交通移动通信信号分布系统工程质量检测现场条件应符合下列</w:t>
      </w:r>
      <w:r>
        <w:rPr>
          <w:rFonts w:hint="eastAsia" w:ascii="Times New Roman" w:hAnsi="Times New Roman" w:cs="Times New Roman"/>
          <w:color w:val="auto"/>
          <w:sz w:val="24"/>
          <w:highlight w:val="none"/>
          <w:lang w:eastAsia="zh-CN"/>
        </w:rPr>
        <w:t>要求</w:t>
      </w:r>
      <w:r>
        <w:rPr>
          <w:rFonts w:ascii="Times New Roman" w:hAnsi="Times New Roman" w:cs="Times New Roman"/>
          <w:color w:val="auto"/>
          <w:sz w:val="24"/>
          <w:highlight w:val="none"/>
        </w:rPr>
        <w:t>：</w:t>
      </w:r>
    </w:p>
    <w:p w14:paraId="7B3C76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1 系统安装、调试完成，软硬件工作正常，数据配置正确并正常运行</w:t>
      </w:r>
      <w:r>
        <w:rPr>
          <w:rFonts w:hint="eastAsia" w:ascii="Times New Roman" w:hAnsi="Times New Roman" w:cs="Times New Roman"/>
          <w:color w:val="auto"/>
          <w:sz w:val="24"/>
          <w:highlight w:val="none"/>
          <w:lang w:eastAsia="zh-CN"/>
        </w:rPr>
        <w:t>；</w:t>
      </w:r>
    </w:p>
    <w:p w14:paraId="45FA4F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2 机房供电、照明等基础设施环境应满足检测要求</w:t>
      </w:r>
      <w:r>
        <w:rPr>
          <w:rFonts w:hint="eastAsia" w:ascii="Times New Roman" w:hAnsi="Times New Roman" w:cs="Times New Roman"/>
          <w:color w:val="auto"/>
          <w:sz w:val="24"/>
          <w:highlight w:val="none"/>
          <w:lang w:eastAsia="zh-CN"/>
        </w:rPr>
        <w:t>；</w:t>
      </w:r>
    </w:p>
    <w:p w14:paraId="4EE491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 xml:space="preserve">3 </w:t>
      </w:r>
      <w:bookmarkStart w:id="30" w:name="_Hlk180959977"/>
      <w:r>
        <w:rPr>
          <w:rFonts w:ascii="Times New Roman" w:hAnsi="Times New Roman" w:cs="Times New Roman"/>
          <w:color w:val="auto"/>
          <w:sz w:val="24"/>
          <w:highlight w:val="none"/>
        </w:rPr>
        <w:t>无线网络侧辅助测试环境正常工作</w:t>
      </w:r>
      <w:bookmarkEnd w:id="30"/>
      <w:r>
        <w:rPr>
          <w:rFonts w:hint="eastAsia" w:ascii="Times New Roman" w:hAnsi="Times New Roman" w:cs="Times New Roman"/>
          <w:color w:val="auto"/>
          <w:sz w:val="24"/>
          <w:highlight w:val="none"/>
          <w:lang w:eastAsia="zh-CN"/>
        </w:rPr>
        <w:t>；</w:t>
      </w:r>
    </w:p>
    <w:p w14:paraId="39EDA1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highlight w:val="none"/>
        </w:rPr>
      </w:pPr>
      <w:r>
        <w:rPr>
          <w:rFonts w:ascii="Times New Roman" w:hAnsi="Times New Roman" w:cs="Times New Roman"/>
          <w:color w:val="auto"/>
          <w:sz w:val="24"/>
          <w:highlight w:val="none"/>
        </w:rPr>
        <w:t>4 具备保证检测人员和检测设备安全工作的条件和措施。</w:t>
      </w:r>
    </w:p>
    <w:p w14:paraId="20965D0F">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color w:val="auto"/>
          <w:sz w:val="24"/>
          <w:highlight w:val="none"/>
        </w:rPr>
      </w:pPr>
      <w:r>
        <w:rPr>
          <w:rFonts w:ascii="Times New Roman" w:hAnsi="Times New Roman" w:cs="Times New Roman"/>
          <w:color w:val="auto"/>
          <w:sz w:val="24"/>
          <w:highlight w:val="none"/>
        </w:rPr>
        <w:t>3.0.2 城市轨道交通移动通信信号分布系统工程质量检测应以系统</w:t>
      </w:r>
      <w:r>
        <w:rPr>
          <w:rFonts w:hint="eastAsia" w:ascii="Times New Roman" w:hAnsi="Times New Roman" w:cs="Times New Roman"/>
          <w:color w:val="auto"/>
          <w:sz w:val="24"/>
          <w:highlight w:val="none"/>
        </w:rPr>
        <w:t>安装</w:t>
      </w:r>
      <w:r>
        <w:rPr>
          <w:rFonts w:ascii="Times New Roman" w:hAnsi="Times New Roman" w:cs="Times New Roman"/>
          <w:color w:val="auto"/>
          <w:sz w:val="24"/>
          <w:highlight w:val="none"/>
        </w:rPr>
        <w:t>质量和系统性能检测为主，安装质量、性能指标应符合相关</w:t>
      </w:r>
      <w:r>
        <w:rPr>
          <w:rFonts w:hint="eastAsia" w:ascii="Times New Roman" w:hAnsi="Times New Roman" w:cs="Times New Roman"/>
          <w:color w:val="auto"/>
          <w:sz w:val="24"/>
          <w:highlight w:val="none"/>
          <w:lang w:eastAsia="zh-CN"/>
        </w:rPr>
        <w:t>标准</w:t>
      </w:r>
      <w:r>
        <w:rPr>
          <w:rFonts w:ascii="Times New Roman" w:hAnsi="Times New Roman" w:cs="Times New Roman"/>
          <w:color w:val="auto"/>
          <w:sz w:val="24"/>
          <w:highlight w:val="none"/>
        </w:rPr>
        <w:t>和设计要求。主要检测仪器的性能和参数指标应符合本标准附录A的相关规定。</w:t>
      </w:r>
    </w:p>
    <w:p w14:paraId="4E0E7E13">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color w:val="auto"/>
          <w:sz w:val="24"/>
          <w:highlight w:val="none"/>
        </w:rPr>
      </w:pPr>
      <w:r>
        <w:rPr>
          <w:rFonts w:ascii="Times New Roman" w:hAnsi="Times New Roman" w:cs="Times New Roman"/>
          <w:color w:val="auto"/>
          <w:sz w:val="24"/>
          <w:highlight w:val="none"/>
        </w:rPr>
        <w:t>3.0.3 检测报告的形式和内容宜按本标准附录</w:t>
      </w:r>
      <w:r>
        <w:rPr>
          <w:rFonts w:hint="eastAsia" w:ascii="Times New Roman" w:hAnsi="Times New Roman" w:cs="Times New Roman"/>
          <w:color w:val="auto"/>
          <w:sz w:val="24"/>
          <w:highlight w:val="none"/>
        </w:rPr>
        <w:t>B</w:t>
      </w:r>
      <w:r>
        <w:rPr>
          <w:rFonts w:ascii="Times New Roman" w:hAnsi="Times New Roman" w:cs="Times New Roman"/>
          <w:color w:val="auto"/>
          <w:sz w:val="24"/>
          <w:highlight w:val="none"/>
        </w:rPr>
        <w:t>的格式编写。检测报告应符合下列</w:t>
      </w:r>
      <w:r>
        <w:rPr>
          <w:rFonts w:hint="eastAsia" w:ascii="Times New Roman" w:hAnsi="Times New Roman" w:cs="Times New Roman"/>
          <w:color w:val="auto"/>
          <w:sz w:val="24"/>
          <w:highlight w:val="none"/>
          <w:lang w:eastAsia="zh-CN"/>
        </w:rPr>
        <w:t>要求</w:t>
      </w:r>
      <w:r>
        <w:rPr>
          <w:rFonts w:ascii="Times New Roman" w:hAnsi="Times New Roman" w:cs="Times New Roman"/>
          <w:color w:val="auto"/>
          <w:sz w:val="24"/>
          <w:highlight w:val="none"/>
        </w:rPr>
        <w:t>：</w:t>
      </w:r>
    </w:p>
    <w:p w14:paraId="51CAD4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1 检测报告中的数据应准确可靠</w:t>
      </w:r>
      <w:r>
        <w:rPr>
          <w:rFonts w:hint="eastAsia" w:ascii="Times New Roman" w:hAnsi="Times New Roman" w:cs="Times New Roman"/>
          <w:color w:val="auto"/>
          <w:sz w:val="24"/>
          <w:highlight w:val="none"/>
          <w:lang w:eastAsia="zh-CN"/>
        </w:rPr>
        <w:t>；</w:t>
      </w:r>
    </w:p>
    <w:p w14:paraId="26D8DC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2 检测报告应明确给出检测结论，检测结论分为合格和不合格两种。检测结论的判定依据除应符合本标准的规定，还应符合委托检测合同文件约定、工程设计文件和国家现行相关标准规定</w:t>
      </w:r>
      <w:r>
        <w:rPr>
          <w:rFonts w:hint="eastAsia" w:ascii="Times New Roman" w:hAnsi="Times New Roman" w:cs="Times New Roman"/>
          <w:color w:val="auto"/>
          <w:sz w:val="24"/>
          <w:highlight w:val="none"/>
          <w:lang w:eastAsia="zh-CN"/>
        </w:rPr>
        <w:t>；</w:t>
      </w:r>
    </w:p>
    <w:p w14:paraId="08466A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highlight w:val="none"/>
        </w:rPr>
      </w:pPr>
      <w:r>
        <w:rPr>
          <w:rFonts w:ascii="Times New Roman" w:hAnsi="Times New Roman" w:cs="Times New Roman"/>
          <w:color w:val="auto"/>
          <w:sz w:val="24"/>
          <w:highlight w:val="none"/>
        </w:rPr>
        <w:t>3 检测结论应依据检测项目和参数的检测结果判定。当其所有检测项目和参数全部合格时，则判定系统质量为合格。</w:t>
      </w:r>
    </w:p>
    <w:p w14:paraId="6FDC9C83">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color w:val="auto"/>
          <w:sz w:val="24"/>
          <w:highlight w:val="none"/>
        </w:rPr>
      </w:pPr>
      <w:r>
        <w:rPr>
          <w:rFonts w:ascii="Times New Roman" w:hAnsi="Times New Roman" w:cs="Times New Roman"/>
          <w:color w:val="auto"/>
          <w:sz w:val="24"/>
          <w:highlight w:val="none"/>
        </w:rPr>
        <w:t>3.0.</w:t>
      </w:r>
      <w:r>
        <w:rPr>
          <w:rFonts w:hint="eastAsia" w:ascii="Times New Roman" w:hAnsi="Times New Roman" w:cs="Times New Roman"/>
          <w:color w:val="auto"/>
          <w:sz w:val="24"/>
          <w:highlight w:val="none"/>
          <w:lang w:val="en-US" w:eastAsia="zh-CN"/>
        </w:rPr>
        <w:t>4</w:t>
      </w:r>
      <w:r>
        <w:rPr>
          <w:rFonts w:ascii="Times New Roman" w:hAnsi="Times New Roman" w:cs="Times New Roman"/>
          <w:color w:val="auto"/>
          <w:sz w:val="24"/>
          <w:highlight w:val="none"/>
        </w:rPr>
        <w:t xml:space="preserve"> 城市轨道交通移动通信信号分布系统工程质量不合格的项目和参数应整改直至重新检测合格。重新检测的抽样数量应加倍，当加倍抽样检测仍不合格时，整改后应全数检测。</w:t>
      </w:r>
    </w:p>
    <w:p w14:paraId="14502BC4">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color w:val="auto"/>
          <w:sz w:val="24"/>
          <w:highlight w:val="none"/>
        </w:rPr>
      </w:pPr>
      <w:r>
        <w:rPr>
          <w:rFonts w:ascii="Times New Roman" w:hAnsi="Times New Roman" w:cs="Times New Roman"/>
          <w:color w:val="auto"/>
          <w:sz w:val="24"/>
          <w:highlight w:val="none"/>
        </w:rPr>
        <w:t>3.0.</w:t>
      </w:r>
      <w:r>
        <w:rPr>
          <w:rFonts w:hint="eastAsia" w:ascii="Times New Roman" w:hAnsi="Times New Roman" w:cs="Times New Roman"/>
          <w:color w:val="auto"/>
          <w:sz w:val="24"/>
          <w:highlight w:val="none"/>
          <w:lang w:val="en-US" w:eastAsia="zh-CN"/>
        </w:rPr>
        <w:t>5</w:t>
      </w:r>
      <w:r>
        <w:rPr>
          <w:rFonts w:ascii="Times New Roman" w:hAnsi="Times New Roman" w:cs="Times New Roman"/>
          <w:color w:val="auto"/>
          <w:sz w:val="24"/>
          <w:highlight w:val="none"/>
        </w:rPr>
        <w:t xml:space="preserve"> 城市轨道交通移动通信信号分布系统工程检测内容及检测数量应符合本标准的相关要求，检测结果合格后方可进行验收。</w:t>
      </w:r>
    </w:p>
    <w:p w14:paraId="4EE73E75">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color w:val="auto"/>
          <w:highlight w:val="none"/>
        </w:rPr>
      </w:pPr>
      <w:r>
        <w:rPr>
          <w:rFonts w:ascii="Times New Roman" w:hAnsi="Times New Roman" w:cs="Times New Roman"/>
          <w:color w:val="auto"/>
          <w:sz w:val="24"/>
          <w:highlight w:val="none"/>
        </w:rPr>
        <w:t>3.0.6 城市轨道交通移动通信信号分布系统工程质量检测报告应存入工程技术档案，作为工程验收的重要依据。</w:t>
      </w:r>
    </w:p>
    <w:p w14:paraId="2CFA7577">
      <w:pPr>
        <w:ind w:firstLine="480"/>
        <w:rPr>
          <w:rFonts w:ascii="Times New Roman" w:hAnsi="Times New Roman" w:cs="Times New Roman"/>
          <w:color w:val="auto"/>
          <w:highlight w:val="none"/>
        </w:rPr>
      </w:pPr>
    </w:p>
    <w:p w14:paraId="58501C7C">
      <w:pPr>
        <w:pStyle w:val="2"/>
        <w:rPr>
          <w:bCs/>
          <w:color w:val="auto"/>
          <w:highlight w:val="none"/>
        </w:rPr>
      </w:pPr>
      <w:r>
        <w:rPr>
          <w:color w:val="auto"/>
          <w:highlight w:val="none"/>
        </w:rPr>
        <w:br w:type="page"/>
      </w:r>
      <w:bookmarkStart w:id="31" w:name="_Toc180960174"/>
      <w:bookmarkStart w:id="32" w:name="_Toc19766"/>
      <w:bookmarkStart w:id="33" w:name="_Toc9885"/>
      <w:r>
        <w:rPr>
          <w:color w:val="auto"/>
          <w:highlight w:val="none"/>
        </w:rPr>
        <w:t>4 安装质量</w:t>
      </w:r>
      <w:bookmarkEnd w:id="31"/>
      <w:bookmarkEnd w:id="32"/>
      <w:bookmarkEnd w:id="33"/>
    </w:p>
    <w:p w14:paraId="6991A1C5">
      <w:pPr>
        <w:pStyle w:val="3"/>
        <w:ind w:firstLine="482"/>
        <w:rPr>
          <w:color w:val="auto"/>
          <w:highlight w:val="none"/>
        </w:rPr>
      </w:pPr>
      <w:bookmarkStart w:id="34" w:name="_Toc12610"/>
      <w:bookmarkStart w:id="35" w:name="_Toc180960175"/>
      <w:bookmarkStart w:id="36" w:name="_Toc25420"/>
      <w:r>
        <w:rPr>
          <w:color w:val="auto"/>
          <w:highlight w:val="none"/>
        </w:rPr>
        <w:t>4.1 一般要求</w:t>
      </w:r>
      <w:bookmarkEnd w:id="34"/>
      <w:bookmarkEnd w:id="35"/>
      <w:bookmarkEnd w:id="36"/>
    </w:p>
    <w:p w14:paraId="48184E25">
      <w:pPr>
        <w:widowControl/>
        <w:spacing w:line="360" w:lineRule="auto"/>
        <w:rPr>
          <w:rFonts w:ascii="Times New Roman" w:hAnsi="Times New Roman" w:cs="Times New Roman"/>
          <w:color w:val="auto"/>
          <w:kern w:val="0"/>
          <w:sz w:val="24"/>
          <w:highlight w:val="none"/>
          <w:lang w:bidi="ar"/>
        </w:rPr>
      </w:pPr>
      <w:r>
        <w:rPr>
          <w:rFonts w:hint="eastAsia" w:ascii="Times New Roman" w:hAnsi="Times New Roman" w:cs="Times New Roman"/>
          <w:color w:val="auto"/>
          <w:kern w:val="0"/>
          <w:sz w:val="24"/>
          <w:highlight w:val="none"/>
          <w:lang w:bidi="ar"/>
        </w:rPr>
        <w:t>4.1.1 安装质量</w:t>
      </w:r>
      <w:r>
        <w:rPr>
          <w:rFonts w:hint="eastAsia" w:ascii="Times New Roman" w:hAnsi="Times New Roman" w:cs="Times New Roman"/>
          <w:color w:val="auto"/>
          <w:kern w:val="0"/>
          <w:sz w:val="24"/>
          <w:highlight w:val="none"/>
          <w:lang w:val="en-US" w:eastAsia="zh-CN" w:bidi="ar"/>
        </w:rPr>
        <w:t>应</w:t>
      </w:r>
      <w:r>
        <w:rPr>
          <w:rFonts w:hint="eastAsia" w:ascii="Times New Roman" w:hAnsi="Times New Roman" w:cs="Times New Roman"/>
          <w:color w:val="auto"/>
          <w:kern w:val="0"/>
          <w:sz w:val="24"/>
          <w:highlight w:val="none"/>
          <w:lang w:bidi="ar"/>
        </w:rPr>
        <w:t>包括</w:t>
      </w:r>
      <w:r>
        <w:rPr>
          <w:rFonts w:ascii="Times New Roman" w:hAnsi="Times New Roman" w:cs="Times New Roman"/>
          <w:color w:val="auto"/>
          <w:sz w:val="24"/>
          <w:highlight w:val="none"/>
        </w:rPr>
        <w:t>缆线安装质量</w:t>
      </w:r>
      <w:r>
        <w:rPr>
          <w:rFonts w:hint="eastAsia" w:ascii="Times New Roman" w:hAnsi="Times New Roman" w:cs="Times New Roman"/>
          <w:color w:val="auto"/>
          <w:sz w:val="24"/>
          <w:highlight w:val="none"/>
        </w:rPr>
        <w:t>、</w:t>
      </w:r>
      <w:r>
        <w:rPr>
          <w:rFonts w:ascii="Times New Roman" w:hAnsi="Times New Roman" w:cs="Times New Roman"/>
          <w:color w:val="auto"/>
          <w:kern w:val="0"/>
          <w:sz w:val="24"/>
          <w:highlight w:val="none"/>
          <w:lang w:bidi="ar"/>
        </w:rPr>
        <w:t>设备安装质量</w:t>
      </w:r>
      <w:r>
        <w:rPr>
          <w:rFonts w:hint="eastAsia" w:ascii="Times New Roman" w:hAnsi="Times New Roman" w:cs="Times New Roman"/>
          <w:color w:val="auto"/>
          <w:kern w:val="0"/>
          <w:sz w:val="24"/>
          <w:highlight w:val="none"/>
          <w:lang w:bidi="ar"/>
        </w:rPr>
        <w:t>、接地装置、机房环境等。</w:t>
      </w:r>
      <w:r>
        <w:rPr>
          <w:rFonts w:ascii="Times New Roman" w:hAnsi="Times New Roman" w:cs="Times New Roman"/>
          <w:color w:val="auto"/>
          <w:sz w:val="24"/>
          <w:highlight w:val="none"/>
        </w:rPr>
        <w:t>缆线安装质量包括馈线、泄漏电缆、信号线、光</w:t>
      </w:r>
      <w:r>
        <w:rPr>
          <w:rFonts w:hint="eastAsia" w:ascii="Times New Roman" w:hAnsi="Times New Roman" w:cs="Times New Roman"/>
          <w:color w:val="auto"/>
          <w:sz w:val="24"/>
          <w:highlight w:val="none"/>
          <w:lang w:val="en-US" w:eastAsia="zh-CN"/>
        </w:rPr>
        <w:t>缆</w:t>
      </w:r>
      <w:r>
        <w:rPr>
          <w:rFonts w:ascii="Times New Roman" w:hAnsi="Times New Roman" w:cs="Times New Roman"/>
          <w:color w:val="auto"/>
          <w:sz w:val="24"/>
          <w:highlight w:val="none"/>
        </w:rPr>
        <w:t>、电源线等的布放。</w:t>
      </w:r>
      <w:r>
        <w:rPr>
          <w:rFonts w:ascii="Times New Roman" w:hAnsi="Times New Roman" w:cs="Times New Roman"/>
          <w:color w:val="auto"/>
          <w:kern w:val="0"/>
          <w:sz w:val="24"/>
          <w:highlight w:val="none"/>
          <w:lang w:bidi="ar"/>
        </w:rPr>
        <w:t>设备安装质量包括信号源、有源设备、无源设备、天线等的安装。</w:t>
      </w:r>
    </w:p>
    <w:p w14:paraId="1413FA26">
      <w:pPr>
        <w:spacing w:line="360" w:lineRule="auto"/>
        <w:rPr>
          <w:rFonts w:ascii="Times New Roman" w:hAnsi="Times New Roman" w:cs="Times New Roman"/>
          <w:color w:val="auto"/>
          <w:highlight w:val="none"/>
        </w:rPr>
      </w:pPr>
      <w:r>
        <w:rPr>
          <w:rFonts w:ascii="Times New Roman" w:hAnsi="Times New Roman" w:cs="Times New Roman"/>
          <w:color w:val="auto"/>
          <w:sz w:val="24"/>
          <w:highlight w:val="none"/>
        </w:rPr>
        <w:t>4.1.</w:t>
      </w:r>
      <w:r>
        <w:rPr>
          <w:rFonts w:hint="eastAsia" w:ascii="Times New Roman" w:hAnsi="Times New Roman" w:cs="Times New Roman"/>
          <w:color w:val="auto"/>
          <w:sz w:val="24"/>
          <w:highlight w:val="none"/>
        </w:rPr>
        <w:t>2</w:t>
      </w:r>
      <w:r>
        <w:rPr>
          <w:rFonts w:ascii="Times New Roman" w:hAnsi="Times New Roman" w:cs="Times New Roman"/>
          <w:color w:val="auto"/>
          <w:sz w:val="24"/>
          <w:highlight w:val="none"/>
        </w:rPr>
        <w:t xml:space="preserve"> </w:t>
      </w:r>
      <w:r>
        <w:rPr>
          <w:rFonts w:ascii="Times New Roman" w:hAnsi="Times New Roman" w:cs="Times New Roman"/>
          <w:color w:val="auto"/>
          <w:kern w:val="0"/>
          <w:sz w:val="24"/>
          <w:highlight w:val="none"/>
          <w:lang w:bidi="ar"/>
        </w:rPr>
        <w:t>光缆和泄漏电缆的检查应取总数的100%，其他</w:t>
      </w:r>
      <w:r>
        <w:rPr>
          <w:rFonts w:hint="eastAsia" w:ascii="Times New Roman" w:hAnsi="Times New Roman" w:cs="Times New Roman"/>
          <w:color w:val="auto"/>
          <w:kern w:val="0"/>
          <w:sz w:val="24"/>
          <w:highlight w:val="none"/>
          <w:lang w:val="en-US" w:eastAsia="zh-CN" w:bidi="ar"/>
        </w:rPr>
        <w:t>缆线</w:t>
      </w:r>
      <w:r>
        <w:rPr>
          <w:rFonts w:ascii="Times New Roman" w:hAnsi="Times New Roman" w:cs="Times New Roman"/>
          <w:color w:val="auto"/>
          <w:kern w:val="0"/>
          <w:sz w:val="24"/>
          <w:highlight w:val="none"/>
          <w:lang w:bidi="ar"/>
        </w:rPr>
        <w:t>的检查应取总数的10％；各项指标符合设计要求，则被检项目检查结果判为合格；被检项目的合格率为 100％，则</w:t>
      </w:r>
      <w:r>
        <w:rPr>
          <w:rFonts w:hint="eastAsia" w:ascii="Times New Roman" w:hAnsi="Times New Roman" w:cs="Times New Roman"/>
          <w:color w:val="auto"/>
          <w:kern w:val="0"/>
          <w:sz w:val="24"/>
          <w:highlight w:val="none"/>
          <w:lang w:val="en-US" w:eastAsia="zh-CN" w:bidi="ar"/>
        </w:rPr>
        <w:t>缆线</w:t>
      </w:r>
      <w:r>
        <w:rPr>
          <w:rFonts w:ascii="Times New Roman" w:hAnsi="Times New Roman" w:cs="Times New Roman"/>
          <w:color w:val="auto"/>
          <w:kern w:val="0"/>
          <w:sz w:val="24"/>
          <w:highlight w:val="none"/>
          <w:lang w:bidi="ar"/>
        </w:rPr>
        <w:t xml:space="preserve">安装质量判为合格。 </w:t>
      </w:r>
    </w:p>
    <w:p w14:paraId="05D54FDB">
      <w:pPr>
        <w:widowControl/>
        <w:spacing w:line="360" w:lineRule="auto"/>
        <w:rPr>
          <w:rFonts w:ascii="Times New Roman" w:hAnsi="Times New Roman" w:cs="Times New Roman"/>
          <w:color w:val="auto"/>
          <w:highlight w:val="none"/>
        </w:rPr>
      </w:pPr>
      <w:r>
        <w:rPr>
          <w:rFonts w:ascii="Times New Roman" w:hAnsi="Times New Roman" w:cs="Times New Roman"/>
          <w:color w:val="auto"/>
          <w:kern w:val="0"/>
          <w:sz w:val="24"/>
          <w:highlight w:val="none"/>
          <w:lang w:bidi="ar"/>
        </w:rPr>
        <w:t>4.1.</w:t>
      </w:r>
      <w:r>
        <w:rPr>
          <w:rFonts w:hint="eastAsia" w:ascii="Times New Roman" w:hAnsi="Times New Roman" w:cs="Times New Roman"/>
          <w:color w:val="auto"/>
          <w:kern w:val="0"/>
          <w:sz w:val="24"/>
          <w:highlight w:val="none"/>
          <w:lang w:bidi="ar"/>
        </w:rPr>
        <w:t>3</w:t>
      </w:r>
      <w:r>
        <w:rPr>
          <w:rFonts w:ascii="Times New Roman" w:hAnsi="Times New Roman" w:cs="Times New Roman"/>
          <w:color w:val="auto"/>
          <w:sz w:val="24"/>
          <w:highlight w:val="none"/>
        </w:rPr>
        <w:t xml:space="preserve"> </w:t>
      </w:r>
      <w:r>
        <w:rPr>
          <w:rFonts w:ascii="Times New Roman" w:hAnsi="Times New Roman" w:cs="Times New Roman"/>
          <w:color w:val="auto"/>
          <w:kern w:val="0"/>
          <w:sz w:val="24"/>
          <w:highlight w:val="none"/>
          <w:lang w:bidi="ar"/>
        </w:rPr>
        <w:t>信号源、</w:t>
      </w:r>
      <w:r>
        <w:rPr>
          <w:rFonts w:ascii="Times New Roman" w:hAnsi="Times New Roman" w:cs="Times New Roman"/>
          <w:color w:val="auto"/>
          <w:sz w:val="24"/>
          <w:highlight w:val="none"/>
        </w:rPr>
        <w:t>多系统接入平台</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kern w:val="0"/>
          <w:sz w:val="24"/>
          <w:highlight w:val="none"/>
          <w:lang w:bidi="ar"/>
        </w:rPr>
        <w:t>POI</w:t>
      </w:r>
      <w:r>
        <w:rPr>
          <w:rFonts w:hint="eastAsia" w:ascii="Times New Roman" w:hAnsi="Times New Roman" w:cs="Times New Roman"/>
          <w:color w:val="auto"/>
          <w:sz w:val="24"/>
          <w:highlight w:val="none"/>
          <w:lang w:eastAsia="zh-CN"/>
        </w:rPr>
        <w:t>）</w:t>
      </w:r>
      <w:r>
        <w:rPr>
          <w:rFonts w:ascii="Times New Roman" w:hAnsi="Times New Roman" w:cs="Times New Roman"/>
          <w:color w:val="auto"/>
          <w:kern w:val="0"/>
          <w:sz w:val="24"/>
          <w:highlight w:val="none"/>
          <w:lang w:bidi="ar"/>
        </w:rPr>
        <w:t>安装质量检查，应取总数的 100%；其他设备的检查应取总数的10％；各项指标符合设计要求，则被检项目检查结果判为合格；被检项目的合格率为 100％，则设备安装质量判为合格。</w:t>
      </w:r>
    </w:p>
    <w:p w14:paraId="2B714AA1">
      <w:pPr>
        <w:widowControl/>
        <w:spacing w:line="360" w:lineRule="auto"/>
        <w:rPr>
          <w:rFonts w:ascii="Times New Roman" w:hAnsi="Times New Roman" w:cs="Times New Roman"/>
          <w:color w:val="auto"/>
          <w:kern w:val="0"/>
          <w:sz w:val="24"/>
          <w:highlight w:val="none"/>
          <w:lang w:bidi="ar"/>
        </w:rPr>
      </w:pPr>
      <w:r>
        <w:rPr>
          <w:rFonts w:ascii="Times New Roman" w:hAnsi="Times New Roman" w:cs="Times New Roman"/>
          <w:color w:val="auto"/>
          <w:kern w:val="0"/>
          <w:sz w:val="24"/>
          <w:highlight w:val="none"/>
          <w:lang w:bidi="ar"/>
        </w:rPr>
        <w:t>4.1.</w:t>
      </w:r>
      <w:r>
        <w:rPr>
          <w:rFonts w:hint="eastAsia" w:ascii="Times New Roman" w:hAnsi="Times New Roman" w:cs="Times New Roman"/>
          <w:color w:val="auto"/>
          <w:kern w:val="0"/>
          <w:sz w:val="24"/>
          <w:highlight w:val="none"/>
          <w:lang w:bidi="ar"/>
        </w:rPr>
        <w:t>4</w:t>
      </w:r>
      <w:r>
        <w:rPr>
          <w:rFonts w:ascii="Times New Roman" w:hAnsi="Times New Roman" w:cs="Times New Roman"/>
          <w:color w:val="auto"/>
          <w:sz w:val="24"/>
          <w:highlight w:val="none"/>
        </w:rPr>
        <w:t xml:space="preserve"> </w:t>
      </w:r>
      <w:r>
        <w:rPr>
          <w:rFonts w:ascii="Times New Roman" w:hAnsi="Times New Roman" w:cs="Times New Roman"/>
          <w:color w:val="auto"/>
          <w:kern w:val="0"/>
          <w:sz w:val="24"/>
          <w:highlight w:val="none"/>
          <w:lang w:bidi="ar"/>
        </w:rPr>
        <w:t>各种设备、缆线的规格型号、安装位置、安装高度、路由等应符合工程设计要求。</w:t>
      </w:r>
    </w:p>
    <w:p w14:paraId="0566476C">
      <w:pPr>
        <w:widowControl/>
        <w:spacing w:line="360" w:lineRule="auto"/>
        <w:rPr>
          <w:rFonts w:ascii="Times New Roman" w:hAnsi="Times New Roman" w:cs="Times New Roman"/>
          <w:color w:val="auto"/>
          <w:kern w:val="0"/>
          <w:sz w:val="24"/>
          <w:highlight w:val="none"/>
          <w:lang w:bidi="ar"/>
        </w:rPr>
      </w:pPr>
      <w:r>
        <w:rPr>
          <w:rFonts w:ascii="Times New Roman" w:hAnsi="Times New Roman" w:cs="Times New Roman"/>
          <w:color w:val="auto"/>
          <w:kern w:val="0"/>
          <w:sz w:val="24"/>
          <w:highlight w:val="none"/>
          <w:lang w:bidi="ar"/>
        </w:rPr>
        <w:t>4.</w:t>
      </w:r>
      <w:r>
        <w:rPr>
          <w:rFonts w:hint="eastAsia" w:ascii="Times New Roman" w:hAnsi="Times New Roman" w:cs="Times New Roman"/>
          <w:color w:val="auto"/>
          <w:kern w:val="0"/>
          <w:sz w:val="24"/>
          <w:highlight w:val="none"/>
          <w:lang w:bidi="ar"/>
        </w:rPr>
        <w:t>1</w:t>
      </w:r>
      <w:r>
        <w:rPr>
          <w:rFonts w:ascii="Times New Roman" w:hAnsi="Times New Roman" w:cs="Times New Roman"/>
          <w:color w:val="auto"/>
          <w:kern w:val="0"/>
          <w:sz w:val="24"/>
          <w:highlight w:val="none"/>
          <w:lang w:bidi="ar"/>
        </w:rPr>
        <w:t>.</w:t>
      </w:r>
      <w:r>
        <w:rPr>
          <w:rFonts w:hint="eastAsia" w:ascii="Times New Roman" w:hAnsi="Times New Roman" w:cs="Times New Roman"/>
          <w:color w:val="auto"/>
          <w:kern w:val="0"/>
          <w:sz w:val="24"/>
          <w:highlight w:val="none"/>
          <w:lang w:bidi="ar"/>
        </w:rPr>
        <w:t>5</w:t>
      </w:r>
      <w:r>
        <w:rPr>
          <w:rFonts w:ascii="Times New Roman" w:hAnsi="Times New Roman" w:cs="Times New Roman"/>
          <w:color w:val="auto"/>
          <w:kern w:val="0"/>
          <w:sz w:val="24"/>
          <w:highlight w:val="none"/>
          <w:lang w:bidi="ar"/>
        </w:rPr>
        <w:t xml:space="preserve"> 设备和缆线应有标识标签，标识标签应字迹清晰、平整不起皱且不</w:t>
      </w:r>
      <w:r>
        <w:rPr>
          <w:rFonts w:hint="eastAsia" w:ascii="Times New Roman" w:hAnsi="Times New Roman" w:cs="Times New Roman"/>
          <w:color w:val="auto"/>
          <w:kern w:val="0"/>
          <w:sz w:val="24"/>
          <w:highlight w:val="none"/>
          <w:lang w:val="en-US" w:eastAsia="zh-CN" w:bidi="ar"/>
        </w:rPr>
        <w:t>易</w:t>
      </w:r>
      <w:r>
        <w:rPr>
          <w:rFonts w:ascii="Times New Roman" w:hAnsi="Times New Roman" w:cs="Times New Roman"/>
          <w:color w:val="auto"/>
          <w:kern w:val="0"/>
          <w:sz w:val="24"/>
          <w:highlight w:val="none"/>
          <w:lang w:bidi="ar"/>
        </w:rPr>
        <w:t>脱落，应按照设计要求注明标识名称、编号及路由走向，标识标签宜贴在合适位置。</w:t>
      </w:r>
    </w:p>
    <w:p w14:paraId="7086A2E7">
      <w:pPr>
        <w:widowControl/>
        <w:spacing w:line="360" w:lineRule="auto"/>
        <w:ind w:firstLine="480"/>
        <w:rPr>
          <w:rFonts w:ascii="Times New Roman" w:hAnsi="Times New Roman" w:cs="Times New Roman"/>
          <w:color w:val="auto"/>
          <w:kern w:val="0"/>
          <w:sz w:val="24"/>
          <w:highlight w:val="none"/>
          <w:lang w:bidi="ar"/>
        </w:rPr>
      </w:pPr>
    </w:p>
    <w:p w14:paraId="2CF46E9C">
      <w:pPr>
        <w:widowControl/>
        <w:ind w:firstLine="480"/>
        <w:jc w:val="left"/>
        <w:rPr>
          <w:rFonts w:ascii="Times New Roman" w:hAnsi="Times New Roman" w:cs="Times New Roman"/>
          <w:color w:val="auto"/>
          <w:kern w:val="0"/>
          <w:sz w:val="24"/>
          <w:highlight w:val="none"/>
          <w:lang w:bidi="ar"/>
        </w:rPr>
      </w:pPr>
      <w:r>
        <w:rPr>
          <w:rFonts w:ascii="Times New Roman" w:hAnsi="Times New Roman" w:cs="Times New Roman"/>
          <w:color w:val="auto"/>
          <w:kern w:val="0"/>
          <w:sz w:val="24"/>
          <w:highlight w:val="none"/>
          <w:lang w:bidi="ar"/>
        </w:rPr>
        <w:br w:type="page"/>
      </w:r>
    </w:p>
    <w:p w14:paraId="6A520259">
      <w:pPr>
        <w:pStyle w:val="3"/>
        <w:ind w:firstLine="482"/>
        <w:rPr>
          <w:color w:val="auto"/>
          <w:highlight w:val="none"/>
        </w:rPr>
      </w:pPr>
      <w:bookmarkStart w:id="37" w:name="_Toc13189"/>
      <w:bookmarkStart w:id="38" w:name="_Toc180960176"/>
      <w:bookmarkStart w:id="39" w:name="_Toc24582"/>
      <w:r>
        <w:rPr>
          <w:color w:val="auto"/>
          <w:highlight w:val="none"/>
        </w:rPr>
        <w:t>4.2 缆线安装质量检查</w:t>
      </w:r>
      <w:bookmarkEnd w:id="37"/>
      <w:bookmarkEnd w:id="38"/>
      <w:bookmarkEnd w:id="39"/>
    </w:p>
    <w:p w14:paraId="0BE1EE8F">
      <w:pPr>
        <w:spacing w:line="360" w:lineRule="auto"/>
        <w:outlineLvl w:val="2"/>
        <w:rPr>
          <w:rFonts w:ascii="Times New Roman" w:hAnsi="Times New Roman" w:cs="Times New Roman"/>
          <w:bCs/>
          <w:color w:val="auto"/>
          <w:sz w:val="24"/>
          <w:highlight w:val="none"/>
        </w:rPr>
      </w:pPr>
      <w:bookmarkStart w:id="40" w:name="_Toc174911316"/>
      <w:bookmarkStart w:id="41" w:name="_Toc32765"/>
      <w:bookmarkStart w:id="42" w:name="_Toc14968"/>
      <w:bookmarkStart w:id="43" w:name="_Toc180960177"/>
      <w:bookmarkStart w:id="44" w:name="_Toc178020249"/>
      <w:bookmarkStart w:id="45" w:name="_Toc4377"/>
      <w:bookmarkStart w:id="46" w:name="_Toc178108381"/>
      <w:r>
        <w:rPr>
          <w:rFonts w:ascii="Times New Roman" w:hAnsi="Times New Roman" w:cs="Times New Roman"/>
          <w:bCs/>
          <w:color w:val="auto"/>
          <w:sz w:val="24"/>
          <w:highlight w:val="none"/>
        </w:rPr>
        <w:t>4.2.1 馈线安装质量检查应符合</w:t>
      </w:r>
      <w:bookmarkEnd w:id="40"/>
      <w:bookmarkEnd w:id="41"/>
      <w:bookmarkEnd w:id="42"/>
      <w:bookmarkEnd w:id="43"/>
      <w:bookmarkEnd w:id="44"/>
      <w:bookmarkEnd w:id="45"/>
      <w:bookmarkEnd w:id="46"/>
      <w:r>
        <w:rPr>
          <w:rFonts w:hint="eastAsia" w:ascii="Times New Roman" w:hAnsi="Times New Roman" w:cs="Times New Roman"/>
          <w:bCs/>
          <w:color w:val="auto"/>
          <w:sz w:val="24"/>
          <w:highlight w:val="none"/>
          <w:lang w:val="en-US" w:eastAsia="zh-CN"/>
        </w:rPr>
        <w:t>下列规定</w:t>
      </w:r>
      <w:r>
        <w:rPr>
          <w:rFonts w:ascii="Times New Roman" w:hAnsi="Times New Roman" w:cs="Times New Roman"/>
          <w:bCs/>
          <w:color w:val="auto"/>
          <w:sz w:val="24"/>
          <w:highlight w:val="none"/>
        </w:rPr>
        <w:t>：</w:t>
      </w:r>
    </w:p>
    <w:p w14:paraId="08A77288">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bCs/>
          <w:color w:val="auto"/>
          <w:sz w:val="24"/>
          <w:highlight w:val="none"/>
        </w:rPr>
        <w:t>1</w:t>
      </w:r>
      <w:r>
        <w:rPr>
          <w:rFonts w:hint="eastAsia" w:ascii="Times New Roman" w:hAnsi="Times New Roman" w:cs="Times New Roman"/>
          <w:bCs/>
          <w:color w:val="auto"/>
          <w:sz w:val="24"/>
          <w:highlight w:val="none"/>
        </w:rPr>
        <w:t xml:space="preserve"> </w:t>
      </w:r>
      <w:r>
        <w:rPr>
          <w:rFonts w:ascii="Times New Roman" w:hAnsi="Times New Roman" w:cs="Times New Roman"/>
          <w:bCs/>
          <w:color w:val="auto"/>
          <w:sz w:val="24"/>
          <w:highlight w:val="none"/>
        </w:rPr>
        <w:t>馈线布放应平直、整齐、牢固、美观，不得有扭曲、裂损、交叉和飞线</w:t>
      </w:r>
      <w:r>
        <w:rPr>
          <w:rFonts w:ascii="Times New Roman" w:hAnsi="Times New Roman" w:cs="Times New Roman"/>
          <w:color w:val="auto"/>
          <w:sz w:val="24"/>
          <w:highlight w:val="none"/>
        </w:rPr>
        <w:t>现象</w:t>
      </w:r>
      <w:r>
        <w:rPr>
          <w:rFonts w:hint="eastAsia" w:ascii="Times New Roman" w:hAnsi="Times New Roman" w:cs="Times New Roman"/>
          <w:color w:val="auto"/>
          <w:sz w:val="24"/>
          <w:highlight w:val="none"/>
          <w:lang w:eastAsia="zh-CN"/>
        </w:rPr>
        <w:t>；</w:t>
      </w:r>
    </w:p>
    <w:p w14:paraId="25CDF205">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2 两条以上的馈线同时布放时应平行布放，弯曲布放时，弯曲角应保持圆滑，避免凹凸和急剧弯曲现象</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弯曲曲率半径应符合设计和相关标准要求</w:t>
      </w:r>
      <w:r>
        <w:rPr>
          <w:rFonts w:hint="eastAsia" w:ascii="Times New Roman" w:hAnsi="Times New Roman" w:cs="Times New Roman"/>
          <w:color w:val="auto"/>
          <w:sz w:val="24"/>
          <w:highlight w:val="none"/>
          <w:lang w:eastAsia="zh-CN"/>
        </w:rPr>
        <w:t>；</w:t>
      </w:r>
    </w:p>
    <w:p w14:paraId="30C9B575">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ascii="Times New Roman" w:hAnsi="Times New Roman" w:cs="Times New Roman"/>
          <w:color w:val="auto"/>
          <w:sz w:val="24"/>
          <w:highlight w:val="none"/>
        </w:rPr>
        <w:t xml:space="preserve">3 </w:t>
      </w:r>
      <w:r>
        <w:rPr>
          <w:rFonts w:hint="eastAsia" w:ascii="Times New Roman" w:hAnsi="Times New Roman" w:cs="Times New Roman"/>
          <w:color w:val="auto"/>
          <w:sz w:val="24"/>
          <w:highlight w:val="none"/>
          <w:lang w:val="en-US" w:eastAsia="zh-CN"/>
        </w:rPr>
        <w:t>馈线宜在弱电井和天花吊顶中布放并固定牢固，</w:t>
      </w:r>
      <w:r>
        <w:rPr>
          <w:rFonts w:hint="eastAsia" w:ascii="宋体" w:hAnsi="宋体"/>
          <w:color w:val="auto"/>
          <w:sz w:val="24"/>
          <w:highlight w:val="none"/>
        </w:rPr>
        <w:t>固定的间隔</w:t>
      </w:r>
      <w:r>
        <w:rPr>
          <w:rFonts w:hint="eastAsia" w:ascii="宋体" w:hAnsi="宋体"/>
          <w:color w:val="auto"/>
          <w:sz w:val="24"/>
          <w:highlight w:val="none"/>
          <w:lang w:val="en-US" w:eastAsia="zh-CN"/>
        </w:rPr>
        <w:t>应符合设计</w:t>
      </w:r>
      <w:r>
        <w:rPr>
          <w:rFonts w:hint="eastAsia" w:ascii="Times New Roman" w:hAnsi="Times New Roman" w:cs="Times New Roman"/>
          <w:color w:val="auto"/>
          <w:sz w:val="24"/>
          <w:highlight w:val="none"/>
          <w:lang w:val="en-US" w:eastAsia="zh-CN"/>
        </w:rPr>
        <w:t>和相关标准要求</w:t>
      </w:r>
      <w:r>
        <w:rPr>
          <w:rFonts w:hint="eastAsia" w:ascii="Times New Roman" w:hAnsi="Times New Roman" w:cs="Times New Roman"/>
          <w:color w:val="auto"/>
          <w:sz w:val="24"/>
          <w:highlight w:val="none"/>
          <w:lang w:eastAsia="zh-CN"/>
        </w:rPr>
        <w:t>；</w:t>
      </w:r>
    </w:p>
    <w:p w14:paraId="25AD7230">
      <w:pPr>
        <w:spacing w:line="360" w:lineRule="auto"/>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4 在弱电井和吊顶外的外布放的</w:t>
      </w:r>
      <w:r>
        <w:rPr>
          <w:rFonts w:ascii="Times New Roman" w:hAnsi="Times New Roman" w:cs="Times New Roman"/>
          <w:color w:val="auto"/>
          <w:sz w:val="24"/>
          <w:highlight w:val="none"/>
        </w:rPr>
        <w:t>馈线宜用走线架、走线槽或走线管保护并固定良好</w:t>
      </w:r>
      <w:r>
        <w:rPr>
          <w:rFonts w:hint="eastAsia" w:ascii="Times New Roman" w:hAnsi="Times New Roman" w:cs="Times New Roman"/>
          <w:color w:val="auto"/>
          <w:sz w:val="24"/>
          <w:highlight w:val="none"/>
          <w:lang w:eastAsia="zh-CN"/>
        </w:rPr>
        <w:t>；</w:t>
      </w:r>
    </w:p>
    <w:p w14:paraId="541F2D1A">
      <w:pPr>
        <w:spacing w:line="360" w:lineRule="auto"/>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5</w:t>
      </w:r>
      <w:r>
        <w:rPr>
          <w:rFonts w:ascii="Times New Roman" w:hAnsi="Times New Roman" w:cs="Times New Roman"/>
          <w:color w:val="auto"/>
          <w:sz w:val="24"/>
          <w:highlight w:val="none"/>
        </w:rPr>
        <w:t xml:space="preserve"> 馈线的连接头应牢固安装，接触良好，室外馈线的连接头应做防水密封处理</w:t>
      </w:r>
      <w:r>
        <w:rPr>
          <w:rFonts w:hint="eastAsia" w:ascii="Times New Roman" w:hAnsi="Times New Roman" w:cs="Times New Roman"/>
          <w:color w:val="auto"/>
          <w:sz w:val="24"/>
          <w:highlight w:val="none"/>
          <w:lang w:eastAsia="zh-CN"/>
        </w:rPr>
        <w:t>；</w:t>
      </w:r>
    </w:p>
    <w:p w14:paraId="078EC6FA">
      <w:pPr>
        <w:spacing w:line="360" w:lineRule="auto"/>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6</w:t>
      </w:r>
      <w:r>
        <w:rPr>
          <w:rFonts w:ascii="Times New Roman" w:hAnsi="Times New Roman" w:cs="Times New Roman"/>
          <w:color w:val="auto"/>
          <w:sz w:val="24"/>
          <w:highlight w:val="none"/>
        </w:rPr>
        <w:t xml:space="preserve"> 馈线不</w:t>
      </w:r>
      <w:r>
        <w:rPr>
          <w:rFonts w:hint="eastAsia" w:ascii="Times New Roman" w:hAnsi="Times New Roman" w:cs="Times New Roman"/>
          <w:color w:val="auto"/>
          <w:sz w:val="24"/>
          <w:highlight w:val="none"/>
          <w:lang w:val="en-US" w:eastAsia="zh-CN"/>
        </w:rPr>
        <w:t>得</w:t>
      </w:r>
      <w:r>
        <w:rPr>
          <w:rFonts w:ascii="Times New Roman" w:hAnsi="Times New Roman" w:cs="Times New Roman"/>
          <w:color w:val="auto"/>
          <w:sz w:val="24"/>
          <w:highlight w:val="none"/>
        </w:rPr>
        <w:t>安装在风管或水管管井，不得在强电高压管道和消防管道一起布放</w:t>
      </w:r>
      <w:r>
        <w:rPr>
          <w:rFonts w:hint="eastAsia" w:ascii="Times New Roman" w:hAnsi="Times New Roman" w:cs="Times New Roman"/>
          <w:color w:val="auto"/>
          <w:sz w:val="24"/>
          <w:highlight w:val="none"/>
          <w:lang w:eastAsia="zh-CN"/>
        </w:rPr>
        <w:t>；</w:t>
      </w:r>
    </w:p>
    <w:p w14:paraId="57A953CB">
      <w:pPr>
        <w:spacing w:line="360" w:lineRule="auto"/>
        <w:ind w:firstLine="480" w:firstLineChars="200"/>
        <w:rPr>
          <w:rFonts w:hint="eastAsia"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lang w:val="en-US" w:eastAsia="zh-CN"/>
        </w:rPr>
        <w:t>7</w:t>
      </w:r>
      <w:r>
        <w:rPr>
          <w:rFonts w:ascii="Times New Roman" w:hAnsi="Times New Roman" w:cs="Times New Roman"/>
          <w:color w:val="auto"/>
          <w:sz w:val="24"/>
          <w:highlight w:val="none"/>
        </w:rPr>
        <w:t xml:space="preserve"> 馈线与电力电缆不应共线槽布放，布放间距应符合</w:t>
      </w:r>
      <w:r>
        <w:rPr>
          <w:rFonts w:hint="eastAsia" w:ascii="Times New Roman" w:hAnsi="Times New Roman" w:cs="Times New Roman"/>
          <w:color w:val="auto"/>
          <w:sz w:val="24"/>
          <w:highlight w:val="none"/>
          <w:lang w:val="en-US" w:eastAsia="zh-CN"/>
        </w:rPr>
        <w:t>设计</w:t>
      </w:r>
      <w:r>
        <w:rPr>
          <w:rFonts w:ascii="Times New Roman" w:hAnsi="Times New Roman" w:cs="Times New Roman"/>
          <w:color w:val="auto"/>
          <w:sz w:val="24"/>
          <w:highlight w:val="none"/>
        </w:rPr>
        <w:t>要求</w:t>
      </w:r>
      <w:r>
        <w:rPr>
          <w:rFonts w:hint="eastAsia" w:ascii="Times New Roman" w:hAnsi="Times New Roman" w:cs="Times New Roman"/>
          <w:color w:val="auto"/>
          <w:sz w:val="24"/>
          <w:highlight w:val="none"/>
          <w:lang w:eastAsia="zh-CN"/>
        </w:rPr>
        <w:t>；</w:t>
      </w:r>
    </w:p>
    <w:p w14:paraId="547DC143">
      <w:pPr>
        <w:spacing w:line="360" w:lineRule="auto"/>
        <w:ind w:firstLine="480" w:firstLineChars="200"/>
        <w:rPr>
          <w:rFonts w:hint="default"/>
          <w:color w:val="auto"/>
          <w:sz w:val="24"/>
          <w:highlight w:val="none"/>
          <w:lang w:val="en-US" w:eastAsia="zh-CN"/>
        </w:rPr>
      </w:pPr>
      <w:r>
        <w:rPr>
          <w:rFonts w:hint="eastAsia" w:ascii="Times New Roman" w:hAnsi="Times New Roman" w:cs="Times New Roman"/>
          <w:color w:val="auto"/>
          <w:sz w:val="24"/>
          <w:highlight w:val="none"/>
          <w:lang w:val="en-US" w:eastAsia="zh-CN"/>
        </w:rPr>
        <w:t>8</w:t>
      </w:r>
      <w:r>
        <w:rPr>
          <w:rFonts w:hint="eastAsia"/>
          <w:color w:val="auto"/>
          <w:sz w:val="24"/>
          <w:highlight w:val="none"/>
          <w:lang w:val="en-US" w:eastAsia="zh-CN"/>
        </w:rPr>
        <w:t xml:space="preserve"> </w:t>
      </w:r>
      <w:r>
        <w:rPr>
          <w:rFonts w:hint="eastAsia"/>
          <w:color w:val="auto"/>
          <w:sz w:val="24"/>
          <w:highlight w:val="none"/>
        </w:rPr>
        <w:t>馈线在</w:t>
      </w:r>
      <w:r>
        <w:rPr>
          <w:rFonts w:hint="eastAsia"/>
          <w:color w:val="auto"/>
          <w:sz w:val="24"/>
          <w:highlight w:val="none"/>
          <w:lang w:val="en-US" w:eastAsia="zh-CN"/>
        </w:rPr>
        <w:t>进入机房和</w:t>
      </w:r>
      <w:r>
        <w:rPr>
          <w:rFonts w:hint="eastAsia"/>
          <w:color w:val="auto"/>
          <w:sz w:val="24"/>
          <w:highlight w:val="none"/>
        </w:rPr>
        <w:t>设备</w:t>
      </w:r>
      <w:r>
        <w:rPr>
          <w:rFonts w:hint="eastAsia"/>
          <w:color w:val="auto"/>
          <w:sz w:val="24"/>
          <w:highlight w:val="none"/>
          <w:lang w:val="en-US" w:eastAsia="zh-CN"/>
        </w:rPr>
        <w:t>连接前应安装避雷器，接地应就近引入接地装置上；</w:t>
      </w:r>
    </w:p>
    <w:p w14:paraId="511F99AF">
      <w:pPr>
        <w:spacing w:line="360" w:lineRule="auto"/>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9</w:t>
      </w:r>
      <w:r>
        <w:rPr>
          <w:rFonts w:ascii="Times New Roman" w:hAnsi="Times New Roman" w:cs="Times New Roman"/>
          <w:color w:val="auto"/>
          <w:sz w:val="24"/>
          <w:highlight w:val="none"/>
        </w:rPr>
        <w:t xml:space="preserve"> 与设备相连的跳线或馈线应采用线码或馈线夹进行固定，线槽至合路器端馈线</w:t>
      </w:r>
      <w:r>
        <w:rPr>
          <w:rFonts w:hint="eastAsia" w:ascii="Times New Roman" w:hAnsi="Times New Roman" w:cs="Times New Roman"/>
          <w:color w:val="auto"/>
          <w:sz w:val="24"/>
          <w:highlight w:val="none"/>
          <w:lang w:val="en-US" w:eastAsia="zh-CN"/>
        </w:rPr>
        <w:t>长度</w:t>
      </w:r>
      <w:r>
        <w:rPr>
          <w:rFonts w:ascii="Times New Roman" w:hAnsi="Times New Roman" w:cs="Times New Roman"/>
          <w:color w:val="auto"/>
          <w:sz w:val="24"/>
          <w:highlight w:val="none"/>
        </w:rPr>
        <w:t>应不小于0.4m。</w:t>
      </w:r>
    </w:p>
    <w:p w14:paraId="50857ECB">
      <w:pPr>
        <w:spacing w:line="360" w:lineRule="auto"/>
        <w:outlineLvl w:val="2"/>
        <w:rPr>
          <w:rFonts w:ascii="Times New Roman" w:hAnsi="Times New Roman" w:cs="Times New Roman"/>
          <w:bCs/>
          <w:color w:val="auto"/>
          <w:sz w:val="24"/>
          <w:highlight w:val="none"/>
        </w:rPr>
      </w:pPr>
      <w:bookmarkStart w:id="47" w:name="_Toc180960178"/>
      <w:bookmarkStart w:id="48" w:name="_Toc4475"/>
      <w:bookmarkStart w:id="49" w:name="_Toc178020250"/>
      <w:bookmarkStart w:id="50" w:name="_Toc15986"/>
      <w:bookmarkStart w:id="51" w:name="_Toc178108382"/>
      <w:bookmarkStart w:id="52" w:name="_Toc17793"/>
      <w:bookmarkStart w:id="53" w:name="_Toc174911317"/>
      <w:r>
        <w:rPr>
          <w:rFonts w:ascii="Times New Roman" w:hAnsi="Times New Roman" w:cs="Times New Roman"/>
          <w:bCs/>
          <w:color w:val="auto"/>
          <w:sz w:val="24"/>
          <w:highlight w:val="none"/>
        </w:rPr>
        <w:t>4.2.2 泄漏电缆安装质量检查应符合</w:t>
      </w:r>
      <w:bookmarkEnd w:id="47"/>
      <w:bookmarkEnd w:id="48"/>
      <w:bookmarkEnd w:id="49"/>
      <w:bookmarkEnd w:id="50"/>
      <w:bookmarkEnd w:id="51"/>
      <w:bookmarkEnd w:id="52"/>
      <w:bookmarkEnd w:id="53"/>
      <w:r>
        <w:rPr>
          <w:rFonts w:hint="eastAsia" w:ascii="Times New Roman" w:hAnsi="Times New Roman" w:cs="Times New Roman"/>
          <w:bCs/>
          <w:color w:val="auto"/>
          <w:sz w:val="24"/>
          <w:highlight w:val="none"/>
          <w:lang w:val="en-US" w:eastAsia="zh-CN"/>
        </w:rPr>
        <w:t>下列规定</w:t>
      </w:r>
      <w:r>
        <w:rPr>
          <w:rFonts w:ascii="Times New Roman" w:hAnsi="Times New Roman" w:cs="Times New Roman"/>
          <w:bCs/>
          <w:color w:val="auto"/>
          <w:sz w:val="24"/>
          <w:highlight w:val="none"/>
        </w:rPr>
        <w:t>：</w:t>
      </w:r>
    </w:p>
    <w:p w14:paraId="7C03D41F">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1 泄漏电缆的布放除了满足射频同轴电缆布放要求外，安装位置、安装方式</w:t>
      </w:r>
      <w:r>
        <w:rPr>
          <w:rFonts w:hint="eastAsia" w:ascii="Times New Roman" w:hAnsi="Times New Roman" w:cs="Times New Roman"/>
          <w:color w:val="auto"/>
          <w:sz w:val="24"/>
          <w:highlight w:val="none"/>
          <w:lang w:val="en-US" w:eastAsia="zh-CN"/>
        </w:rPr>
        <w:t>及夹具、防火夹具</w:t>
      </w:r>
      <w:r>
        <w:rPr>
          <w:rFonts w:ascii="Times New Roman" w:hAnsi="Times New Roman" w:cs="Times New Roman"/>
          <w:color w:val="auto"/>
          <w:sz w:val="24"/>
          <w:highlight w:val="none"/>
        </w:rPr>
        <w:t>应符合设计要求</w:t>
      </w:r>
      <w:r>
        <w:rPr>
          <w:rFonts w:hint="eastAsia" w:ascii="Times New Roman" w:hAnsi="Times New Roman" w:cs="Times New Roman"/>
          <w:color w:val="auto"/>
          <w:sz w:val="24"/>
          <w:highlight w:val="none"/>
          <w:lang w:eastAsia="zh-CN"/>
        </w:rPr>
        <w:t>；</w:t>
      </w:r>
    </w:p>
    <w:p w14:paraId="2792A3E3">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 泄漏电缆的布放的最小弯曲半径、最大张力和固定夹最小间隔应符合</w:t>
      </w:r>
      <w:r>
        <w:rPr>
          <w:rFonts w:hint="eastAsia" w:ascii="Times New Roman" w:hAnsi="Times New Roman" w:cs="Times New Roman"/>
          <w:color w:val="auto"/>
          <w:sz w:val="24"/>
          <w:highlight w:val="none"/>
          <w:lang w:val="en-US" w:eastAsia="zh-CN"/>
        </w:rPr>
        <w:t>设计</w:t>
      </w:r>
      <w:r>
        <w:rPr>
          <w:rFonts w:ascii="Times New Roman" w:hAnsi="Times New Roman" w:cs="Times New Roman"/>
          <w:color w:val="auto"/>
          <w:sz w:val="24"/>
          <w:highlight w:val="none"/>
        </w:rPr>
        <w:t>要求</w:t>
      </w:r>
      <w:r>
        <w:rPr>
          <w:rFonts w:hint="eastAsia" w:ascii="Times New Roman" w:hAnsi="Times New Roman" w:cs="Times New Roman"/>
          <w:color w:val="auto"/>
          <w:sz w:val="24"/>
          <w:highlight w:val="none"/>
          <w:lang w:eastAsia="zh-CN"/>
        </w:rPr>
        <w:t>；</w:t>
      </w:r>
    </w:p>
    <w:p w14:paraId="04D14FA7">
      <w:pPr>
        <w:spacing w:line="360" w:lineRule="auto"/>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3 隧道外区段漏缆吊挂后最大下垂幅度应在0.15m~0.2m范围内</w:t>
      </w:r>
      <w:r>
        <w:rPr>
          <w:rFonts w:hint="eastAsia" w:ascii="Times New Roman" w:hAnsi="Times New Roman" w:cs="Times New Roman"/>
          <w:color w:val="auto"/>
          <w:sz w:val="24"/>
          <w:highlight w:val="none"/>
          <w:lang w:eastAsia="zh-CN"/>
        </w:rPr>
        <w:t>；</w:t>
      </w:r>
    </w:p>
    <w:p w14:paraId="3720EDFD">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4</w:t>
      </w:r>
      <w:r>
        <w:rPr>
          <w:rFonts w:ascii="Times New Roman" w:hAnsi="Times New Roman" w:cs="Times New Roman"/>
          <w:color w:val="auto"/>
          <w:sz w:val="24"/>
          <w:highlight w:val="none"/>
        </w:rPr>
        <w:t xml:space="preserve"> 隧道内</w:t>
      </w:r>
      <w:r>
        <w:rPr>
          <w:rFonts w:hint="eastAsia" w:ascii="Times New Roman" w:hAnsi="Times New Roman" w:cs="Times New Roman"/>
          <w:color w:val="auto"/>
          <w:sz w:val="24"/>
          <w:highlight w:val="none"/>
        </w:rPr>
        <w:t>泄漏电</w:t>
      </w:r>
      <w:r>
        <w:rPr>
          <w:rFonts w:ascii="Times New Roman" w:hAnsi="Times New Roman" w:cs="Times New Roman"/>
          <w:color w:val="auto"/>
          <w:sz w:val="24"/>
          <w:highlight w:val="none"/>
        </w:rPr>
        <w:t>缆敷设检查</w:t>
      </w:r>
      <w:r>
        <w:rPr>
          <w:rFonts w:hint="eastAsia" w:ascii="Times New Roman" w:hAnsi="Times New Roman" w:cs="Times New Roman"/>
          <w:color w:val="auto"/>
          <w:sz w:val="24"/>
          <w:highlight w:val="none"/>
          <w:lang w:val="en-US" w:eastAsia="zh-CN"/>
        </w:rPr>
        <w:t>应符合</w:t>
      </w:r>
      <w:r>
        <w:rPr>
          <w:rFonts w:hint="eastAsia" w:ascii="Times New Roman" w:hAnsi="Times New Roman" w:cs="Times New Roman"/>
          <w:bCs/>
          <w:color w:val="auto"/>
          <w:sz w:val="24"/>
          <w:highlight w:val="none"/>
          <w:lang w:val="en-US" w:eastAsia="zh-CN"/>
        </w:rPr>
        <w:t>下列规定</w:t>
      </w:r>
      <w:r>
        <w:rPr>
          <w:rFonts w:ascii="Times New Roman" w:hAnsi="Times New Roman" w:cs="Times New Roman"/>
          <w:bCs/>
          <w:color w:val="auto"/>
          <w:sz w:val="24"/>
          <w:highlight w:val="none"/>
        </w:rPr>
        <w:t>：</w:t>
      </w:r>
    </w:p>
    <w:p w14:paraId="5EAF26F6">
      <w:pPr>
        <w:numPr>
          <w:ilvl w:val="0"/>
          <w:numId w:val="2"/>
        </w:numPr>
        <w:spacing w:line="360" w:lineRule="auto"/>
        <w:ind w:firstLine="720" w:firstLineChars="300"/>
        <w:rPr>
          <w:rFonts w:hint="eastAsia" w:ascii="Times New Roman" w:hAnsi="Times New Roman" w:cs="Times New Roman"/>
          <w:color w:val="auto"/>
          <w:sz w:val="24"/>
          <w:highlight w:val="none"/>
          <w:lang w:eastAsia="zh-CN"/>
        </w:rPr>
      </w:pPr>
      <w:r>
        <w:rPr>
          <w:rFonts w:ascii="Times New Roman" w:hAnsi="Times New Roman" w:cs="Times New Roman"/>
          <w:color w:val="auto"/>
          <w:sz w:val="24"/>
          <w:highlight w:val="none"/>
        </w:rPr>
        <w:t>隧道内泄漏电缆敷设时，泄漏电缆架挂在隧道侧壁，架挂位置和高度</w:t>
      </w:r>
    </w:p>
    <w:p w14:paraId="265F39BF">
      <w:pPr>
        <w:numPr>
          <w:ilvl w:val="0"/>
          <w:numId w:val="0"/>
        </w:numPr>
        <w:spacing w:line="360" w:lineRule="auto"/>
        <w:ind w:leftChars="300" w:firstLine="480" w:firstLineChars="200"/>
        <w:rPr>
          <w:rFonts w:hint="eastAsia" w:ascii="Times New Roman" w:hAnsi="Times New Roman" w:cs="Times New Roman"/>
          <w:color w:val="auto"/>
          <w:sz w:val="24"/>
          <w:highlight w:val="none"/>
          <w:lang w:eastAsia="zh-CN"/>
        </w:rPr>
      </w:pPr>
      <w:r>
        <w:rPr>
          <w:rFonts w:ascii="Times New Roman" w:hAnsi="Times New Roman" w:cs="Times New Roman"/>
          <w:color w:val="auto"/>
          <w:sz w:val="24"/>
          <w:highlight w:val="none"/>
        </w:rPr>
        <w:t>应符合设计要求</w:t>
      </w:r>
      <w:r>
        <w:rPr>
          <w:rFonts w:hint="eastAsia" w:ascii="Times New Roman" w:hAnsi="Times New Roman" w:cs="Times New Roman"/>
          <w:color w:val="auto"/>
          <w:sz w:val="24"/>
          <w:highlight w:val="none"/>
          <w:lang w:eastAsia="zh-CN"/>
        </w:rPr>
        <w:t>；</w:t>
      </w:r>
    </w:p>
    <w:p w14:paraId="225DD465">
      <w:pPr>
        <w:numPr>
          <w:ilvl w:val="0"/>
          <w:numId w:val="2"/>
        </w:numPr>
        <w:spacing w:line="360" w:lineRule="auto"/>
        <w:ind w:firstLine="720" w:firstLineChars="300"/>
        <w:rPr>
          <w:rFonts w:ascii="Times New Roman" w:hAnsi="Times New Roman" w:cs="Times New Roman"/>
          <w:color w:val="auto"/>
          <w:sz w:val="24"/>
          <w:highlight w:val="none"/>
        </w:rPr>
      </w:pPr>
      <w:r>
        <w:rPr>
          <w:rFonts w:ascii="Times New Roman" w:hAnsi="Times New Roman" w:cs="Times New Roman"/>
          <w:color w:val="auto"/>
          <w:sz w:val="24"/>
          <w:highlight w:val="none"/>
        </w:rPr>
        <w:t>泄漏电缆外缘与隧道壁距离应不小于80mm，泄漏电缆槽口应朝向钢</w:t>
      </w:r>
    </w:p>
    <w:p w14:paraId="07A36AA0">
      <w:pPr>
        <w:numPr>
          <w:ilvl w:val="0"/>
          <w:numId w:val="0"/>
        </w:numPr>
        <w:spacing w:line="360" w:lineRule="auto"/>
        <w:ind w:leftChars="300"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轨侧</w:t>
      </w:r>
      <w:r>
        <w:rPr>
          <w:rFonts w:hint="eastAsia" w:ascii="Times New Roman" w:hAnsi="Times New Roman" w:cs="Times New Roman"/>
          <w:color w:val="auto"/>
          <w:sz w:val="24"/>
          <w:highlight w:val="none"/>
          <w:lang w:eastAsia="zh-CN"/>
        </w:rPr>
        <w:t>；</w:t>
      </w:r>
    </w:p>
    <w:p w14:paraId="30C37CFD">
      <w:pPr>
        <w:numPr>
          <w:ilvl w:val="0"/>
          <w:numId w:val="2"/>
        </w:numPr>
        <w:spacing w:line="360" w:lineRule="auto"/>
        <w:ind w:firstLine="720" w:firstLineChars="300"/>
        <w:rPr>
          <w:rFonts w:ascii="Times New Roman" w:hAnsi="Times New Roman" w:cs="Times New Roman"/>
          <w:color w:val="auto"/>
          <w:sz w:val="24"/>
          <w:highlight w:val="none"/>
        </w:rPr>
      </w:pPr>
      <w:r>
        <w:rPr>
          <w:rFonts w:ascii="Times New Roman" w:hAnsi="Times New Roman" w:cs="Times New Roman"/>
          <w:color w:val="auto"/>
          <w:sz w:val="24"/>
          <w:highlight w:val="none"/>
        </w:rPr>
        <w:t>泄漏电缆敷设过程中严禁急剧弯曲</w:t>
      </w:r>
      <w:r>
        <w:rPr>
          <w:rFonts w:hint="eastAsia" w:ascii="Times New Roman" w:hAnsi="Times New Roman" w:cs="Times New Roman"/>
          <w:color w:val="auto"/>
          <w:sz w:val="24"/>
          <w:highlight w:val="none"/>
          <w:lang w:eastAsia="zh-CN"/>
        </w:rPr>
        <w:t>，</w:t>
      </w:r>
      <w:r>
        <w:rPr>
          <w:rFonts w:ascii="Times New Roman" w:hAnsi="Times New Roman" w:cs="Times New Roman"/>
          <w:color w:val="auto"/>
          <w:sz w:val="24"/>
          <w:highlight w:val="none"/>
        </w:rPr>
        <w:t>泄漏电缆敷设后静置状态时最小</w:t>
      </w:r>
    </w:p>
    <w:p w14:paraId="4E36666C">
      <w:pPr>
        <w:numPr>
          <w:ilvl w:val="0"/>
          <w:numId w:val="0"/>
        </w:numPr>
        <w:spacing w:line="360" w:lineRule="auto"/>
        <w:ind w:leftChars="300"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弯曲半径应大于电缆外径的20倍</w:t>
      </w:r>
      <w:r>
        <w:rPr>
          <w:rFonts w:hint="eastAsia" w:ascii="Times New Roman" w:hAnsi="Times New Roman" w:cs="Times New Roman"/>
          <w:color w:val="auto"/>
          <w:sz w:val="24"/>
          <w:highlight w:val="none"/>
          <w:lang w:eastAsia="zh-CN"/>
        </w:rPr>
        <w:t>；</w:t>
      </w:r>
    </w:p>
    <w:p w14:paraId="65379624">
      <w:pPr>
        <w:numPr>
          <w:ilvl w:val="0"/>
          <w:numId w:val="2"/>
        </w:numPr>
        <w:spacing w:line="360" w:lineRule="auto"/>
        <w:ind w:firstLine="720" w:firstLineChars="300"/>
        <w:rPr>
          <w:rFonts w:ascii="Times New Roman" w:hAnsi="Times New Roman" w:cs="Times New Roman"/>
          <w:color w:val="auto"/>
          <w:sz w:val="24"/>
          <w:highlight w:val="none"/>
        </w:rPr>
      </w:pPr>
      <w:r>
        <w:rPr>
          <w:rFonts w:ascii="Times New Roman" w:hAnsi="Times New Roman" w:cs="Times New Roman"/>
          <w:color w:val="auto"/>
          <w:sz w:val="24"/>
          <w:highlight w:val="none"/>
        </w:rPr>
        <w:t>泄漏电缆与其他线缆同支架安装时</w:t>
      </w: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尽可能避免交叉</w:t>
      </w: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应将泄漏电缆</w:t>
      </w:r>
    </w:p>
    <w:p w14:paraId="64CCDB0F">
      <w:pPr>
        <w:numPr>
          <w:ilvl w:val="0"/>
          <w:numId w:val="0"/>
        </w:numPr>
        <w:spacing w:line="360" w:lineRule="auto"/>
        <w:ind w:leftChars="300"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布设在靠近钢轨侧</w:t>
      </w: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避免其他线缆阻挡泄漏电缆的信号辐射</w:t>
      </w:r>
      <w:r>
        <w:rPr>
          <w:rFonts w:hint="eastAsia" w:ascii="Times New Roman" w:hAnsi="Times New Roman" w:cs="Times New Roman"/>
          <w:color w:val="auto"/>
          <w:sz w:val="24"/>
          <w:highlight w:val="none"/>
          <w:lang w:eastAsia="zh-CN"/>
        </w:rPr>
        <w:t>；</w:t>
      </w:r>
    </w:p>
    <w:p w14:paraId="6B289754">
      <w:pPr>
        <w:numPr>
          <w:ilvl w:val="0"/>
          <w:numId w:val="2"/>
        </w:numPr>
        <w:spacing w:line="360" w:lineRule="auto"/>
        <w:ind w:firstLine="720" w:firstLineChars="300"/>
        <w:rPr>
          <w:rFonts w:ascii="Times New Roman" w:hAnsi="Times New Roman" w:cs="Times New Roman"/>
          <w:color w:val="auto"/>
          <w:sz w:val="24"/>
          <w:highlight w:val="none"/>
        </w:rPr>
      </w:pPr>
      <w:r>
        <w:rPr>
          <w:rFonts w:ascii="Times New Roman" w:hAnsi="Times New Roman" w:cs="Times New Roman"/>
          <w:color w:val="auto"/>
          <w:sz w:val="24"/>
          <w:highlight w:val="none"/>
        </w:rPr>
        <w:t>与既有泄漏电缆的间距不应小于30cm</w:t>
      </w:r>
      <w:r>
        <w:rPr>
          <w:rFonts w:hint="eastAsia" w:ascii="Times New Roman" w:hAnsi="Times New Roman" w:cs="Times New Roman"/>
          <w:color w:val="auto"/>
          <w:sz w:val="24"/>
          <w:highlight w:val="none"/>
          <w:lang w:eastAsia="zh-CN"/>
        </w:rPr>
        <w:t>，</w:t>
      </w:r>
      <w:r>
        <w:rPr>
          <w:rFonts w:ascii="Times New Roman" w:hAnsi="Times New Roman" w:cs="Times New Roman"/>
          <w:color w:val="auto"/>
          <w:sz w:val="24"/>
          <w:highlight w:val="none"/>
        </w:rPr>
        <w:t>与其他管线的距离应符合设计</w:t>
      </w:r>
    </w:p>
    <w:p w14:paraId="4E5ACC97">
      <w:pPr>
        <w:numPr>
          <w:ilvl w:val="0"/>
          <w:numId w:val="0"/>
        </w:numPr>
        <w:spacing w:line="360" w:lineRule="auto"/>
        <w:ind w:leftChars="300"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要求</w:t>
      </w:r>
      <w:r>
        <w:rPr>
          <w:rFonts w:hint="eastAsia" w:ascii="Times New Roman" w:hAnsi="Times New Roman" w:cs="Times New Roman"/>
          <w:color w:val="auto"/>
          <w:sz w:val="24"/>
          <w:highlight w:val="none"/>
          <w:lang w:eastAsia="zh-CN"/>
        </w:rPr>
        <w:t>；</w:t>
      </w:r>
    </w:p>
    <w:p w14:paraId="57A4ED1E">
      <w:pPr>
        <w:numPr>
          <w:ilvl w:val="0"/>
          <w:numId w:val="2"/>
        </w:numPr>
        <w:spacing w:line="360" w:lineRule="auto"/>
        <w:ind w:firstLine="720" w:firstLineChars="300"/>
        <w:rPr>
          <w:rFonts w:ascii="Times New Roman" w:hAnsi="Times New Roman" w:cs="Times New Roman"/>
          <w:color w:val="auto"/>
          <w:sz w:val="24"/>
          <w:highlight w:val="none"/>
        </w:rPr>
      </w:pPr>
      <w:r>
        <w:rPr>
          <w:rFonts w:ascii="Times New Roman" w:hAnsi="Times New Roman" w:cs="Times New Roman"/>
          <w:color w:val="auto"/>
          <w:sz w:val="24"/>
          <w:highlight w:val="none"/>
        </w:rPr>
        <w:t>应按设计要求进行泄漏电缆接地。</w:t>
      </w:r>
      <w:bookmarkStart w:id="54" w:name="_Toc174911318"/>
    </w:p>
    <w:p w14:paraId="2D731072">
      <w:pPr>
        <w:spacing w:line="360" w:lineRule="auto"/>
        <w:outlineLvl w:val="2"/>
        <w:rPr>
          <w:rFonts w:ascii="Times New Roman" w:hAnsi="Times New Roman" w:cs="Times New Roman"/>
          <w:bCs/>
          <w:color w:val="auto"/>
          <w:sz w:val="24"/>
          <w:highlight w:val="none"/>
        </w:rPr>
      </w:pPr>
      <w:bookmarkStart w:id="55" w:name="_Toc178020251"/>
      <w:bookmarkStart w:id="56" w:name="_Toc10497"/>
      <w:bookmarkStart w:id="57" w:name="_Toc178108383"/>
      <w:bookmarkStart w:id="58" w:name="_Toc17954"/>
      <w:bookmarkStart w:id="59" w:name="_Toc180960179"/>
      <w:bookmarkStart w:id="60" w:name="_Toc11955"/>
      <w:r>
        <w:rPr>
          <w:rFonts w:ascii="Times New Roman" w:hAnsi="Times New Roman" w:cs="Times New Roman"/>
          <w:bCs/>
          <w:color w:val="auto"/>
          <w:sz w:val="24"/>
          <w:highlight w:val="none"/>
        </w:rPr>
        <w:t>4.2.3 信号线、</w:t>
      </w:r>
      <w:r>
        <w:rPr>
          <w:rFonts w:hint="eastAsia" w:ascii="Times New Roman" w:hAnsi="Times New Roman" w:cs="Times New Roman"/>
          <w:bCs/>
          <w:color w:val="auto"/>
          <w:sz w:val="24"/>
          <w:highlight w:val="none"/>
          <w:lang w:eastAsia="zh-CN"/>
        </w:rPr>
        <w:t>光缆</w:t>
      </w:r>
      <w:r>
        <w:rPr>
          <w:rFonts w:ascii="Times New Roman" w:hAnsi="Times New Roman" w:cs="Times New Roman"/>
          <w:bCs/>
          <w:color w:val="auto"/>
          <w:sz w:val="24"/>
          <w:highlight w:val="none"/>
        </w:rPr>
        <w:t>、电源线安装符合</w:t>
      </w:r>
      <w:r>
        <w:rPr>
          <w:rFonts w:hint="eastAsia" w:ascii="Times New Roman" w:hAnsi="Times New Roman" w:cs="Times New Roman"/>
          <w:bCs/>
          <w:color w:val="auto"/>
          <w:sz w:val="24"/>
          <w:highlight w:val="none"/>
          <w:lang w:val="en-US" w:eastAsia="zh-CN"/>
        </w:rPr>
        <w:t>下列</w:t>
      </w:r>
      <w:r>
        <w:rPr>
          <w:rFonts w:hint="eastAsia" w:ascii="Times New Roman" w:hAnsi="Times New Roman" w:cs="Times New Roman"/>
          <w:bCs/>
          <w:color w:val="auto"/>
          <w:sz w:val="24"/>
          <w:highlight w:val="none"/>
          <w:lang w:eastAsia="zh-CN"/>
        </w:rPr>
        <w:t>要求</w:t>
      </w:r>
      <w:r>
        <w:rPr>
          <w:rFonts w:ascii="Times New Roman" w:hAnsi="Times New Roman" w:cs="Times New Roman"/>
          <w:bCs/>
          <w:color w:val="auto"/>
          <w:sz w:val="24"/>
          <w:highlight w:val="none"/>
        </w:rPr>
        <w:t>：</w:t>
      </w:r>
      <w:bookmarkEnd w:id="54"/>
      <w:bookmarkEnd w:id="55"/>
      <w:bookmarkEnd w:id="56"/>
      <w:bookmarkEnd w:id="57"/>
      <w:bookmarkEnd w:id="58"/>
      <w:bookmarkEnd w:id="59"/>
      <w:bookmarkEnd w:id="60"/>
    </w:p>
    <w:p w14:paraId="4CF6CEEE">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1 信号线、</w:t>
      </w:r>
      <w:r>
        <w:rPr>
          <w:rFonts w:hint="eastAsia" w:ascii="Times New Roman" w:hAnsi="Times New Roman" w:cs="Times New Roman"/>
          <w:color w:val="auto"/>
          <w:sz w:val="24"/>
          <w:highlight w:val="none"/>
          <w:lang w:eastAsia="zh-CN"/>
        </w:rPr>
        <w:t>光缆</w:t>
      </w:r>
      <w:r>
        <w:rPr>
          <w:rFonts w:ascii="Times New Roman" w:hAnsi="Times New Roman" w:cs="Times New Roman"/>
          <w:color w:val="auto"/>
          <w:sz w:val="24"/>
          <w:highlight w:val="none"/>
        </w:rPr>
        <w:t>、电源线应布放平直、整齐，不得有扭曲、裂损，不应有交叉和飞线现象。弯曲布放时，弯曲角应均匀圆滑</w:t>
      </w:r>
      <w:r>
        <w:rPr>
          <w:rFonts w:hint="eastAsia" w:ascii="Times New Roman" w:hAnsi="Times New Roman" w:cs="Times New Roman"/>
          <w:color w:val="auto"/>
          <w:sz w:val="24"/>
          <w:highlight w:val="none"/>
          <w:lang w:eastAsia="zh-CN"/>
        </w:rPr>
        <w:t>；</w:t>
      </w:r>
    </w:p>
    <w:p w14:paraId="7DBCC75A">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 信号线、</w:t>
      </w:r>
      <w:r>
        <w:rPr>
          <w:rFonts w:hint="eastAsia" w:ascii="Times New Roman" w:hAnsi="Times New Roman" w:cs="Times New Roman"/>
          <w:color w:val="auto"/>
          <w:sz w:val="24"/>
          <w:highlight w:val="none"/>
          <w:lang w:eastAsia="zh-CN"/>
        </w:rPr>
        <w:t>光缆</w:t>
      </w:r>
      <w:r>
        <w:rPr>
          <w:rFonts w:ascii="Times New Roman" w:hAnsi="Times New Roman" w:cs="Times New Roman"/>
          <w:color w:val="auto"/>
          <w:sz w:val="24"/>
          <w:highlight w:val="none"/>
        </w:rPr>
        <w:t>、电源线的布放应用走线架、走线槽或走线管保护并固定良好</w:t>
      </w:r>
      <w:r>
        <w:rPr>
          <w:rFonts w:hint="eastAsia" w:ascii="Times New Roman" w:hAnsi="Times New Roman" w:cs="Times New Roman"/>
          <w:color w:val="auto"/>
          <w:sz w:val="24"/>
          <w:highlight w:val="none"/>
          <w:lang w:eastAsia="zh-CN"/>
        </w:rPr>
        <w:t>；</w:t>
      </w:r>
    </w:p>
    <w:p w14:paraId="646C3781">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 线缆穿越楼层或墙体布放时，孔洞处应对线缆加以保护</w:t>
      </w:r>
      <w:r>
        <w:rPr>
          <w:rFonts w:hint="eastAsia" w:ascii="Times New Roman" w:hAnsi="Times New Roman" w:cs="Times New Roman"/>
          <w:color w:val="auto"/>
          <w:sz w:val="24"/>
          <w:highlight w:val="none"/>
          <w:lang w:eastAsia="zh-CN"/>
        </w:rPr>
        <w:t>；</w:t>
      </w:r>
    </w:p>
    <w:p w14:paraId="123DE87E">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4 信号线与电源线应分开布放，布放间距应符合设计要求</w:t>
      </w:r>
      <w:r>
        <w:rPr>
          <w:rFonts w:hint="eastAsia" w:ascii="Times New Roman" w:hAnsi="Times New Roman" w:cs="Times New Roman"/>
          <w:color w:val="auto"/>
          <w:sz w:val="24"/>
          <w:highlight w:val="none"/>
          <w:lang w:eastAsia="zh-CN"/>
        </w:rPr>
        <w:t>；</w:t>
      </w:r>
    </w:p>
    <w:p w14:paraId="306AAD17">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5 信号线、电源线连接头应牢固安装，接触良好</w:t>
      </w:r>
      <w:r>
        <w:rPr>
          <w:rFonts w:hint="eastAsia" w:ascii="Times New Roman" w:hAnsi="Times New Roman" w:cs="Times New Roman"/>
          <w:color w:val="auto"/>
          <w:sz w:val="24"/>
          <w:highlight w:val="none"/>
          <w:lang w:eastAsia="zh-CN"/>
        </w:rPr>
        <w:t>；</w:t>
      </w:r>
    </w:p>
    <w:p w14:paraId="255C64B0">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6 光纤布放时不得受压，不得把光纤折成直角，使用扎带时应适度勒紧，不得使光纤变形</w:t>
      </w:r>
      <w:r>
        <w:rPr>
          <w:rFonts w:hint="eastAsia" w:ascii="Times New Roman" w:hAnsi="Times New Roman" w:cs="Times New Roman"/>
          <w:color w:val="auto"/>
          <w:sz w:val="24"/>
          <w:highlight w:val="none"/>
          <w:lang w:eastAsia="zh-CN"/>
        </w:rPr>
        <w:t>；</w:t>
      </w:r>
    </w:p>
    <w:p w14:paraId="085EB406">
      <w:pPr>
        <w:spacing w:line="360" w:lineRule="auto"/>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7 当光缆引入室内时，应做绝缘接头，室内外金属护层及金属加强芯应断开并应彼此绝缘</w:t>
      </w:r>
      <w:r>
        <w:rPr>
          <w:rFonts w:hint="eastAsia" w:ascii="Times New Roman" w:hAnsi="Times New Roman" w:cs="Times New Roman"/>
          <w:color w:val="auto"/>
          <w:sz w:val="24"/>
          <w:highlight w:val="none"/>
          <w:lang w:eastAsia="zh-CN"/>
        </w:rPr>
        <w:t>；</w:t>
      </w:r>
    </w:p>
    <w:p w14:paraId="1148927F">
      <w:pPr>
        <w:spacing w:line="360" w:lineRule="auto"/>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8</w:t>
      </w:r>
      <w:r>
        <w:rPr>
          <w:rFonts w:ascii="Times New Roman" w:hAnsi="Times New Roman" w:cs="Times New Roman"/>
          <w:color w:val="auto"/>
          <w:sz w:val="24"/>
          <w:highlight w:val="none"/>
        </w:rPr>
        <w:t xml:space="preserve"> 电源线应采用整条电缆线料，不得有中间接头</w:t>
      </w:r>
      <w:r>
        <w:rPr>
          <w:rFonts w:hint="eastAsia" w:ascii="Times New Roman" w:hAnsi="Times New Roman" w:cs="Times New Roman"/>
          <w:color w:val="auto"/>
          <w:sz w:val="24"/>
          <w:highlight w:val="none"/>
          <w:lang w:eastAsia="zh-CN"/>
        </w:rPr>
        <w:t>；</w:t>
      </w:r>
    </w:p>
    <w:p w14:paraId="5FDE122B">
      <w:pPr>
        <w:spacing w:line="360" w:lineRule="auto"/>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9</w:t>
      </w:r>
      <w:r>
        <w:rPr>
          <w:rFonts w:ascii="Times New Roman" w:hAnsi="Times New Roman" w:cs="Times New Roman"/>
          <w:color w:val="auto"/>
          <w:sz w:val="24"/>
          <w:highlight w:val="none"/>
        </w:rPr>
        <w:t xml:space="preserve"> 信号线</w:t>
      </w:r>
      <w:r>
        <w:rPr>
          <w:rFonts w:hint="eastAsia" w:ascii="Times New Roman" w:hAnsi="Times New Roman" w:cs="Times New Roman"/>
          <w:color w:val="auto"/>
          <w:sz w:val="24"/>
          <w:highlight w:val="none"/>
        </w:rPr>
        <w:t>、</w:t>
      </w:r>
      <w:r>
        <w:rPr>
          <w:rFonts w:hint="eastAsia" w:ascii="Times New Roman" w:hAnsi="Times New Roman" w:cs="Times New Roman"/>
          <w:color w:val="auto"/>
          <w:sz w:val="24"/>
          <w:highlight w:val="none"/>
          <w:lang w:val="en-US" w:eastAsia="zh-CN"/>
        </w:rPr>
        <w:t>光缆</w:t>
      </w: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电源线布放检查应符合现行国家标准</w:t>
      </w:r>
      <w:r>
        <w:rPr>
          <w:rFonts w:hint="eastAsia" w:ascii="Times New Roman" w:hAnsi="Times New Roman" w:cs="Times New Roman"/>
          <w:color w:val="auto"/>
          <w:sz w:val="24"/>
          <w:highlight w:val="none"/>
          <w:lang w:val="en-US" w:eastAsia="zh-CN"/>
        </w:rPr>
        <w:t>《城市轨道交通工程项目规范》GB 55033、</w:t>
      </w:r>
      <w:r>
        <w:rPr>
          <w:rFonts w:ascii="Times New Roman" w:hAnsi="Times New Roman" w:cs="Times New Roman"/>
          <w:color w:val="auto"/>
          <w:sz w:val="24"/>
          <w:highlight w:val="none"/>
        </w:rPr>
        <w:t>《城市轨道交通通信工程质量验收规范》GB 50382的</w:t>
      </w:r>
      <w:r>
        <w:rPr>
          <w:rFonts w:hint="eastAsia" w:ascii="Times New Roman" w:hAnsi="Times New Roman" w:cs="Times New Roman"/>
          <w:color w:val="auto"/>
          <w:sz w:val="24"/>
          <w:highlight w:val="none"/>
          <w:lang w:val="en-US" w:eastAsia="zh-CN"/>
        </w:rPr>
        <w:t>有</w:t>
      </w:r>
      <w:r>
        <w:rPr>
          <w:rFonts w:ascii="Times New Roman" w:hAnsi="Times New Roman" w:cs="Times New Roman"/>
          <w:color w:val="auto"/>
          <w:sz w:val="24"/>
          <w:highlight w:val="none"/>
        </w:rPr>
        <w:t>关规定。</w:t>
      </w:r>
    </w:p>
    <w:p w14:paraId="6C65F7A6">
      <w:pPr>
        <w:spacing w:line="360" w:lineRule="auto"/>
        <w:outlineLvl w:val="2"/>
        <w:rPr>
          <w:rFonts w:ascii="Times New Roman" w:hAnsi="Times New Roman" w:cs="Times New Roman"/>
          <w:bCs/>
          <w:color w:val="auto"/>
          <w:sz w:val="24"/>
          <w:highlight w:val="none"/>
        </w:rPr>
      </w:pPr>
      <w:bookmarkStart w:id="61" w:name="_Toc6888"/>
      <w:bookmarkStart w:id="62" w:name="_Toc23651"/>
      <w:r>
        <w:rPr>
          <w:rFonts w:ascii="Times New Roman" w:hAnsi="Times New Roman" w:cs="Times New Roman"/>
          <w:bCs/>
          <w:color w:val="auto"/>
          <w:sz w:val="24"/>
          <w:highlight w:val="none"/>
        </w:rPr>
        <w:t>4.2.</w:t>
      </w:r>
      <w:r>
        <w:rPr>
          <w:rFonts w:hint="eastAsia" w:ascii="Times New Roman" w:hAnsi="Times New Roman" w:cs="Times New Roman"/>
          <w:bCs/>
          <w:color w:val="auto"/>
          <w:sz w:val="24"/>
          <w:highlight w:val="none"/>
          <w:lang w:val="en-US" w:eastAsia="zh-CN"/>
        </w:rPr>
        <w:t>4</w:t>
      </w:r>
      <w:r>
        <w:rPr>
          <w:rFonts w:ascii="Times New Roman" w:hAnsi="Times New Roman" w:cs="Times New Roman"/>
          <w:bCs/>
          <w:color w:val="auto"/>
          <w:sz w:val="24"/>
          <w:highlight w:val="none"/>
        </w:rPr>
        <w:t xml:space="preserve"> </w:t>
      </w:r>
      <w:r>
        <w:rPr>
          <w:rFonts w:hint="eastAsia" w:ascii="Times New Roman" w:hAnsi="Times New Roman" w:cs="Times New Roman"/>
          <w:bCs/>
          <w:color w:val="auto"/>
          <w:sz w:val="24"/>
          <w:highlight w:val="none"/>
          <w:lang w:val="en-US" w:eastAsia="zh-CN"/>
        </w:rPr>
        <w:t>信号线、光缆、电缆、漏缆敷设位置应符合设计要求并固定牢靠。区间光缆、电缆、漏缆的敷设，不得侵入设备限界。</w:t>
      </w:r>
      <w:bookmarkEnd w:id="61"/>
      <w:bookmarkEnd w:id="62"/>
    </w:p>
    <w:p w14:paraId="14EE90FC">
      <w:pPr>
        <w:spacing w:line="360" w:lineRule="auto"/>
        <w:rPr>
          <w:rFonts w:hint="eastAsia" w:ascii="Times New Roman" w:hAnsi="Times New Roman" w:cs="Times New Roman"/>
          <w:bCs/>
          <w:color w:val="auto"/>
          <w:sz w:val="24"/>
          <w:highlight w:val="none"/>
          <w:lang w:val="en-US" w:eastAsia="zh-CN"/>
        </w:rPr>
      </w:pPr>
      <w:r>
        <w:rPr>
          <w:rFonts w:ascii="Times New Roman" w:hAnsi="Times New Roman" w:cs="Times New Roman"/>
          <w:bCs/>
          <w:color w:val="auto"/>
          <w:sz w:val="24"/>
          <w:highlight w:val="none"/>
        </w:rPr>
        <w:t>4.2.</w:t>
      </w:r>
      <w:r>
        <w:rPr>
          <w:rFonts w:hint="eastAsia" w:ascii="Times New Roman" w:hAnsi="Times New Roman" w:cs="Times New Roman"/>
          <w:bCs/>
          <w:color w:val="auto"/>
          <w:sz w:val="24"/>
          <w:highlight w:val="none"/>
          <w:lang w:val="en-US" w:eastAsia="zh-CN"/>
        </w:rPr>
        <w:t>5</w:t>
      </w:r>
      <w:r>
        <w:rPr>
          <w:rFonts w:ascii="Times New Roman" w:hAnsi="Times New Roman" w:cs="Times New Roman"/>
          <w:bCs/>
          <w:color w:val="auto"/>
          <w:sz w:val="24"/>
          <w:highlight w:val="none"/>
        </w:rPr>
        <w:t xml:space="preserve"> </w:t>
      </w:r>
      <w:r>
        <w:rPr>
          <w:rFonts w:hint="eastAsia" w:ascii="Times New Roman" w:hAnsi="Times New Roman" w:cs="Times New Roman"/>
          <w:bCs/>
          <w:color w:val="auto"/>
          <w:sz w:val="24"/>
          <w:highlight w:val="none"/>
          <w:lang w:val="en-US" w:eastAsia="zh-CN"/>
        </w:rPr>
        <w:t>信号线、光缆、电缆、漏缆引入出入机房的沟、槽、管、孔，应进行防火防鼠封堵。</w:t>
      </w:r>
    </w:p>
    <w:p w14:paraId="7FB0A5B6">
      <w:pPr>
        <w:spacing w:line="360" w:lineRule="auto"/>
        <w:rPr>
          <w:rFonts w:hint="eastAsia" w:ascii="Times New Roman" w:hAnsi="Times New Roman" w:cs="Times New Roman"/>
          <w:bCs/>
          <w:color w:val="auto"/>
          <w:sz w:val="24"/>
          <w:highlight w:val="none"/>
          <w:lang w:val="en-US" w:eastAsia="zh-CN"/>
        </w:rPr>
      </w:pPr>
      <w:r>
        <w:rPr>
          <w:rFonts w:ascii="Times New Roman" w:hAnsi="Times New Roman" w:cs="Times New Roman"/>
          <w:bCs/>
          <w:color w:val="auto"/>
          <w:sz w:val="24"/>
          <w:highlight w:val="none"/>
        </w:rPr>
        <w:t>4.2.</w:t>
      </w:r>
      <w:r>
        <w:rPr>
          <w:rFonts w:hint="eastAsia" w:ascii="Times New Roman" w:hAnsi="Times New Roman" w:cs="Times New Roman"/>
          <w:bCs/>
          <w:color w:val="auto"/>
          <w:sz w:val="24"/>
          <w:highlight w:val="none"/>
          <w:lang w:val="en-US" w:eastAsia="zh-CN"/>
        </w:rPr>
        <w:t>6</w:t>
      </w:r>
      <w:r>
        <w:rPr>
          <w:rFonts w:ascii="Times New Roman" w:hAnsi="Times New Roman" w:cs="Times New Roman"/>
          <w:bCs/>
          <w:color w:val="auto"/>
          <w:sz w:val="24"/>
          <w:highlight w:val="none"/>
        </w:rPr>
        <w:t xml:space="preserve"> </w:t>
      </w:r>
      <w:r>
        <w:rPr>
          <w:rFonts w:hint="eastAsia" w:ascii="宋体" w:hAnsi="宋体" w:cs="宋体"/>
          <w:color w:val="auto"/>
          <w:sz w:val="24"/>
          <w:szCs w:val="24"/>
          <w:highlight w:val="none"/>
          <w:lang w:val="en-US" w:eastAsia="zh-CN"/>
        </w:rPr>
        <w:t>光缆、电缆、漏缆应按设计要求敷设，不得任意切断光缆、电缆、漏缆增加接头。</w:t>
      </w:r>
    </w:p>
    <w:p w14:paraId="4EFD30F9">
      <w:pPr>
        <w:spacing w:line="360" w:lineRule="auto"/>
        <w:ind w:firstLine="240" w:firstLineChars="100"/>
        <w:rPr>
          <w:rFonts w:ascii="Times New Roman" w:hAnsi="Times New Roman" w:cs="Times New Roman"/>
          <w:color w:val="auto"/>
          <w:sz w:val="24"/>
          <w:highlight w:val="none"/>
        </w:rPr>
      </w:pPr>
    </w:p>
    <w:p w14:paraId="635DC235">
      <w:pPr>
        <w:pStyle w:val="3"/>
        <w:ind w:firstLine="482"/>
        <w:rPr>
          <w:color w:val="auto"/>
          <w:highlight w:val="none"/>
        </w:rPr>
      </w:pPr>
      <w:bookmarkStart w:id="63" w:name="_Toc13457"/>
      <w:bookmarkStart w:id="64" w:name="_Toc31240"/>
      <w:bookmarkStart w:id="65" w:name="_Toc180960180"/>
      <w:r>
        <w:rPr>
          <w:color w:val="auto"/>
          <w:highlight w:val="none"/>
        </w:rPr>
        <w:t>4.3 设备安装质量检查</w:t>
      </w:r>
      <w:bookmarkEnd w:id="63"/>
      <w:bookmarkEnd w:id="64"/>
      <w:bookmarkEnd w:id="65"/>
    </w:p>
    <w:p w14:paraId="7AB0BCE1">
      <w:pPr>
        <w:spacing w:line="360" w:lineRule="auto"/>
        <w:outlineLvl w:val="2"/>
        <w:rPr>
          <w:rFonts w:ascii="Times New Roman" w:hAnsi="Times New Roman" w:cs="Times New Roman"/>
          <w:bCs/>
          <w:color w:val="auto"/>
          <w:sz w:val="24"/>
          <w:highlight w:val="none"/>
        </w:rPr>
      </w:pPr>
      <w:bookmarkStart w:id="66" w:name="_Toc174911321"/>
      <w:bookmarkStart w:id="67" w:name="_Toc178020253"/>
      <w:bookmarkStart w:id="68" w:name="_Toc2351"/>
      <w:bookmarkStart w:id="69" w:name="_Toc180960181"/>
      <w:bookmarkStart w:id="70" w:name="_Toc24576"/>
      <w:bookmarkStart w:id="71" w:name="_Toc25628"/>
      <w:bookmarkStart w:id="72" w:name="_Toc178108385"/>
      <w:r>
        <w:rPr>
          <w:rFonts w:ascii="Times New Roman" w:hAnsi="Times New Roman" w:cs="Times New Roman"/>
          <w:bCs/>
          <w:color w:val="auto"/>
          <w:sz w:val="24"/>
          <w:highlight w:val="none"/>
        </w:rPr>
        <w:t>4.3.1 信号源安装质量检查</w:t>
      </w:r>
      <w:bookmarkEnd w:id="66"/>
      <w:bookmarkEnd w:id="67"/>
      <w:r>
        <w:rPr>
          <w:rFonts w:ascii="Times New Roman" w:hAnsi="Times New Roman" w:cs="Times New Roman"/>
          <w:bCs/>
          <w:color w:val="auto"/>
          <w:sz w:val="24"/>
          <w:highlight w:val="none"/>
        </w:rPr>
        <w:t>应符合</w:t>
      </w:r>
      <w:bookmarkEnd w:id="68"/>
      <w:bookmarkEnd w:id="69"/>
      <w:bookmarkEnd w:id="70"/>
      <w:bookmarkEnd w:id="71"/>
      <w:bookmarkEnd w:id="72"/>
      <w:r>
        <w:rPr>
          <w:rFonts w:hint="eastAsia" w:ascii="Times New Roman" w:hAnsi="Times New Roman" w:cs="Times New Roman"/>
          <w:bCs/>
          <w:color w:val="auto"/>
          <w:sz w:val="24"/>
          <w:highlight w:val="none"/>
          <w:lang w:val="en-US" w:eastAsia="zh-CN"/>
        </w:rPr>
        <w:t>下列规定</w:t>
      </w:r>
      <w:r>
        <w:rPr>
          <w:rFonts w:ascii="Times New Roman" w:hAnsi="Times New Roman" w:cs="Times New Roman"/>
          <w:bCs/>
          <w:color w:val="auto"/>
          <w:sz w:val="24"/>
          <w:highlight w:val="none"/>
        </w:rPr>
        <w:t>：</w:t>
      </w:r>
    </w:p>
    <w:p w14:paraId="1E1FE351">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1 </w:t>
      </w:r>
      <w:r>
        <w:rPr>
          <w:rFonts w:hint="eastAsia" w:ascii="Times New Roman" w:hAnsi="Times New Roman" w:cs="Times New Roman"/>
          <w:color w:val="auto"/>
          <w:sz w:val="24"/>
          <w:highlight w:val="none"/>
        </w:rPr>
        <w:t>检查</w:t>
      </w:r>
      <w:r>
        <w:rPr>
          <w:rFonts w:ascii="Times New Roman" w:hAnsi="Times New Roman" w:cs="Times New Roman"/>
          <w:color w:val="auto"/>
          <w:sz w:val="24"/>
          <w:highlight w:val="none"/>
        </w:rPr>
        <w:t>信号源安装位置</w:t>
      </w: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应保证主机便于调测、维护和散热需要，设备周围的净空要求按设备的相关</w:t>
      </w:r>
      <w:r>
        <w:rPr>
          <w:rFonts w:hint="eastAsia" w:ascii="Times New Roman" w:hAnsi="Times New Roman" w:cs="Times New Roman"/>
          <w:color w:val="auto"/>
          <w:sz w:val="24"/>
          <w:highlight w:val="none"/>
          <w:lang w:eastAsia="zh-CN"/>
        </w:rPr>
        <w:t>标准</w:t>
      </w:r>
      <w:r>
        <w:rPr>
          <w:rFonts w:ascii="Times New Roman" w:hAnsi="Times New Roman" w:cs="Times New Roman"/>
          <w:color w:val="auto"/>
          <w:sz w:val="24"/>
          <w:highlight w:val="none"/>
        </w:rPr>
        <w:t>执行</w:t>
      </w:r>
      <w:r>
        <w:rPr>
          <w:rFonts w:hint="eastAsia" w:ascii="Times New Roman" w:hAnsi="Times New Roman" w:cs="Times New Roman"/>
          <w:color w:val="auto"/>
          <w:sz w:val="24"/>
          <w:highlight w:val="none"/>
          <w:lang w:eastAsia="zh-CN"/>
        </w:rPr>
        <w:t>；</w:t>
      </w:r>
    </w:p>
    <w:p w14:paraId="3B705C8F">
      <w:pPr>
        <w:spacing w:line="360" w:lineRule="auto"/>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2</w:t>
      </w:r>
      <w:r>
        <w:rPr>
          <w:rFonts w:ascii="Times New Roman" w:hAnsi="Times New Roman" w:cs="Times New Roman"/>
          <w:color w:val="auto"/>
          <w:sz w:val="24"/>
          <w:highlight w:val="none"/>
        </w:rPr>
        <w:t xml:space="preserve"> 设备安装抗震加固的要求</w:t>
      </w: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应符合《</w:t>
      </w:r>
      <w:r>
        <w:rPr>
          <w:rFonts w:hint="eastAsia" w:ascii="Times New Roman" w:hAnsi="Times New Roman" w:cs="Times New Roman"/>
          <w:color w:val="auto"/>
          <w:sz w:val="24"/>
          <w:highlight w:val="none"/>
        </w:rPr>
        <w:t>通信设备安装工程抗震设计标准</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GB/T 51369</w:t>
      </w:r>
      <w:r>
        <w:rPr>
          <w:rFonts w:hint="eastAsia" w:ascii="Times New Roman" w:hAnsi="Times New Roman" w:cs="Times New Roman"/>
          <w:color w:val="auto"/>
          <w:sz w:val="24"/>
          <w:highlight w:val="none"/>
          <w:lang w:val="en-US" w:eastAsia="zh-CN"/>
        </w:rPr>
        <w:t>的</w:t>
      </w:r>
      <w:r>
        <w:rPr>
          <w:rFonts w:ascii="Times New Roman" w:hAnsi="Times New Roman" w:cs="Times New Roman"/>
          <w:color w:val="auto"/>
          <w:sz w:val="24"/>
          <w:highlight w:val="none"/>
        </w:rPr>
        <w:t>有关规定</w:t>
      </w:r>
      <w:r>
        <w:rPr>
          <w:rFonts w:hint="eastAsia"/>
          <w:color w:val="auto"/>
          <w:sz w:val="24"/>
          <w:highlight w:val="none"/>
        </w:rPr>
        <w:t>，在轨道交通隧道内安装的设备还应符合对设备的抗震加固和安全的要求</w:t>
      </w:r>
      <w:r>
        <w:rPr>
          <w:rFonts w:hint="eastAsia" w:ascii="Times New Roman" w:hAnsi="Times New Roman" w:cs="Times New Roman"/>
          <w:color w:val="auto"/>
          <w:sz w:val="24"/>
          <w:highlight w:val="none"/>
          <w:lang w:eastAsia="zh-CN"/>
        </w:rPr>
        <w:t>；</w:t>
      </w:r>
    </w:p>
    <w:p w14:paraId="691D7B0A">
      <w:pPr>
        <w:spacing w:line="360" w:lineRule="auto"/>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3</w:t>
      </w:r>
      <w:r>
        <w:rPr>
          <w:rFonts w:ascii="Times New Roman" w:hAnsi="Times New Roman" w:cs="Times New Roman"/>
          <w:color w:val="auto"/>
          <w:sz w:val="24"/>
          <w:highlight w:val="none"/>
        </w:rPr>
        <w:t xml:space="preserve"> 信号源传输接口应符合相应通信网络技术要求</w:t>
      </w:r>
      <w:r>
        <w:rPr>
          <w:rFonts w:hint="eastAsia" w:ascii="Times New Roman" w:hAnsi="Times New Roman" w:cs="Times New Roman"/>
          <w:color w:val="auto"/>
          <w:sz w:val="24"/>
          <w:highlight w:val="none"/>
          <w:lang w:eastAsia="zh-CN"/>
        </w:rPr>
        <w:t>；</w:t>
      </w:r>
    </w:p>
    <w:p w14:paraId="3AA696E5">
      <w:pPr>
        <w:spacing w:line="360" w:lineRule="auto"/>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4</w:t>
      </w:r>
      <w:r>
        <w:rPr>
          <w:rFonts w:ascii="Times New Roman" w:hAnsi="Times New Roman" w:cs="Times New Roman"/>
          <w:color w:val="auto"/>
          <w:sz w:val="24"/>
          <w:highlight w:val="none"/>
        </w:rPr>
        <w:t xml:space="preserve"> 设备应安装正确、牢固、无损伤</w:t>
      </w:r>
      <w:r>
        <w:rPr>
          <w:rFonts w:hint="eastAsia" w:ascii="Times New Roman" w:hAnsi="Times New Roman" w:cs="Times New Roman"/>
          <w:color w:val="auto"/>
          <w:sz w:val="24"/>
          <w:highlight w:val="none"/>
          <w:lang w:eastAsia="zh-CN"/>
        </w:rPr>
        <w:t>；</w:t>
      </w:r>
    </w:p>
    <w:p w14:paraId="3D5C23FF">
      <w:pPr>
        <w:spacing w:line="360" w:lineRule="auto"/>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5</w:t>
      </w:r>
      <w:r>
        <w:rPr>
          <w:rFonts w:ascii="Times New Roman" w:hAnsi="Times New Roman" w:cs="Times New Roman"/>
          <w:color w:val="auto"/>
          <w:sz w:val="24"/>
          <w:highlight w:val="none"/>
        </w:rPr>
        <w:t xml:space="preserve"> 设备内所有设备单元应安装正确，无设备单元的空位应装有盖板</w:t>
      </w:r>
      <w:r>
        <w:rPr>
          <w:rFonts w:hint="eastAsia" w:ascii="Times New Roman" w:hAnsi="Times New Roman" w:cs="Times New Roman"/>
          <w:color w:val="auto"/>
          <w:sz w:val="24"/>
          <w:highlight w:val="none"/>
          <w:lang w:eastAsia="zh-CN"/>
        </w:rPr>
        <w:t>；</w:t>
      </w:r>
    </w:p>
    <w:p w14:paraId="4F5545E5">
      <w:pPr>
        <w:spacing w:line="360" w:lineRule="auto"/>
        <w:ind w:firstLine="480" w:firstLineChars="200"/>
        <w:rPr>
          <w:rFonts w:hint="default" w:ascii="Times New Roman" w:hAnsi="Times New Roman" w:eastAsia="宋体" w:cs="Times New Roman"/>
          <w:bCs/>
          <w:color w:val="auto"/>
          <w:sz w:val="24"/>
          <w:highlight w:val="none"/>
          <w:lang w:val="en-US" w:eastAsia="zh-CN"/>
        </w:rPr>
      </w:pPr>
      <w:r>
        <w:rPr>
          <w:rFonts w:hint="eastAsia" w:ascii="Times New Roman" w:hAnsi="Times New Roman" w:cs="Times New Roman"/>
          <w:bCs/>
          <w:color w:val="auto"/>
          <w:sz w:val="24"/>
          <w:highlight w:val="none"/>
          <w:lang w:val="en-US" w:eastAsia="zh-CN"/>
        </w:rPr>
        <w:t>6 射频拉远单元（</w:t>
      </w:r>
      <w:r>
        <w:rPr>
          <w:rFonts w:ascii="Times New Roman" w:hAnsi="Times New Roman" w:cs="Times New Roman"/>
          <w:bCs/>
          <w:color w:val="auto"/>
          <w:sz w:val="24"/>
          <w:highlight w:val="none"/>
        </w:rPr>
        <w:t>RRU</w:t>
      </w:r>
      <w:r>
        <w:rPr>
          <w:rFonts w:hint="eastAsia" w:ascii="Times New Roman" w:hAnsi="Times New Roman" w:cs="Times New Roman"/>
          <w:bCs/>
          <w:color w:val="auto"/>
          <w:sz w:val="24"/>
          <w:highlight w:val="none"/>
          <w:lang w:val="en-US" w:eastAsia="zh-CN"/>
        </w:rPr>
        <w:t>）</w:t>
      </w:r>
      <w:r>
        <w:rPr>
          <w:rFonts w:ascii="Times New Roman" w:hAnsi="Times New Roman" w:cs="Times New Roman"/>
          <w:bCs/>
          <w:color w:val="auto"/>
          <w:sz w:val="24"/>
          <w:highlight w:val="none"/>
        </w:rPr>
        <w:t>安装质量检查应符合</w:t>
      </w:r>
      <w:r>
        <w:rPr>
          <w:rFonts w:hint="eastAsia" w:ascii="Times New Roman" w:hAnsi="Times New Roman" w:cs="Times New Roman"/>
          <w:bCs/>
          <w:color w:val="auto"/>
          <w:sz w:val="24"/>
          <w:highlight w:val="none"/>
          <w:lang w:val="en-US" w:eastAsia="zh-CN"/>
        </w:rPr>
        <w:t>下列规定</w:t>
      </w:r>
      <w:r>
        <w:rPr>
          <w:rFonts w:ascii="Times New Roman" w:hAnsi="Times New Roman" w:cs="Times New Roman"/>
          <w:bCs/>
          <w:color w:val="auto"/>
          <w:sz w:val="24"/>
          <w:highlight w:val="none"/>
        </w:rPr>
        <w:t>：</w:t>
      </w:r>
    </w:p>
    <w:p w14:paraId="1BD95BCE">
      <w:pPr>
        <w:numPr>
          <w:ilvl w:val="0"/>
          <w:numId w:val="3"/>
        </w:numPr>
        <w:spacing w:line="360" w:lineRule="auto"/>
        <w:ind w:firstLine="720" w:firstLineChars="300"/>
        <w:rPr>
          <w:rFonts w:ascii="Times New Roman" w:hAnsi="Times New Roman" w:cs="Times New Roman"/>
          <w:color w:val="auto"/>
          <w:sz w:val="24"/>
          <w:highlight w:val="none"/>
        </w:rPr>
      </w:pPr>
      <w:r>
        <w:rPr>
          <w:rFonts w:ascii="Times New Roman" w:hAnsi="Times New Roman" w:cs="Times New Roman"/>
          <w:color w:val="auto"/>
          <w:sz w:val="24"/>
          <w:highlight w:val="none"/>
        </w:rPr>
        <w:t>设备安装位置应符合工程设计要求</w:t>
      </w: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应安装牢固、稳定，满足抗风、</w:t>
      </w:r>
    </w:p>
    <w:p w14:paraId="3C0C6726">
      <w:pPr>
        <w:numPr>
          <w:ilvl w:val="0"/>
          <w:numId w:val="0"/>
        </w:numPr>
        <w:spacing w:line="360" w:lineRule="auto"/>
        <w:ind w:leftChars="300"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防雨、防震及散热的要求</w:t>
      </w:r>
      <w:r>
        <w:rPr>
          <w:rFonts w:hint="eastAsia" w:ascii="Times New Roman" w:hAnsi="Times New Roman" w:cs="Times New Roman"/>
          <w:color w:val="auto"/>
          <w:sz w:val="24"/>
          <w:highlight w:val="none"/>
          <w:lang w:eastAsia="zh-CN"/>
        </w:rPr>
        <w:t>；</w:t>
      </w:r>
    </w:p>
    <w:p w14:paraId="7BA24DED">
      <w:pPr>
        <w:numPr>
          <w:ilvl w:val="0"/>
          <w:numId w:val="3"/>
        </w:numPr>
        <w:spacing w:line="360" w:lineRule="auto"/>
        <w:ind w:left="0" w:leftChars="0" w:firstLine="720" w:firstLineChars="300"/>
        <w:rPr>
          <w:rFonts w:ascii="Times New Roman" w:hAnsi="Times New Roman" w:cs="Times New Roman"/>
          <w:color w:val="auto"/>
          <w:sz w:val="24"/>
          <w:highlight w:val="none"/>
        </w:rPr>
      </w:pPr>
      <w:r>
        <w:rPr>
          <w:rFonts w:ascii="Times New Roman" w:hAnsi="Times New Roman" w:cs="Times New Roman"/>
          <w:color w:val="auto"/>
          <w:sz w:val="24"/>
          <w:highlight w:val="none"/>
        </w:rPr>
        <w:t>设备挂墙安装时，安装墙体应为水泥墙或砖</w:t>
      </w: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非空心砖</w:t>
      </w: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墙，墙体强</w:t>
      </w:r>
    </w:p>
    <w:p w14:paraId="71B3990E">
      <w:pPr>
        <w:numPr>
          <w:ilvl w:val="0"/>
          <w:numId w:val="0"/>
        </w:numPr>
        <w:spacing w:line="360" w:lineRule="auto"/>
        <w:ind w:leftChars="300"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度</w:t>
      </w:r>
      <w:r>
        <w:rPr>
          <w:rFonts w:hint="eastAsia" w:ascii="Times New Roman" w:hAnsi="Times New Roman" w:cs="Times New Roman"/>
          <w:color w:val="auto"/>
          <w:sz w:val="24"/>
          <w:highlight w:val="none"/>
        </w:rPr>
        <w:t>应</w:t>
      </w:r>
      <w:r>
        <w:rPr>
          <w:rFonts w:ascii="Times New Roman" w:hAnsi="Times New Roman" w:cs="Times New Roman"/>
          <w:color w:val="auto"/>
          <w:sz w:val="24"/>
          <w:highlight w:val="none"/>
        </w:rPr>
        <w:t>满足要求</w:t>
      </w:r>
      <w:r>
        <w:rPr>
          <w:rFonts w:hint="eastAsia" w:ascii="Times New Roman" w:hAnsi="Times New Roman" w:cs="Times New Roman"/>
          <w:color w:val="auto"/>
          <w:sz w:val="24"/>
          <w:highlight w:val="none"/>
          <w:lang w:eastAsia="zh-CN"/>
        </w:rPr>
        <w:t>；</w:t>
      </w:r>
    </w:p>
    <w:p w14:paraId="19FA873B">
      <w:pPr>
        <w:numPr>
          <w:ilvl w:val="0"/>
          <w:numId w:val="3"/>
        </w:numPr>
        <w:spacing w:line="360" w:lineRule="auto"/>
        <w:ind w:left="0" w:leftChars="0" w:firstLine="720" w:firstLineChars="300"/>
        <w:rPr>
          <w:rFonts w:ascii="Times New Roman" w:hAnsi="Times New Roman" w:cs="Times New Roman"/>
          <w:color w:val="auto"/>
          <w:sz w:val="24"/>
          <w:highlight w:val="none"/>
        </w:rPr>
      </w:pPr>
      <w:r>
        <w:rPr>
          <w:rFonts w:ascii="Times New Roman" w:hAnsi="Times New Roman" w:cs="Times New Roman"/>
          <w:color w:val="auto"/>
          <w:sz w:val="24"/>
          <w:highlight w:val="none"/>
        </w:rPr>
        <w:t>设备安装涉及的挂墙安装件、所有配件应紧密固定</w:t>
      </w:r>
      <w:r>
        <w:rPr>
          <w:rFonts w:hint="eastAsia" w:ascii="Times New Roman" w:hAnsi="Times New Roman" w:cs="Times New Roman"/>
          <w:color w:val="auto"/>
          <w:sz w:val="24"/>
          <w:highlight w:val="none"/>
          <w:lang w:val="en-US" w:eastAsia="zh-CN"/>
        </w:rPr>
        <w:t>且</w:t>
      </w:r>
      <w:r>
        <w:rPr>
          <w:rFonts w:ascii="Times New Roman" w:hAnsi="Times New Roman" w:cs="Times New Roman"/>
          <w:color w:val="auto"/>
          <w:sz w:val="24"/>
          <w:highlight w:val="none"/>
        </w:rPr>
        <w:t>无松动现象</w:t>
      </w:r>
      <w:r>
        <w:rPr>
          <w:rFonts w:hint="eastAsia" w:ascii="Times New Roman" w:hAnsi="Times New Roman" w:cs="Times New Roman"/>
          <w:color w:val="auto"/>
          <w:sz w:val="24"/>
          <w:highlight w:val="none"/>
          <w:lang w:eastAsia="zh-CN"/>
        </w:rPr>
        <w:t>；</w:t>
      </w:r>
    </w:p>
    <w:p w14:paraId="6678F0F3">
      <w:pPr>
        <w:numPr>
          <w:ilvl w:val="0"/>
          <w:numId w:val="3"/>
        </w:numPr>
        <w:spacing w:line="360" w:lineRule="auto"/>
        <w:ind w:left="0" w:leftChars="0" w:firstLine="720" w:firstLineChars="300"/>
        <w:rPr>
          <w:rFonts w:ascii="Times New Roman" w:hAnsi="Times New Roman" w:cs="Times New Roman"/>
          <w:color w:val="auto"/>
          <w:sz w:val="24"/>
          <w:highlight w:val="none"/>
        </w:rPr>
      </w:pPr>
      <w:r>
        <w:rPr>
          <w:rFonts w:ascii="Times New Roman" w:hAnsi="Times New Roman" w:cs="Times New Roman"/>
          <w:color w:val="auto"/>
          <w:sz w:val="24"/>
          <w:highlight w:val="none"/>
        </w:rPr>
        <w:t>设备安装位置应方便施工和维护操作，不影响建筑物整体美观</w:t>
      </w:r>
      <w:r>
        <w:rPr>
          <w:rFonts w:hint="eastAsia" w:ascii="Times New Roman" w:hAnsi="Times New Roman" w:cs="Times New Roman"/>
          <w:color w:val="auto"/>
          <w:sz w:val="24"/>
          <w:highlight w:val="none"/>
          <w:lang w:eastAsia="zh-CN"/>
        </w:rPr>
        <w:t>；</w:t>
      </w:r>
    </w:p>
    <w:p w14:paraId="6D030F5A">
      <w:pPr>
        <w:numPr>
          <w:ilvl w:val="0"/>
          <w:numId w:val="3"/>
        </w:numPr>
        <w:spacing w:line="360" w:lineRule="auto"/>
        <w:ind w:left="0" w:leftChars="0" w:firstLine="720" w:firstLineChars="300"/>
        <w:rPr>
          <w:rFonts w:ascii="Times New Roman" w:hAnsi="Times New Roman" w:cs="Times New Roman"/>
          <w:color w:val="auto"/>
          <w:sz w:val="24"/>
          <w:highlight w:val="none"/>
        </w:rPr>
      </w:pPr>
      <w:r>
        <w:rPr>
          <w:rFonts w:ascii="Times New Roman" w:hAnsi="Times New Roman" w:cs="Times New Roman"/>
          <w:color w:val="auto"/>
          <w:sz w:val="24"/>
          <w:highlight w:val="none"/>
        </w:rPr>
        <w:t>设备下沿距</w:t>
      </w:r>
      <w:r>
        <w:rPr>
          <w:rFonts w:hint="eastAsia" w:ascii="Times New Roman" w:hAnsi="Times New Roman" w:cs="Times New Roman"/>
          <w:color w:val="auto"/>
          <w:sz w:val="24"/>
          <w:highlight w:val="none"/>
        </w:rPr>
        <w:t>地</w:t>
      </w:r>
      <w:r>
        <w:rPr>
          <w:rFonts w:ascii="Times New Roman" w:hAnsi="Times New Roman" w:cs="Times New Roman"/>
          <w:color w:val="auto"/>
          <w:sz w:val="24"/>
          <w:highlight w:val="none"/>
        </w:rPr>
        <w:t>面最小距离应不小于500mm，条件不具备时可适度放宽</w:t>
      </w:r>
      <w:r>
        <w:rPr>
          <w:rFonts w:hint="eastAsia" w:ascii="Times New Roman" w:hAnsi="Times New Roman" w:cs="Times New Roman"/>
          <w:color w:val="auto"/>
          <w:sz w:val="24"/>
          <w:highlight w:val="none"/>
        </w:rPr>
        <w:t>，</w:t>
      </w:r>
    </w:p>
    <w:p w14:paraId="1C028A8E">
      <w:pPr>
        <w:numPr>
          <w:ilvl w:val="0"/>
          <w:numId w:val="0"/>
        </w:numPr>
        <w:spacing w:line="360" w:lineRule="auto"/>
        <w:ind w:left="1109" w:leftChars="528" w:firstLine="0" w:firstLineChars="0"/>
        <w:rPr>
          <w:rFonts w:ascii="Times New Roman" w:hAnsi="Times New Roman" w:cs="Times New Roman"/>
          <w:color w:val="auto"/>
          <w:sz w:val="24"/>
          <w:highlight w:val="none"/>
        </w:rPr>
      </w:pPr>
      <w:r>
        <w:rPr>
          <w:rFonts w:ascii="Times New Roman" w:hAnsi="Times New Roman" w:cs="Times New Roman"/>
          <w:color w:val="auto"/>
          <w:sz w:val="24"/>
          <w:highlight w:val="none"/>
        </w:rPr>
        <w:t>但应满足RRU进线端线缆的平直和弯曲半径的要求</w:t>
      </w: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便于施工维护并防止雨水浸泡</w:t>
      </w:r>
      <w:r>
        <w:rPr>
          <w:rFonts w:hint="eastAsia" w:ascii="Times New Roman" w:hAnsi="Times New Roman" w:cs="Times New Roman"/>
          <w:color w:val="auto"/>
          <w:sz w:val="24"/>
          <w:highlight w:val="none"/>
          <w:lang w:eastAsia="zh-CN"/>
        </w:rPr>
        <w:t>；</w:t>
      </w:r>
    </w:p>
    <w:p w14:paraId="515832B7">
      <w:pPr>
        <w:numPr>
          <w:ilvl w:val="0"/>
          <w:numId w:val="3"/>
        </w:numPr>
        <w:spacing w:line="360" w:lineRule="auto"/>
        <w:ind w:left="0" w:leftChars="0" w:firstLine="720" w:firstLineChars="300"/>
        <w:rPr>
          <w:rFonts w:ascii="Times New Roman" w:hAnsi="Times New Roman" w:cs="Times New Roman"/>
          <w:color w:val="auto"/>
          <w:sz w:val="24"/>
          <w:highlight w:val="none"/>
        </w:rPr>
      </w:pPr>
      <w:r>
        <w:rPr>
          <w:rFonts w:ascii="Times New Roman" w:hAnsi="Times New Roman" w:cs="Times New Roman"/>
          <w:color w:val="auto"/>
          <w:sz w:val="24"/>
          <w:highlight w:val="none"/>
        </w:rPr>
        <w:t>当RRU与天线同抱杆安装时</w:t>
      </w: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中间应保持不小于300mm的间距，便</w:t>
      </w:r>
    </w:p>
    <w:p w14:paraId="6775FB9B">
      <w:pPr>
        <w:numPr>
          <w:ilvl w:val="0"/>
          <w:numId w:val="0"/>
        </w:numPr>
        <w:spacing w:line="360" w:lineRule="auto"/>
        <w:ind w:leftChars="300"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于施工和维护。RRU与天线之间的跳线长度一般情况下宜小于6m。</w:t>
      </w:r>
    </w:p>
    <w:p w14:paraId="1BC8192C">
      <w:pPr>
        <w:spacing w:line="360" w:lineRule="auto"/>
        <w:outlineLvl w:val="2"/>
        <w:rPr>
          <w:rFonts w:ascii="Times New Roman" w:hAnsi="Times New Roman" w:cs="Times New Roman"/>
          <w:bCs/>
          <w:color w:val="auto"/>
          <w:sz w:val="24"/>
          <w:highlight w:val="none"/>
        </w:rPr>
      </w:pPr>
      <w:bookmarkStart w:id="73" w:name="_Toc174911322"/>
      <w:bookmarkStart w:id="74" w:name="_Toc178020254"/>
      <w:bookmarkStart w:id="75" w:name="_Toc178108386"/>
      <w:bookmarkStart w:id="76" w:name="_Toc759"/>
      <w:bookmarkStart w:id="77" w:name="_Toc32730"/>
      <w:bookmarkStart w:id="78" w:name="_Toc4357"/>
      <w:bookmarkStart w:id="79" w:name="_Toc180960182"/>
      <w:r>
        <w:rPr>
          <w:rFonts w:ascii="Times New Roman" w:hAnsi="Times New Roman" w:cs="Times New Roman"/>
          <w:bCs/>
          <w:color w:val="auto"/>
          <w:sz w:val="24"/>
          <w:highlight w:val="none"/>
        </w:rPr>
        <w:t>4.3.2 有源设备安装质量检查</w:t>
      </w:r>
      <w:bookmarkEnd w:id="73"/>
      <w:bookmarkEnd w:id="74"/>
      <w:r>
        <w:rPr>
          <w:rFonts w:ascii="Times New Roman" w:hAnsi="Times New Roman" w:cs="Times New Roman"/>
          <w:bCs/>
          <w:color w:val="auto"/>
          <w:sz w:val="24"/>
          <w:highlight w:val="none"/>
        </w:rPr>
        <w:t>应符合</w:t>
      </w:r>
      <w:r>
        <w:rPr>
          <w:rFonts w:hint="eastAsia" w:ascii="Times New Roman" w:hAnsi="Times New Roman" w:cs="Times New Roman"/>
          <w:bCs/>
          <w:color w:val="auto"/>
          <w:sz w:val="24"/>
          <w:highlight w:val="none"/>
          <w:lang w:val="en-US" w:eastAsia="zh-CN"/>
        </w:rPr>
        <w:t>下列</w:t>
      </w:r>
      <w:r>
        <w:rPr>
          <w:rFonts w:hint="eastAsia" w:ascii="Times New Roman" w:hAnsi="Times New Roman" w:cs="Times New Roman"/>
          <w:bCs/>
          <w:color w:val="auto"/>
          <w:sz w:val="24"/>
          <w:highlight w:val="none"/>
          <w:lang w:eastAsia="zh-CN"/>
        </w:rPr>
        <w:t>要求</w:t>
      </w:r>
      <w:r>
        <w:rPr>
          <w:rFonts w:ascii="Times New Roman" w:hAnsi="Times New Roman" w:cs="Times New Roman"/>
          <w:bCs/>
          <w:color w:val="auto"/>
          <w:sz w:val="24"/>
          <w:highlight w:val="none"/>
        </w:rPr>
        <w:t>：</w:t>
      </w:r>
      <w:bookmarkEnd w:id="75"/>
      <w:bookmarkEnd w:id="76"/>
      <w:bookmarkEnd w:id="77"/>
      <w:bookmarkEnd w:id="78"/>
      <w:bookmarkEnd w:id="79"/>
    </w:p>
    <w:p w14:paraId="1073B05A">
      <w:pPr>
        <w:spacing w:line="360" w:lineRule="auto"/>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1</w:t>
      </w:r>
      <w:r>
        <w:rPr>
          <w:rFonts w:ascii="Times New Roman" w:hAnsi="Times New Roman" w:cs="Times New Roman"/>
          <w:color w:val="auto"/>
          <w:sz w:val="24"/>
          <w:highlight w:val="none"/>
        </w:rPr>
        <w:t xml:space="preserve"> </w:t>
      </w:r>
      <w:r>
        <w:rPr>
          <w:rFonts w:hint="eastAsia" w:ascii="Times New Roman" w:hAnsi="Times New Roman" w:cs="Times New Roman"/>
          <w:color w:val="auto"/>
          <w:sz w:val="24"/>
          <w:highlight w:val="none"/>
        </w:rPr>
        <w:t>检查设备的</w:t>
      </w:r>
      <w:r>
        <w:rPr>
          <w:rFonts w:ascii="Times New Roman" w:hAnsi="Times New Roman" w:cs="Times New Roman"/>
          <w:color w:val="auto"/>
          <w:sz w:val="24"/>
          <w:highlight w:val="none"/>
        </w:rPr>
        <w:t>外观，</w:t>
      </w:r>
      <w:r>
        <w:rPr>
          <w:rFonts w:hint="eastAsia" w:ascii="Times New Roman" w:hAnsi="Times New Roman" w:cs="Times New Roman"/>
          <w:color w:val="auto"/>
          <w:sz w:val="24"/>
          <w:highlight w:val="none"/>
        </w:rPr>
        <w:t>设备应</w:t>
      </w:r>
      <w:r>
        <w:rPr>
          <w:rFonts w:ascii="Times New Roman" w:hAnsi="Times New Roman" w:cs="Times New Roman"/>
          <w:color w:val="auto"/>
          <w:sz w:val="24"/>
          <w:highlight w:val="none"/>
        </w:rPr>
        <w:t>无损坏、无变形，所有部件</w:t>
      </w:r>
      <w:r>
        <w:rPr>
          <w:rFonts w:hint="eastAsia" w:ascii="Times New Roman" w:hAnsi="Times New Roman" w:cs="Times New Roman"/>
          <w:color w:val="auto"/>
          <w:sz w:val="24"/>
          <w:highlight w:val="none"/>
          <w:lang w:val="en-US" w:eastAsia="zh-CN"/>
        </w:rPr>
        <w:t>应</w:t>
      </w:r>
      <w:r>
        <w:rPr>
          <w:rFonts w:ascii="Times New Roman" w:hAnsi="Times New Roman" w:cs="Times New Roman"/>
          <w:color w:val="auto"/>
          <w:sz w:val="24"/>
          <w:highlight w:val="none"/>
        </w:rPr>
        <w:t>完整无缺</w:t>
      </w:r>
      <w:r>
        <w:rPr>
          <w:rFonts w:hint="eastAsia" w:ascii="Times New Roman" w:hAnsi="Times New Roman" w:cs="Times New Roman"/>
          <w:color w:val="auto"/>
          <w:sz w:val="24"/>
          <w:highlight w:val="none"/>
          <w:lang w:eastAsia="zh-CN"/>
        </w:rPr>
        <w:t>；</w:t>
      </w:r>
    </w:p>
    <w:p w14:paraId="3B921F3B">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rPr>
        <w:t>2</w:t>
      </w:r>
      <w:r>
        <w:rPr>
          <w:rFonts w:ascii="Times New Roman" w:hAnsi="Times New Roman" w:cs="Times New Roman"/>
          <w:color w:val="auto"/>
          <w:sz w:val="24"/>
          <w:highlight w:val="none"/>
        </w:rPr>
        <w:t xml:space="preserve"> </w:t>
      </w:r>
      <w:r>
        <w:rPr>
          <w:rFonts w:hint="eastAsia" w:ascii="Times New Roman" w:hAnsi="Times New Roman" w:cs="Times New Roman"/>
          <w:color w:val="auto"/>
          <w:sz w:val="24"/>
          <w:highlight w:val="none"/>
        </w:rPr>
        <w:t>检查</w:t>
      </w:r>
      <w:r>
        <w:rPr>
          <w:rFonts w:ascii="Times New Roman" w:hAnsi="Times New Roman" w:cs="Times New Roman"/>
          <w:color w:val="auto"/>
          <w:sz w:val="24"/>
          <w:highlight w:val="none"/>
        </w:rPr>
        <w:t>设备的安装位置，</w:t>
      </w:r>
      <w:r>
        <w:rPr>
          <w:rFonts w:hint="eastAsia" w:ascii="Times New Roman" w:hAnsi="Times New Roman" w:cs="Times New Roman"/>
          <w:color w:val="auto"/>
          <w:sz w:val="24"/>
          <w:highlight w:val="none"/>
        </w:rPr>
        <w:t>不应</w:t>
      </w:r>
      <w:r>
        <w:rPr>
          <w:rFonts w:ascii="Times New Roman" w:hAnsi="Times New Roman" w:cs="Times New Roman"/>
          <w:color w:val="auto"/>
          <w:sz w:val="24"/>
          <w:highlight w:val="none"/>
        </w:rPr>
        <w:t>安装在潮湿、高温、强电磁干扰等不利环境中</w:t>
      </w:r>
      <w:r>
        <w:rPr>
          <w:rFonts w:hint="eastAsia" w:ascii="Times New Roman" w:hAnsi="Times New Roman" w:cs="Times New Roman"/>
          <w:color w:val="auto"/>
          <w:sz w:val="24"/>
          <w:highlight w:val="none"/>
          <w:lang w:eastAsia="zh-CN"/>
        </w:rPr>
        <w:t>；</w:t>
      </w:r>
    </w:p>
    <w:p w14:paraId="295B06E3">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rPr>
        <w:t>3</w:t>
      </w:r>
      <w:r>
        <w:rPr>
          <w:rFonts w:ascii="Times New Roman" w:hAnsi="Times New Roman" w:cs="Times New Roman"/>
          <w:color w:val="auto"/>
          <w:sz w:val="24"/>
          <w:highlight w:val="none"/>
        </w:rPr>
        <w:t xml:space="preserve"> 检查设备的电源</w:t>
      </w:r>
      <w:r>
        <w:rPr>
          <w:rFonts w:hint="eastAsia" w:ascii="Times New Roman" w:hAnsi="Times New Roman" w:cs="Times New Roman"/>
          <w:color w:val="auto"/>
          <w:sz w:val="24"/>
          <w:highlight w:val="none"/>
        </w:rPr>
        <w:t>配置</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设备</w:t>
      </w:r>
      <w:r>
        <w:rPr>
          <w:rFonts w:ascii="Times New Roman" w:hAnsi="Times New Roman" w:cs="Times New Roman"/>
          <w:color w:val="auto"/>
          <w:sz w:val="24"/>
          <w:highlight w:val="none"/>
        </w:rPr>
        <w:t>供电</w:t>
      </w:r>
      <w:r>
        <w:rPr>
          <w:rFonts w:hint="eastAsia" w:ascii="Times New Roman" w:hAnsi="Times New Roman" w:cs="Times New Roman"/>
          <w:color w:val="auto"/>
          <w:sz w:val="24"/>
          <w:highlight w:val="none"/>
        </w:rPr>
        <w:t>应</w:t>
      </w:r>
      <w:r>
        <w:rPr>
          <w:rFonts w:ascii="Times New Roman" w:hAnsi="Times New Roman" w:cs="Times New Roman"/>
          <w:color w:val="auto"/>
          <w:sz w:val="24"/>
          <w:highlight w:val="none"/>
        </w:rPr>
        <w:t>稳定可靠，避免电源波动对设备产生影响</w:t>
      </w:r>
      <w:r>
        <w:rPr>
          <w:rFonts w:hint="eastAsia" w:ascii="Times New Roman" w:hAnsi="Times New Roman" w:cs="Times New Roman"/>
          <w:color w:val="auto"/>
          <w:sz w:val="24"/>
          <w:highlight w:val="none"/>
          <w:lang w:eastAsia="zh-CN"/>
        </w:rPr>
        <w:t>；</w:t>
      </w:r>
    </w:p>
    <w:p w14:paraId="7C982BEE">
      <w:pPr>
        <w:spacing w:line="360" w:lineRule="auto"/>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4</w:t>
      </w:r>
      <w:r>
        <w:rPr>
          <w:rFonts w:ascii="Times New Roman" w:hAnsi="Times New Roman" w:cs="Times New Roman"/>
          <w:color w:val="auto"/>
          <w:sz w:val="24"/>
          <w:highlight w:val="none"/>
        </w:rPr>
        <w:t xml:space="preserve"> 有源设备的接地、防静电、抗震加固及防雷、电磁兼容性措施</w:t>
      </w:r>
      <w:r>
        <w:rPr>
          <w:rFonts w:hint="eastAsia" w:ascii="Times New Roman" w:hAnsi="Times New Roman" w:cs="Times New Roman"/>
          <w:color w:val="auto"/>
          <w:sz w:val="24"/>
          <w:highlight w:val="none"/>
        </w:rPr>
        <w:t>应</w:t>
      </w:r>
      <w:r>
        <w:rPr>
          <w:rFonts w:ascii="Times New Roman" w:hAnsi="Times New Roman" w:cs="Times New Roman"/>
          <w:color w:val="auto"/>
          <w:sz w:val="24"/>
          <w:highlight w:val="none"/>
        </w:rPr>
        <w:t>符合工程设计要求。</w:t>
      </w:r>
    </w:p>
    <w:p w14:paraId="28547C64">
      <w:pPr>
        <w:spacing w:line="360" w:lineRule="auto"/>
        <w:outlineLvl w:val="2"/>
        <w:rPr>
          <w:rFonts w:ascii="Times New Roman" w:hAnsi="Times New Roman" w:cs="Times New Roman"/>
          <w:bCs/>
          <w:color w:val="auto"/>
          <w:sz w:val="24"/>
          <w:highlight w:val="none"/>
        </w:rPr>
      </w:pPr>
      <w:bookmarkStart w:id="80" w:name="_Toc174911323"/>
      <w:bookmarkStart w:id="81" w:name="_Toc178020255"/>
      <w:bookmarkStart w:id="82" w:name="_Toc20064"/>
      <w:bookmarkStart w:id="83" w:name="_Toc178108387"/>
      <w:bookmarkStart w:id="84" w:name="_Toc29020"/>
      <w:bookmarkStart w:id="85" w:name="_Toc23146"/>
      <w:bookmarkStart w:id="86" w:name="_Toc180960183"/>
      <w:r>
        <w:rPr>
          <w:rFonts w:ascii="Times New Roman" w:hAnsi="Times New Roman" w:cs="Times New Roman"/>
          <w:bCs/>
          <w:color w:val="auto"/>
          <w:sz w:val="24"/>
          <w:highlight w:val="none"/>
        </w:rPr>
        <w:t>4.3.3 无源设备安装质量检查</w:t>
      </w:r>
      <w:bookmarkEnd w:id="80"/>
      <w:bookmarkEnd w:id="81"/>
      <w:r>
        <w:rPr>
          <w:rFonts w:ascii="Times New Roman" w:hAnsi="Times New Roman" w:cs="Times New Roman"/>
          <w:bCs/>
          <w:color w:val="auto"/>
          <w:sz w:val="24"/>
          <w:highlight w:val="none"/>
        </w:rPr>
        <w:t>应符合</w:t>
      </w:r>
      <w:r>
        <w:rPr>
          <w:rFonts w:hint="eastAsia" w:ascii="Times New Roman" w:hAnsi="Times New Roman" w:cs="Times New Roman"/>
          <w:bCs/>
          <w:color w:val="auto"/>
          <w:sz w:val="24"/>
          <w:highlight w:val="none"/>
          <w:lang w:val="en-US" w:eastAsia="zh-CN"/>
        </w:rPr>
        <w:t>下列</w:t>
      </w:r>
      <w:r>
        <w:rPr>
          <w:rFonts w:hint="eastAsia" w:ascii="Times New Roman" w:hAnsi="Times New Roman" w:cs="Times New Roman"/>
          <w:bCs/>
          <w:color w:val="auto"/>
          <w:sz w:val="24"/>
          <w:highlight w:val="none"/>
          <w:lang w:eastAsia="zh-CN"/>
        </w:rPr>
        <w:t>要求</w:t>
      </w:r>
      <w:r>
        <w:rPr>
          <w:rFonts w:ascii="Times New Roman" w:hAnsi="Times New Roman" w:cs="Times New Roman"/>
          <w:bCs/>
          <w:color w:val="auto"/>
          <w:sz w:val="24"/>
          <w:highlight w:val="none"/>
        </w:rPr>
        <w:t>：</w:t>
      </w:r>
      <w:bookmarkEnd w:id="82"/>
      <w:bookmarkEnd w:id="83"/>
      <w:bookmarkEnd w:id="84"/>
      <w:bookmarkEnd w:id="85"/>
      <w:bookmarkEnd w:id="86"/>
    </w:p>
    <w:p w14:paraId="32F17CEB">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rPr>
        <w:t>1</w:t>
      </w:r>
      <w:r>
        <w:rPr>
          <w:rFonts w:ascii="Times New Roman" w:hAnsi="Times New Roman" w:cs="Times New Roman"/>
          <w:color w:val="auto"/>
          <w:sz w:val="24"/>
          <w:highlight w:val="none"/>
        </w:rPr>
        <w:t xml:space="preserve"> 对无源设备进行外观检查，确保无损坏、无变形，所有部件</w:t>
      </w:r>
      <w:r>
        <w:rPr>
          <w:rFonts w:hint="eastAsia" w:ascii="Times New Roman" w:hAnsi="Times New Roman" w:cs="Times New Roman"/>
          <w:color w:val="auto"/>
          <w:sz w:val="24"/>
          <w:highlight w:val="none"/>
          <w:lang w:val="en-US" w:eastAsia="zh-CN"/>
        </w:rPr>
        <w:t>应</w:t>
      </w:r>
      <w:r>
        <w:rPr>
          <w:rFonts w:ascii="Times New Roman" w:hAnsi="Times New Roman" w:cs="Times New Roman"/>
          <w:color w:val="auto"/>
          <w:sz w:val="24"/>
          <w:highlight w:val="none"/>
        </w:rPr>
        <w:t>完整无缺</w:t>
      </w:r>
      <w:r>
        <w:rPr>
          <w:rFonts w:hint="eastAsia" w:ascii="Times New Roman" w:hAnsi="Times New Roman" w:cs="Times New Roman"/>
          <w:color w:val="auto"/>
          <w:sz w:val="24"/>
          <w:highlight w:val="none"/>
          <w:lang w:eastAsia="zh-CN"/>
        </w:rPr>
        <w:t>；</w:t>
      </w:r>
    </w:p>
    <w:p w14:paraId="7EE0D662">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rPr>
        <w:t>2</w:t>
      </w:r>
      <w:r>
        <w:rPr>
          <w:rFonts w:ascii="Times New Roman" w:hAnsi="Times New Roman" w:cs="Times New Roman"/>
          <w:color w:val="auto"/>
          <w:sz w:val="24"/>
          <w:highlight w:val="none"/>
        </w:rPr>
        <w:t xml:space="preserve"> 无源器件应安装在易维护位置，应用固定件牢固固定</w:t>
      </w: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不得悬空或无固定放置</w:t>
      </w:r>
      <w:r>
        <w:rPr>
          <w:rFonts w:hint="eastAsia" w:ascii="Times New Roman" w:hAnsi="Times New Roman" w:cs="Times New Roman"/>
          <w:color w:val="auto"/>
          <w:sz w:val="24"/>
          <w:highlight w:val="none"/>
          <w:lang w:eastAsia="zh-CN"/>
        </w:rPr>
        <w:t>；</w:t>
      </w:r>
    </w:p>
    <w:p w14:paraId="59DFC8CF">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rPr>
        <w:t>3</w:t>
      </w:r>
      <w:r>
        <w:rPr>
          <w:rFonts w:ascii="Times New Roman" w:hAnsi="Times New Roman" w:cs="Times New Roman"/>
          <w:color w:val="auto"/>
          <w:sz w:val="24"/>
          <w:highlight w:val="none"/>
        </w:rPr>
        <w:t xml:space="preserve"> 馈线接头与各器件连接时</w:t>
      </w: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应保证端口连接正确、可靠</w:t>
      </w:r>
      <w:r>
        <w:rPr>
          <w:rFonts w:hint="eastAsia" w:ascii="Times New Roman" w:hAnsi="Times New Roman" w:cs="Times New Roman"/>
          <w:color w:val="auto"/>
          <w:sz w:val="24"/>
          <w:highlight w:val="none"/>
          <w:lang w:eastAsia="zh-CN"/>
        </w:rPr>
        <w:t>；</w:t>
      </w:r>
    </w:p>
    <w:p w14:paraId="1B4841FD">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rPr>
        <w:t>4</w:t>
      </w:r>
      <w:r>
        <w:rPr>
          <w:rFonts w:ascii="Times New Roman" w:hAnsi="Times New Roman" w:cs="Times New Roman"/>
          <w:color w:val="auto"/>
          <w:sz w:val="24"/>
          <w:highlight w:val="none"/>
        </w:rPr>
        <w:t xml:space="preserve"> 无源器件应做好防水、防腐蚀保护</w:t>
      </w: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在室外环境安装时</w:t>
      </w: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接头应做好防水处理</w:t>
      </w:r>
      <w:r>
        <w:rPr>
          <w:rFonts w:hint="eastAsia" w:ascii="Times New Roman" w:hAnsi="Times New Roman" w:cs="Times New Roman"/>
          <w:color w:val="auto"/>
          <w:sz w:val="24"/>
          <w:highlight w:val="none"/>
          <w:lang w:eastAsia="zh-CN"/>
        </w:rPr>
        <w:t>；</w:t>
      </w:r>
    </w:p>
    <w:p w14:paraId="5B12FBA9">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rPr>
        <w:t>5</w:t>
      </w:r>
      <w:r>
        <w:rPr>
          <w:rFonts w:ascii="Times New Roman" w:hAnsi="Times New Roman" w:cs="Times New Roman"/>
          <w:color w:val="auto"/>
          <w:sz w:val="24"/>
          <w:highlight w:val="none"/>
        </w:rPr>
        <w:t xml:space="preserve"> 安装无源器件时可根据安装现场条件</w:t>
      </w: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采用跳线、直角弯头等连接</w:t>
      </w:r>
      <w:r>
        <w:rPr>
          <w:rFonts w:hint="eastAsia" w:ascii="Times New Roman" w:hAnsi="Times New Roman" w:cs="Times New Roman"/>
          <w:color w:val="auto"/>
          <w:sz w:val="24"/>
          <w:highlight w:val="none"/>
          <w:lang w:eastAsia="zh-CN"/>
        </w:rPr>
        <w:t>；</w:t>
      </w:r>
    </w:p>
    <w:p w14:paraId="092918A3">
      <w:pPr>
        <w:spacing w:line="360" w:lineRule="auto"/>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6</w:t>
      </w:r>
      <w:r>
        <w:rPr>
          <w:rFonts w:ascii="Times New Roman" w:hAnsi="Times New Roman" w:cs="Times New Roman"/>
          <w:color w:val="auto"/>
          <w:sz w:val="24"/>
          <w:highlight w:val="none"/>
        </w:rPr>
        <w:t xml:space="preserve"> 无源设备的接地、防静电、抗震加固及防雷、电磁兼容性措施符合工程设计要求。</w:t>
      </w:r>
    </w:p>
    <w:p w14:paraId="77BC0678">
      <w:pPr>
        <w:spacing w:line="360" w:lineRule="auto"/>
        <w:outlineLvl w:val="2"/>
        <w:rPr>
          <w:rFonts w:ascii="Times New Roman" w:hAnsi="Times New Roman" w:cs="Times New Roman"/>
          <w:bCs/>
          <w:color w:val="auto"/>
          <w:sz w:val="24"/>
          <w:highlight w:val="none"/>
        </w:rPr>
      </w:pPr>
      <w:bookmarkStart w:id="87" w:name="_Toc178020256"/>
      <w:bookmarkStart w:id="88" w:name="_Toc174911324"/>
      <w:bookmarkStart w:id="89" w:name="_Toc2813"/>
      <w:bookmarkStart w:id="90" w:name="_Toc178108388"/>
      <w:bookmarkStart w:id="91" w:name="_Toc17589"/>
      <w:bookmarkStart w:id="92" w:name="_Toc180960184"/>
      <w:bookmarkStart w:id="93" w:name="_Toc31103"/>
      <w:r>
        <w:rPr>
          <w:rFonts w:ascii="Times New Roman" w:hAnsi="Times New Roman" w:cs="Times New Roman"/>
          <w:bCs/>
          <w:color w:val="auto"/>
          <w:sz w:val="24"/>
          <w:highlight w:val="none"/>
        </w:rPr>
        <w:t xml:space="preserve">4.3.4 </w:t>
      </w:r>
      <w:r>
        <w:rPr>
          <w:rFonts w:ascii="Times New Roman" w:hAnsi="Times New Roman" w:cs="Times New Roman"/>
          <w:color w:val="auto"/>
          <w:sz w:val="24"/>
          <w:highlight w:val="none"/>
        </w:rPr>
        <w:t>多系统接入平台</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kern w:val="0"/>
          <w:sz w:val="24"/>
          <w:highlight w:val="none"/>
          <w:lang w:bidi="ar"/>
        </w:rPr>
        <w:t>POI</w:t>
      </w:r>
      <w:r>
        <w:rPr>
          <w:rFonts w:hint="eastAsia" w:ascii="Times New Roman" w:hAnsi="Times New Roman" w:cs="Times New Roman"/>
          <w:color w:val="auto"/>
          <w:sz w:val="24"/>
          <w:highlight w:val="none"/>
          <w:lang w:eastAsia="zh-CN"/>
        </w:rPr>
        <w:t>）</w:t>
      </w:r>
      <w:r>
        <w:rPr>
          <w:rFonts w:ascii="Times New Roman" w:hAnsi="Times New Roman" w:cs="Times New Roman"/>
          <w:bCs/>
          <w:color w:val="auto"/>
          <w:sz w:val="24"/>
          <w:highlight w:val="none"/>
        </w:rPr>
        <w:t>安装质量检查</w:t>
      </w:r>
      <w:bookmarkEnd w:id="87"/>
      <w:bookmarkEnd w:id="88"/>
      <w:r>
        <w:rPr>
          <w:rFonts w:ascii="Times New Roman" w:hAnsi="Times New Roman" w:cs="Times New Roman"/>
          <w:bCs/>
          <w:color w:val="auto"/>
          <w:sz w:val="24"/>
          <w:highlight w:val="none"/>
        </w:rPr>
        <w:t>应符合</w:t>
      </w:r>
      <w:r>
        <w:rPr>
          <w:rFonts w:hint="eastAsia" w:ascii="Times New Roman" w:hAnsi="Times New Roman" w:cs="Times New Roman"/>
          <w:bCs/>
          <w:color w:val="auto"/>
          <w:sz w:val="24"/>
          <w:highlight w:val="none"/>
          <w:lang w:val="en-US" w:eastAsia="zh-CN"/>
        </w:rPr>
        <w:t>下列</w:t>
      </w:r>
      <w:r>
        <w:rPr>
          <w:rFonts w:hint="eastAsia" w:ascii="Times New Roman" w:hAnsi="Times New Roman" w:cs="Times New Roman"/>
          <w:bCs/>
          <w:color w:val="auto"/>
          <w:sz w:val="24"/>
          <w:highlight w:val="none"/>
          <w:lang w:eastAsia="zh-CN"/>
        </w:rPr>
        <w:t>要求</w:t>
      </w:r>
      <w:r>
        <w:rPr>
          <w:rFonts w:ascii="Times New Roman" w:hAnsi="Times New Roman" w:cs="Times New Roman"/>
          <w:bCs/>
          <w:color w:val="auto"/>
          <w:sz w:val="24"/>
          <w:highlight w:val="none"/>
        </w:rPr>
        <w:t>：</w:t>
      </w:r>
      <w:bookmarkEnd w:id="89"/>
      <w:bookmarkEnd w:id="90"/>
      <w:bookmarkEnd w:id="91"/>
      <w:bookmarkEnd w:id="92"/>
      <w:bookmarkEnd w:id="93"/>
    </w:p>
    <w:p w14:paraId="26911617">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1 对POI设备进行外观检查，设备应无损坏、无变形，所有部件</w:t>
      </w:r>
      <w:r>
        <w:rPr>
          <w:rFonts w:hint="eastAsia" w:ascii="Times New Roman" w:hAnsi="Times New Roman" w:cs="Times New Roman"/>
          <w:color w:val="auto"/>
          <w:sz w:val="24"/>
          <w:highlight w:val="none"/>
          <w:lang w:val="en-US" w:eastAsia="zh-CN"/>
        </w:rPr>
        <w:t>应</w:t>
      </w:r>
      <w:r>
        <w:rPr>
          <w:rFonts w:ascii="Times New Roman" w:hAnsi="Times New Roman" w:cs="Times New Roman"/>
          <w:color w:val="auto"/>
          <w:sz w:val="24"/>
          <w:highlight w:val="none"/>
        </w:rPr>
        <w:t>完整无缺</w:t>
      </w:r>
      <w:r>
        <w:rPr>
          <w:rFonts w:hint="eastAsia" w:ascii="Times New Roman" w:hAnsi="Times New Roman" w:cs="Times New Roman"/>
          <w:color w:val="auto"/>
          <w:sz w:val="24"/>
          <w:highlight w:val="none"/>
          <w:lang w:eastAsia="zh-CN"/>
        </w:rPr>
        <w:t>；</w:t>
      </w:r>
    </w:p>
    <w:p w14:paraId="70965D81">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2 POI应用固定件牢固固定</w:t>
      </w: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不得悬空或无固定放置</w:t>
      </w:r>
      <w:r>
        <w:rPr>
          <w:rFonts w:hint="eastAsia" w:ascii="Times New Roman" w:hAnsi="Times New Roman" w:cs="Times New Roman"/>
          <w:color w:val="auto"/>
          <w:sz w:val="24"/>
          <w:highlight w:val="none"/>
          <w:lang w:eastAsia="zh-CN"/>
        </w:rPr>
        <w:t>；</w:t>
      </w:r>
    </w:p>
    <w:p w14:paraId="768FC7CD">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 POI应做好防水、防腐蚀保护</w:t>
      </w: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在室外环境</w:t>
      </w:r>
      <w:r>
        <w:rPr>
          <w:rFonts w:hint="eastAsia" w:ascii="Times New Roman" w:hAnsi="Times New Roman" w:cs="Times New Roman"/>
          <w:color w:val="auto"/>
          <w:sz w:val="24"/>
          <w:highlight w:val="none"/>
          <w:lang w:val="en-US" w:eastAsia="zh-CN"/>
        </w:rPr>
        <w:t>及隧道</w:t>
      </w:r>
      <w:r>
        <w:rPr>
          <w:rFonts w:ascii="Times New Roman" w:hAnsi="Times New Roman" w:cs="Times New Roman"/>
          <w:color w:val="auto"/>
          <w:sz w:val="24"/>
          <w:highlight w:val="none"/>
        </w:rPr>
        <w:t>安装时</w:t>
      </w: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接头应做好防水处理。</w:t>
      </w:r>
    </w:p>
    <w:p w14:paraId="551AE155">
      <w:pPr>
        <w:spacing w:line="360" w:lineRule="auto"/>
        <w:outlineLvl w:val="2"/>
        <w:rPr>
          <w:rFonts w:ascii="Times New Roman" w:hAnsi="Times New Roman" w:cs="Times New Roman"/>
          <w:bCs/>
          <w:color w:val="auto"/>
          <w:sz w:val="24"/>
          <w:highlight w:val="none"/>
        </w:rPr>
      </w:pPr>
      <w:bookmarkStart w:id="94" w:name="_Toc174911325"/>
      <w:bookmarkStart w:id="95" w:name="_Toc178020257"/>
      <w:bookmarkStart w:id="96" w:name="_Toc4416"/>
      <w:bookmarkStart w:id="97" w:name="_Toc180960185"/>
      <w:bookmarkStart w:id="98" w:name="_Toc14034"/>
      <w:bookmarkStart w:id="99" w:name="_Toc178108389"/>
      <w:bookmarkStart w:id="100" w:name="_Toc32412"/>
      <w:r>
        <w:rPr>
          <w:rFonts w:ascii="Times New Roman" w:hAnsi="Times New Roman" w:cs="Times New Roman"/>
          <w:bCs/>
          <w:color w:val="auto"/>
          <w:sz w:val="24"/>
          <w:highlight w:val="none"/>
        </w:rPr>
        <w:t>4.3.5 天线安装质量检查</w:t>
      </w:r>
      <w:bookmarkEnd w:id="94"/>
      <w:bookmarkEnd w:id="95"/>
      <w:r>
        <w:rPr>
          <w:rFonts w:ascii="Times New Roman" w:hAnsi="Times New Roman" w:cs="Times New Roman"/>
          <w:bCs/>
          <w:color w:val="auto"/>
          <w:sz w:val="24"/>
          <w:highlight w:val="none"/>
        </w:rPr>
        <w:t>应符合</w:t>
      </w:r>
      <w:r>
        <w:rPr>
          <w:rFonts w:hint="eastAsia" w:ascii="Times New Roman" w:hAnsi="Times New Roman" w:cs="Times New Roman"/>
          <w:bCs/>
          <w:color w:val="auto"/>
          <w:sz w:val="24"/>
          <w:highlight w:val="none"/>
          <w:lang w:val="en-US" w:eastAsia="zh-CN"/>
        </w:rPr>
        <w:t>下列</w:t>
      </w:r>
      <w:r>
        <w:rPr>
          <w:rFonts w:hint="eastAsia" w:ascii="Times New Roman" w:hAnsi="Times New Roman" w:cs="Times New Roman"/>
          <w:bCs/>
          <w:color w:val="auto"/>
          <w:sz w:val="24"/>
          <w:highlight w:val="none"/>
          <w:lang w:eastAsia="zh-CN"/>
        </w:rPr>
        <w:t>要求</w:t>
      </w:r>
      <w:r>
        <w:rPr>
          <w:rFonts w:ascii="Times New Roman" w:hAnsi="Times New Roman" w:cs="Times New Roman"/>
          <w:bCs/>
          <w:color w:val="auto"/>
          <w:sz w:val="24"/>
          <w:highlight w:val="none"/>
        </w:rPr>
        <w:t>：</w:t>
      </w:r>
      <w:bookmarkEnd w:id="96"/>
      <w:bookmarkEnd w:id="97"/>
      <w:bookmarkEnd w:id="98"/>
      <w:bookmarkEnd w:id="99"/>
      <w:bookmarkEnd w:id="100"/>
    </w:p>
    <w:p w14:paraId="47591F15">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rPr>
        <w:t>1</w:t>
      </w:r>
      <w:r>
        <w:rPr>
          <w:rFonts w:ascii="Times New Roman" w:hAnsi="Times New Roman" w:cs="Times New Roman"/>
          <w:color w:val="auto"/>
          <w:sz w:val="24"/>
          <w:highlight w:val="none"/>
        </w:rPr>
        <w:t xml:space="preserve"> 天线安装</w:t>
      </w:r>
      <w:r>
        <w:rPr>
          <w:rFonts w:hint="eastAsia" w:ascii="Times New Roman" w:hAnsi="Times New Roman" w:cs="Times New Roman"/>
          <w:color w:val="auto"/>
          <w:sz w:val="24"/>
          <w:highlight w:val="none"/>
        </w:rPr>
        <w:t>应</w:t>
      </w:r>
      <w:r>
        <w:rPr>
          <w:rFonts w:ascii="Times New Roman" w:hAnsi="Times New Roman" w:cs="Times New Roman"/>
          <w:color w:val="auto"/>
          <w:sz w:val="24"/>
          <w:highlight w:val="none"/>
        </w:rPr>
        <w:t>牢固、可靠、美观、不</w:t>
      </w:r>
      <w:r>
        <w:rPr>
          <w:rFonts w:hint="eastAsia" w:ascii="Times New Roman" w:hAnsi="Times New Roman" w:cs="Times New Roman"/>
          <w:color w:val="auto"/>
          <w:sz w:val="24"/>
          <w:highlight w:val="none"/>
        </w:rPr>
        <w:t>应</w:t>
      </w:r>
      <w:r>
        <w:rPr>
          <w:rFonts w:ascii="Times New Roman" w:hAnsi="Times New Roman" w:cs="Times New Roman"/>
          <w:color w:val="auto"/>
          <w:sz w:val="24"/>
          <w:highlight w:val="none"/>
        </w:rPr>
        <w:t>破坏</w:t>
      </w:r>
      <w:r>
        <w:rPr>
          <w:rFonts w:hint="eastAsia" w:ascii="Times New Roman" w:hAnsi="Times New Roman" w:cs="Times New Roman"/>
          <w:color w:val="auto"/>
          <w:sz w:val="24"/>
          <w:highlight w:val="none"/>
        </w:rPr>
        <w:t>周边</w:t>
      </w:r>
      <w:r>
        <w:rPr>
          <w:rFonts w:ascii="Times New Roman" w:hAnsi="Times New Roman" w:cs="Times New Roman"/>
          <w:color w:val="auto"/>
          <w:sz w:val="24"/>
          <w:highlight w:val="none"/>
        </w:rPr>
        <w:t>整体环境</w:t>
      </w:r>
      <w:r>
        <w:rPr>
          <w:rFonts w:hint="eastAsia" w:ascii="Times New Roman" w:hAnsi="Times New Roman" w:cs="Times New Roman"/>
          <w:color w:val="auto"/>
          <w:sz w:val="24"/>
          <w:highlight w:val="none"/>
          <w:lang w:eastAsia="zh-CN"/>
        </w:rPr>
        <w:t>；</w:t>
      </w:r>
    </w:p>
    <w:p w14:paraId="318E2815">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rPr>
        <w:t>2</w:t>
      </w:r>
      <w:r>
        <w:rPr>
          <w:rFonts w:ascii="Times New Roman" w:hAnsi="Times New Roman" w:cs="Times New Roman"/>
          <w:color w:val="auto"/>
          <w:sz w:val="24"/>
          <w:highlight w:val="none"/>
        </w:rPr>
        <w:t xml:space="preserve"> 天线附近</w:t>
      </w:r>
      <w:r>
        <w:rPr>
          <w:rFonts w:hint="eastAsia" w:ascii="Times New Roman" w:hAnsi="Times New Roman" w:cs="Times New Roman"/>
          <w:color w:val="auto"/>
          <w:sz w:val="24"/>
          <w:highlight w:val="none"/>
        </w:rPr>
        <w:t>应</w:t>
      </w:r>
      <w:r>
        <w:rPr>
          <w:rFonts w:ascii="Times New Roman" w:hAnsi="Times New Roman" w:cs="Times New Roman"/>
          <w:color w:val="auto"/>
          <w:sz w:val="24"/>
          <w:highlight w:val="none"/>
        </w:rPr>
        <w:t>无直接遮挡物存在，尽量远离消防喷淋头</w:t>
      </w:r>
      <w:r>
        <w:rPr>
          <w:rFonts w:hint="eastAsia" w:ascii="Times New Roman" w:hAnsi="Times New Roman" w:cs="Times New Roman"/>
          <w:color w:val="auto"/>
          <w:sz w:val="24"/>
          <w:highlight w:val="none"/>
          <w:lang w:eastAsia="zh-CN"/>
        </w:rPr>
        <w:t>；</w:t>
      </w:r>
    </w:p>
    <w:p w14:paraId="51E0BF03">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rPr>
        <w:t>3</w:t>
      </w:r>
      <w:r>
        <w:rPr>
          <w:rFonts w:ascii="Times New Roman" w:hAnsi="Times New Roman" w:cs="Times New Roman"/>
          <w:color w:val="auto"/>
          <w:sz w:val="24"/>
          <w:highlight w:val="none"/>
        </w:rPr>
        <w:t xml:space="preserve"> 天线安装的位置和定向天线主瓣方向应满足工程设计要求</w:t>
      </w:r>
      <w:r>
        <w:rPr>
          <w:rFonts w:hint="eastAsia" w:ascii="Times New Roman" w:hAnsi="Times New Roman" w:cs="Times New Roman"/>
          <w:color w:val="auto"/>
          <w:sz w:val="24"/>
          <w:highlight w:val="none"/>
          <w:lang w:eastAsia="zh-CN"/>
        </w:rPr>
        <w:t>；</w:t>
      </w:r>
    </w:p>
    <w:p w14:paraId="0EF17882">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rPr>
        <w:t>4</w:t>
      </w:r>
      <w:r>
        <w:rPr>
          <w:rFonts w:ascii="Times New Roman" w:hAnsi="Times New Roman" w:cs="Times New Roman"/>
          <w:color w:val="auto"/>
          <w:sz w:val="24"/>
          <w:highlight w:val="none"/>
        </w:rPr>
        <w:t xml:space="preserve"> 室内定向板状天线采用壁挂安装方式或利用定向天线支架安装方式</w:t>
      </w:r>
      <w:r>
        <w:rPr>
          <w:rFonts w:hint="eastAsia" w:ascii="Times New Roman" w:hAnsi="Times New Roman" w:cs="Times New Roman"/>
          <w:color w:val="auto"/>
          <w:sz w:val="24"/>
          <w:highlight w:val="none"/>
          <w:lang w:eastAsia="zh-CN"/>
        </w:rPr>
        <w:t>；</w:t>
      </w:r>
    </w:p>
    <w:p w14:paraId="749BCEB0">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rPr>
        <w:t>5</w:t>
      </w:r>
      <w:r>
        <w:rPr>
          <w:rFonts w:ascii="Times New Roman" w:hAnsi="Times New Roman" w:cs="Times New Roman"/>
          <w:color w:val="auto"/>
          <w:sz w:val="24"/>
          <w:highlight w:val="none"/>
        </w:rPr>
        <w:t xml:space="preserve"> 电梯井内的天线固定应不影响电梯的正常运作</w:t>
      </w: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天线安装在天花板内时</w:t>
      </w: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应通过天线支架进行固定，不得随意摆放</w:t>
      </w: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当安装在金属天花板上</w:t>
      </w:r>
      <w:r>
        <w:rPr>
          <w:rFonts w:hint="eastAsia" w:ascii="Times New Roman" w:hAnsi="Times New Roman" w:cs="Times New Roman"/>
          <w:color w:val="auto"/>
          <w:sz w:val="24"/>
          <w:highlight w:val="none"/>
          <w:lang w:val="en-US" w:eastAsia="zh-CN"/>
        </w:rPr>
        <w:t>时</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天线宜安装在天花板外，避免信号阻挡，</w:t>
      </w:r>
      <w:r>
        <w:rPr>
          <w:rFonts w:ascii="Times New Roman" w:hAnsi="Times New Roman" w:cs="Times New Roman"/>
          <w:color w:val="auto"/>
          <w:sz w:val="24"/>
          <w:highlight w:val="none"/>
        </w:rPr>
        <w:t>天线与天花板</w:t>
      </w:r>
      <w:r>
        <w:rPr>
          <w:rFonts w:hint="eastAsia" w:ascii="Times New Roman" w:hAnsi="Times New Roman" w:cs="Times New Roman"/>
          <w:color w:val="auto"/>
          <w:sz w:val="24"/>
          <w:highlight w:val="none"/>
          <w:lang w:val="en-US" w:eastAsia="zh-CN"/>
        </w:rPr>
        <w:t>有接触时，</w:t>
      </w:r>
      <w:r>
        <w:rPr>
          <w:rFonts w:ascii="Times New Roman" w:hAnsi="Times New Roman" w:cs="Times New Roman"/>
          <w:color w:val="auto"/>
          <w:sz w:val="24"/>
          <w:highlight w:val="none"/>
        </w:rPr>
        <w:t>接触面间应加绝缘垫片</w:t>
      </w:r>
      <w:r>
        <w:rPr>
          <w:rFonts w:hint="eastAsia" w:ascii="Times New Roman" w:hAnsi="Times New Roman" w:cs="Times New Roman"/>
          <w:color w:val="auto"/>
          <w:sz w:val="24"/>
          <w:highlight w:val="none"/>
          <w:lang w:eastAsia="zh-CN"/>
        </w:rPr>
        <w:t>；</w:t>
      </w:r>
    </w:p>
    <w:p w14:paraId="35CD1019">
      <w:pPr>
        <w:spacing w:line="360" w:lineRule="auto"/>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6</w:t>
      </w:r>
      <w:r>
        <w:rPr>
          <w:rFonts w:ascii="Times New Roman" w:hAnsi="Times New Roman" w:cs="Times New Roman"/>
          <w:color w:val="auto"/>
          <w:sz w:val="24"/>
          <w:highlight w:val="none"/>
        </w:rPr>
        <w:t xml:space="preserve"> 有源天线安装除满足上述要求外</w:t>
      </w: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还应符合有源设备的工程设计要求。</w:t>
      </w:r>
    </w:p>
    <w:p w14:paraId="7D5D01FE">
      <w:pPr>
        <w:spacing w:line="360" w:lineRule="auto"/>
        <w:outlineLvl w:val="2"/>
        <w:rPr>
          <w:rFonts w:ascii="Times New Roman" w:hAnsi="Times New Roman" w:cs="Times New Roman"/>
          <w:bCs/>
          <w:color w:val="auto"/>
          <w:sz w:val="24"/>
          <w:highlight w:val="none"/>
        </w:rPr>
      </w:pPr>
      <w:bookmarkStart w:id="101" w:name="_Toc174911328"/>
      <w:bookmarkStart w:id="102" w:name="_Toc178020259"/>
      <w:bookmarkStart w:id="103" w:name="_Toc30357"/>
      <w:bookmarkStart w:id="104" w:name="_Toc180960187"/>
      <w:bookmarkStart w:id="105" w:name="_Toc8837"/>
      <w:bookmarkStart w:id="106" w:name="_Toc178108391"/>
      <w:bookmarkStart w:id="107" w:name="_Toc12461"/>
      <w:r>
        <w:rPr>
          <w:rFonts w:ascii="Times New Roman" w:hAnsi="Times New Roman" w:cs="Times New Roman"/>
          <w:bCs/>
          <w:color w:val="auto"/>
          <w:sz w:val="24"/>
          <w:highlight w:val="none"/>
        </w:rPr>
        <w:t>4.3.</w:t>
      </w:r>
      <w:r>
        <w:rPr>
          <w:rFonts w:hint="eastAsia" w:ascii="Times New Roman" w:hAnsi="Times New Roman" w:cs="Times New Roman"/>
          <w:bCs/>
          <w:color w:val="auto"/>
          <w:sz w:val="24"/>
          <w:highlight w:val="none"/>
          <w:lang w:val="en-US" w:eastAsia="zh-CN"/>
        </w:rPr>
        <w:t xml:space="preserve">6 </w:t>
      </w:r>
      <w:r>
        <w:rPr>
          <w:rFonts w:hint="eastAsia"/>
          <w:color w:val="auto"/>
          <w:sz w:val="24"/>
          <w:highlight w:val="none"/>
        </w:rPr>
        <w:t>全球导航卫星系统（</w:t>
      </w:r>
      <w:r>
        <w:rPr>
          <w:color w:val="auto"/>
          <w:sz w:val="24"/>
          <w:highlight w:val="none"/>
        </w:rPr>
        <w:t>GNSS</w:t>
      </w:r>
      <w:r>
        <w:rPr>
          <w:rFonts w:hint="eastAsia"/>
          <w:color w:val="auto"/>
          <w:sz w:val="24"/>
          <w:highlight w:val="none"/>
        </w:rPr>
        <w:t>）</w:t>
      </w:r>
      <w:r>
        <w:rPr>
          <w:rFonts w:hint="eastAsia"/>
          <w:color w:val="auto"/>
          <w:sz w:val="24"/>
          <w:highlight w:val="none"/>
          <w:lang w:val="en-US" w:eastAsia="zh-CN"/>
        </w:rPr>
        <w:t>天线</w:t>
      </w:r>
      <w:r>
        <w:rPr>
          <w:rFonts w:ascii="Times New Roman" w:hAnsi="Times New Roman" w:cs="Times New Roman"/>
          <w:bCs/>
          <w:color w:val="auto"/>
          <w:sz w:val="24"/>
          <w:highlight w:val="none"/>
        </w:rPr>
        <w:t>安装质量检查</w:t>
      </w:r>
      <w:bookmarkEnd w:id="101"/>
      <w:bookmarkEnd w:id="102"/>
      <w:r>
        <w:rPr>
          <w:rFonts w:ascii="Times New Roman" w:hAnsi="Times New Roman" w:cs="Times New Roman"/>
          <w:bCs/>
          <w:color w:val="auto"/>
          <w:sz w:val="24"/>
          <w:highlight w:val="none"/>
        </w:rPr>
        <w:t>应符合</w:t>
      </w:r>
      <w:bookmarkEnd w:id="103"/>
      <w:bookmarkEnd w:id="104"/>
      <w:bookmarkEnd w:id="105"/>
      <w:bookmarkEnd w:id="106"/>
      <w:bookmarkEnd w:id="107"/>
      <w:r>
        <w:rPr>
          <w:rFonts w:hint="eastAsia" w:ascii="Times New Roman" w:hAnsi="Times New Roman" w:cs="Times New Roman"/>
          <w:bCs/>
          <w:color w:val="auto"/>
          <w:sz w:val="24"/>
          <w:highlight w:val="none"/>
          <w:lang w:val="en-US" w:eastAsia="zh-CN"/>
        </w:rPr>
        <w:t>下列规定</w:t>
      </w:r>
      <w:r>
        <w:rPr>
          <w:rFonts w:ascii="Times New Roman" w:hAnsi="Times New Roman" w:cs="Times New Roman"/>
          <w:bCs/>
          <w:color w:val="auto"/>
          <w:sz w:val="24"/>
          <w:highlight w:val="none"/>
        </w:rPr>
        <w:t>：</w:t>
      </w:r>
    </w:p>
    <w:p w14:paraId="4AD92514">
      <w:pPr>
        <w:spacing w:line="360" w:lineRule="auto"/>
        <w:ind w:firstLine="480" w:firstLineChars="200"/>
        <w:rPr>
          <w:rFonts w:hint="eastAsia" w:ascii="Times New Roman" w:hAnsi="Times New Roman" w:eastAsia="宋体" w:cs="Times New Roman"/>
          <w:color w:val="auto"/>
          <w:sz w:val="44"/>
          <w:szCs w:val="44"/>
          <w:highlight w:val="none"/>
          <w:lang w:eastAsia="zh-CN"/>
        </w:rPr>
      </w:pPr>
      <w:r>
        <w:rPr>
          <w:rFonts w:ascii="Times New Roman" w:hAnsi="Times New Roman" w:cs="Times New Roman"/>
          <w:color w:val="auto"/>
          <w:sz w:val="24"/>
          <w:highlight w:val="none"/>
        </w:rPr>
        <w:t>1</w:t>
      </w:r>
      <w:r>
        <w:rPr>
          <w:rFonts w:ascii="Times New Roman" w:hAnsi="Times New Roman" w:cs="Times New Roman"/>
          <w:color w:val="auto"/>
          <w:sz w:val="44"/>
          <w:szCs w:val="44"/>
          <w:highlight w:val="none"/>
        </w:rPr>
        <w:t xml:space="preserve"> </w:t>
      </w:r>
      <w:r>
        <w:rPr>
          <w:rFonts w:hint="eastAsia" w:ascii="Times New Roman" w:hAnsi="Times New Roman" w:cs="Times New Roman"/>
          <w:color w:val="auto"/>
          <w:sz w:val="24"/>
          <w:highlight w:val="none"/>
          <w:lang w:val="en-US" w:eastAsia="zh-CN"/>
        </w:rPr>
        <w:t>GNSS</w:t>
      </w:r>
      <w:r>
        <w:rPr>
          <w:rFonts w:hint="eastAsia" w:ascii="Times New Roman" w:hAnsi="Times New Roman" w:cs="Times New Roman"/>
          <w:color w:val="auto"/>
          <w:sz w:val="24"/>
          <w:highlight w:val="none"/>
        </w:rPr>
        <w:t>天线应安装在较空旷位置，上方90°（至少南向45°）应无建筑物遮挡</w:t>
      </w:r>
      <w:r>
        <w:rPr>
          <w:rFonts w:hint="eastAsia" w:ascii="Times New Roman" w:hAnsi="Times New Roman" w:cs="Times New Roman"/>
          <w:color w:val="auto"/>
          <w:sz w:val="24"/>
          <w:highlight w:val="none"/>
          <w:lang w:eastAsia="zh-CN"/>
        </w:rPr>
        <w:t>；</w:t>
      </w:r>
    </w:p>
    <w:p w14:paraId="607CB333">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2</w:t>
      </w:r>
      <w:r>
        <w:rPr>
          <w:rFonts w:ascii="Times New Roman" w:hAnsi="Times New Roman" w:cs="Times New Roman"/>
          <w:color w:val="auto"/>
          <w:sz w:val="44"/>
          <w:szCs w:val="44"/>
          <w:highlight w:val="none"/>
        </w:rPr>
        <w:t xml:space="preserve"> </w:t>
      </w:r>
      <w:r>
        <w:rPr>
          <w:rFonts w:ascii="Times New Roman" w:hAnsi="Times New Roman" w:cs="Times New Roman"/>
          <w:color w:val="auto"/>
          <w:sz w:val="24"/>
          <w:highlight w:val="none"/>
        </w:rPr>
        <w:t>GNSS天线必须垂直安装，垂直角度各向偏差不得超过1°</w:t>
      </w:r>
      <w:r>
        <w:rPr>
          <w:rFonts w:hint="eastAsia" w:ascii="Times New Roman" w:hAnsi="Times New Roman" w:cs="Times New Roman"/>
          <w:color w:val="auto"/>
          <w:sz w:val="24"/>
          <w:highlight w:val="none"/>
          <w:lang w:eastAsia="zh-CN"/>
        </w:rPr>
        <w:t>；</w:t>
      </w:r>
    </w:p>
    <w:p w14:paraId="58CD94DE">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3</w:t>
      </w:r>
      <w:r>
        <w:rPr>
          <w:rFonts w:ascii="Times New Roman" w:hAnsi="Times New Roman" w:cs="Times New Roman"/>
          <w:color w:val="auto"/>
          <w:sz w:val="44"/>
          <w:szCs w:val="44"/>
          <w:highlight w:val="none"/>
        </w:rPr>
        <w:t xml:space="preserve"> </w:t>
      </w:r>
      <w:r>
        <w:rPr>
          <w:rFonts w:ascii="Times New Roman" w:hAnsi="Times New Roman" w:cs="Times New Roman"/>
          <w:color w:val="auto"/>
          <w:sz w:val="24"/>
          <w:highlight w:val="none"/>
        </w:rPr>
        <w:t>GNSS天线在屋顶上安装时，应在避雷针45°保护范围之内</w:t>
      </w:r>
      <w:r>
        <w:rPr>
          <w:rFonts w:hint="eastAsia" w:ascii="Times New Roman" w:hAnsi="Times New Roman" w:cs="Times New Roman"/>
          <w:color w:val="auto"/>
          <w:sz w:val="24"/>
          <w:highlight w:val="none"/>
          <w:lang w:eastAsia="zh-CN"/>
        </w:rPr>
        <w:t>；</w:t>
      </w:r>
    </w:p>
    <w:p w14:paraId="01A34D98">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4</w:t>
      </w:r>
      <w:r>
        <w:rPr>
          <w:rFonts w:ascii="Times New Roman" w:hAnsi="Times New Roman" w:cs="Times New Roman"/>
          <w:color w:val="auto"/>
          <w:sz w:val="44"/>
          <w:szCs w:val="44"/>
          <w:highlight w:val="none"/>
        </w:rPr>
        <w:t xml:space="preserve"> </w:t>
      </w:r>
      <w:r>
        <w:rPr>
          <w:rFonts w:ascii="Times New Roman" w:hAnsi="Times New Roman" w:cs="Times New Roman"/>
          <w:color w:val="auto"/>
          <w:sz w:val="24"/>
          <w:highlight w:val="none"/>
        </w:rPr>
        <w:t>GNSS天线安装在支架上时，其天线底部应高出抱杆顶部</w:t>
      </w:r>
      <w:r>
        <w:rPr>
          <w:rFonts w:hint="eastAsia" w:ascii="Times New Roman" w:hAnsi="Times New Roman" w:cs="Times New Roman"/>
          <w:color w:val="auto"/>
          <w:sz w:val="24"/>
          <w:highlight w:val="none"/>
          <w:lang w:eastAsia="zh-CN"/>
        </w:rPr>
        <w:t>；</w:t>
      </w:r>
    </w:p>
    <w:p w14:paraId="26B4178D">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5</w:t>
      </w:r>
      <w:r>
        <w:rPr>
          <w:rFonts w:ascii="Times New Roman" w:hAnsi="Times New Roman" w:cs="Times New Roman"/>
          <w:color w:val="auto"/>
          <w:sz w:val="44"/>
          <w:szCs w:val="44"/>
          <w:highlight w:val="none"/>
        </w:rPr>
        <w:t xml:space="preserve"> </w:t>
      </w:r>
      <w:r>
        <w:rPr>
          <w:rFonts w:ascii="Times New Roman" w:hAnsi="Times New Roman" w:cs="Times New Roman"/>
          <w:color w:val="auto"/>
          <w:sz w:val="24"/>
          <w:highlight w:val="none"/>
        </w:rPr>
        <w:t>GNSS天线周边应不存在大功率的微波发射天线、高压输电电缆以及电视发射塔的发射天线等电磁干扰源，干扰功率不应超过-90dBm</w:t>
      </w:r>
      <w:r>
        <w:rPr>
          <w:rFonts w:hint="eastAsia" w:ascii="Times New Roman" w:hAnsi="Times New Roman" w:cs="Times New Roman"/>
          <w:color w:val="auto"/>
          <w:sz w:val="24"/>
          <w:highlight w:val="none"/>
          <w:lang w:eastAsia="zh-CN"/>
        </w:rPr>
        <w:t>；</w:t>
      </w:r>
    </w:p>
    <w:p w14:paraId="4B79B5A6">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6</w:t>
      </w:r>
      <w:r>
        <w:rPr>
          <w:rFonts w:ascii="Times New Roman" w:hAnsi="Times New Roman" w:cs="Times New Roman"/>
          <w:color w:val="auto"/>
          <w:sz w:val="44"/>
          <w:szCs w:val="44"/>
          <w:highlight w:val="none"/>
        </w:rPr>
        <w:t xml:space="preserve"> </w:t>
      </w:r>
      <w:r>
        <w:rPr>
          <w:rFonts w:ascii="Times New Roman" w:hAnsi="Times New Roman" w:cs="Times New Roman"/>
          <w:color w:val="auto"/>
          <w:sz w:val="24"/>
          <w:highlight w:val="none"/>
        </w:rPr>
        <w:t>GNSS接收机的信号必须保证同时稳定接收4颗星（含）以上并且每颗星的信噪比</w:t>
      </w:r>
      <w:r>
        <w:rPr>
          <w:rFonts w:hint="eastAsia" w:ascii="Times New Roman" w:hAnsi="Times New Roman" w:cs="Times New Roman"/>
          <w:color w:val="auto"/>
          <w:sz w:val="24"/>
          <w:highlight w:val="none"/>
        </w:rPr>
        <w:t>应</w:t>
      </w:r>
      <w:r>
        <w:rPr>
          <w:rFonts w:ascii="Times New Roman" w:hAnsi="Times New Roman" w:cs="Times New Roman"/>
          <w:color w:val="auto"/>
          <w:sz w:val="24"/>
          <w:highlight w:val="none"/>
        </w:rPr>
        <w:t>大于40dB</w:t>
      </w:r>
      <w:r>
        <w:rPr>
          <w:rFonts w:hint="eastAsia" w:ascii="Times New Roman" w:hAnsi="Times New Roman" w:cs="Times New Roman"/>
          <w:color w:val="auto"/>
          <w:sz w:val="24"/>
          <w:highlight w:val="none"/>
          <w:lang w:eastAsia="zh-CN"/>
        </w:rPr>
        <w:t>；</w:t>
      </w:r>
    </w:p>
    <w:p w14:paraId="7C02129B">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7</w:t>
      </w:r>
      <w:r>
        <w:rPr>
          <w:rFonts w:ascii="Times New Roman" w:hAnsi="Times New Roman" w:cs="Times New Roman"/>
          <w:color w:val="auto"/>
          <w:sz w:val="44"/>
          <w:szCs w:val="44"/>
          <w:highlight w:val="none"/>
        </w:rPr>
        <w:t xml:space="preserve"> </w:t>
      </w:r>
      <w:r>
        <w:rPr>
          <w:rFonts w:ascii="Times New Roman" w:hAnsi="Times New Roman" w:cs="Times New Roman"/>
          <w:color w:val="auto"/>
          <w:sz w:val="24"/>
          <w:highlight w:val="none"/>
        </w:rPr>
        <w:t>GNSS天线安装增加多个天线同时放置时，天线间距应符合设计要求</w:t>
      </w:r>
      <w:r>
        <w:rPr>
          <w:rFonts w:hint="eastAsia" w:ascii="Times New Roman" w:hAnsi="Times New Roman" w:cs="Times New Roman"/>
          <w:color w:val="auto"/>
          <w:sz w:val="24"/>
          <w:highlight w:val="none"/>
          <w:lang w:eastAsia="zh-CN"/>
        </w:rPr>
        <w:t>；</w:t>
      </w:r>
    </w:p>
    <w:p w14:paraId="11A6CE7C">
      <w:pPr>
        <w:spacing w:line="360" w:lineRule="auto"/>
        <w:ind w:firstLine="480" w:firstLineChars="200"/>
        <w:rPr>
          <w:rFonts w:hint="eastAsia"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lang w:val="en-US" w:eastAsia="zh-CN"/>
        </w:rPr>
        <w:t>8</w:t>
      </w:r>
      <w:r>
        <w:rPr>
          <w:rFonts w:ascii="Times New Roman" w:hAnsi="Times New Roman" w:cs="Times New Roman"/>
          <w:color w:val="auto"/>
          <w:sz w:val="44"/>
          <w:szCs w:val="44"/>
          <w:highlight w:val="none"/>
        </w:rPr>
        <w:t xml:space="preserve"> </w:t>
      </w:r>
      <w:r>
        <w:rPr>
          <w:rFonts w:ascii="Times New Roman" w:hAnsi="Times New Roman" w:cs="Times New Roman"/>
          <w:color w:val="auto"/>
          <w:sz w:val="24"/>
          <w:highlight w:val="none"/>
        </w:rPr>
        <w:t>GNSS天馈线缆应与抱杆固定，宜采用黑色防紫外线扎带进行固定，扎带头的朝向应一致，扎带的间距应均匀，所有线扣必须齐根剪平不拉尖</w:t>
      </w:r>
      <w:r>
        <w:rPr>
          <w:rFonts w:hint="eastAsia" w:ascii="Times New Roman" w:hAnsi="Times New Roman" w:cs="Times New Roman"/>
          <w:color w:val="auto"/>
          <w:sz w:val="24"/>
          <w:highlight w:val="none"/>
          <w:lang w:eastAsia="zh-CN"/>
        </w:rPr>
        <w:t>，</w:t>
      </w:r>
      <w:r>
        <w:rPr>
          <w:rFonts w:ascii="Times New Roman" w:hAnsi="Times New Roman" w:cs="Times New Roman"/>
          <w:color w:val="auto"/>
          <w:sz w:val="24"/>
          <w:highlight w:val="none"/>
        </w:rPr>
        <w:t>馈线从室外进入室内前需做</w:t>
      </w: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滴水弯</w:t>
      </w:r>
      <w:r>
        <w:rPr>
          <w:rFonts w:hint="eastAsia" w:ascii="Times New Roman" w:hAnsi="Times New Roman" w:cs="Times New Roman"/>
          <w:color w:val="auto"/>
          <w:sz w:val="24"/>
          <w:highlight w:val="none"/>
        </w:rPr>
        <w:t>”，穿墙孔应做防鼠和防火封堵</w:t>
      </w:r>
      <w:r>
        <w:rPr>
          <w:rFonts w:hint="eastAsia" w:ascii="Times New Roman" w:hAnsi="Times New Roman" w:cs="Times New Roman"/>
          <w:color w:val="auto"/>
          <w:sz w:val="24"/>
          <w:highlight w:val="none"/>
          <w:lang w:eastAsia="zh-CN"/>
        </w:rPr>
        <w:t>；</w:t>
      </w:r>
    </w:p>
    <w:p w14:paraId="7F4781B5">
      <w:pPr>
        <w:spacing w:line="360" w:lineRule="auto"/>
        <w:ind w:firstLine="480" w:firstLineChars="200"/>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9</w:t>
      </w:r>
      <w:r>
        <w:rPr>
          <w:rFonts w:ascii="Times New Roman" w:hAnsi="Times New Roman" w:cs="Times New Roman"/>
          <w:color w:val="auto"/>
          <w:sz w:val="44"/>
          <w:szCs w:val="44"/>
          <w:highlight w:val="none"/>
        </w:rPr>
        <w:t xml:space="preserve"> </w:t>
      </w:r>
      <w:r>
        <w:rPr>
          <w:rFonts w:hint="eastAsia" w:ascii="Times New Roman" w:hAnsi="Times New Roman" w:cs="Times New Roman"/>
          <w:color w:val="auto"/>
          <w:sz w:val="24"/>
          <w:highlight w:val="none"/>
          <w:lang w:val="en-US" w:eastAsia="zh-CN"/>
        </w:rPr>
        <w:t>GNSS天线支架和馈线应接地。</w:t>
      </w:r>
    </w:p>
    <w:p w14:paraId="4A3C80BB">
      <w:pPr>
        <w:spacing w:line="360" w:lineRule="auto"/>
        <w:ind w:firstLine="240" w:firstLineChars="100"/>
        <w:rPr>
          <w:rFonts w:ascii="Times New Roman" w:hAnsi="Times New Roman" w:cs="Times New Roman"/>
          <w:color w:val="auto"/>
          <w:sz w:val="24"/>
          <w:highlight w:val="none"/>
        </w:rPr>
      </w:pPr>
      <w:r>
        <w:rPr>
          <w:rFonts w:ascii="Times New Roman" w:hAnsi="Times New Roman" w:cs="Times New Roman"/>
          <w:color w:val="auto"/>
          <w:sz w:val="24"/>
          <w:highlight w:val="none"/>
        </w:rPr>
        <w:br w:type="page"/>
      </w:r>
    </w:p>
    <w:p w14:paraId="18A62D1C">
      <w:pPr>
        <w:pStyle w:val="3"/>
        <w:ind w:firstLine="482"/>
        <w:rPr>
          <w:color w:val="auto"/>
          <w:highlight w:val="none"/>
        </w:rPr>
      </w:pPr>
      <w:bookmarkStart w:id="108" w:name="_Toc21349"/>
      <w:bookmarkStart w:id="109" w:name="_Toc6395"/>
      <w:bookmarkStart w:id="110" w:name="_Toc180960188"/>
      <w:r>
        <w:rPr>
          <w:color w:val="auto"/>
          <w:highlight w:val="none"/>
        </w:rPr>
        <w:t>4.4 接地装置检测</w:t>
      </w:r>
      <w:bookmarkEnd w:id="108"/>
      <w:bookmarkEnd w:id="109"/>
      <w:bookmarkEnd w:id="110"/>
    </w:p>
    <w:p w14:paraId="5325AAB4">
      <w:pPr>
        <w:spacing w:line="360" w:lineRule="auto"/>
        <w:outlineLvl w:val="2"/>
        <w:rPr>
          <w:rFonts w:ascii="Times New Roman" w:hAnsi="Times New Roman" w:cs="Times New Roman"/>
          <w:color w:val="auto"/>
          <w:sz w:val="24"/>
          <w:highlight w:val="none"/>
        </w:rPr>
      </w:pPr>
      <w:bookmarkStart w:id="111" w:name="_Toc4603"/>
      <w:bookmarkStart w:id="112" w:name="_Toc19273"/>
      <w:bookmarkStart w:id="113" w:name="_Toc178019883"/>
      <w:bookmarkStart w:id="114" w:name="_Toc29189"/>
      <w:bookmarkStart w:id="115" w:name="_Toc178108393"/>
      <w:bookmarkStart w:id="116" w:name="_Toc178020261"/>
      <w:bookmarkStart w:id="117" w:name="_Toc180960189"/>
      <w:r>
        <w:rPr>
          <w:rFonts w:ascii="Times New Roman" w:hAnsi="Times New Roman" w:cs="Times New Roman"/>
          <w:color w:val="auto"/>
          <w:sz w:val="24"/>
          <w:highlight w:val="none"/>
        </w:rPr>
        <w:t>4.4.1 用接地电阻测试仪测试系统接地电阻，应符合设计要求。设备保护地、馈线、天线支撑件的接地点应分别采用各自的接线排。独立的防雷保护接地电阻应不大于</w:t>
      </w:r>
      <w:r>
        <w:rPr>
          <w:rFonts w:hint="eastAsia" w:ascii="Times New Roman" w:hAnsi="Times New Roman" w:cs="Times New Roman"/>
          <w:color w:val="auto"/>
          <w:sz w:val="24"/>
          <w:highlight w:val="none"/>
        </w:rPr>
        <w:t>10</w:t>
      </w:r>
      <w:r>
        <w:rPr>
          <w:rFonts w:ascii="Times New Roman" w:hAnsi="Times New Roman" w:cs="Times New Roman"/>
          <w:color w:val="auto"/>
          <w:sz w:val="24"/>
          <w:highlight w:val="none"/>
        </w:rPr>
        <w:t>Ω；共用接地体（联合接地）接地电阻应不大于1Ω。</w:t>
      </w:r>
      <w:bookmarkEnd w:id="111"/>
      <w:bookmarkEnd w:id="112"/>
      <w:bookmarkEnd w:id="113"/>
      <w:bookmarkEnd w:id="114"/>
      <w:bookmarkEnd w:id="115"/>
      <w:bookmarkEnd w:id="116"/>
      <w:bookmarkEnd w:id="117"/>
    </w:p>
    <w:p w14:paraId="1ED6AA93">
      <w:pPr>
        <w:spacing w:line="360" w:lineRule="auto"/>
        <w:outlineLvl w:val="2"/>
        <w:rPr>
          <w:rFonts w:ascii="Times New Roman" w:hAnsi="Times New Roman" w:cs="Times New Roman"/>
          <w:color w:val="auto"/>
          <w:sz w:val="24"/>
          <w:highlight w:val="none"/>
        </w:rPr>
      </w:pPr>
      <w:bookmarkStart w:id="118" w:name="_Toc178108394"/>
      <w:bookmarkStart w:id="119" w:name="_Toc21702"/>
      <w:bookmarkStart w:id="120" w:name="_Toc178019884"/>
      <w:bookmarkStart w:id="121" w:name="_Toc178020262"/>
      <w:bookmarkStart w:id="122" w:name="_Toc16359"/>
      <w:bookmarkStart w:id="123" w:name="_Toc19645"/>
      <w:bookmarkStart w:id="124" w:name="_Toc180960190"/>
      <w:r>
        <w:rPr>
          <w:rFonts w:ascii="Times New Roman" w:hAnsi="Times New Roman" w:cs="Times New Roman"/>
          <w:color w:val="auto"/>
          <w:sz w:val="24"/>
          <w:highlight w:val="none"/>
        </w:rPr>
        <w:t>4.4.2 接地装置的材料、规格、数量和安装方式应符合设计要求</w:t>
      </w: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接地装置应与建筑接地系统连接牢固、可靠。</w:t>
      </w:r>
      <w:bookmarkEnd w:id="118"/>
      <w:bookmarkEnd w:id="119"/>
      <w:bookmarkEnd w:id="120"/>
      <w:bookmarkEnd w:id="121"/>
      <w:bookmarkEnd w:id="122"/>
      <w:bookmarkEnd w:id="123"/>
      <w:bookmarkEnd w:id="124"/>
    </w:p>
    <w:p w14:paraId="071A5676">
      <w:pPr>
        <w:spacing w:line="360" w:lineRule="auto"/>
        <w:outlineLvl w:val="2"/>
        <w:rPr>
          <w:rFonts w:ascii="Times New Roman" w:hAnsi="Times New Roman" w:cs="Times New Roman"/>
          <w:color w:val="auto"/>
          <w:sz w:val="24"/>
          <w:highlight w:val="none"/>
        </w:rPr>
      </w:pPr>
      <w:bookmarkStart w:id="125" w:name="_Toc31282"/>
      <w:bookmarkStart w:id="126" w:name="_Toc178019885"/>
      <w:bookmarkStart w:id="127" w:name="_Toc178020263"/>
      <w:bookmarkStart w:id="128" w:name="_Toc180960191"/>
      <w:bookmarkStart w:id="129" w:name="_Toc12601"/>
      <w:bookmarkStart w:id="130" w:name="_Toc15920"/>
      <w:bookmarkStart w:id="131" w:name="_Toc178108395"/>
      <w:r>
        <w:rPr>
          <w:rFonts w:ascii="Times New Roman" w:hAnsi="Times New Roman" w:cs="Times New Roman"/>
          <w:color w:val="auto"/>
          <w:sz w:val="24"/>
          <w:highlight w:val="none"/>
        </w:rPr>
        <w:t>4.4.3</w:t>
      </w:r>
      <w:r>
        <w:rPr>
          <w:rFonts w:hint="eastAsia" w:ascii="Times New Roman" w:hAnsi="Times New Roman" w:cs="Times New Roman"/>
          <w:color w:val="auto"/>
          <w:sz w:val="24"/>
          <w:highlight w:val="none"/>
          <w:lang w:val="en-US" w:eastAsia="zh-CN"/>
        </w:rPr>
        <w:t xml:space="preserve"> </w:t>
      </w:r>
      <w:r>
        <w:rPr>
          <w:rFonts w:hint="eastAsia" w:ascii="Times New Roman" w:hAnsi="Times New Roman" w:cs="Times New Roman"/>
          <w:color w:val="auto"/>
          <w:sz w:val="24"/>
          <w:highlight w:val="none"/>
        </w:rPr>
        <w:t>信号源</w:t>
      </w:r>
      <w:r>
        <w:rPr>
          <w:rFonts w:ascii="Times New Roman" w:hAnsi="Times New Roman" w:cs="Times New Roman"/>
          <w:color w:val="auto"/>
          <w:sz w:val="24"/>
          <w:highlight w:val="none"/>
        </w:rPr>
        <w:t>等有源设备的接地，应利用机房建筑物的接地系统作为防雷和保护接地。</w:t>
      </w:r>
      <w:bookmarkEnd w:id="125"/>
      <w:bookmarkEnd w:id="126"/>
      <w:bookmarkEnd w:id="127"/>
      <w:bookmarkEnd w:id="128"/>
      <w:bookmarkEnd w:id="129"/>
      <w:bookmarkEnd w:id="130"/>
      <w:bookmarkEnd w:id="131"/>
    </w:p>
    <w:p w14:paraId="0132F0D9">
      <w:pPr>
        <w:spacing w:line="360" w:lineRule="auto"/>
        <w:outlineLvl w:val="2"/>
        <w:rPr>
          <w:rFonts w:ascii="Times New Roman" w:hAnsi="Times New Roman" w:cs="Times New Roman"/>
          <w:color w:val="auto"/>
          <w:sz w:val="24"/>
          <w:highlight w:val="none"/>
        </w:rPr>
      </w:pPr>
      <w:bookmarkStart w:id="132" w:name="_Toc178019886"/>
      <w:bookmarkStart w:id="133" w:name="_Toc17461"/>
      <w:bookmarkStart w:id="134" w:name="_Toc29365"/>
      <w:bookmarkStart w:id="135" w:name="_Toc180960192"/>
      <w:bookmarkStart w:id="136" w:name="_Toc25261"/>
      <w:bookmarkStart w:id="137" w:name="_Toc178108396"/>
      <w:bookmarkStart w:id="138" w:name="_Toc178020264"/>
      <w:r>
        <w:rPr>
          <w:rFonts w:ascii="Times New Roman" w:hAnsi="Times New Roman" w:cs="Times New Roman"/>
          <w:color w:val="auto"/>
          <w:sz w:val="24"/>
          <w:highlight w:val="none"/>
        </w:rPr>
        <w:t xml:space="preserve">4.4.4 </w:t>
      </w:r>
      <w:r>
        <w:rPr>
          <w:rFonts w:hint="eastAsia" w:ascii="Times New Roman" w:hAnsi="Times New Roman" w:cs="Times New Roman"/>
          <w:color w:val="auto"/>
          <w:sz w:val="24"/>
          <w:highlight w:val="none"/>
        </w:rPr>
        <w:t>信号</w:t>
      </w:r>
      <w:r>
        <w:rPr>
          <w:rFonts w:ascii="Times New Roman" w:hAnsi="Times New Roman" w:cs="Times New Roman"/>
          <w:color w:val="auto"/>
          <w:sz w:val="24"/>
          <w:highlight w:val="none"/>
        </w:rPr>
        <w:t>分布系统应设有电源保护地，电源保护地接电力部门或所在场所的电源保护地上。</w:t>
      </w:r>
      <w:bookmarkEnd w:id="132"/>
      <w:bookmarkEnd w:id="133"/>
      <w:bookmarkEnd w:id="134"/>
      <w:bookmarkEnd w:id="135"/>
      <w:bookmarkEnd w:id="136"/>
      <w:bookmarkEnd w:id="137"/>
      <w:bookmarkEnd w:id="138"/>
    </w:p>
    <w:p w14:paraId="35F3BFE4">
      <w:pPr>
        <w:spacing w:line="360" w:lineRule="auto"/>
        <w:outlineLvl w:val="2"/>
        <w:rPr>
          <w:rFonts w:ascii="Times New Roman" w:hAnsi="Times New Roman" w:cs="Times New Roman"/>
          <w:color w:val="auto"/>
          <w:sz w:val="24"/>
          <w:highlight w:val="none"/>
        </w:rPr>
      </w:pPr>
      <w:bookmarkStart w:id="139" w:name="_Toc178108397"/>
      <w:bookmarkStart w:id="140" w:name="_Toc27716"/>
      <w:bookmarkStart w:id="141" w:name="_Toc180960193"/>
      <w:bookmarkStart w:id="142" w:name="_Toc20857"/>
      <w:bookmarkStart w:id="143" w:name="_Toc9542"/>
      <w:bookmarkStart w:id="144" w:name="_Toc178019887"/>
      <w:bookmarkStart w:id="145" w:name="_Toc178020265"/>
      <w:r>
        <w:rPr>
          <w:rFonts w:ascii="Times New Roman" w:hAnsi="Times New Roman" w:cs="Times New Roman"/>
          <w:color w:val="auto"/>
          <w:sz w:val="24"/>
          <w:highlight w:val="none"/>
        </w:rPr>
        <w:t>4.4.5 所有接地线应用线码或扎带固定，固定间距为0.3m。所有室内地线不得接至室外天台、楼顶等避雷网上，馈线接地不得接于天线接头或跳接线接头上。所有避雷地、设备保护地不得接至自来水管、地下水管等非专用接地网上。</w:t>
      </w:r>
      <w:bookmarkEnd w:id="139"/>
      <w:bookmarkEnd w:id="140"/>
      <w:bookmarkEnd w:id="141"/>
      <w:bookmarkEnd w:id="142"/>
      <w:bookmarkEnd w:id="143"/>
      <w:bookmarkEnd w:id="144"/>
      <w:bookmarkEnd w:id="145"/>
    </w:p>
    <w:p w14:paraId="51BC16BA">
      <w:pPr>
        <w:spacing w:line="360" w:lineRule="auto"/>
        <w:ind w:firstLine="240" w:firstLineChars="100"/>
        <w:rPr>
          <w:rFonts w:ascii="Times New Roman" w:hAnsi="Times New Roman" w:cs="Times New Roman"/>
          <w:color w:val="auto"/>
          <w:sz w:val="24"/>
          <w:highlight w:val="none"/>
        </w:rPr>
      </w:pPr>
    </w:p>
    <w:p w14:paraId="0C41A3BD">
      <w:pPr>
        <w:pStyle w:val="3"/>
        <w:ind w:firstLine="482"/>
        <w:rPr>
          <w:color w:val="auto"/>
          <w:highlight w:val="none"/>
        </w:rPr>
      </w:pPr>
      <w:bookmarkStart w:id="146" w:name="_Toc772"/>
      <w:bookmarkStart w:id="147" w:name="_Toc24811"/>
      <w:bookmarkStart w:id="148" w:name="_Toc180960194"/>
      <w:r>
        <w:rPr>
          <w:color w:val="auto"/>
          <w:highlight w:val="none"/>
        </w:rPr>
        <w:t>4.5 机房环境检查</w:t>
      </w:r>
      <w:bookmarkEnd w:id="146"/>
      <w:bookmarkEnd w:id="147"/>
      <w:bookmarkEnd w:id="148"/>
    </w:p>
    <w:p w14:paraId="3FCDEFC9">
      <w:pPr>
        <w:spacing w:line="360" w:lineRule="auto"/>
        <w:outlineLvl w:val="2"/>
        <w:rPr>
          <w:rFonts w:ascii="Times New Roman" w:hAnsi="Times New Roman" w:cs="Times New Roman"/>
          <w:color w:val="auto"/>
          <w:sz w:val="24"/>
          <w:highlight w:val="none"/>
        </w:rPr>
      </w:pPr>
      <w:bookmarkStart w:id="149" w:name="_Toc178108399"/>
      <w:bookmarkStart w:id="150" w:name="_Toc178019889"/>
      <w:bookmarkStart w:id="151" w:name="_Toc26031"/>
      <w:bookmarkStart w:id="152" w:name="_Toc3399"/>
      <w:bookmarkStart w:id="153" w:name="_Toc178020267"/>
      <w:bookmarkStart w:id="154" w:name="_Toc28270"/>
      <w:bookmarkStart w:id="155" w:name="_Toc180960195"/>
      <w:r>
        <w:rPr>
          <w:rFonts w:ascii="Times New Roman" w:hAnsi="Times New Roman" w:cs="Times New Roman"/>
          <w:color w:val="auto"/>
          <w:sz w:val="24"/>
          <w:highlight w:val="none"/>
        </w:rPr>
        <w:t>4.5.1 机房使用面积应符合设计要求，应便于设备安装和维护。</w:t>
      </w:r>
      <w:bookmarkEnd w:id="149"/>
      <w:bookmarkEnd w:id="150"/>
      <w:bookmarkEnd w:id="151"/>
      <w:bookmarkEnd w:id="152"/>
      <w:bookmarkEnd w:id="153"/>
      <w:bookmarkEnd w:id="154"/>
      <w:bookmarkEnd w:id="155"/>
    </w:p>
    <w:p w14:paraId="402A2D82">
      <w:pPr>
        <w:spacing w:line="360" w:lineRule="auto"/>
        <w:outlineLvl w:val="2"/>
        <w:rPr>
          <w:rFonts w:ascii="Times New Roman" w:hAnsi="Times New Roman" w:cs="Times New Roman"/>
          <w:color w:val="auto"/>
          <w:sz w:val="24"/>
          <w:highlight w:val="none"/>
        </w:rPr>
      </w:pPr>
      <w:bookmarkStart w:id="156" w:name="_Toc7752"/>
      <w:bookmarkStart w:id="157" w:name="_Toc178020269"/>
      <w:bookmarkStart w:id="158" w:name="_Toc178019891"/>
      <w:bookmarkStart w:id="159" w:name="_Toc178108401"/>
      <w:bookmarkStart w:id="160" w:name="_Toc20866"/>
      <w:bookmarkStart w:id="161" w:name="_Toc10352"/>
      <w:bookmarkStart w:id="162" w:name="_Toc180960197"/>
      <w:r>
        <w:rPr>
          <w:rFonts w:ascii="Times New Roman" w:hAnsi="Times New Roman" w:cs="Times New Roman"/>
          <w:color w:val="auto"/>
          <w:sz w:val="24"/>
          <w:highlight w:val="none"/>
        </w:rPr>
        <w:t>4.5.</w:t>
      </w:r>
      <w:r>
        <w:rPr>
          <w:rFonts w:hint="eastAsia" w:ascii="Times New Roman" w:hAnsi="Times New Roman" w:cs="Times New Roman"/>
          <w:color w:val="auto"/>
          <w:sz w:val="24"/>
          <w:highlight w:val="none"/>
          <w:lang w:val="en-US" w:eastAsia="zh-CN"/>
        </w:rPr>
        <w:t>2</w:t>
      </w:r>
      <w:r>
        <w:rPr>
          <w:rFonts w:ascii="Times New Roman" w:hAnsi="Times New Roman" w:cs="Times New Roman"/>
          <w:color w:val="auto"/>
          <w:sz w:val="24"/>
          <w:highlight w:val="none"/>
        </w:rPr>
        <w:t xml:space="preserve"> 机房</w:t>
      </w:r>
      <w:r>
        <w:rPr>
          <w:rFonts w:hint="eastAsia" w:ascii="Times New Roman" w:hAnsi="Times New Roman" w:cs="Times New Roman"/>
          <w:color w:val="auto"/>
          <w:sz w:val="24"/>
          <w:highlight w:val="none"/>
          <w:lang w:val="en-US" w:eastAsia="zh-CN"/>
        </w:rPr>
        <w:t>应设置照明、</w:t>
      </w:r>
      <w:r>
        <w:rPr>
          <w:rFonts w:ascii="Times New Roman" w:hAnsi="Times New Roman" w:cs="Times New Roman"/>
          <w:color w:val="auto"/>
          <w:sz w:val="24"/>
          <w:highlight w:val="none"/>
        </w:rPr>
        <w:t>通风、空调和消防设施并能正常工作，室内温度</w:t>
      </w:r>
      <w:r>
        <w:rPr>
          <w:rFonts w:hint="eastAsia" w:ascii="Times New Roman" w:hAnsi="Times New Roman" w:cs="Times New Roman"/>
          <w:color w:val="auto"/>
          <w:sz w:val="24"/>
          <w:highlight w:val="none"/>
          <w:lang w:eastAsia="zh-CN"/>
        </w:rPr>
        <w:t>、</w:t>
      </w:r>
      <w:r>
        <w:rPr>
          <w:rFonts w:ascii="Times New Roman" w:hAnsi="Times New Roman" w:cs="Times New Roman"/>
          <w:color w:val="auto"/>
          <w:sz w:val="24"/>
          <w:highlight w:val="none"/>
        </w:rPr>
        <w:t>湿度</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照度</w:t>
      </w:r>
      <w:r>
        <w:rPr>
          <w:rFonts w:ascii="Times New Roman" w:hAnsi="Times New Roman" w:cs="Times New Roman"/>
          <w:color w:val="auto"/>
          <w:sz w:val="24"/>
          <w:highlight w:val="none"/>
        </w:rPr>
        <w:t>应满足设计要求</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宜设置环境监控系统</w:t>
      </w:r>
      <w:r>
        <w:rPr>
          <w:rFonts w:ascii="Times New Roman" w:hAnsi="Times New Roman" w:cs="Times New Roman"/>
          <w:color w:val="auto"/>
          <w:sz w:val="24"/>
          <w:highlight w:val="none"/>
        </w:rPr>
        <w:t>。</w:t>
      </w:r>
      <w:bookmarkEnd w:id="156"/>
      <w:bookmarkEnd w:id="157"/>
      <w:bookmarkEnd w:id="158"/>
      <w:bookmarkEnd w:id="159"/>
      <w:bookmarkEnd w:id="160"/>
      <w:bookmarkEnd w:id="161"/>
      <w:bookmarkEnd w:id="162"/>
    </w:p>
    <w:p w14:paraId="4163F5A9">
      <w:pPr>
        <w:spacing w:line="360" w:lineRule="auto"/>
        <w:outlineLvl w:val="2"/>
        <w:rPr>
          <w:rFonts w:ascii="Times New Roman" w:hAnsi="Times New Roman" w:cs="Times New Roman"/>
          <w:color w:val="auto"/>
          <w:sz w:val="24"/>
          <w:highlight w:val="none"/>
        </w:rPr>
      </w:pPr>
      <w:bookmarkStart w:id="163" w:name="_Toc178108402"/>
      <w:bookmarkStart w:id="164" w:name="_Toc30482"/>
      <w:bookmarkStart w:id="165" w:name="_Toc178019892"/>
      <w:bookmarkStart w:id="166" w:name="_Toc16453"/>
      <w:bookmarkStart w:id="167" w:name="_Toc178020270"/>
      <w:bookmarkStart w:id="168" w:name="_Toc30327"/>
      <w:bookmarkStart w:id="169" w:name="_Toc180960198"/>
      <w:r>
        <w:rPr>
          <w:rFonts w:ascii="Times New Roman" w:hAnsi="Times New Roman" w:cs="Times New Roman"/>
          <w:color w:val="auto"/>
          <w:sz w:val="24"/>
          <w:highlight w:val="none"/>
        </w:rPr>
        <w:t>4.5.</w:t>
      </w:r>
      <w:r>
        <w:rPr>
          <w:rFonts w:hint="eastAsia" w:ascii="Times New Roman" w:hAnsi="Times New Roman" w:cs="Times New Roman"/>
          <w:color w:val="auto"/>
          <w:sz w:val="24"/>
          <w:highlight w:val="none"/>
          <w:lang w:val="en-US" w:eastAsia="zh-CN"/>
        </w:rPr>
        <w:t>3</w:t>
      </w:r>
      <w:r>
        <w:rPr>
          <w:rFonts w:ascii="Times New Roman" w:hAnsi="Times New Roman" w:cs="Times New Roman"/>
          <w:color w:val="auto"/>
          <w:sz w:val="24"/>
          <w:highlight w:val="none"/>
        </w:rPr>
        <w:t xml:space="preserve"> 机房内防雷接地装置应符合本标准第4.</w:t>
      </w:r>
      <w:r>
        <w:rPr>
          <w:rFonts w:hint="eastAsia" w:ascii="Times New Roman" w:hAnsi="Times New Roman" w:cs="Times New Roman"/>
          <w:color w:val="auto"/>
          <w:sz w:val="24"/>
          <w:highlight w:val="none"/>
        </w:rPr>
        <w:t>4</w:t>
      </w:r>
      <w:r>
        <w:rPr>
          <w:rFonts w:hint="eastAsia" w:ascii="Times New Roman" w:hAnsi="Times New Roman" w:cs="Times New Roman"/>
          <w:color w:val="auto"/>
          <w:sz w:val="24"/>
          <w:highlight w:val="none"/>
          <w:lang w:val="en-US" w:eastAsia="zh-CN"/>
        </w:rPr>
        <w:t>节</w:t>
      </w:r>
      <w:r>
        <w:rPr>
          <w:rFonts w:ascii="Times New Roman" w:hAnsi="Times New Roman" w:cs="Times New Roman"/>
          <w:color w:val="auto"/>
          <w:sz w:val="24"/>
          <w:highlight w:val="none"/>
        </w:rPr>
        <w:t>的相关规定，应设置不少于两处接地排。</w:t>
      </w:r>
      <w:bookmarkEnd w:id="163"/>
      <w:bookmarkEnd w:id="164"/>
      <w:bookmarkEnd w:id="165"/>
      <w:bookmarkEnd w:id="166"/>
      <w:bookmarkEnd w:id="167"/>
      <w:bookmarkEnd w:id="168"/>
      <w:bookmarkEnd w:id="169"/>
    </w:p>
    <w:p w14:paraId="113CF1A7">
      <w:pPr>
        <w:spacing w:line="360" w:lineRule="auto"/>
        <w:outlineLvl w:val="2"/>
        <w:rPr>
          <w:rFonts w:hint="default" w:ascii="Times New Roman" w:hAnsi="Times New Roman" w:eastAsia="宋体" w:cs="Times New Roman"/>
          <w:color w:val="auto"/>
          <w:sz w:val="24"/>
          <w:highlight w:val="none"/>
          <w:lang w:val="en-US" w:eastAsia="zh-CN"/>
        </w:rPr>
      </w:pPr>
      <w:bookmarkStart w:id="170" w:name="_Toc9219"/>
      <w:r>
        <w:rPr>
          <w:rFonts w:hint="eastAsia" w:ascii="Times New Roman" w:hAnsi="Times New Roman" w:cs="Times New Roman"/>
          <w:color w:val="auto"/>
          <w:sz w:val="24"/>
          <w:highlight w:val="none"/>
          <w:lang w:val="en-US" w:eastAsia="zh-CN"/>
        </w:rPr>
        <w:t>4.5.4 机房的供电电源系统应满足设计要求，备用电源应符合《通信用交流不间断电源（UPS）》YD/T1095的有关规定。</w:t>
      </w:r>
      <w:bookmarkEnd w:id="170"/>
    </w:p>
    <w:p w14:paraId="1911F477">
      <w:pPr>
        <w:spacing w:line="360" w:lineRule="auto"/>
        <w:outlineLvl w:val="2"/>
        <w:rPr>
          <w:rFonts w:ascii="Times New Roman" w:hAnsi="Times New Roman" w:cs="Times New Roman"/>
          <w:color w:val="auto"/>
          <w:sz w:val="24"/>
          <w:highlight w:val="none"/>
        </w:rPr>
      </w:pPr>
      <w:bookmarkStart w:id="171" w:name="_Toc178108403"/>
      <w:bookmarkStart w:id="172" w:name="_Toc180960199"/>
      <w:bookmarkStart w:id="173" w:name="_Toc2970"/>
      <w:bookmarkStart w:id="174" w:name="_Toc178019893"/>
      <w:bookmarkStart w:id="175" w:name="_Toc1463"/>
      <w:bookmarkStart w:id="176" w:name="_Toc178020271"/>
      <w:bookmarkStart w:id="177" w:name="_Toc12804"/>
      <w:r>
        <w:rPr>
          <w:rFonts w:ascii="Times New Roman" w:hAnsi="Times New Roman" w:cs="Times New Roman"/>
          <w:color w:val="auto"/>
          <w:sz w:val="24"/>
          <w:highlight w:val="none"/>
        </w:rPr>
        <w:t>4.5.</w:t>
      </w:r>
      <w:r>
        <w:rPr>
          <w:rFonts w:hint="eastAsia" w:ascii="Times New Roman" w:hAnsi="Times New Roman" w:cs="Times New Roman"/>
          <w:color w:val="auto"/>
          <w:sz w:val="24"/>
          <w:highlight w:val="none"/>
          <w:lang w:val="en-US" w:eastAsia="zh-CN"/>
        </w:rPr>
        <w:t>5</w:t>
      </w:r>
      <w:r>
        <w:rPr>
          <w:rFonts w:ascii="Times New Roman" w:hAnsi="Times New Roman" w:cs="Times New Roman"/>
          <w:color w:val="auto"/>
          <w:sz w:val="24"/>
          <w:highlight w:val="none"/>
        </w:rPr>
        <w:t xml:space="preserve"> 机房不应设置在高温、散发有害气体、较多烟雾、粉尘、有害物质、易燃、易爆及重污染等场所中或与上述场所相邻。</w:t>
      </w:r>
      <w:bookmarkEnd w:id="171"/>
      <w:bookmarkEnd w:id="172"/>
      <w:bookmarkEnd w:id="173"/>
      <w:bookmarkEnd w:id="174"/>
      <w:bookmarkEnd w:id="175"/>
      <w:bookmarkEnd w:id="176"/>
      <w:bookmarkEnd w:id="177"/>
    </w:p>
    <w:p w14:paraId="4F585748">
      <w:pPr>
        <w:spacing w:line="360" w:lineRule="auto"/>
        <w:outlineLvl w:val="2"/>
        <w:rPr>
          <w:rFonts w:ascii="Times New Roman" w:hAnsi="Times New Roman" w:cs="Times New Roman"/>
          <w:color w:val="auto"/>
          <w:sz w:val="24"/>
          <w:highlight w:val="none"/>
        </w:rPr>
      </w:pPr>
      <w:bookmarkStart w:id="178" w:name="_Toc178108404"/>
      <w:bookmarkStart w:id="179" w:name="_Toc180960200"/>
      <w:bookmarkStart w:id="180" w:name="_Toc29391"/>
      <w:bookmarkStart w:id="181" w:name="_Toc178019894"/>
      <w:bookmarkStart w:id="182" w:name="_Toc22853"/>
      <w:bookmarkStart w:id="183" w:name="_Toc178020272"/>
      <w:bookmarkStart w:id="184" w:name="_Toc19258"/>
      <w:r>
        <w:rPr>
          <w:rFonts w:ascii="Times New Roman" w:hAnsi="Times New Roman" w:cs="Times New Roman"/>
          <w:color w:val="auto"/>
          <w:sz w:val="24"/>
          <w:highlight w:val="none"/>
        </w:rPr>
        <w:t>4.5.</w:t>
      </w:r>
      <w:r>
        <w:rPr>
          <w:rFonts w:hint="eastAsia" w:ascii="Times New Roman" w:hAnsi="Times New Roman" w:cs="Times New Roman"/>
          <w:color w:val="auto"/>
          <w:sz w:val="24"/>
          <w:highlight w:val="none"/>
          <w:lang w:val="en-US" w:eastAsia="zh-CN"/>
        </w:rPr>
        <w:t>6</w:t>
      </w:r>
      <w:r>
        <w:rPr>
          <w:rFonts w:ascii="Times New Roman" w:hAnsi="Times New Roman" w:cs="Times New Roman"/>
          <w:color w:val="auto"/>
          <w:sz w:val="24"/>
          <w:highlight w:val="none"/>
        </w:rPr>
        <w:t xml:space="preserve"> 机房应采取防水淹和防结露的技术措施，不应设置在易产生积水房间的正下方或贴邻设置。</w:t>
      </w:r>
      <w:bookmarkEnd w:id="178"/>
      <w:bookmarkEnd w:id="179"/>
      <w:bookmarkEnd w:id="180"/>
      <w:bookmarkEnd w:id="181"/>
      <w:bookmarkEnd w:id="182"/>
      <w:bookmarkEnd w:id="183"/>
      <w:bookmarkEnd w:id="184"/>
    </w:p>
    <w:p w14:paraId="641C84D2">
      <w:pPr>
        <w:spacing w:line="360" w:lineRule="auto"/>
        <w:outlineLvl w:val="2"/>
        <w:rPr>
          <w:rFonts w:ascii="Times New Roman" w:hAnsi="Times New Roman" w:cs="Times New Roman"/>
          <w:color w:val="auto"/>
          <w:sz w:val="24"/>
          <w:highlight w:val="none"/>
        </w:rPr>
      </w:pPr>
      <w:bookmarkStart w:id="185" w:name="_Toc178019895"/>
      <w:bookmarkStart w:id="186" w:name="_Toc180960201"/>
      <w:bookmarkStart w:id="187" w:name="_Toc178020273"/>
      <w:bookmarkStart w:id="188" w:name="_Toc178108405"/>
      <w:bookmarkStart w:id="189" w:name="_Toc28706"/>
      <w:bookmarkStart w:id="190" w:name="_Toc7305"/>
      <w:bookmarkStart w:id="191" w:name="_Toc6158"/>
      <w:r>
        <w:rPr>
          <w:rFonts w:ascii="Times New Roman" w:hAnsi="Times New Roman" w:cs="Times New Roman"/>
          <w:color w:val="auto"/>
          <w:sz w:val="24"/>
          <w:highlight w:val="none"/>
        </w:rPr>
        <w:t>4.5.</w:t>
      </w:r>
      <w:r>
        <w:rPr>
          <w:rFonts w:hint="eastAsia" w:ascii="Times New Roman" w:hAnsi="Times New Roman" w:cs="Times New Roman"/>
          <w:color w:val="auto"/>
          <w:sz w:val="24"/>
          <w:highlight w:val="none"/>
          <w:lang w:val="en-US" w:eastAsia="zh-CN"/>
        </w:rPr>
        <w:t>7</w:t>
      </w:r>
      <w:r>
        <w:rPr>
          <w:rFonts w:ascii="Times New Roman" w:hAnsi="Times New Roman" w:cs="Times New Roman"/>
          <w:color w:val="auto"/>
          <w:sz w:val="24"/>
          <w:highlight w:val="none"/>
        </w:rPr>
        <w:t xml:space="preserve"> 机房内严禁无关的管道穿越，机房不宜开设外窗。</w:t>
      </w:r>
      <w:bookmarkEnd w:id="185"/>
      <w:bookmarkEnd w:id="186"/>
      <w:bookmarkEnd w:id="187"/>
      <w:bookmarkEnd w:id="188"/>
      <w:bookmarkEnd w:id="189"/>
      <w:bookmarkEnd w:id="190"/>
      <w:bookmarkEnd w:id="191"/>
    </w:p>
    <w:p w14:paraId="5F5AB1BB">
      <w:pPr>
        <w:pStyle w:val="2"/>
        <w:rPr>
          <w:bCs/>
          <w:color w:val="auto"/>
          <w:highlight w:val="none"/>
        </w:rPr>
      </w:pPr>
      <w:bookmarkStart w:id="192" w:name="_Toc180960202"/>
      <w:bookmarkStart w:id="193" w:name="_Toc4219"/>
      <w:bookmarkStart w:id="194" w:name="_Toc17499"/>
      <w:r>
        <w:rPr>
          <w:color w:val="auto"/>
          <w:highlight w:val="none"/>
        </w:rPr>
        <w:t>5 系统组网</w:t>
      </w:r>
      <w:bookmarkEnd w:id="192"/>
      <w:bookmarkEnd w:id="193"/>
      <w:bookmarkEnd w:id="194"/>
    </w:p>
    <w:p w14:paraId="28B952BE">
      <w:pPr>
        <w:pStyle w:val="3"/>
        <w:ind w:firstLine="482"/>
        <w:rPr>
          <w:color w:val="auto"/>
          <w:highlight w:val="none"/>
        </w:rPr>
      </w:pPr>
      <w:bookmarkStart w:id="195" w:name="_Toc304"/>
      <w:bookmarkStart w:id="196" w:name="_Toc29617"/>
      <w:bookmarkStart w:id="197" w:name="_Toc180960203"/>
      <w:r>
        <w:rPr>
          <w:color w:val="auto"/>
          <w:highlight w:val="none"/>
        </w:rPr>
        <w:t>5.1 一般要求</w:t>
      </w:r>
      <w:bookmarkEnd w:id="195"/>
      <w:bookmarkEnd w:id="196"/>
      <w:bookmarkEnd w:id="197"/>
    </w:p>
    <w:p w14:paraId="680F1875">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5.1.1 组网检测</w:t>
      </w:r>
      <w:r>
        <w:rPr>
          <w:rFonts w:hint="eastAsia" w:ascii="Times New Roman" w:hAnsi="Times New Roman" w:cs="Times New Roman"/>
          <w:color w:val="auto"/>
          <w:sz w:val="24"/>
          <w:highlight w:val="none"/>
          <w:lang w:val="en-US" w:eastAsia="zh-CN"/>
        </w:rPr>
        <w:t>应</w:t>
      </w:r>
      <w:r>
        <w:rPr>
          <w:rFonts w:ascii="Times New Roman" w:hAnsi="Times New Roman" w:cs="Times New Roman"/>
          <w:color w:val="auto"/>
          <w:sz w:val="24"/>
          <w:highlight w:val="none"/>
        </w:rPr>
        <w:t>包括各网元间传输接口与介质、系统拓扑结构、系统组网能力</w:t>
      </w:r>
      <w:r>
        <w:rPr>
          <w:rFonts w:hint="eastAsia" w:ascii="Times New Roman" w:hAnsi="Times New Roman" w:cs="Times New Roman"/>
          <w:color w:val="auto"/>
          <w:sz w:val="24"/>
          <w:highlight w:val="none"/>
          <w:lang w:val="en-US" w:eastAsia="zh-CN"/>
        </w:rPr>
        <w:t>等</w:t>
      </w:r>
      <w:r>
        <w:rPr>
          <w:rFonts w:ascii="Times New Roman" w:hAnsi="Times New Roman" w:cs="Times New Roman"/>
          <w:color w:val="auto"/>
          <w:sz w:val="24"/>
          <w:highlight w:val="none"/>
        </w:rPr>
        <w:t>的检测。</w:t>
      </w:r>
    </w:p>
    <w:p w14:paraId="5870DF9E">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5.1.2 组网检测应符合国家现行标准《射频馈入数字分布系统设备测试方法》YD/T 3638、《基带馈入数字分布系统设备测试方法》YD/T 3636、《5G数字化室内分布系统测试方法》YD/T 4010、《5G多模数字化室内分布系统测试方法》YD/T 4553 的有关规定。</w:t>
      </w:r>
    </w:p>
    <w:p w14:paraId="7A5A27B1">
      <w:pPr>
        <w:widowControl/>
        <w:spacing w:line="360" w:lineRule="auto"/>
        <w:rPr>
          <w:rFonts w:ascii="Times New Roman" w:hAnsi="Times New Roman" w:cs="Times New Roman"/>
          <w:color w:val="auto"/>
          <w:kern w:val="0"/>
          <w:sz w:val="24"/>
          <w:highlight w:val="none"/>
          <w:lang w:bidi="ar"/>
        </w:rPr>
      </w:pPr>
      <w:r>
        <w:rPr>
          <w:rFonts w:ascii="Times New Roman" w:hAnsi="Times New Roman" w:cs="Times New Roman"/>
          <w:color w:val="auto"/>
          <w:sz w:val="24"/>
          <w:highlight w:val="none"/>
        </w:rPr>
        <w:t>5.1.3 组网检测应按信源设备不低于10%的数量抽检，抽检区域应覆盖轨道区间和站点。</w:t>
      </w:r>
      <w:r>
        <w:rPr>
          <w:rFonts w:ascii="Times New Roman" w:hAnsi="Times New Roman" w:cs="Times New Roman"/>
          <w:color w:val="auto"/>
          <w:kern w:val="0"/>
          <w:sz w:val="24"/>
          <w:highlight w:val="none"/>
          <w:lang w:bidi="ar"/>
        </w:rPr>
        <w:t>各项指标符合设计要求，则被检项目检测结果判为合格；被检项目的合格率为100％，则</w:t>
      </w:r>
      <w:r>
        <w:rPr>
          <w:rFonts w:ascii="Times New Roman" w:hAnsi="Times New Roman" w:cs="Times New Roman"/>
          <w:color w:val="auto"/>
          <w:sz w:val="24"/>
          <w:highlight w:val="none"/>
        </w:rPr>
        <w:t>系统组网检测</w:t>
      </w:r>
      <w:r>
        <w:rPr>
          <w:rFonts w:ascii="Times New Roman" w:hAnsi="Times New Roman" w:cs="Times New Roman"/>
          <w:color w:val="auto"/>
          <w:kern w:val="0"/>
          <w:sz w:val="24"/>
          <w:highlight w:val="none"/>
          <w:lang w:bidi="ar"/>
        </w:rPr>
        <w:t>判为合格。</w:t>
      </w:r>
    </w:p>
    <w:p w14:paraId="3242FE8C">
      <w:pPr>
        <w:pStyle w:val="3"/>
        <w:ind w:firstLine="482"/>
        <w:rPr>
          <w:color w:val="auto"/>
          <w:highlight w:val="none"/>
        </w:rPr>
      </w:pPr>
      <w:bookmarkStart w:id="198" w:name="_Toc180960204"/>
      <w:bookmarkStart w:id="199" w:name="_Toc21092"/>
      <w:bookmarkStart w:id="200" w:name="_Toc5536"/>
      <w:r>
        <w:rPr>
          <w:color w:val="auto"/>
          <w:highlight w:val="none"/>
        </w:rPr>
        <w:t>5.2 各网元间传输接口与介质</w:t>
      </w:r>
      <w:bookmarkEnd w:id="198"/>
      <w:bookmarkEnd w:id="199"/>
      <w:bookmarkEnd w:id="200"/>
    </w:p>
    <w:p w14:paraId="62C8FA46">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5.2.1</w:t>
      </w:r>
      <w:r>
        <w:rPr>
          <w:rFonts w:hint="eastAsia" w:ascii="Times New Roman" w:hAnsi="Times New Roman" w:cs="Times New Roman"/>
          <w:color w:val="auto"/>
          <w:sz w:val="24"/>
          <w:highlight w:val="none"/>
          <w:lang w:val="en-US" w:eastAsia="zh-CN"/>
        </w:rPr>
        <w:t xml:space="preserve"> </w:t>
      </w:r>
      <w:r>
        <w:rPr>
          <w:rFonts w:ascii="Times New Roman" w:hAnsi="Times New Roman" w:cs="Times New Roman"/>
          <w:color w:val="auto"/>
          <w:sz w:val="24"/>
          <w:highlight w:val="none"/>
        </w:rPr>
        <w:t>各网元间传输接口与介质的检测应包括传输接口与介质的类型、速率、数量等的检测，检测前应</w:t>
      </w:r>
      <w:r>
        <w:rPr>
          <w:rFonts w:hint="eastAsia" w:ascii="Times New Roman" w:hAnsi="Times New Roman" w:cs="Times New Roman"/>
          <w:color w:val="auto"/>
          <w:sz w:val="24"/>
          <w:highlight w:val="none"/>
          <w:lang w:eastAsia="zh-CN"/>
        </w:rPr>
        <w:t>检查</w:t>
      </w:r>
      <w:r>
        <w:rPr>
          <w:rFonts w:ascii="Times New Roman" w:hAnsi="Times New Roman" w:cs="Times New Roman"/>
          <w:color w:val="auto"/>
          <w:sz w:val="24"/>
          <w:highlight w:val="none"/>
        </w:rPr>
        <w:t>网元设备及缆线性能检验报告，</w:t>
      </w:r>
      <w:r>
        <w:rPr>
          <w:rFonts w:hint="eastAsia" w:ascii="Times New Roman" w:hAnsi="Times New Roman" w:cs="Times New Roman"/>
          <w:color w:val="auto"/>
          <w:sz w:val="24"/>
          <w:highlight w:val="none"/>
          <w:lang w:eastAsia="zh-CN"/>
        </w:rPr>
        <w:t>检查</w:t>
      </w:r>
      <w:r>
        <w:rPr>
          <w:rFonts w:ascii="Times New Roman" w:hAnsi="Times New Roman" w:cs="Times New Roman"/>
          <w:color w:val="auto"/>
          <w:sz w:val="24"/>
          <w:highlight w:val="none"/>
        </w:rPr>
        <w:t>结果应符合设计要求。</w:t>
      </w:r>
    </w:p>
    <w:p w14:paraId="5A0B12AA">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5.2.2 对于</w:t>
      </w:r>
      <w:r>
        <w:rPr>
          <w:rFonts w:hint="eastAsia" w:ascii="Times New Roman" w:hAnsi="Times New Roman" w:cs="Times New Roman"/>
          <w:color w:val="auto"/>
          <w:sz w:val="24"/>
          <w:highlight w:val="none"/>
          <w:lang w:val="en-US" w:eastAsia="zh-CN"/>
        </w:rPr>
        <w:t>有源数字化</w:t>
      </w:r>
      <w:r>
        <w:rPr>
          <w:rFonts w:ascii="Times New Roman" w:hAnsi="Times New Roman" w:cs="Times New Roman"/>
          <w:color w:val="auto"/>
          <w:sz w:val="24"/>
          <w:highlight w:val="none"/>
        </w:rPr>
        <w:t>信号分布系统，各网元间传输接口与介质的检测应符合下列</w:t>
      </w:r>
      <w:r>
        <w:rPr>
          <w:rFonts w:hint="eastAsia" w:ascii="Times New Roman" w:hAnsi="Times New Roman" w:cs="Times New Roman"/>
          <w:color w:val="auto"/>
          <w:sz w:val="24"/>
          <w:highlight w:val="none"/>
          <w:lang w:eastAsia="zh-CN"/>
        </w:rPr>
        <w:t>要求</w:t>
      </w:r>
      <w:r>
        <w:rPr>
          <w:rFonts w:ascii="Times New Roman" w:hAnsi="Times New Roman" w:cs="Times New Roman"/>
          <w:color w:val="auto"/>
          <w:sz w:val="24"/>
          <w:highlight w:val="none"/>
        </w:rPr>
        <w:t>：</w:t>
      </w:r>
    </w:p>
    <w:p w14:paraId="0AAC642F">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1 基带单元与远端汇聚单元间传输接口的类型、速率以及传输介质应符合设计要求</w:t>
      </w:r>
      <w:r>
        <w:rPr>
          <w:rFonts w:hint="eastAsia" w:ascii="Times New Roman" w:hAnsi="Times New Roman" w:cs="Times New Roman"/>
          <w:color w:val="auto"/>
          <w:sz w:val="24"/>
          <w:highlight w:val="none"/>
          <w:lang w:eastAsia="zh-CN"/>
        </w:rPr>
        <w:t>；</w:t>
      </w:r>
    </w:p>
    <w:p w14:paraId="236777BF">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2 远端汇聚单元与</w:t>
      </w:r>
      <w:r>
        <w:rPr>
          <w:rFonts w:hint="eastAsia" w:ascii="Times New Roman" w:hAnsi="Times New Roman" w:cs="Times New Roman"/>
          <w:color w:val="auto"/>
          <w:sz w:val="24"/>
          <w:highlight w:val="none"/>
        </w:rPr>
        <w:t>无线射频</w:t>
      </w:r>
      <w:r>
        <w:rPr>
          <w:rFonts w:ascii="Times New Roman" w:hAnsi="Times New Roman" w:cs="Times New Roman"/>
          <w:color w:val="auto"/>
          <w:sz w:val="24"/>
          <w:highlight w:val="none"/>
        </w:rPr>
        <w:t>单元间的以太网接口或者光口的数量、速率以及传输介质应符合设计要求</w:t>
      </w:r>
      <w:r>
        <w:rPr>
          <w:rFonts w:hint="eastAsia" w:ascii="Times New Roman" w:hAnsi="Times New Roman" w:cs="Times New Roman"/>
          <w:color w:val="auto"/>
          <w:sz w:val="24"/>
          <w:highlight w:val="none"/>
          <w:lang w:eastAsia="zh-CN"/>
        </w:rPr>
        <w:t>；</w:t>
      </w:r>
    </w:p>
    <w:p w14:paraId="4A7E25EE">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3 </w:t>
      </w:r>
      <w:bookmarkStart w:id="201" w:name="OLE_LINK1"/>
      <w:r>
        <w:rPr>
          <w:rFonts w:hint="eastAsia" w:ascii="Times New Roman" w:hAnsi="Times New Roman" w:cs="Times New Roman"/>
          <w:color w:val="auto"/>
          <w:sz w:val="24"/>
          <w:highlight w:val="none"/>
        </w:rPr>
        <w:t>无线射频</w:t>
      </w:r>
      <w:r>
        <w:rPr>
          <w:rFonts w:ascii="Times New Roman" w:hAnsi="Times New Roman" w:cs="Times New Roman"/>
          <w:color w:val="auto"/>
          <w:sz w:val="24"/>
          <w:highlight w:val="none"/>
        </w:rPr>
        <w:t>单元</w:t>
      </w:r>
      <w:bookmarkEnd w:id="201"/>
      <w:r>
        <w:rPr>
          <w:rFonts w:ascii="Times New Roman" w:hAnsi="Times New Roman" w:cs="Times New Roman"/>
          <w:color w:val="auto"/>
          <w:sz w:val="24"/>
          <w:highlight w:val="none"/>
        </w:rPr>
        <w:t>的电接口或光口的数量、速率应符合设计要求。</w:t>
      </w:r>
    </w:p>
    <w:p w14:paraId="5A3AAFBD">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5.2.3 对于</w:t>
      </w:r>
      <w:r>
        <w:rPr>
          <w:rFonts w:hint="eastAsia" w:ascii="Times New Roman" w:hAnsi="Times New Roman" w:cs="Times New Roman"/>
          <w:color w:val="auto"/>
          <w:sz w:val="24"/>
          <w:highlight w:val="none"/>
          <w:lang w:val="en-US" w:eastAsia="zh-CN"/>
        </w:rPr>
        <w:t>无源信号分布系统，</w:t>
      </w:r>
      <w:r>
        <w:rPr>
          <w:rFonts w:ascii="Times New Roman" w:hAnsi="Times New Roman" w:cs="Times New Roman"/>
          <w:color w:val="auto"/>
          <w:sz w:val="24"/>
          <w:highlight w:val="none"/>
        </w:rPr>
        <w:t>各网元间传输接口与介质的检测</w:t>
      </w:r>
      <w:bookmarkStart w:id="202" w:name="OLE_LINK3"/>
      <w:r>
        <w:rPr>
          <w:rFonts w:ascii="Times New Roman" w:hAnsi="Times New Roman" w:cs="Times New Roman"/>
          <w:color w:val="auto"/>
          <w:sz w:val="24"/>
          <w:highlight w:val="none"/>
        </w:rPr>
        <w:t>应符合下列</w:t>
      </w:r>
      <w:r>
        <w:rPr>
          <w:rFonts w:hint="eastAsia" w:ascii="Times New Roman" w:hAnsi="Times New Roman" w:cs="Times New Roman"/>
          <w:color w:val="auto"/>
          <w:sz w:val="24"/>
          <w:highlight w:val="none"/>
          <w:lang w:eastAsia="zh-CN"/>
        </w:rPr>
        <w:t>要求</w:t>
      </w:r>
      <w:r>
        <w:rPr>
          <w:rFonts w:ascii="Times New Roman" w:hAnsi="Times New Roman" w:cs="Times New Roman"/>
          <w:color w:val="auto"/>
          <w:sz w:val="24"/>
          <w:highlight w:val="none"/>
        </w:rPr>
        <w:t>：</w:t>
      </w:r>
      <w:bookmarkEnd w:id="202"/>
    </w:p>
    <w:p w14:paraId="67252EAE">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1 基带单元与射频拉远单元间传输接口的类型、速率以及传输介质应符合设计要求</w:t>
      </w:r>
      <w:r>
        <w:rPr>
          <w:rFonts w:hint="eastAsia" w:ascii="Times New Roman" w:hAnsi="Times New Roman" w:cs="Times New Roman"/>
          <w:color w:val="auto"/>
          <w:sz w:val="24"/>
          <w:highlight w:val="none"/>
          <w:lang w:eastAsia="zh-CN"/>
        </w:rPr>
        <w:t>；</w:t>
      </w:r>
    </w:p>
    <w:p w14:paraId="0AD517AC">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2 射频拉远单元的电接口或光口的数量、速率应符合设计要求</w:t>
      </w:r>
      <w:r>
        <w:rPr>
          <w:rFonts w:hint="eastAsia" w:ascii="Times New Roman" w:hAnsi="Times New Roman" w:cs="Times New Roman"/>
          <w:color w:val="auto"/>
          <w:sz w:val="24"/>
          <w:highlight w:val="none"/>
          <w:lang w:eastAsia="zh-CN"/>
        </w:rPr>
        <w:t>；</w:t>
      </w:r>
    </w:p>
    <w:p w14:paraId="00FC2B07">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w:t>
      </w:r>
      <w:r>
        <w:rPr>
          <w:rFonts w:hint="eastAsia" w:ascii="Times New Roman" w:hAnsi="Times New Roman" w:cs="Times New Roman"/>
          <w:color w:val="auto"/>
          <w:sz w:val="56"/>
          <w:szCs w:val="56"/>
          <w:highlight w:val="none"/>
          <w:lang w:val="en-US" w:eastAsia="zh-CN"/>
        </w:rPr>
        <w:t xml:space="preserve"> </w:t>
      </w:r>
      <w:r>
        <w:rPr>
          <w:rFonts w:ascii="Times New Roman" w:hAnsi="Times New Roman" w:cs="Times New Roman"/>
          <w:color w:val="auto"/>
          <w:sz w:val="24"/>
          <w:highlight w:val="none"/>
        </w:rPr>
        <w:t>POI</w:t>
      </w:r>
      <w:r>
        <w:rPr>
          <w:rFonts w:hint="eastAsia" w:ascii="Times New Roman" w:hAnsi="Times New Roman" w:cs="Times New Roman"/>
          <w:color w:val="auto"/>
          <w:sz w:val="24"/>
          <w:highlight w:val="none"/>
        </w:rPr>
        <w:t>等设备器件的传输接口类型、数量</w:t>
      </w:r>
      <w:r>
        <w:rPr>
          <w:rFonts w:ascii="Times New Roman" w:hAnsi="Times New Roman" w:cs="Times New Roman"/>
          <w:color w:val="auto"/>
          <w:sz w:val="24"/>
          <w:highlight w:val="none"/>
        </w:rPr>
        <w:t>应符合设计要求。</w:t>
      </w:r>
    </w:p>
    <w:p w14:paraId="22F48F7F">
      <w:pPr>
        <w:pStyle w:val="3"/>
        <w:ind w:firstLine="482"/>
        <w:rPr>
          <w:color w:val="auto"/>
          <w:highlight w:val="none"/>
        </w:rPr>
      </w:pPr>
      <w:bookmarkStart w:id="203" w:name="_Toc180960205"/>
      <w:bookmarkStart w:id="204" w:name="_Toc27425"/>
      <w:bookmarkStart w:id="205" w:name="_Toc29456"/>
      <w:r>
        <w:rPr>
          <w:color w:val="auto"/>
          <w:highlight w:val="none"/>
        </w:rPr>
        <w:t>5.3 拓扑结构检测</w:t>
      </w:r>
      <w:bookmarkEnd w:id="203"/>
      <w:bookmarkEnd w:id="204"/>
      <w:bookmarkEnd w:id="205"/>
    </w:p>
    <w:p w14:paraId="5DBB91B8">
      <w:pPr>
        <w:spacing w:line="360" w:lineRule="auto"/>
        <w:rPr>
          <w:rFonts w:ascii="Times New Roman" w:hAnsi="Times New Roman" w:cs="Times New Roman"/>
          <w:bCs/>
          <w:color w:val="auto"/>
          <w:sz w:val="24"/>
          <w:highlight w:val="none"/>
        </w:rPr>
      </w:pPr>
      <w:r>
        <w:rPr>
          <w:rFonts w:ascii="Times New Roman" w:hAnsi="Times New Roman" w:cs="Times New Roman"/>
          <w:bCs/>
          <w:color w:val="auto"/>
          <w:sz w:val="24"/>
          <w:highlight w:val="none"/>
        </w:rPr>
        <w:t>5.3.1 拓扑结构检测</w:t>
      </w:r>
      <w:r>
        <w:rPr>
          <w:rFonts w:hint="eastAsia" w:ascii="Times New Roman" w:hAnsi="Times New Roman" w:cs="Times New Roman"/>
          <w:bCs/>
          <w:color w:val="auto"/>
          <w:sz w:val="24"/>
          <w:highlight w:val="none"/>
          <w:lang w:val="en-US" w:eastAsia="zh-CN"/>
        </w:rPr>
        <w:t>应</w:t>
      </w:r>
      <w:r>
        <w:rPr>
          <w:rFonts w:ascii="Times New Roman" w:hAnsi="Times New Roman" w:cs="Times New Roman"/>
          <w:bCs/>
          <w:color w:val="auto"/>
          <w:sz w:val="24"/>
          <w:highlight w:val="none"/>
        </w:rPr>
        <w:t>包括</w:t>
      </w:r>
      <w:bookmarkStart w:id="206" w:name="OLE_LINK2"/>
      <w:r>
        <w:rPr>
          <w:rFonts w:ascii="Times New Roman" w:hAnsi="Times New Roman" w:cs="Times New Roman"/>
          <w:color w:val="auto"/>
          <w:sz w:val="24"/>
          <w:highlight w:val="none"/>
        </w:rPr>
        <w:t>基带单元与远端汇聚单元</w:t>
      </w:r>
      <w:bookmarkEnd w:id="206"/>
      <w:r>
        <w:rPr>
          <w:rFonts w:ascii="Times New Roman" w:hAnsi="Times New Roman" w:cs="Times New Roman"/>
          <w:color w:val="auto"/>
          <w:sz w:val="24"/>
          <w:highlight w:val="none"/>
        </w:rPr>
        <w:t>、远端汇聚单元与</w:t>
      </w:r>
      <w:r>
        <w:rPr>
          <w:rFonts w:hint="eastAsia" w:ascii="Times New Roman" w:hAnsi="Times New Roman" w:cs="Times New Roman"/>
          <w:color w:val="auto"/>
          <w:sz w:val="24"/>
          <w:highlight w:val="none"/>
        </w:rPr>
        <w:t>无线射频</w:t>
      </w:r>
      <w:r>
        <w:rPr>
          <w:rFonts w:ascii="Times New Roman" w:hAnsi="Times New Roman" w:cs="Times New Roman"/>
          <w:color w:val="auto"/>
          <w:sz w:val="24"/>
          <w:highlight w:val="none"/>
        </w:rPr>
        <w:t>单元、基带单元与射频拉远单元、POI与天</w:t>
      </w:r>
      <w:r>
        <w:rPr>
          <w:rFonts w:hint="eastAsia" w:ascii="Times New Roman" w:hAnsi="Times New Roman" w:cs="Times New Roman"/>
          <w:color w:val="auto"/>
          <w:sz w:val="24"/>
          <w:highlight w:val="none"/>
        </w:rPr>
        <w:t>馈系统</w:t>
      </w:r>
      <w:r>
        <w:rPr>
          <w:rFonts w:ascii="Times New Roman" w:hAnsi="Times New Roman" w:cs="Times New Roman"/>
          <w:color w:val="auto"/>
          <w:sz w:val="24"/>
          <w:highlight w:val="none"/>
        </w:rPr>
        <w:t>的连接拓扑结构检测。</w:t>
      </w:r>
    </w:p>
    <w:p w14:paraId="25EDB088">
      <w:pPr>
        <w:spacing w:line="360" w:lineRule="auto"/>
        <w:rPr>
          <w:rFonts w:ascii="Times New Roman" w:hAnsi="Times New Roman" w:cs="Times New Roman"/>
          <w:color w:val="auto"/>
          <w:sz w:val="24"/>
          <w:highlight w:val="none"/>
        </w:rPr>
      </w:pPr>
      <w:r>
        <w:rPr>
          <w:rFonts w:ascii="Times New Roman" w:hAnsi="Times New Roman" w:cs="Times New Roman"/>
          <w:bCs/>
          <w:color w:val="auto"/>
          <w:sz w:val="24"/>
          <w:highlight w:val="none"/>
        </w:rPr>
        <w:t>5.3.2 对于</w:t>
      </w:r>
      <w:r>
        <w:rPr>
          <w:rFonts w:hint="eastAsia" w:ascii="Times New Roman" w:hAnsi="Times New Roman" w:cs="Times New Roman"/>
          <w:bCs/>
          <w:color w:val="auto"/>
          <w:sz w:val="24"/>
          <w:highlight w:val="none"/>
          <w:lang w:val="en-US" w:eastAsia="zh-CN"/>
        </w:rPr>
        <w:t>有源</w:t>
      </w:r>
      <w:r>
        <w:rPr>
          <w:rFonts w:ascii="Times New Roman" w:hAnsi="Times New Roman" w:cs="Times New Roman"/>
          <w:bCs/>
          <w:color w:val="auto"/>
          <w:sz w:val="24"/>
          <w:highlight w:val="none"/>
        </w:rPr>
        <w:t>数字化信号分布系统，</w:t>
      </w:r>
      <w:r>
        <w:rPr>
          <w:rFonts w:hint="eastAsia" w:ascii="Times New Roman" w:hAnsi="Times New Roman" w:cs="Times New Roman"/>
          <w:color w:val="auto"/>
          <w:sz w:val="24"/>
          <w:highlight w:val="none"/>
          <w:lang w:val="en-US" w:eastAsia="zh-CN"/>
        </w:rPr>
        <w:t>应</w:t>
      </w:r>
      <w:r>
        <w:rPr>
          <w:rFonts w:ascii="Times New Roman" w:hAnsi="Times New Roman" w:cs="Times New Roman"/>
          <w:color w:val="auto"/>
          <w:sz w:val="24"/>
          <w:highlight w:val="none"/>
        </w:rPr>
        <w:t>检测基带单元与远端汇聚单元、远端汇聚单元与</w:t>
      </w:r>
      <w:r>
        <w:rPr>
          <w:rFonts w:hint="eastAsia" w:ascii="Times New Roman" w:hAnsi="Times New Roman" w:cs="Times New Roman"/>
          <w:color w:val="auto"/>
          <w:sz w:val="24"/>
          <w:highlight w:val="none"/>
        </w:rPr>
        <w:t>无线射频</w:t>
      </w:r>
      <w:r>
        <w:rPr>
          <w:rFonts w:ascii="Times New Roman" w:hAnsi="Times New Roman" w:cs="Times New Roman"/>
          <w:color w:val="auto"/>
          <w:sz w:val="24"/>
          <w:highlight w:val="none"/>
        </w:rPr>
        <w:t>单元间的连接拓扑结构，检测结果应符合设计要求。</w:t>
      </w:r>
    </w:p>
    <w:p w14:paraId="0637BDA1">
      <w:pPr>
        <w:spacing w:line="360" w:lineRule="auto"/>
        <w:rPr>
          <w:rFonts w:ascii="Times New Roman" w:hAnsi="Times New Roman" w:cs="Times New Roman"/>
          <w:color w:val="auto"/>
          <w:sz w:val="24"/>
          <w:highlight w:val="none"/>
        </w:rPr>
      </w:pPr>
      <w:r>
        <w:rPr>
          <w:rFonts w:ascii="Times New Roman" w:hAnsi="Times New Roman" w:cs="Times New Roman"/>
          <w:bCs/>
          <w:color w:val="auto"/>
          <w:sz w:val="24"/>
          <w:highlight w:val="none"/>
        </w:rPr>
        <w:t>5.3.3 对于</w:t>
      </w:r>
      <w:r>
        <w:rPr>
          <w:rFonts w:hint="eastAsia" w:ascii="Times New Roman" w:hAnsi="Times New Roman" w:cs="Times New Roman"/>
          <w:color w:val="auto"/>
          <w:sz w:val="24"/>
          <w:highlight w:val="none"/>
          <w:lang w:val="en-US" w:eastAsia="zh-CN"/>
        </w:rPr>
        <w:t>无源</w:t>
      </w:r>
      <w:r>
        <w:rPr>
          <w:rFonts w:ascii="Times New Roman" w:hAnsi="Times New Roman" w:cs="Times New Roman"/>
          <w:bCs/>
          <w:color w:val="auto"/>
          <w:sz w:val="24"/>
          <w:highlight w:val="none"/>
        </w:rPr>
        <w:t>信号分布系统，</w:t>
      </w:r>
      <w:r>
        <w:rPr>
          <w:rFonts w:hint="eastAsia" w:ascii="Times New Roman" w:hAnsi="Times New Roman" w:cs="Times New Roman"/>
          <w:color w:val="auto"/>
          <w:sz w:val="24"/>
          <w:highlight w:val="none"/>
          <w:lang w:val="en-US" w:eastAsia="zh-CN"/>
        </w:rPr>
        <w:t>应</w:t>
      </w:r>
      <w:r>
        <w:rPr>
          <w:rFonts w:ascii="Times New Roman" w:hAnsi="Times New Roman" w:cs="Times New Roman"/>
          <w:color w:val="auto"/>
          <w:sz w:val="24"/>
          <w:highlight w:val="none"/>
        </w:rPr>
        <w:t>检测基带单元与射频拉远单元、POI与天</w:t>
      </w:r>
      <w:r>
        <w:rPr>
          <w:rFonts w:hint="eastAsia" w:ascii="Times New Roman" w:hAnsi="Times New Roman" w:cs="Times New Roman"/>
          <w:color w:val="auto"/>
          <w:sz w:val="24"/>
          <w:highlight w:val="none"/>
        </w:rPr>
        <w:t>馈系统</w:t>
      </w:r>
      <w:r>
        <w:rPr>
          <w:rFonts w:ascii="Times New Roman" w:hAnsi="Times New Roman" w:cs="Times New Roman"/>
          <w:color w:val="auto"/>
          <w:sz w:val="24"/>
          <w:highlight w:val="none"/>
        </w:rPr>
        <w:t>的连接拓扑结构，检测结果应符合设计要求。</w:t>
      </w:r>
    </w:p>
    <w:p w14:paraId="106A3DDE">
      <w:pPr>
        <w:pStyle w:val="3"/>
        <w:ind w:firstLine="482"/>
        <w:rPr>
          <w:color w:val="auto"/>
          <w:highlight w:val="none"/>
        </w:rPr>
      </w:pPr>
      <w:bookmarkStart w:id="207" w:name="_Toc24374"/>
      <w:bookmarkStart w:id="208" w:name="_Toc20876"/>
      <w:bookmarkStart w:id="209" w:name="_Toc180960206"/>
      <w:r>
        <w:rPr>
          <w:color w:val="auto"/>
          <w:highlight w:val="none"/>
        </w:rPr>
        <w:t>5.4 组网能力检测</w:t>
      </w:r>
      <w:bookmarkEnd w:id="207"/>
      <w:bookmarkEnd w:id="208"/>
      <w:bookmarkEnd w:id="209"/>
    </w:p>
    <w:p w14:paraId="2DA8FEC7">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5.4.1 组网能力检测</w:t>
      </w:r>
      <w:r>
        <w:rPr>
          <w:rFonts w:hint="eastAsia" w:ascii="Times New Roman" w:hAnsi="Times New Roman" w:cs="Times New Roman"/>
          <w:color w:val="auto"/>
          <w:sz w:val="24"/>
          <w:highlight w:val="none"/>
          <w:lang w:val="en-US" w:eastAsia="zh-CN"/>
        </w:rPr>
        <w:t>应</w:t>
      </w:r>
      <w:r>
        <w:rPr>
          <w:rFonts w:ascii="Times New Roman" w:hAnsi="Times New Roman" w:cs="Times New Roman"/>
          <w:color w:val="auto"/>
          <w:sz w:val="24"/>
          <w:highlight w:val="none"/>
        </w:rPr>
        <w:t>包括共小区能力、基带单元与远端汇聚单元的最远光纤拉远距离、无线射频单元POE供电拉远距离、无线射频单元光电复合缆供电拉远距离 、单基带单元支持的远端汇聚单元的最大能力、单基带单元支持的无线射频单元的最大能力、基带单元支持小区数量、汇聚单元级联的最大能力、单个远端汇聚单元支持的无线射频单元能力检测。</w:t>
      </w:r>
    </w:p>
    <w:p w14:paraId="581E74A2">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5.4.2 组网能力检测应符合下列</w:t>
      </w:r>
      <w:r>
        <w:rPr>
          <w:rFonts w:hint="eastAsia" w:ascii="Times New Roman" w:hAnsi="Times New Roman" w:cs="Times New Roman"/>
          <w:bCs/>
          <w:color w:val="auto"/>
          <w:sz w:val="24"/>
          <w:highlight w:val="none"/>
          <w:lang w:val="en-US" w:eastAsia="zh-CN"/>
        </w:rPr>
        <w:t>规定</w:t>
      </w:r>
      <w:r>
        <w:rPr>
          <w:rFonts w:ascii="Times New Roman" w:hAnsi="Times New Roman" w:cs="Times New Roman"/>
          <w:bCs/>
          <w:color w:val="auto"/>
          <w:sz w:val="24"/>
          <w:highlight w:val="none"/>
        </w:rPr>
        <w:t>：</w:t>
      </w:r>
    </w:p>
    <w:p w14:paraId="249D47A5">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1 系统支持的无线射频单元共小区的能力、基带合并和射频合并能力应满足设计要求，不同规格的基带单元支持无线射频单元共小区的最大能力应满足相关</w:t>
      </w:r>
      <w:r>
        <w:rPr>
          <w:rFonts w:hint="eastAsia" w:ascii="Times New Roman" w:hAnsi="Times New Roman" w:cs="Times New Roman"/>
          <w:color w:val="auto"/>
          <w:sz w:val="24"/>
          <w:highlight w:val="none"/>
          <w:lang w:eastAsia="zh-CN"/>
        </w:rPr>
        <w:t>标准</w:t>
      </w:r>
      <w:r>
        <w:rPr>
          <w:rFonts w:ascii="Times New Roman" w:hAnsi="Times New Roman" w:cs="Times New Roman"/>
          <w:color w:val="auto"/>
          <w:sz w:val="24"/>
          <w:highlight w:val="none"/>
        </w:rPr>
        <w:t>要求</w:t>
      </w:r>
      <w:r>
        <w:rPr>
          <w:rFonts w:hint="eastAsia" w:ascii="Times New Roman" w:hAnsi="Times New Roman" w:cs="Times New Roman"/>
          <w:color w:val="auto"/>
          <w:sz w:val="24"/>
          <w:highlight w:val="none"/>
          <w:lang w:eastAsia="zh-CN"/>
        </w:rPr>
        <w:t>；</w:t>
      </w:r>
    </w:p>
    <w:p w14:paraId="7F65DD1A">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2 基带单元与远端汇聚单元间的光纤拉远距离应符合设计要求，应支持最远光纤拉远距离达到2km</w:t>
      </w:r>
      <w:r>
        <w:rPr>
          <w:rFonts w:hint="eastAsia" w:ascii="Times New Roman" w:hAnsi="Times New Roman" w:cs="Times New Roman"/>
          <w:color w:val="auto"/>
          <w:sz w:val="24"/>
          <w:highlight w:val="none"/>
          <w:lang w:eastAsia="zh-CN"/>
        </w:rPr>
        <w:t>；</w:t>
      </w:r>
    </w:p>
    <w:p w14:paraId="245F1BB0">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3 无线射频单元采用POE供电时，供电拉远距离应符合设计要求，应支持最远供电拉远距离达到100m</w:t>
      </w:r>
      <w:r>
        <w:rPr>
          <w:rFonts w:hint="eastAsia" w:ascii="Times New Roman" w:hAnsi="Times New Roman" w:cs="Times New Roman"/>
          <w:color w:val="auto"/>
          <w:sz w:val="24"/>
          <w:highlight w:val="none"/>
          <w:lang w:eastAsia="zh-CN"/>
        </w:rPr>
        <w:t>；</w:t>
      </w:r>
    </w:p>
    <w:p w14:paraId="133989B0">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4 无线射频单元采用光电复合缆供电时，供电拉远距离应符合设计要求，应支持最远供电拉远距离达到200m</w:t>
      </w:r>
      <w:r>
        <w:rPr>
          <w:rFonts w:hint="eastAsia" w:ascii="Times New Roman" w:hAnsi="Times New Roman" w:cs="Times New Roman"/>
          <w:color w:val="auto"/>
          <w:sz w:val="24"/>
          <w:highlight w:val="none"/>
          <w:lang w:eastAsia="zh-CN"/>
        </w:rPr>
        <w:t>；</w:t>
      </w:r>
    </w:p>
    <w:p w14:paraId="761A2F75">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5 单基带单元接入的远端汇聚单元数量、无线射频单元数量、小区数量应符合设计要求，单基带单元支持的远端汇聚单元、无线射频单元、小区的最大能力应满足相关</w:t>
      </w:r>
      <w:r>
        <w:rPr>
          <w:rFonts w:hint="eastAsia" w:ascii="Times New Roman" w:hAnsi="Times New Roman" w:cs="Times New Roman"/>
          <w:color w:val="auto"/>
          <w:sz w:val="24"/>
          <w:highlight w:val="none"/>
          <w:lang w:eastAsia="zh-CN"/>
        </w:rPr>
        <w:t>标准</w:t>
      </w:r>
      <w:r>
        <w:rPr>
          <w:rFonts w:ascii="Times New Roman" w:hAnsi="Times New Roman" w:cs="Times New Roman"/>
          <w:color w:val="auto"/>
          <w:sz w:val="24"/>
          <w:highlight w:val="none"/>
        </w:rPr>
        <w:t>要求</w:t>
      </w:r>
      <w:r>
        <w:rPr>
          <w:rFonts w:hint="eastAsia" w:ascii="Times New Roman" w:hAnsi="Times New Roman" w:cs="Times New Roman"/>
          <w:color w:val="auto"/>
          <w:sz w:val="24"/>
          <w:highlight w:val="none"/>
          <w:lang w:eastAsia="zh-CN"/>
        </w:rPr>
        <w:t>；</w:t>
      </w:r>
    </w:p>
    <w:p w14:paraId="31A0EED2">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6 汇聚单元级联的级数应符合设计要求，应支持汇聚单元级联的最大能力不少于2级</w:t>
      </w:r>
      <w:r>
        <w:rPr>
          <w:rFonts w:hint="eastAsia" w:ascii="Times New Roman" w:hAnsi="Times New Roman" w:cs="Times New Roman"/>
          <w:color w:val="auto"/>
          <w:sz w:val="24"/>
          <w:highlight w:val="none"/>
          <w:lang w:eastAsia="zh-CN"/>
        </w:rPr>
        <w:t>；</w:t>
      </w:r>
    </w:p>
    <w:p w14:paraId="170825DA">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7 单个远端汇聚单元接入的无线射频单元数量应符合设计要求，单个远端汇聚单元支持的无线射频单元能力应满足相关</w:t>
      </w:r>
      <w:r>
        <w:rPr>
          <w:rFonts w:hint="eastAsia" w:ascii="Times New Roman" w:hAnsi="Times New Roman" w:cs="Times New Roman"/>
          <w:color w:val="auto"/>
          <w:sz w:val="24"/>
          <w:highlight w:val="none"/>
          <w:lang w:eastAsia="zh-CN"/>
        </w:rPr>
        <w:t>标准</w:t>
      </w:r>
      <w:r>
        <w:rPr>
          <w:rFonts w:ascii="Times New Roman" w:hAnsi="Times New Roman" w:cs="Times New Roman"/>
          <w:color w:val="auto"/>
          <w:sz w:val="24"/>
          <w:highlight w:val="none"/>
        </w:rPr>
        <w:t>要求。</w:t>
      </w:r>
    </w:p>
    <w:p w14:paraId="707B3069">
      <w:pPr>
        <w:ind w:firstLine="480"/>
        <w:rPr>
          <w:rFonts w:ascii="Times New Roman" w:hAnsi="Times New Roman" w:cs="Times New Roman"/>
          <w:color w:val="auto"/>
          <w:highlight w:val="none"/>
        </w:rPr>
      </w:pPr>
      <w:r>
        <w:rPr>
          <w:rFonts w:ascii="Times New Roman" w:hAnsi="Times New Roman" w:cs="Times New Roman"/>
          <w:color w:val="auto"/>
          <w:highlight w:val="none"/>
        </w:rPr>
        <w:br w:type="page"/>
      </w:r>
    </w:p>
    <w:p w14:paraId="76604CC7">
      <w:pPr>
        <w:pStyle w:val="2"/>
        <w:rPr>
          <w:color w:val="auto"/>
          <w:highlight w:val="none"/>
        </w:rPr>
      </w:pPr>
      <w:bookmarkStart w:id="210" w:name="_Toc19283"/>
      <w:bookmarkStart w:id="211" w:name="_Toc25296"/>
      <w:bookmarkStart w:id="212" w:name="_Toc180960207"/>
      <w:r>
        <w:rPr>
          <w:color w:val="auto"/>
          <w:highlight w:val="none"/>
        </w:rPr>
        <w:t>6 系统性能</w:t>
      </w:r>
      <w:bookmarkEnd w:id="210"/>
      <w:bookmarkEnd w:id="211"/>
      <w:bookmarkEnd w:id="212"/>
    </w:p>
    <w:p w14:paraId="0D7E5307">
      <w:pPr>
        <w:pStyle w:val="3"/>
        <w:ind w:firstLine="482"/>
        <w:rPr>
          <w:color w:val="auto"/>
          <w:highlight w:val="none"/>
        </w:rPr>
      </w:pPr>
      <w:bookmarkStart w:id="213" w:name="_Toc16272"/>
      <w:bookmarkStart w:id="214" w:name="_Toc23064"/>
      <w:bookmarkStart w:id="215" w:name="_Toc180960208"/>
      <w:bookmarkStart w:id="216" w:name="_Toc20720"/>
      <w:r>
        <w:rPr>
          <w:color w:val="auto"/>
          <w:highlight w:val="none"/>
        </w:rPr>
        <w:t>6.1 一般要求</w:t>
      </w:r>
      <w:bookmarkEnd w:id="213"/>
      <w:bookmarkEnd w:id="214"/>
      <w:bookmarkEnd w:id="215"/>
    </w:p>
    <w:p w14:paraId="438DC01B">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6.1.1 系统性能检测</w:t>
      </w:r>
      <w:r>
        <w:rPr>
          <w:rFonts w:hint="eastAsia" w:ascii="Times New Roman" w:hAnsi="Times New Roman" w:cs="Times New Roman"/>
          <w:color w:val="auto"/>
          <w:sz w:val="24"/>
          <w:highlight w:val="none"/>
          <w:lang w:val="en-US" w:eastAsia="zh-CN"/>
        </w:rPr>
        <w:t>应</w:t>
      </w:r>
      <w:r>
        <w:rPr>
          <w:rFonts w:ascii="Times New Roman" w:hAnsi="Times New Roman" w:cs="Times New Roman"/>
          <w:color w:val="auto"/>
          <w:sz w:val="24"/>
          <w:highlight w:val="none"/>
        </w:rPr>
        <w:t>包括缆线性能、设备性能和网络性能等的检测。</w:t>
      </w:r>
    </w:p>
    <w:p w14:paraId="433DA197">
      <w:pPr>
        <w:spacing w:line="360" w:lineRule="auto"/>
        <w:rPr>
          <w:rFonts w:ascii="Times New Roman" w:hAnsi="Times New Roman" w:cs="Times New Roman"/>
          <w:color w:val="auto"/>
          <w:highlight w:val="none"/>
        </w:rPr>
      </w:pPr>
      <w:r>
        <w:rPr>
          <w:rFonts w:ascii="Times New Roman" w:hAnsi="Times New Roman" w:cs="Times New Roman"/>
          <w:color w:val="auto"/>
          <w:sz w:val="24"/>
          <w:highlight w:val="none"/>
        </w:rPr>
        <w:t xml:space="preserve">6.1.2 </w:t>
      </w:r>
      <w:r>
        <w:rPr>
          <w:rFonts w:ascii="Times New Roman" w:hAnsi="Times New Roman" w:cs="Times New Roman"/>
          <w:color w:val="auto"/>
          <w:kern w:val="0"/>
          <w:sz w:val="24"/>
          <w:highlight w:val="none"/>
          <w:lang w:bidi="ar"/>
        </w:rPr>
        <w:t xml:space="preserve">光缆和泄漏电缆性能应全数检测，其他缆线性能按不低于10％抽检；各项指标符合设计要求，则被检项目检测结果判为合格；被检项目的合格率为100％，则缆线性能判为合格。 </w:t>
      </w:r>
    </w:p>
    <w:p w14:paraId="58AE59E8">
      <w:pPr>
        <w:widowControl/>
        <w:spacing w:line="360" w:lineRule="auto"/>
        <w:rPr>
          <w:rFonts w:ascii="Times New Roman" w:hAnsi="Times New Roman" w:cs="Times New Roman"/>
          <w:color w:val="auto"/>
          <w:highlight w:val="none"/>
        </w:rPr>
      </w:pPr>
      <w:r>
        <w:rPr>
          <w:rFonts w:ascii="Times New Roman" w:hAnsi="Times New Roman" w:cs="Times New Roman"/>
          <w:color w:val="auto"/>
          <w:kern w:val="0"/>
          <w:sz w:val="24"/>
          <w:highlight w:val="none"/>
          <w:lang w:bidi="ar"/>
        </w:rPr>
        <w:t>6.1.3</w:t>
      </w:r>
      <w:r>
        <w:rPr>
          <w:rFonts w:ascii="Times New Roman" w:hAnsi="Times New Roman" w:cs="Times New Roman"/>
          <w:color w:val="auto"/>
          <w:sz w:val="24"/>
          <w:highlight w:val="none"/>
        </w:rPr>
        <w:t xml:space="preserve"> </w:t>
      </w:r>
      <w:r>
        <w:rPr>
          <w:rFonts w:hint="eastAsia" w:ascii="Times New Roman" w:hAnsi="Times New Roman" w:cs="Times New Roman"/>
          <w:color w:val="auto"/>
          <w:kern w:val="0"/>
          <w:sz w:val="24"/>
          <w:highlight w:val="none"/>
          <w:lang w:bidi="ar"/>
        </w:rPr>
        <w:t>信号源</w:t>
      </w:r>
      <w:r>
        <w:rPr>
          <w:rFonts w:ascii="Times New Roman" w:hAnsi="Times New Roman" w:cs="Times New Roman"/>
          <w:color w:val="auto"/>
          <w:kern w:val="0"/>
          <w:sz w:val="24"/>
          <w:highlight w:val="none"/>
          <w:lang w:bidi="ar"/>
        </w:rPr>
        <w:t>、POI设备性能检测应全数检测，其他设备性能按不低于10％抽检；各项指标符合设计要求，则被检项目检测结果判为合格；被检项目的合格率为100％，则</w:t>
      </w:r>
      <w:r>
        <w:rPr>
          <w:rFonts w:ascii="Times New Roman" w:hAnsi="Times New Roman" w:cs="Times New Roman"/>
          <w:color w:val="auto"/>
          <w:sz w:val="24"/>
          <w:highlight w:val="none"/>
        </w:rPr>
        <w:t>设备性能</w:t>
      </w:r>
      <w:r>
        <w:rPr>
          <w:rFonts w:ascii="Times New Roman" w:hAnsi="Times New Roman" w:cs="Times New Roman"/>
          <w:color w:val="auto"/>
          <w:kern w:val="0"/>
          <w:sz w:val="24"/>
          <w:highlight w:val="none"/>
          <w:lang w:bidi="ar"/>
        </w:rPr>
        <w:t>判为合格。</w:t>
      </w:r>
    </w:p>
    <w:p w14:paraId="44E931D9">
      <w:pPr>
        <w:widowControl/>
        <w:spacing w:line="360" w:lineRule="auto"/>
        <w:rPr>
          <w:rFonts w:ascii="Times New Roman" w:hAnsi="Times New Roman" w:cs="Times New Roman"/>
          <w:color w:val="auto"/>
          <w:highlight w:val="none"/>
        </w:rPr>
      </w:pPr>
      <w:r>
        <w:rPr>
          <w:rFonts w:ascii="Times New Roman" w:hAnsi="Times New Roman" w:cs="Times New Roman"/>
          <w:color w:val="auto"/>
          <w:kern w:val="0"/>
          <w:sz w:val="24"/>
          <w:highlight w:val="none"/>
          <w:lang w:bidi="ar"/>
        </w:rPr>
        <w:t>6.1.4</w:t>
      </w:r>
      <w:r>
        <w:rPr>
          <w:rFonts w:ascii="Times New Roman" w:hAnsi="Times New Roman" w:cs="Times New Roman"/>
          <w:color w:val="auto"/>
          <w:sz w:val="24"/>
          <w:highlight w:val="none"/>
        </w:rPr>
        <w:t xml:space="preserve"> </w:t>
      </w:r>
      <w:r>
        <w:rPr>
          <w:rFonts w:hint="eastAsia" w:ascii="Times New Roman" w:hAnsi="Times New Roman" w:cs="Times New Roman"/>
          <w:color w:val="auto"/>
          <w:sz w:val="24"/>
          <w:highlight w:val="none"/>
          <w:lang w:val="en-US" w:eastAsia="zh-CN"/>
        </w:rPr>
        <w:t>网络</w:t>
      </w:r>
      <w:r>
        <w:rPr>
          <w:rFonts w:ascii="Times New Roman" w:hAnsi="Times New Roman" w:cs="Times New Roman"/>
          <w:color w:val="auto"/>
          <w:kern w:val="0"/>
          <w:sz w:val="24"/>
          <w:highlight w:val="none"/>
          <w:lang w:bidi="ar"/>
        </w:rPr>
        <w:t>性能检测包括</w:t>
      </w:r>
      <w:r>
        <w:rPr>
          <w:rFonts w:hint="eastAsia" w:ascii="Times New Roman" w:hAnsi="Times New Roman" w:cs="Times New Roman"/>
          <w:color w:val="auto"/>
          <w:kern w:val="0"/>
          <w:sz w:val="24"/>
          <w:highlight w:val="none"/>
          <w:lang w:val="en-US" w:eastAsia="zh-CN" w:bidi="ar"/>
        </w:rPr>
        <w:t>系统</w:t>
      </w:r>
      <w:r>
        <w:rPr>
          <w:rFonts w:ascii="Times New Roman" w:hAnsi="Times New Roman" w:cs="Times New Roman"/>
          <w:color w:val="auto"/>
          <w:sz w:val="24"/>
          <w:highlight w:val="none"/>
        </w:rPr>
        <w:t>覆盖信号场强、天线口功率、驻波比、互调干扰、上下行吞吐量、呼叫接通率、语音质量</w:t>
      </w:r>
      <w:r>
        <w:rPr>
          <w:rFonts w:ascii="Times New Roman" w:hAnsi="Times New Roman" w:cs="Times New Roman"/>
          <w:color w:val="auto"/>
          <w:kern w:val="0"/>
          <w:sz w:val="24"/>
          <w:highlight w:val="none"/>
          <w:lang w:bidi="ar"/>
        </w:rPr>
        <w:t>。系统天线口功率、驻波比、互调干扰检测应按不低于链路总数20%抽检；系统覆盖信号强度、上下行吞吐量、</w:t>
      </w:r>
      <w:r>
        <w:rPr>
          <w:rFonts w:hint="eastAsia" w:ascii="Times New Roman" w:hAnsi="Times New Roman" w:cs="Times New Roman"/>
          <w:color w:val="auto"/>
          <w:kern w:val="0"/>
          <w:sz w:val="24"/>
          <w:highlight w:val="none"/>
          <w:lang w:val="en-US" w:eastAsia="zh-CN" w:bidi="ar"/>
        </w:rPr>
        <w:t>语音</w:t>
      </w:r>
      <w:r>
        <w:rPr>
          <w:rFonts w:ascii="Times New Roman" w:hAnsi="Times New Roman" w:cs="Times New Roman"/>
          <w:color w:val="auto"/>
          <w:kern w:val="0"/>
          <w:sz w:val="24"/>
          <w:highlight w:val="none"/>
          <w:lang w:bidi="ar"/>
        </w:rPr>
        <w:t>质量检测应满足设计覆盖95%以上的区域。各项指标符合设计要求，则被检项目检测结果判为合格；被检项目的合格率为100％，则</w:t>
      </w:r>
      <w:r>
        <w:rPr>
          <w:rFonts w:ascii="Times New Roman" w:hAnsi="Times New Roman" w:cs="Times New Roman"/>
          <w:color w:val="auto"/>
          <w:sz w:val="24"/>
          <w:highlight w:val="none"/>
        </w:rPr>
        <w:t>系统性能</w:t>
      </w:r>
      <w:r>
        <w:rPr>
          <w:rFonts w:ascii="Times New Roman" w:hAnsi="Times New Roman" w:cs="Times New Roman"/>
          <w:color w:val="auto"/>
          <w:kern w:val="0"/>
          <w:sz w:val="24"/>
          <w:highlight w:val="none"/>
          <w:lang w:bidi="ar"/>
        </w:rPr>
        <w:t>判为合格。</w:t>
      </w:r>
    </w:p>
    <w:p w14:paraId="0E4C22A3">
      <w:pPr>
        <w:pStyle w:val="3"/>
        <w:ind w:firstLine="482"/>
        <w:rPr>
          <w:color w:val="auto"/>
          <w:highlight w:val="none"/>
        </w:rPr>
      </w:pPr>
      <w:bookmarkStart w:id="217" w:name="_Toc180960209"/>
      <w:bookmarkStart w:id="218" w:name="_Toc28648"/>
      <w:bookmarkStart w:id="219" w:name="_Toc29597"/>
      <w:bookmarkStart w:id="220" w:name="_Hlk176631687"/>
      <w:r>
        <w:rPr>
          <w:color w:val="auto"/>
          <w:highlight w:val="none"/>
        </w:rPr>
        <w:t>6.2 缆线性能检测</w:t>
      </w:r>
      <w:bookmarkEnd w:id="217"/>
      <w:bookmarkEnd w:id="218"/>
      <w:bookmarkEnd w:id="219"/>
    </w:p>
    <w:p w14:paraId="7C159009">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6.2.1 缆线性能检测应包括光缆、光电复合缆、泄漏同轴电缆、射频同轴电缆和双绞电缆性能等。</w:t>
      </w:r>
    </w:p>
    <w:p w14:paraId="4882CCBB">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6.2.2</w:t>
      </w:r>
      <w:r>
        <w:rPr>
          <w:rFonts w:hint="eastAsia" w:ascii="Times New Roman" w:hAnsi="Times New Roman" w:cs="Times New Roman"/>
          <w:color w:val="auto"/>
          <w:sz w:val="24"/>
          <w:highlight w:val="none"/>
          <w:lang w:val="en-US" w:eastAsia="zh-CN"/>
        </w:rPr>
        <w:t xml:space="preserve"> </w:t>
      </w:r>
      <w:r>
        <w:rPr>
          <w:rFonts w:ascii="Times New Roman" w:hAnsi="Times New Roman" w:cs="Times New Roman"/>
          <w:color w:val="auto"/>
          <w:sz w:val="24"/>
          <w:highlight w:val="none"/>
        </w:rPr>
        <w:t>光缆、光电复合缆性能的检测应符合下列</w:t>
      </w:r>
      <w:r>
        <w:rPr>
          <w:rFonts w:hint="eastAsia" w:ascii="Times New Roman" w:hAnsi="Times New Roman" w:cs="Times New Roman"/>
          <w:color w:val="auto"/>
          <w:sz w:val="24"/>
          <w:highlight w:val="none"/>
          <w:lang w:val="en-US" w:eastAsia="zh-CN"/>
        </w:rPr>
        <w:t>要求</w:t>
      </w:r>
      <w:r>
        <w:rPr>
          <w:rFonts w:ascii="Times New Roman" w:hAnsi="Times New Roman" w:cs="Times New Roman"/>
          <w:color w:val="auto"/>
          <w:sz w:val="24"/>
          <w:highlight w:val="none"/>
        </w:rPr>
        <w:t>：</w:t>
      </w:r>
    </w:p>
    <w:p w14:paraId="3065F5BD">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1 数字化信号分布系统应分别检测基带单元至远端汇聚单元、远端汇聚单元至</w:t>
      </w:r>
      <w:r>
        <w:rPr>
          <w:rFonts w:hint="eastAsia" w:ascii="Times New Roman" w:hAnsi="Times New Roman" w:cs="Times New Roman"/>
          <w:color w:val="auto"/>
          <w:sz w:val="24"/>
          <w:highlight w:val="none"/>
          <w:lang w:val="en-US" w:eastAsia="zh-CN"/>
        </w:rPr>
        <w:t>无线</w:t>
      </w:r>
      <w:r>
        <w:rPr>
          <w:rFonts w:ascii="Times New Roman" w:hAnsi="Times New Roman" w:cs="Times New Roman"/>
          <w:color w:val="auto"/>
          <w:sz w:val="24"/>
          <w:highlight w:val="none"/>
        </w:rPr>
        <w:t>射频单元的光纤衰减性能</w:t>
      </w:r>
      <w:r>
        <w:rPr>
          <w:rFonts w:hint="eastAsia" w:ascii="Times New Roman" w:hAnsi="Times New Roman" w:cs="Times New Roman"/>
          <w:color w:val="auto"/>
          <w:sz w:val="24"/>
          <w:highlight w:val="none"/>
          <w:lang w:eastAsia="zh-CN"/>
        </w:rPr>
        <w:t>；</w:t>
      </w:r>
    </w:p>
    <w:p w14:paraId="3E03ED8D">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2 模拟信号分布系统应检测基带单元至远端射频拉远单元的光纤衰减性能</w:t>
      </w:r>
      <w:r>
        <w:rPr>
          <w:rFonts w:hint="eastAsia" w:ascii="Times New Roman" w:hAnsi="Times New Roman" w:cs="Times New Roman"/>
          <w:color w:val="auto"/>
          <w:sz w:val="24"/>
          <w:highlight w:val="none"/>
          <w:lang w:eastAsia="zh-CN"/>
        </w:rPr>
        <w:t>；</w:t>
      </w:r>
    </w:p>
    <w:p w14:paraId="71123D8D">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 光缆性能的检测应采用光损耗测试仪和光时域反射仪测试光纤长度和衰减，光缆性能测试应符合现行国家标准《综合布线系统工程验收规范》GB/T 50312的有关规定。</w:t>
      </w:r>
    </w:p>
    <w:p w14:paraId="08CBED44">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6.2.3</w:t>
      </w:r>
      <w:r>
        <w:rPr>
          <w:rFonts w:hint="eastAsia" w:ascii="Times New Roman" w:hAnsi="Times New Roman" w:cs="Times New Roman"/>
          <w:color w:val="auto"/>
          <w:sz w:val="24"/>
          <w:highlight w:val="none"/>
          <w:lang w:val="en-US" w:eastAsia="zh-CN"/>
        </w:rPr>
        <w:t xml:space="preserve"> </w:t>
      </w:r>
      <w:r>
        <w:rPr>
          <w:rFonts w:ascii="Times New Roman" w:hAnsi="Times New Roman" w:cs="Times New Roman"/>
          <w:color w:val="auto"/>
          <w:sz w:val="24"/>
          <w:highlight w:val="none"/>
        </w:rPr>
        <w:t>泄漏同轴电缆、射频同轴电缆性能的检测应符合下列</w:t>
      </w:r>
      <w:r>
        <w:rPr>
          <w:rFonts w:hint="eastAsia" w:ascii="Times New Roman" w:hAnsi="Times New Roman" w:cs="Times New Roman"/>
          <w:color w:val="auto"/>
          <w:sz w:val="24"/>
          <w:highlight w:val="none"/>
          <w:lang w:val="en-US" w:eastAsia="zh-CN"/>
        </w:rPr>
        <w:t>要求</w:t>
      </w:r>
      <w:r>
        <w:rPr>
          <w:rFonts w:ascii="Times New Roman" w:hAnsi="Times New Roman" w:cs="Times New Roman"/>
          <w:color w:val="auto"/>
          <w:sz w:val="24"/>
          <w:highlight w:val="none"/>
        </w:rPr>
        <w:t>：</w:t>
      </w:r>
    </w:p>
    <w:p w14:paraId="004287AB">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1 使用绝缘电阻测试仪</w:t>
      </w:r>
      <w:r>
        <w:rPr>
          <w:rFonts w:hint="eastAsia" w:ascii="Times New Roman" w:hAnsi="Times New Roman" w:cs="Times New Roman"/>
          <w:color w:val="auto"/>
          <w:sz w:val="24"/>
          <w:highlight w:val="none"/>
          <w:lang w:val="en-US" w:eastAsia="zh-CN"/>
        </w:rPr>
        <w:t>对内、外导体的直流电阻、绝缘介电强度、绝缘电阻进行测试</w:t>
      </w:r>
      <w:r>
        <w:rPr>
          <w:rFonts w:ascii="Times New Roman" w:hAnsi="Times New Roman" w:cs="Times New Roman"/>
          <w:color w:val="auto"/>
          <w:sz w:val="24"/>
          <w:highlight w:val="none"/>
        </w:rPr>
        <w:t>，测试结果应符合设计要求</w:t>
      </w:r>
      <w:r>
        <w:rPr>
          <w:rFonts w:hint="eastAsia" w:ascii="Times New Roman" w:hAnsi="Times New Roman" w:cs="Times New Roman"/>
          <w:color w:val="auto"/>
          <w:sz w:val="24"/>
          <w:highlight w:val="none"/>
          <w:lang w:eastAsia="zh-CN"/>
        </w:rPr>
        <w:t>；</w:t>
      </w:r>
    </w:p>
    <w:p w14:paraId="4193CCFC">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2 使用驻波比测试仪对工作频段内电压驻波比进行测试，测试结果应符合设计要求</w:t>
      </w:r>
      <w:r>
        <w:rPr>
          <w:rFonts w:hint="eastAsia" w:ascii="Times New Roman" w:hAnsi="Times New Roman" w:cs="Times New Roman"/>
          <w:color w:val="auto"/>
          <w:sz w:val="24"/>
          <w:highlight w:val="none"/>
          <w:lang w:eastAsia="zh-CN"/>
        </w:rPr>
        <w:t>；</w:t>
      </w:r>
    </w:p>
    <w:p w14:paraId="7DDAE653">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 使用</w:t>
      </w:r>
      <w:r>
        <w:rPr>
          <w:rFonts w:hint="eastAsia" w:ascii="Times New Roman" w:hAnsi="Times New Roman" w:cs="Times New Roman"/>
          <w:color w:val="auto"/>
          <w:sz w:val="24"/>
          <w:highlight w:val="none"/>
        </w:rPr>
        <w:t>测试</w:t>
      </w:r>
      <w:r>
        <w:rPr>
          <w:rFonts w:ascii="Times New Roman" w:hAnsi="Times New Roman" w:cs="Times New Roman"/>
          <w:color w:val="auto"/>
          <w:sz w:val="24"/>
          <w:highlight w:val="none"/>
        </w:rPr>
        <w:t>信号源、频谱分析仪对电缆的衰减常</w:t>
      </w:r>
      <w:r>
        <w:rPr>
          <w:rFonts w:hint="eastAsia" w:ascii="Times New Roman" w:hAnsi="Times New Roman" w:cs="Times New Roman"/>
          <w:color w:val="auto"/>
          <w:sz w:val="24"/>
          <w:highlight w:val="none"/>
          <w:lang w:val="en-US" w:eastAsia="zh-CN"/>
        </w:rPr>
        <w:t>数、标称耦合损耗、传输衰减</w:t>
      </w:r>
      <w:r>
        <w:rPr>
          <w:rFonts w:ascii="Times New Roman" w:hAnsi="Times New Roman" w:cs="Times New Roman"/>
          <w:color w:val="auto"/>
          <w:sz w:val="24"/>
          <w:highlight w:val="none"/>
        </w:rPr>
        <w:t>进行测试，测试结果应符合设计要求。</w:t>
      </w:r>
    </w:p>
    <w:p w14:paraId="68D75EC5">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6.2.4</w:t>
      </w:r>
      <w:r>
        <w:rPr>
          <w:rFonts w:hint="eastAsia" w:ascii="Times New Roman" w:hAnsi="Times New Roman" w:cs="Times New Roman"/>
          <w:color w:val="auto"/>
          <w:sz w:val="24"/>
          <w:highlight w:val="none"/>
          <w:lang w:val="en-US" w:eastAsia="zh-CN"/>
        </w:rPr>
        <w:t xml:space="preserve"> </w:t>
      </w:r>
      <w:r>
        <w:rPr>
          <w:rFonts w:ascii="Times New Roman" w:hAnsi="Times New Roman" w:cs="Times New Roman"/>
          <w:color w:val="auto"/>
          <w:sz w:val="24"/>
          <w:highlight w:val="none"/>
        </w:rPr>
        <w:t>双绞电缆性能检测应采用电缆性能测试仪测试电缆</w:t>
      </w:r>
      <w:r>
        <w:rPr>
          <w:rFonts w:hint="eastAsia" w:ascii="Times New Roman" w:hAnsi="Times New Roman" w:cs="Times New Roman"/>
          <w:color w:val="auto"/>
          <w:sz w:val="24"/>
          <w:highlight w:val="none"/>
          <w:lang w:val="en-US" w:eastAsia="zh-CN"/>
        </w:rPr>
        <w:t>电气性能</w:t>
      </w:r>
      <w:r>
        <w:rPr>
          <w:rFonts w:ascii="Times New Roman" w:hAnsi="Times New Roman" w:cs="Times New Roman"/>
          <w:color w:val="auto"/>
          <w:sz w:val="24"/>
          <w:highlight w:val="none"/>
        </w:rPr>
        <w:t>，测试结果应符合现行国家标准《综合布线系统工程验收规范》GB/T 50312的有关规定。</w:t>
      </w:r>
    </w:p>
    <w:p w14:paraId="7C46C0CB">
      <w:pPr>
        <w:pStyle w:val="3"/>
        <w:ind w:firstLine="482"/>
        <w:rPr>
          <w:color w:val="auto"/>
          <w:highlight w:val="none"/>
        </w:rPr>
      </w:pPr>
      <w:bookmarkStart w:id="221" w:name="_Toc1227"/>
      <w:bookmarkStart w:id="222" w:name="_Toc180960210"/>
      <w:bookmarkStart w:id="223" w:name="_Toc13758"/>
      <w:r>
        <w:rPr>
          <w:color w:val="auto"/>
          <w:highlight w:val="none"/>
        </w:rPr>
        <w:t>6.3 设备性能检测</w:t>
      </w:r>
      <w:bookmarkEnd w:id="221"/>
      <w:bookmarkEnd w:id="222"/>
      <w:bookmarkEnd w:id="223"/>
    </w:p>
    <w:p w14:paraId="4669773C">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6.3.1</w:t>
      </w:r>
      <w:r>
        <w:rPr>
          <w:rFonts w:hint="eastAsia" w:ascii="Times New Roman" w:hAnsi="Times New Roman" w:cs="Times New Roman"/>
          <w:color w:val="auto"/>
          <w:sz w:val="24"/>
          <w:highlight w:val="none"/>
          <w:lang w:val="en-US" w:eastAsia="zh-CN"/>
        </w:rPr>
        <w:t xml:space="preserve"> </w:t>
      </w:r>
      <w:r>
        <w:rPr>
          <w:rFonts w:ascii="Times New Roman" w:hAnsi="Times New Roman" w:cs="Times New Roman"/>
          <w:color w:val="auto"/>
          <w:sz w:val="24"/>
          <w:highlight w:val="none"/>
        </w:rPr>
        <w:t>设备性能检测应包括</w:t>
      </w:r>
      <w:r>
        <w:rPr>
          <w:rFonts w:hint="eastAsia" w:ascii="Times New Roman" w:hAnsi="Times New Roman" w:cs="Times New Roman"/>
          <w:color w:val="auto"/>
          <w:sz w:val="24"/>
          <w:highlight w:val="none"/>
        </w:rPr>
        <w:t>信号源</w:t>
      </w:r>
      <w:r>
        <w:rPr>
          <w:rFonts w:ascii="Times New Roman" w:hAnsi="Times New Roman" w:cs="Times New Roman"/>
          <w:color w:val="auto"/>
          <w:sz w:val="24"/>
          <w:highlight w:val="none"/>
        </w:rPr>
        <w:t>、POI、合路器、功分器、耦合器、远端汇聚单元、</w:t>
      </w:r>
      <w:r>
        <w:rPr>
          <w:rFonts w:hint="eastAsia" w:ascii="Times New Roman" w:hAnsi="Times New Roman" w:cs="Times New Roman"/>
          <w:color w:val="auto"/>
          <w:sz w:val="24"/>
          <w:highlight w:val="none"/>
        </w:rPr>
        <w:t>无线射频</w:t>
      </w:r>
      <w:r>
        <w:rPr>
          <w:rFonts w:ascii="Times New Roman" w:hAnsi="Times New Roman" w:cs="Times New Roman"/>
          <w:color w:val="auto"/>
          <w:sz w:val="24"/>
          <w:highlight w:val="none"/>
        </w:rPr>
        <w:t>单元等。</w:t>
      </w:r>
    </w:p>
    <w:p w14:paraId="77AC3D38">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6.3.2</w:t>
      </w:r>
      <w:r>
        <w:rPr>
          <w:rFonts w:hint="eastAsia" w:ascii="Times New Roman" w:hAnsi="Times New Roman" w:cs="Times New Roman"/>
          <w:color w:val="auto"/>
          <w:sz w:val="24"/>
          <w:highlight w:val="none"/>
          <w:lang w:val="en-US" w:eastAsia="zh-CN"/>
        </w:rPr>
        <w:t xml:space="preserve"> </w:t>
      </w:r>
      <w:r>
        <w:rPr>
          <w:rFonts w:ascii="Times New Roman" w:hAnsi="Times New Roman" w:cs="Times New Roman"/>
          <w:color w:val="auto"/>
          <w:sz w:val="24"/>
          <w:highlight w:val="none"/>
        </w:rPr>
        <w:t>使用频谱分析仪对</w:t>
      </w:r>
      <w:r>
        <w:rPr>
          <w:rFonts w:hint="eastAsia" w:ascii="Times New Roman" w:hAnsi="Times New Roman" w:cs="Times New Roman"/>
          <w:color w:val="auto"/>
          <w:sz w:val="24"/>
          <w:highlight w:val="none"/>
        </w:rPr>
        <w:t>信号源</w:t>
      </w:r>
      <w:r>
        <w:rPr>
          <w:rFonts w:ascii="Times New Roman" w:hAnsi="Times New Roman" w:cs="Times New Roman"/>
          <w:color w:val="auto"/>
          <w:sz w:val="24"/>
          <w:highlight w:val="none"/>
        </w:rPr>
        <w:t>等设备的射频输出功率、发射频偏、调制矢量误差进行测试，测试结果应符合设计要求。</w:t>
      </w:r>
    </w:p>
    <w:p w14:paraId="29897206">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6.3.3</w:t>
      </w:r>
      <w:r>
        <w:rPr>
          <w:rFonts w:hint="eastAsia" w:ascii="Times New Roman" w:hAnsi="Times New Roman" w:cs="Times New Roman"/>
          <w:color w:val="auto"/>
          <w:sz w:val="24"/>
          <w:highlight w:val="none"/>
          <w:lang w:val="en-US" w:eastAsia="zh-CN"/>
        </w:rPr>
        <w:t xml:space="preserve"> </w:t>
      </w:r>
      <w:r>
        <w:rPr>
          <w:rFonts w:ascii="Times New Roman" w:hAnsi="Times New Roman" w:cs="Times New Roman"/>
          <w:color w:val="auto"/>
          <w:sz w:val="24"/>
          <w:highlight w:val="none"/>
        </w:rPr>
        <w:t>使用矢量网络分析仪、互调测试仪对POI、合路器、功分器、耦合器等设备的插入损耗、驻波比、隔离度、互调干扰进行测试，测试结果应符合设计要求。</w:t>
      </w:r>
    </w:p>
    <w:p w14:paraId="70C672C8">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6.3.4</w:t>
      </w:r>
      <w:r>
        <w:rPr>
          <w:rFonts w:hint="eastAsia" w:ascii="Times New Roman" w:hAnsi="Times New Roman" w:cs="Times New Roman"/>
          <w:color w:val="auto"/>
          <w:sz w:val="24"/>
          <w:highlight w:val="none"/>
          <w:lang w:val="en-US" w:eastAsia="zh-CN"/>
        </w:rPr>
        <w:t xml:space="preserve"> </w:t>
      </w:r>
      <w:r>
        <w:rPr>
          <w:rFonts w:ascii="Times New Roman" w:hAnsi="Times New Roman" w:cs="Times New Roman"/>
          <w:color w:val="auto"/>
          <w:sz w:val="24"/>
          <w:highlight w:val="none"/>
        </w:rPr>
        <w:t>使用频谱分析仪或矢量分析仪对远端汇聚单元、</w:t>
      </w:r>
      <w:r>
        <w:rPr>
          <w:rFonts w:hint="eastAsia" w:ascii="Times New Roman" w:hAnsi="Times New Roman" w:cs="Times New Roman"/>
          <w:color w:val="auto"/>
          <w:sz w:val="24"/>
          <w:highlight w:val="none"/>
        </w:rPr>
        <w:t>无线射频</w:t>
      </w:r>
      <w:r>
        <w:rPr>
          <w:rFonts w:ascii="Times New Roman" w:hAnsi="Times New Roman" w:cs="Times New Roman"/>
          <w:color w:val="auto"/>
          <w:sz w:val="24"/>
          <w:highlight w:val="none"/>
        </w:rPr>
        <w:t>单元等设备的功耗测试，测试结果应符合设计要求。</w:t>
      </w:r>
    </w:p>
    <w:p w14:paraId="6E6BFDD4">
      <w:pPr>
        <w:spacing w:line="360" w:lineRule="auto"/>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6.3.5 检查设备配件如支架、托架、吊架、夹具等其他材料、构配件的材质、物理机械性能测试报告或合格证明文件，应符合设计要求。</w:t>
      </w:r>
    </w:p>
    <w:p w14:paraId="5E22227B">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6.3.</w:t>
      </w:r>
      <w:r>
        <w:rPr>
          <w:rFonts w:hint="eastAsia" w:ascii="Times New Roman" w:hAnsi="Times New Roman" w:cs="Times New Roman"/>
          <w:color w:val="auto"/>
          <w:sz w:val="24"/>
          <w:highlight w:val="none"/>
          <w:lang w:val="en-US" w:eastAsia="zh-CN"/>
        </w:rPr>
        <w:t xml:space="preserve">6 </w:t>
      </w:r>
      <w:r>
        <w:rPr>
          <w:rFonts w:ascii="Times New Roman" w:hAnsi="Times New Roman" w:cs="Times New Roman"/>
          <w:color w:val="auto"/>
          <w:sz w:val="24"/>
          <w:highlight w:val="none"/>
        </w:rPr>
        <w:t>设备性能测试应符合国家现行标准《城市轨道交通通信工程质量验收规范》GB 50382、《无线通信室内信号分布系统 第5部分：无源器件技术要求和测试方法》YD/T 2740.5、《5G数字化室内分布系统测试方法》YD/T 4010的</w:t>
      </w:r>
      <w:r>
        <w:rPr>
          <w:rFonts w:hint="eastAsia" w:ascii="Times New Roman" w:hAnsi="Times New Roman" w:cs="Times New Roman"/>
          <w:color w:val="auto"/>
          <w:sz w:val="24"/>
          <w:highlight w:val="none"/>
          <w:lang w:val="en-US" w:eastAsia="zh-CN"/>
        </w:rPr>
        <w:t>有</w:t>
      </w:r>
      <w:r>
        <w:rPr>
          <w:rFonts w:ascii="Times New Roman" w:hAnsi="Times New Roman" w:cs="Times New Roman"/>
          <w:color w:val="auto"/>
          <w:sz w:val="24"/>
          <w:highlight w:val="none"/>
        </w:rPr>
        <w:t>关规定。</w:t>
      </w:r>
    </w:p>
    <w:p w14:paraId="7C1B2CA6">
      <w:pPr>
        <w:pStyle w:val="3"/>
        <w:ind w:firstLine="482"/>
        <w:rPr>
          <w:color w:val="auto"/>
          <w:highlight w:val="none"/>
        </w:rPr>
      </w:pPr>
      <w:bookmarkStart w:id="224" w:name="_Toc23797"/>
      <w:bookmarkStart w:id="225" w:name="_Toc11549"/>
      <w:bookmarkStart w:id="226" w:name="_Toc180960211"/>
      <w:r>
        <w:rPr>
          <w:color w:val="auto"/>
          <w:highlight w:val="none"/>
        </w:rPr>
        <w:t>6.4 网络性能检测</w:t>
      </w:r>
      <w:bookmarkEnd w:id="224"/>
      <w:bookmarkEnd w:id="225"/>
      <w:bookmarkEnd w:id="226"/>
    </w:p>
    <w:p w14:paraId="28BCB3E2">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6.4.1</w:t>
      </w:r>
      <w:r>
        <w:rPr>
          <w:rFonts w:hint="eastAsia" w:ascii="Times New Roman" w:hAnsi="Times New Roman" w:cs="Times New Roman"/>
          <w:color w:val="auto"/>
          <w:sz w:val="24"/>
          <w:highlight w:val="none"/>
          <w:lang w:val="en-US" w:eastAsia="zh-CN"/>
        </w:rPr>
        <w:t xml:space="preserve"> </w:t>
      </w:r>
      <w:r>
        <w:rPr>
          <w:rFonts w:hint="eastAsia" w:ascii="Times New Roman" w:hAnsi="Times New Roman" w:cs="Times New Roman"/>
          <w:color w:val="auto"/>
          <w:sz w:val="24"/>
          <w:highlight w:val="none"/>
        </w:rPr>
        <w:t>网络</w:t>
      </w:r>
      <w:r>
        <w:rPr>
          <w:rFonts w:ascii="Times New Roman" w:hAnsi="Times New Roman" w:cs="Times New Roman"/>
          <w:color w:val="auto"/>
          <w:sz w:val="24"/>
          <w:highlight w:val="none"/>
        </w:rPr>
        <w:t>性能检测应包括覆盖信号场强、天线口功率、驻波比、互调干扰、上下行吞吐量、呼叫接通率、语音质量等。</w:t>
      </w:r>
    </w:p>
    <w:p w14:paraId="6C2D456A">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6.4.2</w:t>
      </w:r>
      <w:r>
        <w:rPr>
          <w:rFonts w:hint="eastAsia" w:ascii="Times New Roman" w:hAnsi="Times New Roman" w:cs="Times New Roman"/>
          <w:color w:val="auto"/>
          <w:sz w:val="24"/>
          <w:highlight w:val="none"/>
          <w:lang w:val="en-US" w:eastAsia="zh-CN"/>
        </w:rPr>
        <w:t xml:space="preserve"> </w:t>
      </w:r>
      <w:r>
        <w:rPr>
          <w:rFonts w:ascii="Times New Roman" w:hAnsi="Times New Roman" w:cs="Times New Roman"/>
          <w:color w:val="auto"/>
          <w:sz w:val="24"/>
          <w:highlight w:val="none"/>
        </w:rPr>
        <w:t>系统覆盖信号场强检测应符合下列规定：</w:t>
      </w:r>
    </w:p>
    <w:p w14:paraId="6D6BCAAD">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1 使用路测仪、</w:t>
      </w:r>
      <w:r>
        <w:rPr>
          <w:rFonts w:hint="eastAsia" w:ascii="Times New Roman" w:hAnsi="Times New Roman" w:cs="Times New Roman"/>
          <w:color w:val="auto"/>
          <w:sz w:val="24"/>
          <w:highlight w:val="none"/>
        </w:rPr>
        <w:t>测试</w:t>
      </w:r>
      <w:r>
        <w:rPr>
          <w:rFonts w:ascii="Times New Roman" w:hAnsi="Times New Roman" w:cs="Times New Roman"/>
          <w:color w:val="auto"/>
          <w:sz w:val="24"/>
          <w:highlight w:val="none"/>
        </w:rPr>
        <w:t>信号源对系统覆盖信号场强进行测试，测试结果应符合设计要求</w:t>
      </w:r>
      <w:r>
        <w:rPr>
          <w:rFonts w:hint="eastAsia" w:ascii="Times New Roman" w:hAnsi="Times New Roman" w:cs="Times New Roman"/>
          <w:color w:val="auto"/>
          <w:sz w:val="24"/>
          <w:highlight w:val="none"/>
          <w:lang w:eastAsia="zh-CN"/>
        </w:rPr>
        <w:t>；</w:t>
      </w:r>
    </w:p>
    <w:p w14:paraId="4DE72E6B">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2 系统覆盖信号场强检测应不低于95%设计覆盖区域内进行测试</w:t>
      </w:r>
      <w:r>
        <w:rPr>
          <w:rFonts w:hint="eastAsia" w:ascii="Times New Roman" w:hAnsi="Times New Roman" w:cs="Times New Roman"/>
          <w:color w:val="auto"/>
          <w:sz w:val="24"/>
          <w:highlight w:val="none"/>
          <w:lang w:eastAsia="zh-CN"/>
        </w:rPr>
        <w:t>；</w:t>
      </w:r>
    </w:p>
    <w:p w14:paraId="07C67BFA">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 覆盖信号场强测试记录应包括频点信息、小区信息、信号强度、信噪比和路测图，统计信号场强有效覆盖率。</w:t>
      </w:r>
    </w:p>
    <w:p w14:paraId="2A37A0C3">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6.4.3</w:t>
      </w:r>
      <w:r>
        <w:rPr>
          <w:rFonts w:hint="eastAsia" w:ascii="Times New Roman" w:hAnsi="Times New Roman" w:cs="Times New Roman"/>
          <w:color w:val="auto"/>
          <w:sz w:val="24"/>
          <w:highlight w:val="none"/>
          <w:lang w:val="en-US" w:eastAsia="zh-CN"/>
        </w:rPr>
        <w:t xml:space="preserve"> </w:t>
      </w:r>
      <w:r>
        <w:rPr>
          <w:rFonts w:ascii="Times New Roman" w:hAnsi="Times New Roman" w:cs="Times New Roman"/>
          <w:color w:val="auto"/>
          <w:sz w:val="24"/>
          <w:highlight w:val="none"/>
        </w:rPr>
        <w:t>系统天线口功率检测应符合下列规定：</w:t>
      </w:r>
    </w:p>
    <w:p w14:paraId="603067DF">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1 使用</w:t>
      </w:r>
      <w:r>
        <w:rPr>
          <w:rFonts w:hint="eastAsia" w:ascii="Times New Roman" w:hAnsi="Times New Roman" w:cs="Times New Roman"/>
          <w:color w:val="auto"/>
          <w:sz w:val="24"/>
          <w:highlight w:val="none"/>
        </w:rPr>
        <w:t>测试</w:t>
      </w:r>
      <w:r>
        <w:rPr>
          <w:rFonts w:ascii="Times New Roman" w:hAnsi="Times New Roman" w:cs="Times New Roman"/>
          <w:color w:val="auto"/>
          <w:sz w:val="24"/>
          <w:highlight w:val="none"/>
        </w:rPr>
        <w:t>信号源、频谱分析仪对天线口功率进行测试，测试结果应符合设计要求</w:t>
      </w:r>
      <w:r>
        <w:rPr>
          <w:rFonts w:hint="eastAsia" w:ascii="Times New Roman" w:hAnsi="Times New Roman" w:cs="Times New Roman"/>
          <w:color w:val="auto"/>
          <w:sz w:val="24"/>
          <w:highlight w:val="none"/>
          <w:lang w:eastAsia="zh-CN"/>
        </w:rPr>
        <w:t>；</w:t>
      </w:r>
    </w:p>
    <w:p w14:paraId="0999B040">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2 根据系统平面图选择测试节点，应选取链路近、中、远天线连接节点，抽取的测试点应平均分布在各主要区域的不同楼层和场景</w:t>
      </w:r>
      <w:r>
        <w:rPr>
          <w:rFonts w:hint="eastAsia" w:ascii="Times New Roman" w:hAnsi="Times New Roman" w:cs="Times New Roman"/>
          <w:color w:val="auto"/>
          <w:sz w:val="24"/>
          <w:highlight w:val="none"/>
          <w:lang w:eastAsia="zh-CN"/>
        </w:rPr>
        <w:t>；</w:t>
      </w:r>
    </w:p>
    <w:p w14:paraId="2F9093DE">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 系统天线口功率测试记录应包括系统设计使用频率范围的天线口输出功率，天线口输出功率与设计功率偏差应在±3dB范围，各天线口功率输出偏差应在±5dB范围。</w:t>
      </w:r>
    </w:p>
    <w:p w14:paraId="03DDF91F">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6.4.4</w:t>
      </w:r>
      <w:r>
        <w:rPr>
          <w:rFonts w:hint="eastAsia" w:ascii="Times New Roman" w:hAnsi="Times New Roman" w:cs="Times New Roman"/>
          <w:color w:val="auto"/>
          <w:sz w:val="24"/>
          <w:highlight w:val="none"/>
          <w:lang w:val="en-US" w:eastAsia="zh-CN"/>
        </w:rPr>
        <w:t xml:space="preserve"> </w:t>
      </w:r>
      <w:r>
        <w:rPr>
          <w:rFonts w:ascii="Times New Roman" w:hAnsi="Times New Roman" w:cs="Times New Roman"/>
          <w:color w:val="auto"/>
          <w:sz w:val="24"/>
          <w:highlight w:val="none"/>
        </w:rPr>
        <w:t>系统驻波比检测应符合下列规定：</w:t>
      </w:r>
    </w:p>
    <w:p w14:paraId="045036FB">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1 使用驻波比测试仪对系统驻波比进行测试，测试结果应符合设计要求</w:t>
      </w:r>
      <w:r>
        <w:rPr>
          <w:rFonts w:hint="eastAsia" w:ascii="Times New Roman" w:hAnsi="Times New Roman" w:cs="Times New Roman"/>
          <w:color w:val="auto"/>
          <w:sz w:val="24"/>
          <w:highlight w:val="none"/>
          <w:lang w:eastAsia="zh-CN"/>
        </w:rPr>
        <w:t>；</w:t>
      </w:r>
    </w:p>
    <w:p w14:paraId="7EED33DC">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2 在系统基站引入端、主干链路和分支链路节点测试系统驻波比不应大于1.5</w:t>
      </w:r>
      <w:r>
        <w:rPr>
          <w:rFonts w:hint="eastAsia" w:ascii="Times New Roman" w:hAnsi="Times New Roman" w:cs="Times New Roman"/>
          <w:color w:val="auto"/>
          <w:sz w:val="24"/>
          <w:highlight w:val="none"/>
          <w:lang w:eastAsia="zh-CN"/>
        </w:rPr>
        <w:t>；</w:t>
      </w:r>
    </w:p>
    <w:p w14:paraId="49521FB8">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 测试结果应记录系统设计使用频率范围的系统最大电压驻波比。</w:t>
      </w:r>
    </w:p>
    <w:p w14:paraId="4B37397D">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6.4.5</w:t>
      </w:r>
      <w:r>
        <w:rPr>
          <w:rFonts w:hint="eastAsia" w:ascii="Times New Roman" w:hAnsi="Times New Roman" w:cs="Times New Roman"/>
          <w:color w:val="auto"/>
          <w:sz w:val="24"/>
          <w:highlight w:val="none"/>
          <w:lang w:val="en-US" w:eastAsia="zh-CN"/>
        </w:rPr>
        <w:t xml:space="preserve"> </w:t>
      </w:r>
      <w:r>
        <w:rPr>
          <w:rFonts w:ascii="Times New Roman" w:hAnsi="Times New Roman" w:cs="Times New Roman"/>
          <w:color w:val="auto"/>
          <w:sz w:val="24"/>
          <w:highlight w:val="none"/>
        </w:rPr>
        <w:t>系统互调检测应符合下列</w:t>
      </w:r>
      <w:r>
        <w:rPr>
          <w:rFonts w:hint="eastAsia" w:ascii="Times New Roman" w:hAnsi="Times New Roman" w:cs="Times New Roman"/>
          <w:color w:val="auto"/>
          <w:sz w:val="24"/>
          <w:highlight w:val="none"/>
          <w:lang w:val="en-US" w:eastAsia="zh-CN"/>
        </w:rPr>
        <w:t>要求</w:t>
      </w:r>
      <w:r>
        <w:rPr>
          <w:rFonts w:ascii="Times New Roman" w:hAnsi="Times New Roman" w:cs="Times New Roman"/>
          <w:color w:val="auto"/>
          <w:sz w:val="24"/>
          <w:highlight w:val="none"/>
        </w:rPr>
        <w:t>：</w:t>
      </w:r>
    </w:p>
    <w:p w14:paraId="395BE4B5">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1 使用互调测试仪在POI输出端口测量系统总体互调，测试结果应符合设计要求</w:t>
      </w:r>
      <w:r>
        <w:rPr>
          <w:rFonts w:hint="eastAsia" w:ascii="Times New Roman" w:hAnsi="Times New Roman" w:cs="Times New Roman"/>
          <w:color w:val="auto"/>
          <w:sz w:val="24"/>
          <w:highlight w:val="none"/>
          <w:lang w:eastAsia="zh-CN"/>
        </w:rPr>
        <w:t>；</w:t>
      </w:r>
    </w:p>
    <w:p w14:paraId="4A3AB8E5">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 互调测试记录应能记录三阶互调、五阶互调，多系统合路时</w:t>
      </w:r>
      <w:r>
        <w:rPr>
          <w:rFonts w:hint="eastAsia" w:ascii="Times New Roman" w:hAnsi="Times New Roman" w:cs="Times New Roman"/>
          <w:color w:val="auto"/>
          <w:sz w:val="24"/>
          <w:highlight w:val="none"/>
          <w:lang w:val="en-US" w:eastAsia="zh-CN"/>
        </w:rPr>
        <w:t>宜</w:t>
      </w:r>
      <w:r>
        <w:rPr>
          <w:rFonts w:ascii="Times New Roman" w:hAnsi="Times New Roman" w:cs="Times New Roman"/>
          <w:color w:val="auto"/>
          <w:sz w:val="24"/>
          <w:highlight w:val="none"/>
        </w:rPr>
        <w:t>对不同频率的组合互调进行测试。</w:t>
      </w:r>
    </w:p>
    <w:p w14:paraId="211CA880">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6.4.6</w:t>
      </w:r>
      <w:r>
        <w:rPr>
          <w:rFonts w:hint="eastAsia" w:ascii="Times New Roman" w:hAnsi="Times New Roman" w:cs="Times New Roman"/>
          <w:color w:val="auto"/>
          <w:sz w:val="24"/>
          <w:highlight w:val="none"/>
          <w:lang w:val="en-US" w:eastAsia="zh-CN"/>
        </w:rPr>
        <w:t xml:space="preserve"> </w:t>
      </w:r>
      <w:r>
        <w:rPr>
          <w:rFonts w:ascii="Times New Roman" w:hAnsi="Times New Roman" w:cs="Times New Roman"/>
          <w:color w:val="auto"/>
          <w:sz w:val="24"/>
          <w:highlight w:val="none"/>
        </w:rPr>
        <w:t>系统上下行吞吐量检测应符合下列</w:t>
      </w:r>
      <w:r>
        <w:rPr>
          <w:rFonts w:hint="eastAsia" w:ascii="Times New Roman" w:hAnsi="Times New Roman" w:cs="Times New Roman"/>
          <w:color w:val="auto"/>
          <w:sz w:val="24"/>
          <w:highlight w:val="none"/>
          <w:lang w:val="en-US" w:eastAsia="zh-CN"/>
        </w:rPr>
        <w:t>要求</w:t>
      </w:r>
      <w:r>
        <w:rPr>
          <w:rFonts w:ascii="Times New Roman" w:hAnsi="Times New Roman" w:cs="Times New Roman"/>
          <w:color w:val="auto"/>
          <w:sz w:val="24"/>
          <w:highlight w:val="none"/>
        </w:rPr>
        <w:t>：</w:t>
      </w:r>
    </w:p>
    <w:p w14:paraId="60A0DC57">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1 使用路测仪在覆盖区域内进行上行和下行的吞吐量测试，测试结果应符合设计要求</w:t>
      </w:r>
      <w:r>
        <w:rPr>
          <w:rFonts w:hint="eastAsia" w:ascii="Times New Roman" w:hAnsi="Times New Roman" w:cs="Times New Roman"/>
          <w:color w:val="auto"/>
          <w:sz w:val="24"/>
          <w:highlight w:val="none"/>
          <w:lang w:eastAsia="zh-CN"/>
        </w:rPr>
        <w:t>；</w:t>
      </w:r>
    </w:p>
    <w:p w14:paraId="1CD3F8A7">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rPr>
        <w:t xml:space="preserve">2 </w:t>
      </w:r>
      <w:r>
        <w:rPr>
          <w:rFonts w:ascii="Times New Roman" w:hAnsi="Times New Roman" w:cs="Times New Roman"/>
          <w:color w:val="auto"/>
          <w:sz w:val="24"/>
          <w:highlight w:val="none"/>
        </w:rPr>
        <w:t>系统上下行吞吐量检测应按照设计频率范围在主要覆盖区域和边缘覆盖区域进行测试</w:t>
      </w:r>
      <w:r>
        <w:rPr>
          <w:rFonts w:hint="eastAsia" w:ascii="Times New Roman" w:hAnsi="Times New Roman" w:cs="Times New Roman"/>
          <w:color w:val="auto"/>
          <w:sz w:val="24"/>
          <w:highlight w:val="none"/>
          <w:lang w:eastAsia="zh-CN"/>
        </w:rPr>
        <w:t>；</w:t>
      </w:r>
    </w:p>
    <w:p w14:paraId="380513E0">
      <w:pPr>
        <w:spacing w:line="360" w:lineRule="auto"/>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3</w:t>
      </w:r>
      <w:r>
        <w:rPr>
          <w:rFonts w:ascii="Times New Roman" w:hAnsi="Times New Roman" w:cs="Times New Roman"/>
          <w:color w:val="auto"/>
          <w:sz w:val="24"/>
          <w:highlight w:val="none"/>
        </w:rPr>
        <w:t xml:space="preserve"> 上下行吞吐量测试应能记录覆盖区域内最大吞吐量、平均吞吐量。</w:t>
      </w:r>
    </w:p>
    <w:p w14:paraId="65DAF6B1">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6.4.7</w:t>
      </w:r>
      <w:r>
        <w:rPr>
          <w:rFonts w:hint="eastAsia" w:ascii="Times New Roman" w:hAnsi="Times New Roman" w:cs="Times New Roman"/>
          <w:color w:val="auto"/>
          <w:sz w:val="24"/>
          <w:highlight w:val="none"/>
          <w:lang w:val="en-US" w:eastAsia="zh-CN"/>
        </w:rPr>
        <w:t xml:space="preserve"> </w:t>
      </w:r>
      <w:r>
        <w:rPr>
          <w:rFonts w:ascii="Times New Roman" w:hAnsi="Times New Roman" w:cs="Times New Roman"/>
          <w:color w:val="auto"/>
          <w:sz w:val="24"/>
          <w:highlight w:val="none"/>
        </w:rPr>
        <w:t>系统呼叫接通率、语音质量检测应符合下列规定：</w:t>
      </w:r>
    </w:p>
    <w:p w14:paraId="53CD44AD">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1 使用路测仪对系统</w:t>
      </w:r>
      <w:r>
        <w:rPr>
          <w:rFonts w:hint="eastAsia" w:ascii="Times New Roman" w:hAnsi="Times New Roman" w:cs="Times New Roman"/>
          <w:color w:val="auto"/>
          <w:sz w:val="24"/>
          <w:highlight w:val="none"/>
        </w:rPr>
        <w:t>覆盖区域内</w:t>
      </w:r>
      <w:r>
        <w:rPr>
          <w:rFonts w:ascii="Times New Roman" w:hAnsi="Times New Roman" w:cs="Times New Roman"/>
          <w:color w:val="auto"/>
          <w:sz w:val="24"/>
          <w:highlight w:val="none"/>
        </w:rPr>
        <w:t>呼叫接通率、语音质量测试进行测试，测试结果应符合设计要求</w:t>
      </w:r>
      <w:r>
        <w:rPr>
          <w:rFonts w:hint="eastAsia" w:ascii="Times New Roman" w:hAnsi="Times New Roman" w:cs="Times New Roman"/>
          <w:color w:val="auto"/>
          <w:sz w:val="24"/>
          <w:highlight w:val="none"/>
          <w:lang w:eastAsia="zh-CN"/>
        </w:rPr>
        <w:t>；</w:t>
      </w:r>
    </w:p>
    <w:p w14:paraId="254BA621">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2 系统呼叫接通率、语音质量测试次数不低于20次呼叫，呼叫成功后接通时间不低于60s</w:t>
      </w:r>
      <w:r>
        <w:rPr>
          <w:rFonts w:hint="eastAsia" w:ascii="Times New Roman" w:hAnsi="Times New Roman" w:cs="Times New Roman"/>
          <w:color w:val="auto"/>
          <w:sz w:val="24"/>
          <w:highlight w:val="none"/>
          <w:lang w:eastAsia="zh-CN"/>
        </w:rPr>
        <w:t>；</w:t>
      </w:r>
    </w:p>
    <w:p w14:paraId="1596E01E">
      <w:pPr>
        <w:spacing w:line="360" w:lineRule="auto"/>
        <w:ind w:firstLine="480" w:firstLineChars="200"/>
        <w:rPr>
          <w:rFonts w:ascii="Times New Roman" w:hAnsi="Times New Roman" w:cs="Times New Roman"/>
          <w:bCs/>
          <w:color w:val="auto"/>
          <w:sz w:val="24"/>
          <w:highlight w:val="none"/>
        </w:rPr>
      </w:pPr>
      <w:r>
        <w:rPr>
          <w:rFonts w:ascii="Times New Roman" w:hAnsi="Times New Roman" w:cs="Times New Roman"/>
          <w:color w:val="auto"/>
          <w:sz w:val="24"/>
          <w:highlight w:val="none"/>
        </w:rPr>
        <w:t>3 系统呼叫接通率、语音质量测试应记录测试频率范围的信号强度、呼叫次数、接通次数及通话语音质量MOS值或误码率，统计接通率。</w:t>
      </w:r>
      <w:bookmarkEnd w:id="220"/>
    </w:p>
    <w:p w14:paraId="47393A5C">
      <w:pPr>
        <w:rPr>
          <w:color w:val="auto"/>
          <w:highlight w:val="none"/>
        </w:rPr>
      </w:pPr>
      <w:bookmarkStart w:id="227" w:name="_Toc17713"/>
      <w:bookmarkStart w:id="228" w:name="_Toc180960212"/>
      <w:r>
        <w:rPr>
          <w:color w:val="auto"/>
          <w:highlight w:val="none"/>
        </w:rPr>
        <w:br w:type="page"/>
      </w:r>
    </w:p>
    <w:p w14:paraId="66917D5F">
      <w:pPr>
        <w:pStyle w:val="2"/>
        <w:rPr>
          <w:bCs/>
          <w:color w:val="auto"/>
          <w:highlight w:val="none"/>
        </w:rPr>
      </w:pPr>
      <w:bookmarkStart w:id="229" w:name="_Toc359"/>
      <w:r>
        <w:rPr>
          <w:color w:val="auto"/>
          <w:highlight w:val="none"/>
        </w:rPr>
        <w:t>7 系统网管功能</w:t>
      </w:r>
      <w:bookmarkEnd w:id="227"/>
      <w:bookmarkEnd w:id="228"/>
      <w:bookmarkEnd w:id="229"/>
    </w:p>
    <w:p w14:paraId="11CAE842">
      <w:pPr>
        <w:pStyle w:val="3"/>
        <w:ind w:firstLine="482"/>
        <w:rPr>
          <w:color w:val="auto"/>
          <w:highlight w:val="none"/>
        </w:rPr>
      </w:pPr>
      <w:bookmarkStart w:id="230" w:name="_Toc16069"/>
      <w:bookmarkStart w:id="231" w:name="_Toc22073"/>
      <w:bookmarkStart w:id="232" w:name="_Toc180960213"/>
      <w:r>
        <w:rPr>
          <w:color w:val="auto"/>
          <w:highlight w:val="none"/>
        </w:rPr>
        <w:t>7.1 一般要求</w:t>
      </w:r>
      <w:bookmarkEnd w:id="230"/>
      <w:bookmarkEnd w:id="231"/>
      <w:bookmarkEnd w:id="232"/>
    </w:p>
    <w:p w14:paraId="1BDCD55E">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7.1.1 系统网管功能检测</w:t>
      </w:r>
      <w:r>
        <w:rPr>
          <w:rFonts w:hint="eastAsia" w:ascii="Times New Roman" w:hAnsi="Times New Roman" w:cs="Times New Roman"/>
          <w:color w:val="auto"/>
          <w:sz w:val="24"/>
          <w:highlight w:val="none"/>
          <w:lang w:val="en-US" w:eastAsia="zh-CN"/>
        </w:rPr>
        <w:t>应</w:t>
      </w:r>
      <w:r>
        <w:rPr>
          <w:rFonts w:ascii="Times New Roman" w:hAnsi="Times New Roman" w:cs="Times New Roman"/>
          <w:color w:val="auto"/>
          <w:sz w:val="24"/>
          <w:highlight w:val="none"/>
        </w:rPr>
        <w:t>包括监控和管理功能、故障告警和记录功能、信息统计处理功能、系统管理功能等的检测。</w:t>
      </w:r>
    </w:p>
    <w:p w14:paraId="28CE5263">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7.1.2 系统网管功能检测应在</w:t>
      </w:r>
      <w:r>
        <w:rPr>
          <w:rFonts w:hint="eastAsia" w:ascii="Times New Roman" w:hAnsi="Times New Roman" w:cs="Times New Roman"/>
          <w:color w:val="auto"/>
          <w:sz w:val="24"/>
          <w:highlight w:val="none"/>
        </w:rPr>
        <w:t>系统</w:t>
      </w:r>
      <w:r>
        <w:rPr>
          <w:rFonts w:ascii="Times New Roman" w:hAnsi="Times New Roman" w:cs="Times New Roman"/>
          <w:color w:val="auto"/>
          <w:sz w:val="24"/>
          <w:highlight w:val="none"/>
        </w:rPr>
        <w:t>设备正常连接可用，网管正常运行后进行。设备故障排查检测时，需连接NR检测终端的笔记本按需安装路测软件，安装业务应用软件，支持UDP收发数据包；网络侧安装业务应用软件，支持UDP收发数据包。</w:t>
      </w:r>
    </w:p>
    <w:p w14:paraId="55BADF6D">
      <w:pPr>
        <w:spacing w:line="360" w:lineRule="auto"/>
        <w:rPr>
          <w:rFonts w:ascii="Times New Roman" w:hAnsi="Times New Roman" w:cs="Times New Roman"/>
          <w:color w:val="auto"/>
          <w:highlight w:val="none"/>
        </w:rPr>
      </w:pPr>
      <w:r>
        <w:rPr>
          <w:rFonts w:ascii="Times New Roman" w:hAnsi="Times New Roman" w:cs="Times New Roman"/>
          <w:color w:val="auto"/>
          <w:sz w:val="24"/>
          <w:highlight w:val="none"/>
        </w:rPr>
        <w:t>7.1.3</w:t>
      </w:r>
      <w:r>
        <w:rPr>
          <w:rFonts w:hint="eastAsia" w:ascii="Times New Roman" w:hAnsi="Times New Roman" w:cs="Times New Roman"/>
          <w:color w:val="auto"/>
          <w:sz w:val="24"/>
          <w:highlight w:val="none"/>
          <w:lang w:val="en-US" w:eastAsia="zh-CN"/>
        </w:rPr>
        <w:t xml:space="preserve"> </w:t>
      </w:r>
      <w:r>
        <w:rPr>
          <w:rFonts w:ascii="Times New Roman" w:hAnsi="Times New Roman" w:cs="Times New Roman"/>
          <w:color w:val="auto"/>
          <w:sz w:val="24"/>
          <w:highlight w:val="none"/>
        </w:rPr>
        <w:t>系统网管功能应全数检测，检测结果应符合设计要求。当设计文件无明确要求时，应符合国家现行</w:t>
      </w:r>
      <w:r>
        <w:rPr>
          <w:rFonts w:hint="eastAsia" w:ascii="Times New Roman" w:hAnsi="Times New Roman" w:cs="Times New Roman"/>
          <w:color w:val="auto"/>
          <w:sz w:val="24"/>
          <w:highlight w:val="none"/>
          <w:lang w:val="en-US" w:eastAsia="zh-CN"/>
        </w:rPr>
        <w:t>有关</w:t>
      </w:r>
      <w:r>
        <w:rPr>
          <w:rFonts w:ascii="Times New Roman" w:hAnsi="Times New Roman" w:cs="Times New Roman"/>
          <w:color w:val="auto"/>
          <w:sz w:val="24"/>
          <w:highlight w:val="none"/>
        </w:rPr>
        <w:t>标准要求。</w:t>
      </w:r>
    </w:p>
    <w:p w14:paraId="1DCDA490">
      <w:pPr>
        <w:pStyle w:val="3"/>
        <w:ind w:firstLine="482"/>
        <w:rPr>
          <w:color w:val="auto"/>
          <w:highlight w:val="none"/>
        </w:rPr>
      </w:pPr>
      <w:bookmarkStart w:id="233" w:name="_Toc180960214"/>
      <w:bookmarkStart w:id="234" w:name="_Toc30304"/>
      <w:bookmarkStart w:id="235" w:name="_Toc5982"/>
      <w:r>
        <w:rPr>
          <w:color w:val="auto"/>
          <w:highlight w:val="none"/>
        </w:rPr>
        <w:t>7.2 系统功能检测</w:t>
      </w:r>
      <w:bookmarkEnd w:id="233"/>
      <w:bookmarkEnd w:id="234"/>
      <w:bookmarkEnd w:id="235"/>
    </w:p>
    <w:p w14:paraId="2D7D9271">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7.2.1</w:t>
      </w:r>
      <w:r>
        <w:rPr>
          <w:rFonts w:hint="eastAsia" w:ascii="Times New Roman" w:hAnsi="Times New Roman" w:cs="Times New Roman"/>
          <w:color w:val="auto"/>
          <w:sz w:val="24"/>
          <w:highlight w:val="none"/>
          <w:lang w:val="en-US" w:eastAsia="zh-CN"/>
        </w:rPr>
        <w:t xml:space="preserve"> </w:t>
      </w:r>
      <w:r>
        <w:rPr>
          <w:rFonts w:ascii="Times New Roman" w:hAnsi="Times New Roman" w:cs="Times New Roman"/>
          <w:color w:val="auto"/>
          <w:sz w:val="24"/>
          <w:highlight w:val="none"/>
        </w:rPr>
        <w:t>监控和管理功能检测应符合下列</w:t>
      </w:r>
      <w:r>
        <w:rPr>
          <w:rFonts w:hint="eastAsia" w:ascii="Times New Roman" w:hAnsi="Times New Roman" w:cs="Times New Roman"/>
          <w:color w:val="auto"/>
          <w:sz w:val="24"/>
          <w:highlight w:val="none"/>
          <w:lang w:eastAsia="zh-CN"/>
        </w:rPr>
        <w:t>要求</w:t>
      </w:r>
      <w:r>
        <w:rPr>
          <w:rFonts w:ascii="Times New Roman" w:hAnsi="Times New Roman" w:cs="Times New Roman"/>
          <w:color w:val="auto"/>
          <w:sz w:val="24"/>
          <w:highlight w:val="none"/>
        </w:rPr>
        <w:t>：</w:t>
      </w:r>
    </w:p>
    <w:p w14:paraId="3A5594F4">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1 系统应能监控全网端到端设备情况，包括基带单元、远端射频拉远单元、远端汇聚单元、无线射频单元之间的拓扑连接关系</w:t>
      </w:r>
      <w:r>
        <w:rPr>
          <w:rFonts w:hint="eastAsia" w:ascii="Times New Roman" w:hAnsi="Times New Roman" w:cs="Times New Roman"/>
          <w:color w:val="auto"/>
          <w:sz w:val="24"/>
          <w:highlight w:val="none"/>
          <w:lang w:eastAsia="zh-CN"/>
        </w:rPr>
        <w:t>；</w:t>
      </w:r>
    </w:p>
    <w:p w14:paraId="39BC10C8">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2 系统应能同时查看基站和</w:t>
      </w:r>
      <w:r>
        <w:rPr>
          <w:rFonts w:hint="eastAsia" w:ascii="Times New Roman" w:hAnsi="Times New Roman" w:cs="Times New Roman"/>
          <w:color w:val="auto"/>
          <w:sz w:val="24"/>
          <w:highlight w:val="none"/>
        </w:rPr>
        <w:t>信号</w:t>
      </w:r>
      <w:r>
        <w:rPr>
          <w:rFonts w:ascii="Times New Roman" w:hAnsi="Times New Roman" w:cs="Times New Roman"/>
          <w:color w:val="auto"/>
          <w:sz w:val="24"/>
          <w:highlight w:val="none"/>
        </w:rPr>
        <w:t>分布系统的设备状态</w:t>
      </w:r>
      <w:r>
        <w:rPr>
          <w:rFonts w:hint="eastAsia" w:ascii="Times New Roman" w:hAnsi="Times New Roman" w:cs="Times New Roman"/>
          <w:color w:val="auto"/>
          <w:sz w:val="24"/>
          <w:highlight w:val="none"/>
          <w:lang w:eastAsia="zh-CN"/>
        </w:rPr>
        <w:t>；</w:t>
      </w:r>
    </w:p>
    <w:p w14:paraId="226DFC3D">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3 系统应能对基站和</w:t>
      </w:r>
      <w:r>
        <w:rPr>
          <w:rFonts w:hint="eastAsia" w:ascii="Times New Roman" w:hAnsi="Times New Roman" w:cs="Times New Roman"/>
          <w:color w:val="auto"/>
          <w:sz w:val="24"/>
          <w:highlight w:val="none"/>
        </w:rPr>
        <w:t>信号</w:t>
      </w:r>
      <w:r>
        <w:rPr>
          <w:rFonts w:ascii="Times New Roman" w:hAnsi="Times New Roman" w:cs="Times New Roman"/>
          <w:color w:val="auto"/>
          <w:sz w:val="24"/>
          <w:highlight w:val="none"/>
        </w:rPr>
        <w:t>分布系统进行参数设置功能</w:t>
      </w:r>
      <w:r>
        <w:rPr>
          <w:rFonts w:hint="eastAsia" w:ascii="Times New Roman" w:hAnsi="Times New Roman" w:cs="Times New Roman"/>
          <w:color w:val="auto"/>
          <w:sz w:val="24"/>
          <w:highlight w:val="none"/>
          <w:lang w:eastAsia="zh-CN"/>
        </w:rPr>
        <w:t>；</w:t>
      </w:r>
    </w:p>
    <w:p w14:paraId="79D9B311">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4 系统应能监控基站和</w:t>
      </w:r>
      <w:r>
        <w:rPr>
          <w:rFonts w:hint="eastAsia" w:ascii="Times New Roman" w:hAnsi="Times New Roman" w:cs="Times New Roman"/>
          <w:color w:val="auto"/>
          <w:sz w:val="24"/>
          <w:highlight w:val="none"/>
        </w:rPr>
        <w:t>信号</w:t>
      </w:r>
      <w:r>
        <w:rPr>
          <w:rFonts w:ascii="Times New Roman" w:hAnsi="Times New Roman" w:cs="Times New Roman"/>
          <w:color w:val="auto"/>
          <w:sz w:val="24"/>
          <w:highlight w:val="none"/>
        </w:rPr>
        <w:t>分布系统的性能参数</w:t>
      </w:r>
      <w:r>
        <w:rPr>
          <w:rFonts w:hint="eastAsia" w:ascii="Times New Roman" w:hAnsi="Times New Roman" w:cs="Times New Roman"/>
          <w:color w:val="auto"/>
          <w:sz w:val="24"/>
          <w:highlight w:val="none"/>
          <w:lang w:eastAsia="zh-CN"/>
        </w:rPr>
        <w:t>；</w:t>
      </w:r>
    </w:p>
    <w:p w14:paraId="56AF74E1">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5 系统应能对基站和</w:t>
      </w:r>
      <w:r>
        <w:rPr>
          <w:rFonts w:hint="eastAsia" w:ascii="Times New Roman" w:hAnsi="Times New Roman" w:cs="Times New Roman"/>
          <w:color w:val="auto"/>
          <w:sz w:val="24"/>
          <w:highlight w:val="none"/>
        </w:rPr>
        <w:t>信号</w:t>
      </w:r>
      <w:r>
        <w:rPr>
          <w:rFonts w:ascii="Times New Roman" w:hAnsi="Times New Roman" w:cs="Times New Roman"/>
          <w:color w:val="auto"/>
          <w:sz w:val="24"/>
          <w:highlight w:val="none"/>
        </w:rPr>
        <w:t>分布系统版本进行远程升级功能</w:t>
      </w:r>
      <w:r>
        <w:rPr>
          <w:rFonts w:hint="eastAsia" w:ascii="Times New Roman" w:hAnsi="Times New Roman" w:cs="Times New Roman"/>
          <w:color w:val="auto"/>
          <w:sz w:val="24"/>
          <w:highlight w:val="none"/>
          <w:lang w:eastAsia="zh-CN"/>
        </w:rPr>
        <w:t>；</w:t>
      </w:r>
    </w:p>
    <w:p w14:paraId="043ECE24">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6 系统宜能对机房温湿度、电源告警监测功能。</w:t>
      </w:r>
    </w:p>
    <w:p w14:paraId="2AC82853">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7.2.2</w:t>
      </w:r>
      <w:r>
        <w:rPr>
          <w:rFonts w:hint="eastAsia" w:ascii="Times New Roman" w:hAnsi="Times New Roman" w:cs="Times New Roman"/>
          <w:color w:val="auto"/>
          <w:sz w:val="24"/>
          <w:highlight w:val="none"/>
          <w:lang w:val="en-US" w:eastAsia="zh-CN"/>
        </w:rPr>
        <w:t xml:space="preserve"> </w:t>
      </w:r>
      <w:r>
        <w:rPr>
          <w:rFonts w:ascii="Times New Roman" w:hAnsi="Times New Roman" w:cs="Times New Roman"/>
          <w:color w:val="auto"/>
          <w:sz w:val="24"/>
          <w:highlight w:val="none"/>
        </w:rPr>
        <w:t>故障告警和记录功能检测应符合下列</w:t>
      </w:r>
      <w:r>
        <w:rPr>
          <w:rFonts w:hint="eastAsia" w:ascii="Times New Roman" w:hAnsi="Times New Roman" w:cs="Times New Roman"/>
          <w:bCs/>
          <w:color w:val="auto"/>
          <w:sz w:val="24"/>
          <w:highlight w:val="none"/>
          <w:lang w:val="en-US" w:eastAsia="zh-CN"/>
        </w:rPr>
        <w:t>规定</w:t>
      </w:r>
      <w:r>
        <w:rPr>
          <w:rFonts w:ascii="Times New Roman" w:hAnsi="Times New Roman" w:cs="Times New Roman"/>
          <w:bCs/>
          <w:color w:val="auto"/>
          <w:sz w:val="24"/>
          <w:highlight w:val="none"/>
        </w:rPr>
        <w:t>：</w:t>
      </w:r>
    </w:p>
    <w:p w14:paraId="399C6E9B">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1 在管理系统中查看已部署的</w:t>
      </w:r>
      <w:r>
        <w:rPr>
          <w:rFonts w:hint="eastAsia" w:ascii="Times New Roman" w:hAnsi="Times New Roman" w:cs="Times New Roman"/>
          <w:color w:val="auto"/>
          <w:sz w:val="24"/>
          <w:highlight w:val="none"/>
        </w:rPr>
        <w:t>信号</w:t>
      </w:r>
      <w:r>
        <w:rPr>
          <w:rFonts w:ascii="Times New Roman" w:hAnsi="Times New Roman" w:cs="Times New Roman"/>
          <w:color w:val="auto"/>
          <w:sz w:val="24"/>
          <w:highlight w:val="none"/>
        </w:rPr>
        <w:t>分布系统及各节点，查看系统故障信息告警和记录功能，应符合设计要求</w:t>
      </w:r>
      <w:r>
        <w:rPr>
          <w:rFonts w:hint="eastAsia" w:ascii="Times New Roman" w:hAnsi="Times New Roman" w:cs="Times New Roman"/>
          <w:color w:val="auto"/>
          <w:sz w:val="24"/>
          <w:highlight w:val="none"/>
          <w:lang w:eastAsia="zh-CN"/>
        </w:rPr>
        <w:t>；</w:t>
      </w:r>
    </w:p>
    <w:p w14:paraId="4FB09AA1">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2 切断任意一根无线射频单元与汇聚单元之间连线，查看系统故障信息提示告警和记录功能，应符合设计要求</w:t>
      </w:r>
      <w:r>
        <w:rPr>
          <w:rFonts w:hint="eastAsia" w:ascii="Times New Roman" w:hAnsi="Times New Roman" w:cs="Times New Roman"/>
          <w:color w:val="auto"/>
          <w:sz w:val="24"/>
          <w:highlight w:val="none"/>
          <w:lang w:eastAsia="zh-CN"/>
        </w:rPr>
        <w:t>；</w:t>
      </w:r>
    </w:p>
    <w:p w14:paraId="47785B29">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3 切断任意一个汇聚单元电源，查看系统故障信息告警和记录功能，应符合设计要求</w:t>
      </w:r>
      <w:r>
        <w:rPr>
          <w:rFonts w:hint="eastAsia" w:ascii="Times New Roman" w:hAnsi="Times New Roman" w:cs="Times New Roman"/>
          <w:color w:val="auto"/>
          <w:sz w:val="24"/>
          <w:highlight w:val="none"/>
          <w:lang w:eastAsia="zh-CN"/>
        </w:rPr>
        <w:t>；</w:t>
      </w:r>
    </w:p>
    <w:p w14:paraId="51EE5327">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4</w:t>
      </w:r>
      <w:r>
        <w:rPr>
          <w:rFonts w:hint="eastAsia" w:ascii="Times New Roman" w:hAnsi="Times New Roman" w:cs="Times New Roman"/>
          <w:color w:val="auto"/>
          <w:sz w:val="24"/>
          <w:highlight w:val="none"/>
        </w:rPr>
        <w:t xml:space="preserve"> </w:t>
      </w:r>
      <w:r>
        <w:rPr>
          <w:rFonts w:hint="eastAsia" w:ascii="Times New Roman" w:hAnsi="Times New Roman" w:cs="Times New Roman"/>
          <w:color w:val="auto"/>
          <w:sz w:val="24"/>
          <w:highlight w:val="none"/>
          <w:lang w:val="en-US" w:eastAsia="zh-CN"/>
        </w:rPr>
        <w:t>模拟</w:t>
      </w:r>
      <w:r>
        <w:rPr>
          <w:rFonts w:ascii="Times New Roman" w:hAnsi="Times New Roman" w:cs="Times New Roman"/>
          <w:color w:val="auto"/>
          <w:sz w:val="24"/>
          <w:highlight w:val="none"/>
        </w:rPr>
        <w:t>系统</w:t>
      </w:r>
      <w:r>
        <w:rPr>
          <w:rFonts w:hint="eastAsia" w:ascii="Times New Roman" w:hAnsi="Times New Roman" w:cs="Times New Roman"/>
          <w:color w:val="auto"/>
          <w:sz w:val="24"/>
          <w:highlight w:val="none"/>
          <w:lang w:val="en-US" w:eastAsia="zh-CN"/>
        </w:rPr>
        <w:t>设备或链路</w:t>
      </w:r>
      <w:r>
        <w:rPr>
          <w:rFonts w:ascii="Times New Roman" w:hAnsi="Times New Roman" w:cs="Times New Roman"/>
          <w:color w:val="auto"/>
          <w:sz w:val="24"/>
          <w:highlight w:val="none"/>
        </w:rPr>
        <w:t>发生故障，检查</w:t>
      </w:r>
      <w:r>
        <w:rPr>
          <w:rFonts w:hint="eastAsia" w:ascii="Times New Roman" w:hAnsi="Times New Roman" w:cs="Times New Roman"/>
          <w:color w:val="auto"/>
          <w:sz w:val="24"/>
          <w:highlight w:val="none"/>
          <w:lang w:val="en-US" w:eastAsia="zh-CN"/>
        </w:rPr>
        <w:t>系统</w:t>
      </w:r>
      <w:r>
        <w:rPr>
          <w:rFonts w:ascii="Times New Roman" w:hAnsi="Times New Roman" w:cs="Times New Roman"/>
          <w:color w:val="auto"/>
          <w:sz w:val="24"/>
          <w:highlight w:val="none"/>
        </w:rPr>
        <w:t>故障告警</w:t>
      </w:r>
      <w:r>
        <w:rPr>
          <w:rFonts w:hint="eastAsia" w:ascii="Times New Roman" w:hAnsi="Times New Roman" w:cs="Times New Roman"/>
          <w:color w:val="auto"/>
          <w:sz w:val="24"/>
          <w:highlight w:val="none"/>
          <w:lang w:val="en-US" w:eastAsia="zh-CN"/>
        </w:rPr>
        <w:t>联网上传</w:t>
      </w:r>
      <w:r>
        <w:rPr>
          <w:rFonts w:ascii="Times New Roman" w:hAnsi="Times New Roman" w:cs="Times New Roman"/>
          <w:color w:val="auto"/>
          <w:sz w:val="24"/>
          <w:highlight w:val="none"/>
        </w:rPr>
        <w:t>功能，</w:t>
      </w:r>
      <w:r>
        <w:rPr>
          <w:rFonts w:hint="eastAsia" w:ascii="Times New Roman" w:hAnsi="Times New Roman" w:cs="Times New Roman"/>
          <w:color w:val="auto"/>
          <w:sz w:val="24"/>
          <w:highlight w:val="none"/>
          <w:lang w:val="en-US" w:eastAsia="zh-CN"/>
        </w:rPr>
        <w:t>告警信息上传到网管中心</w:t>
      </w:r>
      <w:r>
        <w:rPr>
          <w:rFonts w:hint="eastAsia"/>
          <w:color w:val="auto"/>
          <w:sz w:val="24"/>
          <w:highlight w:val="none"/>
        </w:rPr>
        <w:t>丢失率应小于1%</w:t>
      </w:r>
      <w:r>
        <w:rPr>
          <w:rFonts w:hint="eastAsia" w:ascii="Times New Roman" w:hAnsi="Times New Roman" w:cs="Times New Roman"/>
          <w:color w:val="auto"/>
          <w:sz w:val="24"/>
          <w:highlight w:val="none"/>
          <w:lang w:eastAsia="zh-CN"/>
        </w:rPr>
        <w:t>。</w:t>
      </w:r>
    </w:p>
    <w:p w14:paraId="04C9D30A">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7.2.3</w:t>
      </w:r>
      <w:r>
        <w:rPr>
          <w:rFonts w:hint="eastAsia" w:ascii="Times New Roman" w:hAnsi="Times New Roman" w:cs="Times New Roman"/>
          <w:color w:val="auto"/>
          <w:sz w:val="24"/>
          <w:highlight w:val="none"/>
          <w:lang w:val="en-US" w:eastAsia="zh-CN"/>
        </w:rPr>
        <w:t xml:space="preserve"> </w:t>
      </w:r>
      <w:r>
        <w:rPr>
          <w:rFonts w:ascii="Times New Roman" w:hAnsi="Times New Roman" w:cs="Times New Roman"/>
          <w:color w:val="auto"/>
          <w:sz w:val="24"/>
          <w:highlight w:val="none"/>
        </w:rPr>
        <w:t>信息统计处理功能检测应符合下列</w:t>
      </w:r>
      <w:r>
        <w:rPr>
          <w:rFonts w:hint="eastAsia" w:ascii="Times New Roman" w:hAnsi="Times New Roman" w:cs="Times New Roman"/>
          <w:color w:val="auto"/>
          <w:sz w:val="24"/>
          <w:highlight w:val="none"/>
          <w:lang w:eastAsia="zh-CN"/>
        </w:rPr>
        <w:t>要求</w:t>
      </w:r>
      <w:r>
        <w:rPr>
          <w:rFonts w:ascii="Times New Roman" w:hAnsi="Times New Roman" w:cs="Times New Roman"/>
          <w:color w:val="auto"/>
          <w:sz w:val="24"/>
          <w:highlight w:val="none"/>
        </w:rPr>
        <w:t>：</w:t>
      </w:r>
    </w:p>
    <w:p w14:paraId="301929FA">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1 应能对系统设备信息、基站设备信息、终端设备信息进行统计</w:t>
      </w:r>
      <w:r>
        <w:rPr>
          <w:rFonts w:hint="eastAsia" w:ascii="Times New Roman" w:hAnsi="Times New Roman" w:cs="Times New Roman"/>
          <w:color w:val="auto"/>
          <w:sz w:val="24"/>
          <w:highlight w:val="none"/>
          <w:lang w:eastAsia="zh-CN"/>
        </w:rPr>
        <w:t>；</w:t>
      </w:r>
    </w:p>
    <w:p w14:paraId="11442473">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2 应能统计频率使用情况、在线用户数量进行统计和分析</w:t>
      </w:r>
      <w:r>
        <w:rPr>
          <w:rFonts w:hint="eastAsia" w:ascii="Times New Roman" w:hAnsi="Times New Roman" w:cs="Times New Roman"/>
          <w:color w:val="auto"/>
          <w:sz w:val="24"/>
          <w:highlight w:val="none"/>
          <w:lang w:eastAsia="zh-CN"/>
        </w:rPr>
        <w:t>；</w:t>
      </w:r>
    </w:p>
    <w:p w14:paraId="0AAF6245">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 应能对话务量可按基站、时段、通话组、呼叫类型等进行统计和分析。</w:t>
      </w:r>
    </w:p>
    <w:p w14:paraId="353388C7">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7.2.4</w:t>
      </w:r>
      <w:r>
        <w:rPr>
          <w:rFonts w:hint="eastAsia" w:ascii="Times New Roman" w:hAnsi="Times New Roman" w:cs="Times New Roman"/>
          <w:color w:val="auto"/>
          <w:sz w:val="24"/>
          <w:highlight w:val="none"/>
          <w:lang w:val="en-US" w:eastAsia="zh-CN"/>
        </w:rPr>
        <w:t xml:space="preserve"> </w:t>
      </w:r>
      <w:r>
        <w:rPr>
          <w:rFonts w:ascii="Times New Roman" w:hAnsi="Times New Roman" w:cs="Times New Roman"/>
          <w:color w:val="auto"/>
          <w:sz w:val="24"/>
          <w:highlight w:val="none"/>
        </w:rPr>
        <w:t>系统管理功能检测应符合下列</w:t>
      </w:r>
      <w:r>
        <w:rPr>
          <w:rFonts w:hint="eastAsia" w:ascii="Times New Roman" w:hAnsi="Times New Roman" w:cs="Times New Roman"/>
          <w:color w:val="auto"/>
          <w:sz w:val="24"/>
          <w:highlight w:val="none"/>
          <w:lang w:eastAsia="zh-CN"/>
        </w:rPr>
        <w:t>要求</w:t>
      </w:r>
      <w:r>
        <w:rPr>
          <w:rFonts w:ascii="Times New Roman" w:hAnsi="Times New Roman" w:cs="Times New Roman"/>
          <w:color w:val="auto"/>
          <w:sz w:val="24"/>
          <w:highlight w:val="none"/>
        </w:rPr>
        <w:t>：</w:t>
      </w:r>
    </w:p>
    <w:p w14:paraId="30A0AD80">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1 应能对用户数据库、设备配置数据库进行备份存储</w:t>
      </w:r>
      <w:r>
        <w:rPr>
          <w:rFonts w:hint="eastAsia" w:ascii="Times New Roman" w:hAnsi="Times New Roman" w:cs="Times New Roman"/>
          <w:color w:val="auto"/>
          <w:sz w:val="24"/>
          <w:highlight w:val="none"/>
          <w:lang w:eastAsia="zh-CN"/>
        </w:rPr>
        <w:t>；</w:t>
      </w:r>
    </w:p>
    <w:p w14:paraId="13C21547">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2 应能对管理员、用户账户使用权限设置和管理</w:t>
      </w:r>
      <w:r>
        <w:rPr>
          <w:rFonts w:hint="eastAsia" w:ascii="Times New Roman" w:hAnsi="Times New Roman" w:cs="Times New Roman"/>
          <w:color w:val="auto"/>
          <w:sz w:val="24"/>
          <w:highlight w:val="none"/>
          <w:lang w:eastAsia="zh-CN"/>
        </w:rPr>
        <w:t>；</w:t>
      </w:r>
    </w:p>
    <w:p w14:paraId="03489B0E">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 应能对系统登录、运行和操作日志的存储、统计。</w:t>
      </w:r>
    </w:p>
    <w:p w14:paraId="51D84DA6">
      <w:pPr>
        <w:spacing w:line="360" w:lineRule="auto"/>
        <w:ind w:firstLine="480"/>
        <w:rPr>
          <w:rFonts w:ascii="Times New Roman" w:hAnsi="Times New Roman" w:cs="Times New Roman"/>
          <w:color w:val="auto"/>
          <w:sz w:val="24"/>
          <w:highlight w:val="none"/>
        </w:rPr>
      </w:pPr>
    </w:p>
    <w:p w14:paraId="1C9BD87F">
      <w:pPr>
        <w:ind w:firstLine="600"/>
        <w:rPr>
          <w:rStyle w:val="39"/>
          <w:rFonts w:ascii="Times New Roman" w:hAnsi="Times New Roman" w:cs="Times New Roman"/>
          <w:b w:val="0"/>
          <w:bCs/>
          <w:color w:val="auto"/>
          <w:highlight w:val="none"/>
        </w:rPr>
      </w:pPr>
    </w:p>
    <w:p w14:paraId="7882A65B">
      <w:pPr>
        <w:widowControl/>
        <w:ind w:firstLine="600"/>
        <w:jc w:val="left"/>
        <w:rPr>
          <w:rFonts w:ascii="Times New Roman" w:hAnsi="Times New Roman" w:cs="Times New Roman"/>
          <w:b/>
          <w:color w:val="auto"/>
          <w:kern w:val="44"/>
          <w:sz w:val="30"/>
          <w:szCs w:val="30"/>
          <w:highlight w:val="none"/>
        </w:rPr>
      </w:pPr>
      <w:r>
        <w:rPr>
          <w:rFonts w:ascii="Times New Roman" w:hAnsi="Times New Roman" w:cs="Times New Roman"/>
          <w:bCs/>
          <w:color w:val="auto"/>
          <w:sz w:val="30"/>
          <w:szCs w:val="30"/>
          <w:highlight w:val="none"/>
        </w:rPr>
        <w:br w:type="page"/>
      </w:r>
    </w:p>
    <w:p w14:paraId="475ADE3A">
      <w:pPr>
        <w:pStyle w:val="2"/>
        <w:rPr>
          <w:bCs/>
          <w:color w:val="auto"/>
          <w:highlight w:val="none"/>
        </w:rPr>
      </w:pPr>
      <w:bookmarkStart w:id="236" w:name="_Toc180960215"/>
      <w:bookmarkStart w:id="237" w:name="_Toc16132"/>
      <w:bookmarkStart w:id="238" w:name="_Toc26886"/>
      <w:r>
        <w:rPr>
          <w:color w:val="auto"/>
          <w:highlight w:val="none"/>
        </w:rPr>
        <w:t>8 系统安全</w:t>
      </w:r>
      <w:bookmarkEnd w:id="236"/>
      <w:bookmarkEnd w:id="237"/>
      <w:bookmarkEnd w:id="238"/>
    </w:p>
    <w:bookmarkEnd w:id="216"/>
    <w:p w14:paraId="4926DAB1">
      <w:pPr>
        <w:pStyle w:val="3"/>
        <w:ind w:firstLine="482"/>
        <w:rPr>
          <w:color w:val="auto"/>
          <w:highlight w:val="none"/>
        </w:rPr>
      </w:pPr>
      <w:bookmarkStart w:id="239" w:name="_Toc180960216"/>
      <w:bookmarkStart w:id="240" w:name="_Toc6905"/>
      <w:bookmarkStart w:id="241" w:name="_Toc8034"/>
      <w:r>
        <w:rPr>
          <w:color w:val="auto"/>
          <w:highlight w:val="none"/>
        </w:rPr>
        <w:t>8.1 一般要求</w:t>
      </w:r>
      <w:bookmarkEnd w:id="239"/>
      <w:bookmarkEnd w:id="240"/>
      <w:bookmarkEnd w:id="241"/>
    </w:p>
    <w:p w14:paraId="35A92733">
      <w:pPr>
        <w:spacing w:line="360" w:lineRule="auto"/>
        <w:jc w:val="both"/>
        <w:rPr>
          <w:rFonts w:ascii="Times New Roman" w:hAnsi="Times New Roman" w:cs="Times New Roman"/>
          <w:color w:val="auto"/>
          <w:sz w:val="24"/>
          <w:highlight w:val="none"/>
        </w:rPr>
      </w:pPr>
      <w:r>
        <w:rPr>
          <w:rFonts w:ascii="Times New Roman" w:hAnsi="Times New Roman" w:cs="Times New Roman"/>
          <w:color w:val="auto"/>
          <w:sz w:val="24"/>
          <w:highlight w:val="none"/>
        </w:rPr>
        <w:t>8.1.1 设备及器件安全性能应符合现行国家标准《信息技术设备的安全》GB 4943.1的规定</w:t>
      </w:r>
      <w:r>
        <w:rPr>
          <w:rFonts w:hint="eastAsia" w:ascii="Times New Roman" w:hAnsi="Times New Roman" w:cs="Times New Roman"/>
          <w:color w:val="auto"/>
          <w:sz w:val="24"/>
          <w:highlight w:val="none"/>
          <w:lang w:eastAsia="zh-CN"/>
        </w:rPr>
        <w:t>。</w:t>
      </w:r>
      <w:r>
        <w:rPr>
          <w:rFonts w:ascii="Times New Roman" w:hAnsi="Times New Roman" w:cs="Times New Roman"/>
          <w:color w:val="auto"/>
          <w:sz w:val="24"/>
          <w:highlight w:val="none"/>
        </w:rPr>
        <w:t>无源器件及电缆</w:t>
      </w:r>
      <w:r>
        <w:rPr>
          <w:rFonts w:hint="eastAsia" w:ascii="Times New Roman" w:hAnsi="Times New Roman" w:cs="Times New Roman"/>
          <w:color w:val="auto"/>
          <w:sz w:val="24"/>
          <w:highlight w:val="none"/>
          <w:lang w:val="en-US" w:eastAsia="zh-CN"/>
        </w:rPr>
        <w:t>还</w:t>
      </w:r>
      <w:r>
        <w:rPr>
          <w:rFonts w:ascii="Times New Roman" w:hAnsi="Times New Roman" w:cs="Times New Roman"/>
          <w:color w:val="auto"/>
          <w:sz w:val="24"/>
          <w:highlight w:val="none"/>
        </w:rPr>
        <w:t>应符合下列</w:t>
      </w:r>
      <w:r>
        <w:rPr>
          <w:rFonts w:hint="eastAsia" w:ascii="Times New Roman" w:hAnsi="Times New Roman" w:cs="Times New Roman"/>
          <w:color w:val="auto"/>
          <w:sz w:val="24"/>
          <w:highlight w:val="none"/>
          <w:lang w:eastAsia="zh-CN"/>
        </w:rPr>
        <w:t>要求</w:t>
      </w:r>
      <w:r>
        <w:rPr>
          <w:rFonts w:ascii="Times New Roman" w:hAnsi="Times New Roman" w:cs="Times New Roman"/>
          <w:color w:val="auto"/>
          <w:sz w:val="24"/>
          <w:highlight w:val="none"/>
        </w:rPr>
        <w:t>：</w:t>
      </w:r>
    </w:p>
    <w:p w14:paraId="67C743AC">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1</w:t>
      </w:r>
      <w:r>
        <w:rPr>
          <w:rFonts w:hint="eastAsia" w:ascii="Times New Roman" w:hAnsi="Times New Roman" w:cs="Times New Roman"/>
          <w:color w:val="auto"/>
          <w:sz w:val="24"/>
          <w:highlight w:val="none"/>
        </w:rPr>
        <w:t xml:space="preserve"> </w:t>
      </w:r>
      <w:r>
        <w:rPr>
          <w:rFonts w:ascii="Times New Roman" w:hAnsi="Times New Roman" w:cs="Times New Roman"/>
          <w:color w:val="auto"/>
          <w:sz w:val="24"/>
          <w:highlight w:val="none"/>
        </w:rPr>
        <w:t>无源器件应具有持续工作的能力，在开路和短路的情况下能持续工作而不损坏</w:t>
      </w:r>
      <w:r>
        <w:rPr>
          <w:rFonts w:hint="eastAsia" w:ascii="Times New Roman" w:hAnsi="Times New Roman" w:cs="Times New Roman"/>
          <w:color w:val="auto"/>
          <w:sz w:val="24"/>
          <w:highlight w:val="none"/>
          <w:lang w:eastAsia="zh-CN"/>
        </w:rPr>
        <w:t>；</w:t>
      </w:r>
    </w:p>
    <w:p w14:paraId="3700C9A7">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2 </w:t>
      </w:r>
      <w:r>
        <w:rPr>
          <w:rFonts w:hint="eastAsia" w:ascii="Times New Roman" w:hAnsi="Times New Roman" w:cs="Times New Roman"/>
          <w:color w:val="auto"/>
          <w:sz w:val="24"/>
          <w:highlight w:val="none"/>
          <w:lang w:eastAsia="zh-CN"/>
        </w:rPr>
        <w:t>检查</w:t>
      </w:r>
      <w:r>
        <w:rPr>
          <w:rFonts w:ascii="Times New Roman" w:hAnsi="Times New Roman" w:cs="Times New Roman"/>
          <w:color w:val="auto"/>
          <w:sz w:val="24"/>
          <w:highlight w:val="none"/>
        </w:rPr>
        <w:t>同轴电缆相关检测报告，电缆应</w:t>
      </w:r>
      <w:r>
        <w:rPr>
          <w:rFonts w:hint="eastAsia" w:ascii="Times New Roman" w:hAnsi="Times New Roman" w:cs="Times New Roman"/>
          <w:color w:val="auto"/>
          <w:sz w:val="24"/>
          <w:highlight w:val="none"/>
          <w:lang w:val="en-US" w:eastAsia="zh-CN"/>
        </w:rPr>
        <w:t>采用低烟、阻燃、无卤无毒、防腐蚀、防鼠咬的防护层，应符合杂散电流腐蚀防护要求。</w:t>
      </w:r>
    </w:p>
    <w:p w14:paraId="337C003E">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8.1.2</w:t>
      </w:r>
      <w:r>
        <w:rPr>
          <w:rFonts w:hint="eastAsia" w:ascii="Times New Roman" w:hAnsi="Times New Roman" w:cs="Times New Roman"/>
          <w:color w:val="auto"/>
          <w:sz w:val="24"/>
          <w:highlight w:val="none"/>
        </w:rPr>
        <w:t xml:space="preserve"> </w:t>
      </w:r>
      <w:r>
        <w:rPr>
          <w:rFonts w:ascii="Times New Roman" w:hAnsi="Times New Roman" w:cs="Times New Roman"/>
          <w:color w:val="auto"/>
          <w:sz w:val="24"/>
          <w:highlight w:val="none"/>
        </w:rPr>
        <w:t>系统网络安全等级保护测评</w:t>
      </w:r>
      <w:r>
        <w:rPr>
          <w:rFonts w:hint="eastAsia" w:ascii="Times New Roman" w:hAnsi="Times New Roman" w:cs="Times New Roman"/>
          <w:color w:val="auto"/>
          <w:sz w:val="24"/>
          <w:highlight w:val="none"/>
          <w:lang w:val="en-US" w:eastAsia="zh-CN"/>
        </w:rPr>
        <w:t>可</w:t>
      </w:r>
      <w:r>
        <w:rPr>
          <w:rFonts w:hint="eastAsia" w:ascii="Times New Roman" w:hAnsi="Times New Roman" w:cs="Times New Roman"/>
          <w:color w:val="auto"/>
          <w:sz w:val="24"/>
          <w:highlight w:val="none"/>
        </w:rPr>
        <w:t>按照</w:t>
      </w:r>
      <w:r>
        <w:rPr>
          <w:rFonts w:ascii="Times New Roman" w:hAnsi="Times New Roman" w:cs="Times New Roman"/>
          <w:color w:val="auto"/>
          <w:sz w:val="24"/>
          <w:highlight w:val="none"/>
        </w:rPr>
        <w:t>现行国家标准《信息安全技术 网络安全等级保护测评要求》GB/T 28448的网络安全等级保护</w:t>
      </w:r>
      <w:r>
        <w:rPr>
          <w:rFonts w:hint="eastAsia" w:ascii="Times New Roman" w:hAnsi="Times New Roman" w:cs="Times New Roman"/>
          <w:color w:val="auto"/>
          <w:sz w:val="24"/>
          <w:highlight w:val="none"/>
        </w:rPr>
        <w:t>三级的规定执行</w:t>
      </w:r>
      <w:r>
        <w:rPr>
          <w:rFonts w:ascii="Times New Roman" w:hAnsi="Times New Roman" w:cs="Times New Roman"/>
          <w:color w:val="auto"/>
          <w:sz w:val="24"/>
          <w:highlight w:val="none"/>
        </w:rPr>
        <w:t>。</w:t>
      </w:r>
    </w:p>
    <w:p w14:paraId="154F496F">
      <w:pPr>
        <w:pStyle w:val="3"/>
        <w:ind w:firstLine="482"/>
        <w:rPr>
          <w:color w:val="auto"/>
          <w:highlight w:val="none"/>
        </w:rPr>
      </w:pPr>
      <w:bookmarkStart w:id="242" w:name="_Toc180960217"/>
      <w:bookmarkStart w:id="243" w:name="_Toc320"/>
      <w:bookmarkStart w:id="244" w:name="_Toc4586"/>
      <w:r>
        <w:rPr>
          <w:color w:val="auto"/>
          <w:highlight w:val="none"/>
        </w:rPr>
        <w:t>8.2 电气及系统安全检测</w:t>
      </w:r>
      <w:bookmarkEnd w:id="242"/>
      <w:bookmarkEnd w:id="243"/>
      <w:bookmarkEnd w:id="244"/>
    </w:p>
    <w:p w14:paraId="1E0F0C70">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8.2.1 接地导体电阻和连接电阻检查应符合本标准第4.</w:t>
      </w:r>
      <w:r>
        <w:rPr>
          <w:rFonts w:hint="eastAsia" w:ascii="Times New Roman" w:hAnsi="Times New Roman" w:cs="Times New Roman"/>
          <w:color w:val="auto"/>
          <w:sz w:val="24"/>
          <w:highlight w:val="none"/>
        </w:rPr>
        <w:t>4</w:t>
      </w:r>
      <w:r>
        <w:rPr>
          <w:rFonts w:hint="eastAsia" w:ascii="Times New Roman" w:hAnsi="Times New Roman" w:cs="Times New Roman"/>
          <w:color w:val="auto"/>
          <w:sz w:val="24"/>
          <w:highlight w:val="none"/>
          <w:lang w:val="en-US" w:eastAsia="zh-CN"/>
        </w:rPr>
        <w:t>节</w:t>
      </w:r>
      <w:r>
        <w:rPr>
          <w:rFonts w:ascii="Times New Roman" w:hAnsi="Times New Roman" w:cs="Times New Roman"/>
          <w:color w:val="auto"/>
          <w:sz w:val="24"/>
          <w:highlight w:val="none"/>
        </w:rPr>
        <w:t>的相关规定。</w:t>
      </w:r>
    </w:p>
    <w:p w14:paraId="029B7E5D">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8.2.2 电源电路的抗电强度检查应符合现行国家标准《信息技术设备的安全》GB 4943.1的</w:t>
      </w:r>
      <w:r>
        <w:rPr>
          <w:rFonts w:hint="eastAsia" w:ascii="Times New Roman" w:hAnsi="Times New Roman" w:cs="Times New Roman"/>
          <w:color w:val="auto"/>
          <w:sz w:val="24"/>
          <w:highlight w:val="none"/>
          <w:lang w:val="en-US" w:eastAsia="zh-CN"/>
        </w:rPr>
        <w:t>有</w:t>
      </w:r>
      <w:r>
        <w:rPr>
          <w:rFonts w:ascii="Times New Roman" w:hAnsi="Times New Roman" w:cs="Times New Roman"/>
          <w:color w:val="auto"/>
          <w:sz w:val="24"/>
          <w:highlight w:val="none"/>
        </w:rPr>
        <w:t>关规定。</w:t>
      </w:r>
    </w:p>
    <w:p w14:paraId="1C2AD901">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8.2.3 电源电路的接触电流检查应符合现行国家标准《信息技术设备的安全》GB 4943.1的</w:t>
      </w:r>
      <w:r>
        <w:rPr>
          <w:rFonts w:hint="eastAsia" w:ascii="Times New Roman" w:hAnsi="Times New Roman" w:cs="Times New Roman"/>
          <w:color w:val="auto"/>
          <w:sz w:val="24"/>
          <w:highlight w:val="none"/>
          <w:lang w:val="en-US" w:eastAsia="zh-CN"/>
        </w:rPr>
        <w:t>有</w:t>
      </w:r>
      <w:r>
        <w:rPr>
          <w:rFonts w:ascii="Times New Roman" w:hAnsi="Times New Roman" w:cs="Times New Roman"/>
          <w:color w:val="auto"/>
          <w:sz w:val="24"/>
          <w:highlight w:val="none"/>
        </w:rPr>
        <w:t>关规定。</w:t>
      </w:r>
    </w:p>
    <w:p w14:paraId="75A4CCD9">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8.2.4 信号分布系统安全要求应符合现行国家标准《信息技术设备的安全》GB 494</w:t>
      </w:r>
      <w:r>
        <w:rPr>
          <w:rFonts w:hint="eastAsia" w:ascii="Times New Roman" w:hAnsi="Times New Roman" w:cs="Times New Roman"/>
          <w:color w:val="auto"/>
          <w:sz w:val="24"/>
          <w:highlight w:val="none"/>
        </w:rPr>
        <w:t>3.1</w:t>
      </w:r>
      <w:r>
        <w:rPr>
          <w:rFonts w:ascii="Times New Roman" w:hAnsi="Times New Roman" w:cs="Times New Roman"/>
          <w:color w:val="auto"/>
          <w:sz w:val="24"/>
          <w:highlight w:val="none"/>
        </w:rPr>
        <w:t>的</w:t>
      </w:r>
      <w:r>
        <w:rPr>
          <w:rFonts w:hint="eastAsia" w:ascii="Times New Roman" w:hAnsi="Times New Roman" w:cs="Times New Roman"/>
          <w:color w:val="auto"/>
          <w:sz w:val="24"/>
          <w:highlight w:val="none"/>
          <w:lang w:val="en-US" w:eastAsia="zh-CN"/>
        </w:rPr>
        <w:t>有</w:t>
      </w:r>
      <w:r>
        <w:rPr>
          <w:rFonts w:ascii="Times New Roman" w:hAnsi="Times New Roman" w:cs="Times New Roman"/>
          <w:color w:val="auto"/>
          <w:sz w:val="24"/>
          <w:highlight w:val="none"/>
        </w:rPr>
        <w:t>关规定。</w:t>
      </w:r>
    </w:p>
    <w:p w14:paraId="11BD9130">
      <w:pPr>
        <w:pStyle w:val="3"/>
        <w:ind w:firstLine="482"/>
        <w:rPr>
          <w:color w:val="auto"/>
          <w:highlight w:val="none"/>
        </w:rPr>
      </w:pPr>
      <w:bookmarkStart w:id="245" w:name="_Toc180960218"/>
      <w:bookmarkStart w:id="246" w:name="_Toc18267"/>
      <w:bookmarkStart w:id="247" w:name="_Toc30722"/>
      <w:r>
        <w:rPr>
          <w:color w:val="auto"/>
          <w:highlight w:val="none"/>
        </w:rPr>
        <w:t>8.3 系统网络安全检测</w:t>
      </w:r>
      <w:bookmarkEnd w:id="245"/>
      <w:bookmarkEnd w:id="246"/>
      <w:bookmarkEnd w:id="247"/>
    </w:p>
    <w:p w14:paraId="46C5C592">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8.3.1 网络安全系统的检测应对安全物理环境、安全通信网络、安全区域边界、安全计算环境、安全管理中心、安全管理制度、安全管理机构、安全管理人员、安全建设管理、安全运维管理及移动互联进行检测。</w:t>
      </w:r>
    </w:p>
    <w:p w14:paraId="162CADAC">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8.3.2 安全物理环境检查应符合下列</w:t>
      </w:r>
      <w:r>
        <w:rPr>
          <w:rFonts w:hint="eastAsia" w:ascii="Times New Roman" w:hAnsi="Times New Roman" w:cs="Times New Roman"/>
          <w:color w:val="auto"/>
          <w:sz w:val="24"/>
          <w:highlight w:val="none"/>
          <w:lang w:eastAsia="zh-CN"/>
        </w:rPr>
        <w:t>要求</w:t>
      </w:r>
      <w:r>
        <w:rPr>
          <w:rFonts w:ascii="Times New Roman" w:hAnsi="Times New Roman" w:cs="Times New Roman"/>
          <w:color w:val="auto"/>
          <w:sz w:val="24"/>
          <w:highlight w:val="none"/>
        </w:rPr>
        <w:t>：</w:t>
      </w:r>
    </w:p>
    <w:p w14:paraId="45270E0D">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1 具有来访人员申请、审批流程及限制和监控其活动范围记录</w:t>
      </w:r>
      <w:r>
        <w:rPr>
          <w:rFonts w:hint="eastAsia" w:ascii="Times New Roman" w:hAnsi="Times New Roman" w:cs="Times New Roman"/>
          <w:color w:val="auto"/>
          <w:sz w:val="24"/>
          <w:highlight w:val="none"/>
          <w:lang w:eastAsia="zh-CN"/>
        </w:rPr>
        <w:t>；</w:t>
      </w:r>
    </w:p>
    <w:p w14:paraId="6C3C2DB7">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2 具有出入口控制记录、身份鉴别和进出人员信息记录</w:t>
      </w:r>
      <w:r>
        <w:rPr>
          <w:rFonts w:hint="eastAsia" w:ascii="Times New Roman" w:hAnsi="Times New Roman" w:cs="Times New Roman"/>
          <w:color w:val="auto"/>
          <w:sz w:val="24"/>
          <w:highlight w:val="none"/>
          <w:lang w:eastAsia="zh-CN"/>
        </w:rPr>
        <w:t>；</w:t>
      </w:r>
    </w:p>
    <w:p w14:paraId="4DD40BF3">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3 具有防盗窃、防破坏、防火、防水和防潮等相关措施</w:t>
      </w:r>
      <w:r>
        <w:rPr>
          <w:rFonts w:hint="eastAsia" w:ascii="Times New Roman" w:hAnsi="Times New Roman" w:cs="Times New Roman"/>
          <w:color w:val="auto"/>
          <w:sz w:val="24"/>
          <w:highlight w:val="none"/>
          <w:lang w:eastAsia="zh-CN"/>
        </w:rPr>
        <w:t>；</w:t>
      </w:r>
    </w:p>
    <w:p w14:paraId="031232AA">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4 电源系统的电能质量、环境的温度控制、防电磁干扰、防雷和接地应符合现行国家标准《信息安全技术 网络安全等级保护基本要求》GB/T 22239的有关规定。</w:t>
      </w:r>
    </w:p>
    <w:p w14:paraId="09227856">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8.3.3 安全通信网络及安全区域边界检查应符合下列</w:t>
      </w:r>
      <w:r>
        <w:rPr>
          <w:rFonts w:hint="eastAsia" w:ascii="Times New Roman" w:hAnsi="Times New Roman" w:cs="Times New Roman"/>
          <w:color w:val="auto"/>
          <w:sz w:val="24"/>
          <w:highlight w:val="none"/>
          <w:lang w:eastAsia="zh-CN"/>
        </w:rPr>
        <w:t>要求</w:t>
      </w:r>
      <w:r>
        <w:rPr>
          <w:rFonts w:ascii="Times New Roman" w:hAnsi="Times New Roman" w:cs="Times New Roman"/>
          <w:color w:val="auto"/>
          <w:sz w:val="24"/>
          <w:highlight w:val="none"/>
        </w:rPr>
        <w:t>：</w:t>
      </w:r>
    </w:p>
    <w:p w14:paraId="70D37D16">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1 设备控制系统应从线网管理层、线路监控层、车站控制层及现场设备层进行检查</w:t>
      </w:r>
      <w:r>
        <w:rPr>
          <w:rFonts w:hint="eastAsia" w:ascii="Times New Roman" w:hAnsi="Times New Roman" w:cs="Times New Roman"/>
          <w:color w:val="auto"/>
          <w:sz w:val="24"/>
          <w:highlight w:val="none"/>
          <w:lang w:eastAsia="zh-CN"/>
        </w:rPr>
        <w:t>；</w:t>
      </w:r>
    </w:p>
    <w:p w14:paraId="2CFE130A">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2 可使用网络扫描工具对网络结构及区域划分进行检查，网络结构及区域划分应符合设计要求</w:t>
      </w:r>
      <w:r>
        <w:rPr>
          <w:rFonts w:hint="eastAsia" w:ascii="Times New Roman" w:hAnsi="Times New Roman" w:cs="Times New Roman"/>
          <w:color w:val="auto"/>
          <w:sz w:val="24"/>
          <w:highlight w:val="none"/>
          <w:lang w:eastAsia="zh-CN"/>
        </w:rPr>
        <w:t>；</w:t>
      </w:r>
    </w:p>
    <w:p w14:paraId="1C9E177D">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3 路由器、交换机、防火墙及无线接入设备等网络通信设备的端口配置、控制策略、CPU使用率及内存使用率等应满足设计要求</w:t>
      </w:r>
      <w:r>
        <w:rPr>
          <w:rFonts w:hint="eastAsia" w:ascii="Times New Roman" w:hAnsi="Times New Roman" w:cs="Times New Roman"/>
          <w:color w:val="auto"/>
          <w:sz w:val="24"/>
          <w:highlight w:val="none"/>
          <w:lang w:eastAsia="zh-CN"/>
        </w:rPr>
        <w:t>；</w:t>
      </w:r>
    </w:p>
    <w:p w14:paraId="3FA3BA34">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4 入侵防护设备策略配置应符合设计要求，规则库版本应为最新版本</w:t>
      </w:r>
      <w:r>
        <w:rPr>
          <w:rFonts w:hint="eastAsia" w:ascii="Times New Roman" w:hAnsi="Times New Roman" w:cs="Times New Roman"/>
          <w:color w:val="auto"/>
          <w:sz w:val="24"/>
          <w:highlight w:val="none"/>
          <w:lang w:eastAsia="zh-CN"/>
        </w:rPr>
        <w:t>；</w:t>
      </w:r>
    </w:p>
    <w:p w14:paraId="2AC4BA94">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5 安全审计系统及内容过滤系统功能应符合设计要求</w:t>
      </w:r>
      <w:r>
        <w:rPr>
          <w:rFonts w:hint="eastAsia" w:ascii="Times New Roman" w:hAnsi="Times New Roman" w:cs="Times New Roman"/>
          <w:color w:val="auto"/>
          <w:sz w:val="24"/>
          <w:highlight w:val="none"/>
          <w:lang w:eastAsia="zh-CN"/>
        </w:rPr>
        <w:t>；</w:t>
      </w:r>
    </w:p>
    <w:p w14:paraId="03BCE7C2">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6 网络设备的标识、用户身份标识在用户列表中应为唯一，用户口令复杂度应满足要求并定期更换；应修改默认用户和口令，不得使用缺省口令</w:t>
      </w:r>
      <w:r>
        <w:rPr>
          <w:rFonts w:hint="eastAsia" w:ascii="Times New Roman" w:hAnsi="Times New Roman" w:cs="Times New Roman"/>
          <w:color w:val="auto"/>
          <w:sz w:val="24"/>
          <w:highlight w:val="none"/>
          <w:lang w:eastAsia="zh-CN"/>
        </w:rPr>
        <w:t>；</w:t>
      </w:r>
    </w:p>
    <w:p w14:paraId="010AC5D3">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7 在网络出口和核心网络接口处的网络流量、连接用户数；在用户和系统间允许访问规则，边界网络控制允许或拒绝访问网络资源等访问控制策略应满足设计要求</w:t>
      </w:r>
      <w:r>
        <w:rPr>
          <w:rFonts w:hint="eastAsia" w:ascii="Times New Roman" w:hAnsi="Times New Roman" w:cs="Times New Roman"/>
          <w:color w:val="auto"/>
          <w:sz w:val="24"/>
          <w:highlight w:val="none"/>
          <w:lang w:eastAsia="zh-CN"/>
        </w:rPr>
        <w:t>；</w:t>
      </w:r>
    </w:p>
    <w:p w14:paraId="56DD1946">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8 可采用嗅探方式抓取传输过程的数据包，鉴别重要业务数据和个人重要信息等在传输过程中是否进行了加密</w:t>
      </w:r>
      <w:r>
        <w:rPr>
          <w:rFonts w:hint="eastAsia" w:ascii="Times New Roman" w:hAnsi="Times New Roman" w:cs="Times New Roman"/>
          <w:color w:val="auto"/>
          <w:sz w:val="24"/>
          <w:highlight w:val="none"/>
          <w:lang w:eastAsia="zh-CN"/>
        </w:rPr>
        <w:t>；</w:t>
      </w:r>
    </w:p>
    <w:p w14:paraId="0E7A2C45">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9 可采用模拟网络系统故障，检查系统故障报警功能、自动切换时间以及错误恢复或故障排除后系统自动恢复的功能是否符合设计要求；同时模拟某一链路断开或发生故障时，检查系统是否保持正常工作，在故障恢复后能自动切换回主系统运行。</w:t>
      </w:r>
    </w:p>
    <w:p w14:paraId="3FAE5736">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8.3.4 安全计算环境检查应符合下列</w:t>
      </w:r>
      <w:r>
        <w:rPr>
          <w:rFonts w:hint="eastAsia" w:ascii="Times New Roman" w:hAnsi="Times New Roman" w:cs="Times New Roman"/>
          <w:color w:val="auto"/>
          <w:sz w:val="24"/>
          <w:highlight w:val="none"/>
          <w:lang w:eastAsia="zh-CN"/>
        </w:rPr>
        <w:t>要求</w:t>
      </w:r>
      <w:r>
        <w:rPr>
          <w:rFonts w:ascii="Times New Roman" w:hAnsi="Times New Roman" w:cs="Times New Roman"/>
          <w:color w:val="auto"/>
          <w:sz w:val="24"/>
          <w:highlight w:val="none"/>
        </w:rPr>
        <w:t>：</w:t>
      </w:r>
    </w:p>
    <w:p w14:paraId="4EA86274">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1 主机安全检查应符合下列</w:t>
      </w:r>
      <w:r>
        <w:rPr>
          <w:rFonts w:hint="eastAsia" w:ascii="Times New Roman" w:hAnsi="Times New Roman" w:cs="Times New Roman"/>
          <w:color w:val="auto"/>
          <w:sz w:val="24"/>
          <w:highlight w:val="none"/>
          <w:lang w:eastAsia="zh-CN"/>
        </w:rPr>
        <w:t>要求</w:t>
      </w:r>
      <w:r>
        <w:rPr>
          <w:rFonts w:ascii="Times New Roman" w:hAnsi="Times New Roman" w:cs="Times New Roman"/>
          <w:color w:val="auto"/>
          <w:sz w:val="24"/>
          <w:highlight w:val="none"/>
        </w:rPr>
        <w:t>：</w:t>
      </w:r>
    </w:p>
    <w:p w14:paraId="6AAF8C4F">
      <w:pPr>
        <w:numPr>
          <w:ilvl w:val="0"/>
          <w:numId w:val="4"/>
        </w:numPr>
        <w:spacing w:line="360" w:lineRule="auto"/>
        <w:ind w:firstLine="720" w:firstLineChars="3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登录操作系统时应对用户进行身份标识和鉴别，不同用户分配不同的</w:t>
      </w:r>
    </w:p>
    <w:p w14:paraId="0005AB52">
      <w:pPr>
        <w:numPr>
          <w:ilvl w:val="0"/>
          <w:numId w:val="0"/>
        </w:numPr>
        <w:spacing w:line="360" w:lineRule="auto"/>
        <w:ind w:leftChars="300"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用户名，确保用户名具有唯一性，管理用户身份鉴别信息应不易被冒</w:t>
      </w:r>
    </w:p>
    <w:p w14:paraId="2DC73C11">
      <w:pPr>
        <w:numPr>
          <w:ilvl w:val="0"/>
          <w:numId w:val="0"/>
        </w:numPr>
        <w:spacing w:line="360" w:lineRule="auto"/>
        <w:ind w:leftChars="300"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用，口令复杂度应满足要求并定期更换。对于多次登录失败可结束会</w:t>
      </w:r>
    </w:p>
    <w:p w14:paraId="528EA4C5">
      <w:pPr>
        <w:numPr>
          <w:ilvl w:val="0"/>
          <w:numId w:val="0"/>
        </w:numPr>
        <w:spacing w:line="360" w:lineRule="auto"/>
        <w:ind w:leftChars="300" w:firstLine="480" w:firstLineChars="200"/>
        <w:rPr>
          <w:rFonts w:hint="eastAsia" w:ascii="Times New Roman" w:hAnsi="Times New Roman" w:cs="Times New Roman"/>
          <w:color w:val="auto"/>
          <w:sz w:val="24"/>
          <w:highlight w:val="none"/>
          <w:lang w:eastAsia="zh-CN"/>
        </w:rPr>
      </w:pPr>
      <w:r>
        <w:rPr>
          <w:rFonts w:ascii="Times New Roman" w:hAnsi="Times New Roman" w:cs="Times New Roman"/>
          <w:color w:val="auto"/>
          <w:sz w:val="24"/>
          <w:highlight w:val="none"/>
        </w:rPr>
        <w:t>话、限制非法登录次数和自动退出等措施</w:t>
      </w:r>
      <w:r>
        <w:rPr>
          <w:rFonts w:hint="eastAsia" w:ascii="Times New Roman" w:hAnsi="Times New Roman" w:cs="Times New Roman"/>
          <w:color w:val="auto"/>
          <w:sz w:val="24"/>
          <w:highlight w:val="none"/>
          <w:lang w:eastAsia="zh-CN"/>
        </w:rPr>
        <w:t>；</w:t>
      </w:r>
    </w:p>
    <w:p w14:paraId="715EBE41">
      <w:pPr>
        <w:numPr>
          <w:ilvl w:val="0"/>
          <w:numId w:val="4"/>
        </w:numPr>
        <w:spacing w:line="360" w:lineRule="auto"/>
        <w:ind w:firstLine="720" w:firstLineChars="3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对服务器进行远程管理时，应采取必要措施，防止鉴别信息在网络传</w:t>
      </w:r>
    </w:p>
    <w:p w14:paraId="54F4836B">
      <w:pPr>
        <w:numPr>
          <w:ilvl w:val="0"/>
          <w:numId w:val="0"/>
        </w:numPr>
        <w:spacing w:line="360" w:lineRule="auto"/>
        <w:ind w:leftChars="300"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输过程中被窃听</w:t>
      </w:r>
      <w:r>
        <w:rPr>
          <w:rFonts w:hint="eastAsia" w:ascii="Times New Roman" w:hAnsi="Times New Roman" w:cs="Times New Roman"/>
          <w:color w:val="auto"/>
          <w:sz w:val="24"/>
          <w:highlight w:val="none"/>
          <w:lang w:eastAsia="zh-CN"/>
        </w:rPr>
        <w:t>；</w:t>
      </w:r>
    </w:p>
    <w:p w14:paraId="12C7749B">
      <w:pPr>
        <w:numPr>
          <w:ilvl w:val="0"/>
          <w:numId w:val="4"/>
        </w:numPr>
        <w:spacing w:line="360" w:lineRule="auto"/>
        <w:ind w:firstLine="720" w:firstLineChars="300"/>
        <w:rPr>
          <w:rFonts w:hint="eastAsia" w:ascii="Times New Roman" w:hAnsi="Times New Roman" w:cs="Times New Roman"/>
          <w:color w:val="auto"/>
          <w:sz w:val="24"/>
          <w:highlight w:val="none"/>
          <w:lang w:eastAsia="zh-CN"/>
        </w:rPr>
      </w:pPr>
      <w:r>
        <w:rPr>
          <w:rFonts w:ascii="Times New Roman" w:hAnsi="Times New Roman" w:cs="Times New Roman"/>
          <w:color w:val="auto"/>
          <w:sz w:val="24"/>
          <w:highlight w:val="none"/>
        </w:rPr>
        <w:t>不同权限用户对操作系统和数据库系统的访问，以及一般信息和重要</w:t>
      </w:r>
    </w:p>
    <w:p w14:paraId="1C19AAB2">
      <w:pPr>
        <w:numPr>
          <w:ilvl w:val="0"/>
          <w:numId w:val="0"/>
        </w:numPr>
        <w:spacing w:line="360" w:lineRule="auto"/>
        <w:ind w:leftChars="300" w:firstLine="480" w:firstLineChars="200"/>
        <w:rPr>
          <w:rFonts w:hint="eastAsia" w:ascii="Times New Roman" w:hAnsi="Times New Roman" w:cs="Times New Roman"/>
          <w:color w:val="auto"/>
          <w:sz w:val="24"/>
          <w:highlight w:val="none"/>
          <w:lang w:eastAsia="zh-CN"/>
        </w:rPr>
      </w:pPr>
      <w:r>
        <w:rPr>
          <w:rFonts w:ascii="Times New Roman" w:hAnsi="Times New Roman" w:cs="Times New Roman"/>
          <w:color w:val="auto"/>
          <w:sz w:val="24"/>
          <w:highlight w:val="none"/>
        </w:rPr>
        <w:t>信息资源的访问安全策略应符合设计要求</w:t>
      </w:r>
      <w:r>
        <w:rPr>
          <w:rFonts w:hint="eastAsia" w:ascii="Times New Roman" w:hAnsi="Times New Roman" w:cs="Times New Roman"/>
          <w:color w:val="auto"/>
          <w:sz w:val="24"/>
          <w:highlight w:val="none"/>
          <w:lang w:eastAsia="zh-CN"/>
        </w:rPr>
        <w:t>；</w:t>
      </w:r>
    </w:p>
    <w:p w14:paraId="6C0C32F3">
      <w:pPr>
        <w:numPr>
          <w:ilvl w:val="0"/>
          <w:numId w:val="4"/>
        </w:numPr>
        <w:spacing w:line="360" w:lineRule="auto"/>
        <w:ind w:firstLine="720" w:firstLineChars="300"/>
        <w:rPr>
          <w:rFonts w:hint="eastAsia" w:ascii="Times New Roman" w:hAnsi="Times New Roman" w:cs="Times New Roman"/>
          <w:color w:val="auto"/>
          <w:sz w:val="24"/>
          <w:highlight w:val="none"/>
          <w:lang w:eastAsia="zh-CN"/>
        </w:rPr>
      </w:pPr>
      <w:r>
        <w:rPr>
          <w:rFonts w:ascii="Times New Roman" w:hAnsi="Times New Roman" w:cs="Times New Roman"/>
          <w:color w:val="auto"/>
          <w:sz w:val="24"/>
          <w:highlight w:val="none"/>
        </w:rPr>
        <w:t>用户的添加和删除、审计功能的启动和关闭、审计策略的调整、权限</w:t>
      </w:r>
    </w:p>
    <w:p w14:paraId="056034EA">
      <w:pPr>
        <w:numPr>
          <w:ilvl w:val="0"/>
          <w:numId w:val="0"/>
        </w:numPr>
        <w:spacing w:line="360" w:lineRule="auto"/>
        <w:ind w:leftChars="300"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变更、系统资源的异常使用、重要的系统操作（如用户登录、退出）、</w:t>
      </w:r>
    </w:p>
    <w:p w14:paraId="7421B5EF">
      <w:pPr>
        <w:numPr>
          <w:ilvl w:val="0"/>
          <w:numId w:val="0"/>
        </w:numPr>
        <w:spacing w:line="360" w:lineRule="auto"/>
        <w:ind w:left="1109" w:leftChars="528" w:firstLine="0" w:firstLineChars="0"/>
        <w:rPr>
          <w:rFonts w:ascii="Times New Roman" w:hAnsi="Times New Roman" w:cs="Times New Roman"/>
          <w:color w:val="auto"/>
          <w:sz w:val="24"/>
          <w:highlight w:val="none"/>
        </w:rPr>
      </w:pPr>
      <w:r>
        <w:rPr>
          <w:rFonts w:ascii="Times New Roman" w:hAnsi="Times New Roman" w:cs="Times New Roman"/>
          <w:color w:val="auto"/>
          <w:sz w:val="24"/>
          <w:highlight w:val="none"/>
        </w:rPr>
        <w:t>系统资源的异常使用和重要系统命令的使用等系统内重要的安全相关事件记录信息应符合信息系统安全相关要求；应保护审计记录，避</w:t>
      </w:r>
    </w:p>
    <w:p w14:paraId="0AD89F3F">
      <w:pPr>
        <w:numPr>
          <w:ilvl w:val="0"/>
          <w:numId w:val="0"/>
        </w:numPr>
        <w:spacing w:line="360" w:lineRule="auto"/>
        <w:ind w:leftChars="300" w:firstLine="480" w:firstLineChars="200"/>
        <w:rPr>
          <w:rFonts w:hint="eastAsia" w:ascii="Times New Roman" w:hAnsi="Times New Roman" w:cs="Times New Roman"/>
          <w:color w:val="auto"/>
          <w:sz w:val="24"/>
          <w:highlight w:val="none"/>
          <w:lang w:eastAsia="zh-CN"/>
        </w:rPr>
      </w:pPr>
      <w:r>
        <w:rPr>
          <w:rFonts w:ascii="Times New Roman" w:hAnsi="Times New Roman" w:cs="Times New Roman"/>
          <w:color w:val="auto"/>
          <w:sz w:val="24"/>
          <w:highlight w:val="none"/>
        </w:rPr>
        <w:t>免受到未预期的删除、修改或覆盖等</w:t>
      </w:r>
      <w:r>
        <w:rPr>
          <w:rFonts w:hint="eastAsia" w:ascii="Times New Roman" w:hAnsi="Times New Roman" w:cs="Times New Roman"/>
          <w:color w:val="auto"/>
          <w:sz w:val="24"/>
          <w:highlight w:val="none"/>
          <w:lang w:eastAsia="zh-CN"/>
        </w:rPr>
        <w:t>；</w:t>
      </w:r>
    </w:p>
    <w:p w14:paraId="5015142C">
      <w:pPr>
        <w:numPr>
          <w:ilvl w:val="0"/>
          <w:numId w:val="4"/>
        </w:numPr>
        <w:spacing w:line="360" w:lineRule="auto"/>
        <w:ind w:firstLine="720" w:firstLineChars="300"/>
        <w:rPr>
          <w:rFonts w:hint="eastAsia" w:ascii="Times New Roman" w:hAnsi="Times New Roman" w:cs="Times New Roman"/>
          <w:color w:val="auto"/>
          <w:sz w:val="24"/>
          <w:highlight w:val="none"/>
          <w:lang w:eastAsia="zh-CN"/>
        </w:rPr>
      </w:pPr>
      <w:r>
        <w:rPr>
          <w:rFonts w:ascii="Times New Roman" w:hAnsi="Times New Roman" w:cs="Times New Roman"/>
          <w:color w:val="auto"/>
          <w:sz w:val="24"/>
          <w:highlight w:val="none"/>
        </w:rPr>
        <w:t>系统内的文件、目录和数据库记录等资源所在的存储空间（无论这些</w:t>
      </w:r>
    </w:p>
    <w:p w14:paraId="3C0C8A3D">
      <w:pPr>
        <w:numPr>
          <w:ilvl w:val="0"/>
          <w:numId w:val="0"/>
        </w:numPr>
        <w:spacing w:line="360" w:lineRule="auto"/>
        <w:ind w:left="1109" w:leftChars="528" w:firstLine="0" w:firstLineChars="0"/>
        <w:rPr>
          <w:rFonts w:hint="eastAsia" w:ascii="Times New Roman" w:hAnsi="Times New Roman" w:cs="Times New Roman"/>
          <w:color w:val="auto"/>
          <w:sz w:val="24"/>
          <w:highlight w:val="none"/>
          <w:lang w:eastAsia="zh-CN"/>
        </w:rPr>
      </w:pPr>
      <w:r>
        <w:rPr>
          <w:rFonts w:ascii="Times New Roman" w:hAnsi="Times New Roman" w:cs="Times New Roman"/>
          <w:color w:val="auto"/>
          <w:sz w:val="24"/>
          <w:highlight w:val="none"/>
        </w:rPr>
        <w:t>信息是存放在硬盘上还是在内存中），被释放或重新分配给其他用户前应得到完全清除</w:t>
      </w:r>
      <w:r>
        <w:rPr>
          <w:rFonts w:hint="eastAsia" w:ascii="Times New Roman" w:hAnsi="Times New Roman" w:cs="Times New Roman"/>
          <w:color w:val="auto"/>
          <w:sz w:val="24"/>
          <w:highlight w:val="none"/>
          <w:lang w:eastAsia="zh-CN"/>
        </w:rPr>
        <w:t>；</w:t>
      </w:r>
    </w:p>
    <w:p w14:paraId="3A10249F">
      <w:pPr>
        <w:numPr>
          <w:ilvl w:val="0"/>
          <w:numId w:val="4"/>
        </w:numPr>
        <w:spacing w:line="360" w:lineRule="auto"/>
        <w:ind w:firstLine="720" w:firstLineChars="300"/>
        <w:rPr>
          <w:rFonts w:ascii="Times New Roman" w:hAnsi="Times New Roman" w:cs="Times New Roman"/>
          <w:color w:val="auto"/>
          <w:sz w:val="24"/>
          <w:highlight w:val="none"/>
        </w:rPr>
      </w:pPr>
      <w:r>
        <w:rPr>
          <w:rFonts w:ascii="Times New Roman" w:hAnsi="Times New Roman" w:cs="Times New Roman"/>
          <w:color w:val="auto"/>
          <w:sz w:val="24"/>
          <w:highlight w:val="none"/>
        </w:rPr>
        <w:t>可使用安全扫描工具对主机系统进行扫描，检查操作系统及数据库是</w:t>
      </w:r>
    </w:p>
    <w:p w14:paraId="2B2C1D90">
      <w:pPr>
        <w:numPr>
          <w:ilvl w:val="0"/>
          <w:numId w:val="0"/>
        </w:numPr>
        <w:spacing w:line="360" w:lineRule="auto"/>
        <w:ind w:left="1109" w:leftChars="528" w:firstLine="0" w:firstLineChars="0"/>
        <w:rPr>
          <w:rFonts w:ascii="Times New Roman" w:hAnsi="Times New Roman" w:cs="Times New Roman"/>
          <w:color w:val="auto"/>
          <w:sz w:val="24"/>
          <w:highlight w:val="none"/>
        </w:rPr>
      </w:pPr>
      <w:r>
        <w:rPr>
          <w:rFonts w:ascii="Times New Roman" w:hAnsi="Times New Roman" w:cs="Times New Roman"/>
          <w:color w:val="auto"/>
          <w:sz w:val="24"/>
          <w:highlight w:val="none"/>
        </w:rPr>
        <w:t>否存在累积型漏洞、端口漏洞、服务器支持漏洞、受诫礼、SSL攻击信息泄露、安全绕过、未授权访问等高危风险的漏洞。</w:t>
      </w:r>
    </w:p>
    <w:p w14:paraId="641EB008">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 应用安全检查应符合下列</w:t>
      </w:r>
      <w:r>
        <w:rPr>
          <w:rFonts w:hint="eastAsia" w:ascii="Times New Roman" w:hAnsi="Times New Roman" w:cs="Times New Roman"/>
          <w:color w:val="auto"/>
          <w:sz w:val="24"/>
          <w:highlight w:val="none"/>
          <w:lang w:eastAsia="zh-CN"/>
        </w:rPr>
        <w:t>要求</w:t>
      </w:r>
      <w:r>
        <w:rPr>
          <w:rFonts w:ascii="Times New Roman" w:hAnsi="Times New Roman" w:cs="Times New Roman"/>
          <w:color w:val="auto"/>
          <w:sz w:val="24"/>
          <w:highlight w:val="none"/>
        </w:rPr>
        <w:t>：</w:t>
      </w:r>
    </w:p>
    <w:p w14:paraId="30355DBD">
      <w:pPr>
        <w:numPr>
          <w:ilvl w:val="0"/>
          <w:numId w:val="5"/>
        </w:numPr>
        <w:spacing w:line="360" w:lineRule="auto"/>
        <w:ind w:firstLine="720" w:firstLineChars="300"/>
        <w:rPr>
          <w:rFonts w:hint="eastAsia" w:ascii="Times New Roman" w:hAnsi="Times New Roman" w:cs="Times New Roman"/>
          <w:color w:val="auto"/>
          <w:sz w:val="24"/>
          <w:highlight w:val="none"/>
          <w:lang w:eastAsia="zh-CN"/>
        </w:rPr>
      </w:pPr>
      <w:r>
        <w:rPr>
          <w:rFonts w:ascii="Times New Roman" w:hAnsi="Times New Roman" w:cs="Times New Roman"/>
          <w:color w:val="auto"/>
          <w:sz w:val="24"/>
          <w:highlight w:val="none"/>
        </w:rPr>
        <w:t>登录应用系统时应对用户进行身份标识和鉴别，不同用户分配不同的</w:t>
      </w:r>
    </w:p>
    <w:p w14:paraId="71A3E0E5">
      <w:pPr>
        <w:numPr>
          <w:ilvl w:val="0"/>
          <w:numId w:val="0"/>
        </w:numPr>
        <w:spacing w:line="360" w:lineRule="auto"/>
        <w:ind w:left="1109" w:leftChars="528" w:firstLine="0" w:firstLineChars="0"/>
        <w:rPr>
          <w:rFonts w:hint="eastAsia" w:ascii="Times New Roman" w:hAnsi="Times New Roman" w:cs="Times New Roman"/>
          <w:color w:val="auto"/>
          <w:sz w:val="24"/>
          <w:highlight w:val="none"/>
          <w:lang w:eastAsia="zh-CN"/>
        </w:rPr>
      </w:pPr>
      <w:r>
        <w:rPr>
          <w:rFonts w:ascii="Times New Roman" w:hAnsi="Times New Roman" w:cs="Times New Roman"/>
          <w:color w:val="auto"/>
          <w:sz w:val="24"/>
          <w:highlight w:val="none"/>
        </w:rPr>
        <w:t>用户名，确保用户名具有唯一性，管理用户身份鉴别信息应不易被冒用，口令复杂度应满足要求并定期更换。对于多次登录失败可结束会话、限制非法登录次数和自动退出等措施</w:t>
      </w:r>
      <w:r>
        <w:rPr>
          <w:rFonts w:hint="eastAsia" w:ascii="Times New Roman" w:hAnsi="Times New Roman" w:cs="Times New Roman"/>
          <w:color w:val="auto"/>
          <w:sz w:val="24"/>
          <w:highlight w:val="none"/>
          <w:lang w:eastAsia="zh-CN"/>
        </w:rPr>
        <w:t>；</w:t>
      </w:r>
    </w:p>
    <w:p w14:paraId="7DCAE8A8">
      <w:pPr>
        <w:numPr>
          <w:ilvl w:val="0"/>
          <w:numId w:val="5"/>
        </w:numPr>
        <w:spacing w:line="360" w:lineRule="auto"/>
        <w:ind w:firstLine="720" w:firstLineChars="300"/>
        <w:rPr>
          <w:rFonts w:hint="eastAsia" w:ascii="Times New Roman" w:hAnsi="Times New Roman" w:cs="Times New Roman"/>
          <w:color w:val="auto"/>
          <w:sz w:val="24"/>
          <w:highlight w:val="none"/>
          <w:lang w:eastAsia="zh-CN"/>
        </w:rPr>
      </w:pPr>
      <w:r>
        <w:rPr>
          <w:rFonts w:ascii="Times New Roman" w:hAnsi="Times New Roman" w:cs="Times New Roman"/>
          <w:color w:val="auto"/>
          <w:sz w:val="24"/>
          <w:highlight w:val="none"/>
        </w:rPr>
        <w:t>不同权限用户对文件、数据库表等客体的访问，以及一般信息和重要</w:t>
      </w:r>
    </w:p>
    <w:p w14:paraId="5887E874">
      <w:pPr>
        <w:numPr>
          <w:ilvl w:val="0"/>
          <w:numId w:val="0"/>
        </w:numPr>
        <w:spacing w:line="360" w:lineRule="auto"/>
        <w:ind w:left="1109" w:leftChars="528" w:firstLine="0" w:firstLineChars="0"/>
        <w:rPr>
          <w:rFonts w:hint="eastAsia" w:ascii="Times New Roman" w:hAnsi="Times New Roman" w:cs="Times New Roman"/>
          <w:color w:val="auto"/>
          <w:sz w:val="24"/>
          <w:highlight w:val="none"/>
          <w:lang w:eastAsia="zh-CN"/>
        </w:rPr>
      </w:pPr>
      <w:r>
        <w:rPr>
          <w:rFonts w:ascii="Times New Roman" w:hAnsi="Times New Roman" w:cs="Times New Roman"/>
          <w:color w:val="auto"/>
          <w:sz w:val="24"/>
          <w:highlight w:val="none"/>
        </w:rPr>
        <w:t>信息资源的访问安全策略应符合设计要求</w:t>
      </w:r>
      <w:r>
        <w:rPr>
          <w:rFonts w:hint="eastAsia" w:ascii="Times New Roman" w:hAnsi="Times New Roman" w:cs="Times New Roman"/>
          <w:color w:val="auto"/>
          <w:sz w:val="24"/>
          <w:highlight w:val="none"/>
          <w:lang w:eastAsia="zh-CN"/>
        </w:rPr>
        <w:t>；</w:t>
      </w:r>
    </w:p>
    <w:p w14:paraId="49A8C1D2">
      <w:pPr>
        <w:numPr>
          <w:ilvl w:val="0"/>
          <w:numId w:val="5"/>
        </w:numPr>
        <w:spacing w:line="360" w:lineRule="auto"/>
        <w:ind w:firstLine="720" w:firstLineChars="300"/>
        <w:rPr>
          <w:rFonts w:hint="eastAsia" w:ascii="Times New Roman" w:hAnsi="Times New Roman" w:cs="Times New Roman"/>
          <w:color w:val="auto"/>
          <w:sz w:val="24"/>
          <w:highlight w:val="none"/>
          <w:lang w:eastAsia="zh-CN"/>
        </w:rPr>
      </w:pPr>
      <w:r>
        <w:rPr>
          <w:rFonts w:ascii="Times New Roman" w:hAnsi="Times New Roman" w:cs="Times New Roman"/>
          <w:color w:val="auto"/>
          <w:sz w:val="24"/>
          <w:highlight w:val="none"/>
        </w:rPr>
        <w:t>用户登录、用户退出、增加用户、修改用户权限等重要的安全相关事</w:t>
      </w:r>
    </w:p>
    <w:p w14:paraId="155FB6B5">
      <w:pPr>
        <w:numPr>
          <w:ilvl w:val="0"/>
          <w:numId w:val="0"/>
        </w:numPr>
        <w:spacing w:line="360" w:lineRule="auto"/>
        <w:ind w:left="1109" w:leftChars="528" w:firstLine="0" w:firstLineChars="0"/>
        <w:rPr>
          <w:rFonts w:hint="eastAsia" w:ascii="Times New Roman" w:hAnsi="Times New Roman" w:cs="Times New Roman"/>
          <w:color w:val="auto"/>
          <w:sz w:val="24"/>
          <w:highlight w:val="none"/>
          <w:lang w:eastAsia="zh-CN"/>
        </w:rPr>
      </w:pPr>
      <w:r>
        <w:rPr>
          <w:rFonts w:ascii="Times New Roman" w:hAnsi="Times New Roman" w:cs="Times New Roman"/>
          <w:color w:val="auto"/>
          <w:sz w:val="24"/>
          <w:highlight w:val="none"/>
        </w:rPr>
        <w:t>件记录信息应符合信息系统安全相关要求；应保证审计活动的完整性和连续性，保证无法删除、修改或覆盖审计记录</w:t>
      </w:r>
      <w:r>
        <w:rPr>
          <w:rFonts w:hint="eastAsia" w:ascii="Times New Roman" w:hAnsi="Times New Roman" w:cs="Times New Roman"/>
          <w:color w:val="auto"/>
          <w:sz w:val="24"/>
          <w:highlight w:val="none"/>
          <w:lang w:eastAsia="zh-CN"/>
        </w:rPr>
        <w:t>；</w:t>
      </w:r>
    </w:p>
    <w:p w14:paraId="69B54DDF">
      <w:pPr>
        <w:numPr>
          <w:ilvl w:val="0"/>
          <w:numId w:val="5"/>
        </w:numPr>
        <w:spacing w:line="360" w:lineRule="auto"/>
        <w:ind w:firstLine="720" w:firstLineChars="300"/>
        <w:rPr>
          <w:rFonts w:hint="eastAsia" w:ascii="Times New Roman" w:hAnsi="Times New Roman" w:cs="Times New Roman"/>
          <w:color w:val="auto"/>
          <w:sz w:val="24"/>
          <w:highlight w:val="none"/>
          <w:lang w:eastAsia="zh-CN"/>
        </w:rPr>
      </w:pPr>
      <w:r>
        <w:rPr>
          <w:rFonts w:ascii="Times New Roman" w:hAnsi="Times New Roman" w:cs="Times New Roman"/>
          <w:color w:val="auto"/>
          <w:sz w:val="24"/>
          <w:highlight w:val="none"/>
        </w:rPr>
        <w:t>系统内的文件、目录和数据库记录等资源所在的存储空间（无论这些</w:t>
      </w:r>
    </w:p>
    <w:p w14:paraId="4C76FEA5">
      <w:pPr>
        <w:numPr>
          <w:ilvl w:val="0"/>
          <w:numId w:val="0"/>
        </w:numPr>
        <w:spacing w:line="360" w:lineRule="auto"/>
        <w:ind w:left="1109" w:leftChars="528" w:firstLine="0" w:firstLineChars="0"/>
        <w:rPr>
          <w:rFonts w:hint="eastAsia" w:ascii="Times New Roman" w:hAnsi="Times New Roman" w:cs="Times New Roman"/>
          <w:color w:val="auto"/>
          <w:sz w:val="24"/>
          <w:highlight w:val="none"/>
          <w:lang w:eastAsia="zh-CN"/>
        </w:rPr>
      </w:pPr>
      <w:r>
        <w:rPr>
          <w:rFonts w:ascii="Times New Roman" w:hAnsi="Times New Roman" w:cs="Times New Roman"/>
          <w:color w:val="auto"/>
          <w:sz w:val="24"/>
          <w:highlight w:val="none"/>
        </w:rPr>
        <w:t>信息是存放在硬盘上还是在内存中），被释放或重新分配给其他用户前应得到完全清除</w:t>
      </w:r>
      <w:r>
        <w:rPr>
          <w:rFonts w:hint="eastAsia" w:ascii="Times New Roman" w:hAnsi="Times New Roman" w:cs="Times New Roman"/>
          <w:color w:val="auto"/>
          <w:sz w:val="24"/>
          <w:highlight w:val="none"/>
          <w:lang w:eastAsia="zh-CN"/>
        </w:rPr>
        <w:t>；</w:t>
      </w:r>
    </w:p>
    <w:p w14:paraId="79BBD975">
      <w:pPr>
        <w:numPr>
          <w:ilvl w:val="0"/>
          <w:numId w:val="5"/>
        </w:numPr>
        <w:spacing w:line="360" w:lineRule="auto"/>
        <w:ind w:firstLine="720" w:firstLineChars="300"/>
        <w:rPr>
          <w:rFonts w:hint="eastAsia" w:ascii="Times New Roman" w:hAnsi="Times New Roman" w:cs="Times New Roman"/>
          <w:color w:val="auto"/>
          <w:sz w:val="24"/>
          <w:highlight w:val="none"/>
          <w:lang w:eastAsia="zh-CN"/>
        </w:rPr>
      </w:pPr>
      <w:r>
        <w:rPr>
          <w:rFonts w:ascii="Times New Roman" w:hAnsi="Times New Roman" w:cs="Times New Roman"/>
          <w:color w:val="auto"/>
          <w:sz w:val="24"/>
          <w:highlight w:val="none"/>
        </w:rPr>
        <w:t>数据在传输过程中整个报文或会话过程应进行加密，在请求的情况下</w:t>
      </w:r>
    </w:p>
    <w:p w14:paraId="23795637">
      <w:pPr>
        <w:numPr>
          <w:ilvl w:val="0"/>
          <w:numId w:val="0"/>
        </w:numPr>
        <w:spacing w:line="360" w:lineRule="auto"/>
        <w:ind w:left="1109" w:leftChars="528" w:firstLine="0" w:firstLineChars="0"/>
        <w:rPr>
          <w:rFonts w:hint="eastAsia" w:ascii="Times New Roman" w:hAnsi="Times New Roman" w:cs="Times New Roman"/>
          <w:color w:val="auto"/>
          <w:sz w:val="24"/>
          <w:highlight w:val="none"/>
          <w:lang w:eastAsia="zh-CN"/>
        </w:rPr>
      </w:pPr>
      <w:r>
        <w:rPr>
          <w:rFonts w:ascii="Times New Roman" w:hAnsi="Times New Roman" w:cs="Times New Roman"/>
          <w:color w:val="auto"/>
          <w:sz w:val="24"/>
          <w:highlight w:val="none"/>
        </w:rPr>
        <w:t>为数据原发者或接收者提供数据原发证据的功能应正常</w:t>
      </w:r>
      <w:r>
        <w:rPr>
          <w:rFonts w:hint="eastAsia" w:ascii="Times New Roman" w:hAnsi="Times New Roman" w:cs="Times New Roman"/>
          <w:color w:val="auto"/>
          <w:sz w:val="24"/>
          <w:highlight w:val="none"/>
          <w:lang w:eastAsia="zh-CN"/>
        </w:rPr>
        <w:t>；</w:t>
      </w:r>
    </w:p>
    <w:p w14:paraId="5D3E685E">
      <w:pPr>
        <w:numPr>
          <w:ilvl w:val="0"/>
          <w:numId w:val="5"/>
        </w:numPr>
        <w:spacing w:line="360" w:lineRule="auto"/>
        <w:ind w:firstLine="720" w:firstLineChars="300"/>
        <w:rPr>
          <w:rFonts w:hint="eastAsia" w:ascii="Times New Roman" w:hAnsi="Times New Roman" w:cs="Times New Roman"/>
          <w:color w:val="auto"/>
          <w:sz w:val="24"/>
          <w:highlight w:val="none"/>
          <w:lang w:eastAsia="zh-CN"/>
        </w:rPr>
      </w:pPr>
      <w:r>
        <w:rPr>
          <w:rFonts w:ascii="Times New Roman" w:hAnsi="Times New Roman" w:cs="Times New Roman"/>
          <w:color w:val="auto"/>
          <w:sz w:val="24"/>
          <w:highlight w:val="none"/>
        </w:rPr>
        <w:t>人机接口输入或通过通信接口输入的数据格式或长度应符合系统设定</w:t>
      </w:r>
    </w:p>
    <w:p w14:paraId="7992E8A3">
      <w:pPr>
        <w:numPr>
          <w:ilvl w:val="0"/>
          <w:numId w:val="0"/>
        </w:numPr>
        <w:spacing w:line="360" w:lineRule="auto"/>
        <w:ind w:left="1109" w:leftChars="528" w:firstLine="0" w:firstLineChars="0"/>
        <w:rPr>
          <w:rFonts w:hint="eastAsia" w:ascii="Times New Roman" w:hAnsi="Times New Roman" w:cs="Times New Roman"/>
          <w:color w:val="auto"/>
          <w:sz w:val="24"/>
          <w:highlight w:val="none"/>
          <w:lang w:eastAsia="zh-CN"/>
        </w:rPr>
      </w:pPr>
      <w:r>
        <w:rPr>
          <w:rFonts w:ascii="Times New Roman" w:hAnsi="Times New Roman" w:cs="Times New Roman"/>
          <w:color w:val="auto"/>
          <w:sz w:val="24"/>
          <w:highlight w:val="none"/>
        </w:rPr>
        <w:t>要求</w:t>
      </w:r>
      <w:r>
        <w:rPr>
          <w:rFonts w:hint="eastAsia" w:ascii="Times New Roman" w:hAnsi="Times New Roman" w:cs="Times New Roman"/>
          <w:color w:val="auto"/>
          <w:sz w:val="24"/>
          <w:highlight w:val="none"/>
          <w:lang w:eastAsia="zh-CN"/>
        </w:rPr>
        <w:t>；</w:t>
      </w:r>
    </w:p>
    <w:p w14:paraId="1A263815">
      <w:pPr>
        <w:numPr>
          <w:ilvl w:val="0"/>
          <w:numId w:val="5"/>
        </w:numPr>
        <w:spacing w:line="360" w:lineRule="auto"/>
        <w:ind w:firstLine="720" w:firstLineChars="300"/>
        <w:rPr>
          <w:rFonts w:hint="eastAsia" w:ascii="Times New Roman" w:hAnsi="Times New Roman" w:cs="Times New Roman"/>
          <w:color w:val="auto"/>
          <w:sz w:val="24"/>
          <w:highlight w:val="none"/>
          <w:lang w:eastAsia="zh-CN"/>
        </w:rPr>
      </w:pPr>
      <w:r>
        <w:rPr>
          <w:rFonts w:ascii="Times New Roman" w:hAnsi="Times New Roman" w:cs="Times New Roman"/>
          <w:color w:val="auto"/>
          <w:sz w:val="24"/>
          <w:highlight w:val="none"/>
        </w:rPr>
        <w:t>当故障发生时自动保护当前所有状态</w:t>
      </w:r>
      <w:r>
        <w:rPr>
          <w:rFonts w:hint="eastAsia" w:ascii="Times New Roman" w:hAnsi="Times New Roman" w:cs="Times New Roman"/>
          <w:color w:val="auto"/>
          <w:sz w:val="24"/>
          <w:highlight w:val="none"/>
          <w:lang w:eastAsia="zh-CN"/>
        </w:rPr>
        <w:t>；</w:t>
      </w:r>
    </w:p>
    <w:p w14:paraId="3DBEC4F2">
      <w:pPr>
        <w:numPr>
          <w:ilvl w:val="0"/>
          <w:numId w:val="5"/>
        </w:numPr>
        <w:spacing w:line="360" w:lineRule="auto"/>
        <w:ind w:firstLine="720" w:firstLineChars="300"/>
        <w:rPr>
          <w:rFonts w:ascii="Times New Roman" w:hAnsi="Times New Roman" w:cs="Times New Roman"/>
          <w:color w:val="auto"/>
          <w:sz w:val="24"/>
          <w:highlight w:val="none"/>
        </w:rPr>
      </w:pPr>
      <w:r>
        <w:rPr>
          <w:rFonts w:ascii="Times New Roman" w:hAnsi="Times New Roman" w:cs="Times New Roman"/>
          <w:color w:val="auto"/>
          <w:sz w:val="24"/>
          <w:highlight w:val="none"/>
        </w:rPr>
        <w:t>可使用安全扫描工具对应用系统进行扫描，检查应用系统是否存在</w:t>
      </w:r>
    </w:p>
    <w:p w14:paraId="676DB392">
      <w:pPr>
        <w:numPr>
          <w:ilvl w:val="0"/>
          <w:numId w:val="0"/>
        </w:numPr>
        <w:spacing w:line="360" w:lineRule="auto"/>
        <w:ind w:left="1109" w:leftChars="528" w:firstLine="0" w:firstLineChars="0"/>
        <w:rPr>
          <w:rFonts w:ascii="Times New Roman" w:hAnsi="Times New Roman" w:cs="Times New Roman"/>
          <w:color w:val="auto"/>
          <w:sz w:val="24"/>
          <w:highlight w:val="none"/>
        </w:rPr>
      </w:pPr>
      <w:r>
        <w:rPr>
          <w:rFonts w:ascii="Times New Roman" w:hAnsi="Times New Roman" w:cs="Times New Roman"/>
          <w:color w:val="auto"/>
          <w:sz w:val="24"/>
          <w:highlight w:val="none"/>
        </w:rPr>
        <w:t>SQL注入、跨站脚本、弱口令、HTTP报头追踪、Struts2远程命令执行、文件上传、未加密登录请求等高危风险的漏洞。</w:t>
      </w:r>
    </w:p>
    <w:p w14:paraId="1D594AFA">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 数据安全及备份恢复检查应符合下列</w:t>
      </w:r>
      <w:r>
        <w:rPr>
          <w:rFonts w:hint="eastAsia" w:ascii="Times New Roman" w:hAnsi="Times New Roman" w:cs="Times New Roman"/>
          <w:color w:val="auto"/>
          <w:sz w:val="24"/>
          <w:highlight w:val="none"/>
          <w:lang w:eastAsia="zh-CN"/>
        </w:rPr>
        <w:t>要求</w:t>
      </w:r>
      <w:r>
        <w:rPr>
          <w:rFonts w:ascii="Times New Roman" w:hAnsi="Times New Roman" w:cs="Times New Roman"/>
          <w:color w:val="auto"/>
          <w:sz w:val="24"/>
          <w:highlight w:val="none"/>
        </w:rPr>
        <w:t>：</w:t>
      </w:r>
    </w:p>
    <w:p w14:paraId="6359DA5E">
      <w:pPr>
        <w:numPr>
          <w:ilvl w:val="0"/>
          <w:numId w:val="6"/>
        </w:numPr>
        <w:spacing w:line="360" w:lineRule="auto"/>
        <w:ind w:firstLine="720" w:firstLineChars="300"/>
        <w:rPr>
          <w:rFonts w:ascii="Times New Roman" w:hAnsi="Times New Roman" w:cs="Times New Roman"/>
          <w:color w:val="auto"/>
          <w:sz w:val="24"/>
          <w:highlight w:val="none"/>
        </w:rPr>
      </w:pPr>
      <w:r>
        <w:rPr>
          <w:rFonts w:ascii="Times New Roman" w:hAnsi="Times New Roman" w:cs="Times New Roman"/>
          <w:color w:val="auto"/>
          <w:sz w:val="24"/>
          <w:highlight w:val="none"/>
        </w:rPr>
        <w:t>系统管理数据、鉴别信息和重要业务数据在传输和存储过程中完整性</w:t>
      </w:r>
    </w:p>
    <w:p w14:paraId="1CFC8597">
      <w:pPr>
        <w:numPr>
          <w:ilvl w:val="0"/>
          <w:numId w:val="0"/>
        </w:numPr>
        <w:spacing w:line="360" w:lineRule="auto"/>
        <w:ind w:left="1109" w:leftChars="528" w:firstLine="0" w:firstLineChars="0"/>
        <w:rPr>
          <w:rFonts w:ascii="Times New Roman" w:hAnsi="Times New Roman" w:cs="Times New Roman"/>
          <w:color w:val="auto"/>
          <w:sz w:val="24"/>
          <w:highlight w:val="none"/>
        </w:rPr>
      </w:pPr>
      <w:r>
        <w:rPr>
          <w:rFonts w:ascii="Times New Roman" w:hAnsi="Times New Roman" w:cs="Times New Roman"/>
          <w:color w:val="auto"/>
          <w:sz w:val="24"/>
          <w:highlight w:val="none"/>
        </w:rPr>
        <w:t>受到破坏时，在检测到完整性错误时应采取必要的恢复措施；</w:t>
      </w:r>
    </w:p>
    <w:p w14:paraId="69A3E914">
      <w:pPr>
        <w:numPr>
          <w:ilvl w:val="0"/>
          <w:numId w:val="6"/>
        </w:numPr>
        <w:spacing w:line="360" w:lineRule="auto"/>
        <w:ind w:firstLine="720" w:firstLineChars="300"/>
        <w:rPr>
          <w:rFonts w:hint="eastAsia" w:ascii="Times New Roman" w:hAnsi="Times New Roman" w:cs="Times New Roman"/>
          <w:color w:val="auto"/>
          <w:sz w:val="24"/>
          <w:highlight w:val="none"/>
          <w:lang w:eastAsia="zh-CN"/>
        </w:rPr>
      </w:pPr>
      <w:r>
        <w:rPr>
          <w:rFonts w:ascii="Times New Roman" w:hAnsi="Times New Roman" w:cs="Times New Roman"/>
          <w:color w:val="auto"/>
          <w:sz w:val="24"/>
          <w:highlight w:val="none"/>
        </w:rPr>
        <w:t>系统管理数据、鉴别信息和重要业务数据传输保密性和数据存储保密</w:t>
      </w:r>
    </w:p>
    <w:p w14:paraId="6629E8CD">
      <w:pPr>
        <w:numPr>
          <w:ilvl w:val="0"/>
          <w:numId w:val="0"/>
        </w:numPr>
        <w:spacing w:line="360" w:lineRule="auto"/>
        <w:ind w:left="1109" w:leftChars="528" w:firstLine="0" w:firstLineChars="0"/>
        <w:rPr>
          <w:rFonts w:hint="eastAsia" w:ascii="Times New Roman" w:hAnsi="Times New Roman" w:cs="Times New Roman"/>
          <w:color w:val="auto"/>
          <w:sz w:val="24"/>
          <w:highlight w:val="none"/>
          <w:lang w:eastAsia="zh-CN"/>
        </w:rPr>
      </w:pPr>
      <w:r>
        <w:rPr>
          <w:rFonts w:ascii="Times New Roman" w:hAnsi="Times New Roman" w:cs="Times New Roman"/>
          <w:color w:val="auto"/>
          <w:sz w:val="24"/>
          <w:highlight w:val="none"/>
        </w:rPr>
        <w:t>性应符合信息系统安全相关要求</w:t>
      </w:r>
      <w:r>
        <w:rPr>
          <w:rFonts w:hint="eastAsia" w:ascii="Times New Roman" w:hAnsi="Times New Roman" w:cs="Times New Roman"/>
          <w:color w:val="auto"/>
          <w:sz w:val="24"/>
          <w:highlight w:val="none"/>
          <w:lang w:eastAsia="zh-CN"/>
        </w:rPr>
        <w:t>；</w:t>
      </w:r>
    </w:p>
    <w:p w14:paraId="061BFFDD">
      <w:pPr>
        <w:numPr>
          <w:ilvl w:val="0"/>
          <w:numId w:val="6"/>
        </w:numPr>
        <w:spacing w:line="360" w:lineRule="auto"/>
        <w:ind w:firstLine="720" w:firstLineChars="300"/>
        <w:rPr>
          <w:rFonts w:ascii="Times New Roman" w:hAnsi="Times New Roman" w:cs="Times New Roman"/>
          <w:color w:val="auto"/>
          <w:sz w:val="24"/>
          <w:highlight w:val="none"/>
        </w:rPr>
      </w:pPr>
      <w:r>
        <w:rPr>
          <w:rFonts w:ascii="Times New Roman" w:hAnsi="Times New Roman" w:cs="Times New Roman"/>
          <w:color w:val="auto"/>
          <w:sz w:val="24"/>
          <w:highlight w:val="none"/>
        </w:rPr>
        <w:t>对于数据安全性要求高的设备控制系统实时数据、组态数据、控制方</w:t>
      </w:r>
    </w:p>
    <w:p w14:paraId="65EB55C3">
      <w:pPr>
        <w:numPr>
          <w:ilvl w:val="0"/>
          <w:numId w:val="0"/>
        </w:numPr>
        <w:spacing w:line="360" w:lineRule="auto"/>
        <w:ind w:left="1109" w:leftChars="528" w:firstLine="0" w:firstLineChars="0"/>
        <w:rPr>
          <w:rFonts w:ascii="Times New Roman" w:hAnsi="Times New Roman" w:cs="Times New Roman"/>
          <w:color w:val="auto"/>
          <w:sz w:val="24"/>
          <w:highlight w:val="none"/>
        </w:rPr>
      </w:pPr>
      <w:r>
        <w:rPr>
          <w:rFonts w:ascii="Times New Roman" w:hAnsi="Times New Roman" w:cs="Times New Roman"/>
          <w:color w:val="auto"/>
          <w:sz w:val="24"/>
          <w:highlight w:val="none"/>
        </w:rPr>
        <w:t>案等重要数据应具有实时备份和定期备份措施；对操作系统、应用系统等重要信息应至少每天一次的频率进行备份；对于安全性要求非常高的数据，应进行异地实时备份；当需要数据恢复，应能恢复至备份执行时状态。</w:t>
      </w:r>
    </w:p>
    <w:p w14:paraId="1AD35D5B">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8.3.5 安全管理中心、安全管理制度、安全管理机构、安全管理人员、安全建设管理、安全运维管理及移动互联的检查应符合现行国家标准《信息安全技术 网络安全等级保护基本要求》GB/T 22239的有关规定。</w:t>
      </w:r>
    </w:p>
    <w:p w14:paraId="3153177C">
      <w:pPr>
        <w:ind w:firstLine="56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br w:type="page"/>
      </w:r>
    </w:p>
    <w:p w14:paraId="014C1833">
      <w:pPr>
        <w:pStyle w:val="2"/>
        <w:rPr>
          <w:rStyle w:val="39"/>
          <w:rFonts w:ascii="Times New Roman" w:hAnsi="Times New Roman"/>
          <w:b w:val="0"/>
          <w:color w:val="auto"/>
          <w:highlight w:val="none"/>
        </w:rPr>
      </w:pPr>
      <w:bookmarkStart w:id="248" w:name="_Toc32022"/>
      <w:bookmarkStart w:id="249" w:name="_Toc180960219"/>
      <w:bookmarkStart w:id="250" w:name="_Toc26671"/>
      <w:r>
        <w:rPr>
          <w:color w:val="auto"/>
          <w:highlight w:val="none"/>
        </w:rPr>
        <w:t>附录A 检测仪器的主要性能和参数指标</w:t>
      </w:r>
      <w:bookmarkEnd w:id="248"/>
      <w:bookmarkEnd w:id="249"/>
      <w:bookmarkEnd w:id="250"/>
    </w:p>
    <w:p w14:paraId="45EE085E">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color w:val="auto"/>
          <w:sz w:val="24"/>
          <w:highlight w:val="none"/>
          <w:lang w:val="en-US" w:eastAsia="zh-CN"/>
        </w:rPr>
      </w:pPr>
      <w:r>
        <w:rPr>
          <w:rFonts w:hint="eastAsia" w:ascii="Times New Roman" w:hAnsi="Times New Roman" w:cs="Times New Roman"/>
          <w:b w:val="0"/>
          <w:bCs/>
          <w:color w:val="auto"/>
          <w:sz w:val="24"/>
          <w:highlight w:val="none"/>
          <w:lang w:val="en-US" w:eastAsia="zh-CN"/>
        </w:rPr>
        <w:t>A.0.1 移动通信信号分布系统检测仪器的主要性能指标应满足表A.0.1-1</w:t>
      </w:r>
      <w:r>
        <w:rPr>
          <w:rFonts w:ascii="Times New Roman" w:hAnsi="Times New Roman" w:cs="Times New Roman"/>
          <w:color w:val="auto"/>
          <w:sz w:val="24"/>
          <w:szCs w:val="24"/>
          <w:highlight w:val="none"/>
        </w:rPr>
        <w:t>～</w:t>
      </w:r>
      <w:r>
        <w:rPr>
          <w:rFonts w:hint="eastAsia" w:ascii="Times New Roman" w:hAnsi="Times New Roman" w:cs="Times New Roman"/>
          <w:b w:val="0"/>
          <w:bCs/>
          <w:color w:val="auto"/>
          <w:sz w:val="24"/>
          <w:highlight w:val="none"/>
          <w:lang w:val="en-US" w:eastAsia="zh-CN"/>
        </w:rPr>
        <w:t>表A.0.1-12的要求。</w:t>
      </w:r>
    </w:p>
    <w:p w14:paraId="08AB66E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表</w:t>
      </w:r>
      <w:r>
        <w:rPr>
          <w:rFonts w:ascii="Times New Roman" w:hAnsi="Times New Roman" w:cs="Times New Roman"/>
          <w:b/>
          <w:color w:val="auto"/>
          <w:sz w:val="24"/>
          <w:highlight w:val="none"/>
        </w:rPr>
        <w:t>A.</w:t>
      </w:r>
      <w:r>
        <w:rPr>
          <w:rFonts w:hint="eastAsia" w:ascii="Times New Roman" w:hAnsi="Times New Roman" w:cs="Times New Roman"/>
          <w:b/>
          <w:color w:val="auto"/>
          <w:sz w:val="24"/>
          <w:highlight w:val="none"/>
          <w:lang w:val="en-US" w:eastAsia="zh-CN"/>
        </w:rPr>
        <w:t>0.1-</w:t>
      </w:r>
      <w:r>
        <w:rPr>
          <w:rFonts w:ascii="Times New Roman" w:hAnsi="Times New Roman" w:cs="Times New Roman"/>
          <w:b/>
          <w:color w:val="auto"/>
          <w:sz w:val="24"/>
          <w:highlight w:val="none"/>
        </w:rPr>
        <w:t>1 光源</w:t>
      </w:r>
      <w:r>
        <w:rPr>
          <w:rFonts w:hint="eastAsia" w:ascii="Times New Roman" w:hAnsi="Times New Roman" w:cs="Times New Roman"/>
          <w:b/>
          <w:color w:val="auto"/>
          <w:sz w:val="24"/>
          <w:highlight w:val="none"/>
          <w:lang w:val="en-US" w:eastAsia="zh-CN"/>
        </w:rPr>
        <w:t>指标要求</w:t>
      </w:r>
    </w:p>
    <w:tbl>
      <w:tblPr>
        <w:tblStyle w:val="30"/>
        <w:tblW w:w="8530"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1682"/>
        <w:gridCol w:w="2082"/>
        <w:gridCol w:w="2575"/>
      </w:tblGrid>
      <w:tr w14:paraId="4C0C8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1" w:type="dxa"/>
            <w:shd w:val="clear" w:color="auto" w:fill="FFFFFF"/>
            <w:vAlign w:val="center"/>
          </w:tcPr>
          <w:p w14:paraId="3E331ED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cs="Times New Roman"/>
                <w:b/>
                <w:color w:val="auto"/>
                <w:kern w:val="0"/>
                <w:szCs w:val="21"/>
                <w:highlight w:val="none"/>
              </w:rPr>
            </w:pPr>
            <w:r>
              <w:rPr>
                <w:rFonts w:ascii="Times New Roman" w:hAnsi="Times New Roman" w:cs="Times New Roman"/>
                <w:b/>
                <w:color w:val="auto"/>
                <w:kern w:val="0"/>
                <w:szCs w:val="21"/>
                <w:highlight w:val="none"/>
              </w:rPr>
              <w:t>波长范围</w:t>
            </w:r>
          </w:p>
        </w:tc>
        <w:tc>
          <w:tcPr>
            <w:tcW w:w="1682" w:type="dxa"/>
            <w:shd w:val="clear" w:color="auto" w:fill="FFFFFF"/>
            <w:vAlign w:val="center"/>
          </w:tcPr>
          <w:p w14:paraId="57F3CFC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color w:val="auto"/>
                <w:kern w:val="0"/>
                <w:szCs w:val="21"/>
                <w:highlight w:val="none"/>
                <w:lang w:val="en-US" w:eastAsia="zh-CN"/>
              </w:rPr>
            </w:pPr>
            <w:r>
              <w:rPr>
                <w:rFonts w:hint="eastAsia" w:ascii="Times New Roman" w:hAnsi="Times New Roman" w:cs="Times New Roman"/>
                <w:b/>
                <w:color w:val="auto"/>
                <w:kern w:val="0"/>
                <w:szCs w:val="21"/>
                <w:highlight w:val="none"/>
                <w:lang w:val="en-US" w:eastAsia="zh-CN"/>
              </w:rPr>
              <w:t>类型</w:t>
            </w:r>
          </w:p>
        </w:tc>
        <w:tc>
          <w:tcPr>
            <w:tcW w:w="2082" w:type="dxa"/>
            <w:shd w:val="clear" w:color="auto" w:fill="FFFFFF"/>
            <w:vAlign w:val="center"/>
          </w:tcPr>
          <w:p w14:paraId="6D1E201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color w:val="auto"/>
                <w:kern w:val="0"/>
                <w:szCs w:val="21"/>
                <w:highlight w:val="none"/>
                <w:lang w:val="en-US" w:eastAsia="zh-CN"/>
              </w:rPr>
            </w:pPr>
            <w:r>
              <w:rPr>
                <w:rFonts w:hint="eastAsia" w:ascii="Times New Roman" w:hAnsi="Times New Roman" w:cs="Times New Roman"/>
                <w:b/>
                <w:color w:val="auto"/>
                <w:kern w:val="0"/>
                <w:szCs w:val="21"/>
                <w:highlight w:val="none"/>
                <w:lang w:val="en-US" w:eastAsia="zh-CN"/>
              </w:rPr>
              <w:t>光源输出功率</w:t>
            </w:r>
          </w:p>
        </w:tc>
        <w:tc>
          <w:tcPr>
            <w:tcW w:w="2575" w:type="dxa"/>
            <w:shd w:val="clear" w:color="auto" w:fill="FFFFFF"/>
            <w:vAlign w:val="center"/>
          </w:tcPr>
          <w:p w14:paraId="466997D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cs="Times New Roman"/>
                <w:b/>
                <w:color w:val="auto"/>
                <w:kern w:val="0"/>
                <w:szCs w:val="21"/>
                <w:highlight w:val="none"/>
              </w:rPr>
            </w:pPr>
            <w:r>
              <w:rPr>
                <w:rFonts w:ascii="Times New Roman" w:hAnsi="Times New Roman" w:cs="Times New Roman"/>
                <w:b/>
                <w:color w:val="auto"/>
                <w:kern w:val="0"/>
                <w:szCs w:val="21"/>
                <w:highlight w:val="none"/>
              </w:rPr>
              <w:t>光源输出功率稳定度</w:t>
            </w:r>
          </w:p>
        </w:tc>
      </w:tr>
      <w:tr w14:paraId="644DD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1" w:type="dxa"/>
            <w:vAlign w:val="center"/>
          </w:tcPr>
          <w:p w14:paraId="07853AC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cs="Times New Roman"/>
                <w:color w:val="auto"/>
                <w:szCs w:val="21"/>
                <w:highlight w:val="none"/>
              </w:rPr>
            </w:pPr>
            <w:r>
              <w:rPr>
                <w:rFonts w:ascii="Times New Roman" w:hAnsi="Times New Roman" w:cs="Times New Roman"/>
                <w:color w:val="auto"/>
                <w:szCs w:val="21"/>
                <w:highlight w:val="none"/>
              </w:rPr>
              <w:t>1310 nm/1550 nm</w:t>
            </w:r>
          </w:p>
        </w:tc>
        <w:tc>
          <w:tcPr>
            <w:tcW w:w="1682" w:type="dxa"/>
            <w:vAlign w:val="center"/>
          </w:tcPr>
          <w:p w14:paraId="76C1AD4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单模</w:t>
            </w:r>
          </w:p>
        </w:tc>
        <w:tc>
          <w:tcPr>
            <w:tcW w:w="2082" w:type="dxa"/>
            <w:vMerge w:val="restart"/>
            <w:vAlign w:val="center"/>
          </w:tcPr>
          <w:p w14:paraId="1397A14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cs="Times New Roman"/>
                <w:color w:val="auto"/>
                <w:szCs w:val="21"/>
                <w:highlight w:val="none"/>
              </w:rPr>
            </w:pPr>
            <w:r>
              <w:rPr>
                <w:rFonts w:hint="eastAsia" w:ascii="微软雅黑" w:hAnsi="微软雅黑" w:eastAsia="微软雅黑" w:cs="微软雅黑"/>
                <w:color w:val="auto"/>
                <w:sz w:val="24"/>
                <w:highlight w:val="none"/>
              </w:rPr>
              <w:t>&gt;</w:t>
            </w:r>
            <w:r>
              <w:rPr>
                <w:rFonts w:ascii="Times New Roman" w:hAnsi="Times New Roman" w:cs="Times New Roman"/>
                <w:color w:val="auto"/>
                <w:sz w:val="24"/>
                <w:highlight w:val="none"/>
              </w:rPr>
              <w:t>-</w:t>
            </w:r>
            <w:r>
              <w:rPr>
                <w:rFonts w:hint="eastAsia" w:ascii="Times New Roman" w:hAnsi="Times New Roman" w:cs="Times New Roman"/>
                <w:color w:val="auto"/>
                <w:szCs w:val="21"/>
                <w:highlight w:val="none"/>
                <w:lang w:val="en-US" w:eastAsia="zh-CN"/>
              </w:rPr>
              <w:t>7</w:t>
            </w:r>
            <w:r>
              <w:rPr>
                <w:rFonts w:ascii="Times New Roman" w:hAnsi="Times New Roman" w:cs="Times New Roman"/>
                <w:color w:val="auto"/>
                <w:szCs w:val="21"/>
                <w:highlight w:val="none"/>
              </w:rPr>
              <w:t>dBm</w:t>
            </w:r>
          </w:p>
        </w:tc>
        <w:tc>
          <w:tcPr>
            <w:tcW w:w="2575" w:type="dxa"/>
            <w:vMerge w:val="restart"/>
            <w:vAlign w:val="center"/>
          </w:tcPr>
          <w:p w14:paraId="6A79DA4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cs="Times New Roman"/>
                <w:color w:val="auto"/>
                <w:szCs w:val="21"/>
                <w:highlight w:val="none"/>
              </w:rPr>
            </w:pPr>
            <w:r>
              <w:rPr>
                <w:rFonts w:ascii="Times New Roman" w:hAnsi="Times New Roman" w:cs="Times New Roman"/>
                <w:color w:val="auto"/>
                <w:szCs w:val="21"/>
                <w:highlight w:val="none"/>
              </w:rPr>
              <w:t>±0.02 dB /4h</w:t>
            </w:r>
          </w:p>
        </w:tc>
      </w:tr>
      <w:tr w14:paraId="1FBD2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1" w:type="dxa"/>
            <w:vAlign w:val="center"/>
          </w:tcPr>
          <w:p w14:paraId="25F0456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cs="Times New Roman"/>
                <w:color w:val="auto"/>
                <w:szCs w:val="21"/>
                <w:highlight w:val="none"/>
              </w:rPr>
            </w:pPr>
            <w:r>
              <w:rPr>
                <w:rFonts w:ascii="Times New Roman" w:hAnsi="Times New Roman" w:cs="Times New Roman"/>
                <w:color w:val="auto"/>
                <w:szCs w:val="21"/>
                <w:highlight w:val="none"/>
              </w:rPr>
              <w:t>850 nm/1300 nm</w:t>
            </w:r>
          </w:p>
        </w:tc>
        <w:tc>
          <w:tcPr>
            <w:tcW w:w="1682" w:type="dxa"/>
            <w:vAlign w:val="center"/>
          </w:tcPr>
          <w:p w14:paraId="51462D3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多模</w:t>
            </w:r>
          </w:p>
        </w:tc>
        <w:tc>
          <w:tcPr>
            <w:tcW w:w="2082" w:type="dxa"/>
            <w:vMerge w:val="continue"/>
            <w:vAlign w:val="center"/>
          </w:tcPr>
          <w:p w14:paraId="7140EEC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cs="Times New Roman"/>
                <w:color w:val="auto"/>
                <w:szCs w:val="21"/>
                <w:highlight w:val="none"/>
              </w:rPr>
            </w:pPr>
          </w:p>
        </w:tc>
        <w:tc>
          <w:tcPr>
            <w:tcW w:w="2575" w:type="dxa"/>
            <w:vMerge w:val="continue"/>
            <w:vAlign w:val="center"/>
          </w:tcPr>
          <w:p w14:paraId="1DD35F96">
            <w:pPr>
              <w:keepNext w:val="0"/>
              <w:keepLines w:val="0"/>
              <w:pageBreakBefore w:val="0"/>
              <w:widowControl/>
              <w:kinsoku/>
              <w:wordWrap/>
              <w:overflowPunct/>
              <w:topLinePunct w:val="0"/>
              <w:autoSpaceDE/>
              <w:autoSpaceDN/>
              <w:bidi w:val="0"/>
              <w:adjustRightInd/>
              <w:snapToGrid/>
              <w:spacing w:line="360" w:lineRule="auto"/>
              <w:ind w:firstLine="480"/>
              <w:jc w:val="center"/>
              <w:textAlignment w:val="auto"/>
              <w:rPr>
                <w:rFonts w:ascii="Times New Roman" w:hAnsi="Times New Roman" w:cs="Times New Roman"/>
                <w:color w:val="auto"/>
                <w:szCs w:val="21"/>
                <w:highlight w:val="none"/>
              </w:rPr>
            </w:pPr>
          </w:p>
        </w:tc>
      </w:tr>
    </w:tbl>
    <w:p w14:paraId="4FE5EE1A">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表</w:t>
      </w:r>
      <w:r>
        <w:rPr>
          <w:rFonts w:hint="eastAsia" w:ascii="Times New Roman" w:hAnsi="Times New Roman" w:cs="Times New Roman"/>
          <w:b/>
          <w:color w:val="auto"/>
          <w:sz w:val="24"/>
          <w:highlight w:val="none"/>
          <w:lang w:eastAsia="zh-CN"/>
        </w:rPr>
        <w:t>A.0.1-</w:t>
      </w:r>
      <w:r>
        <w:rPr>
          <w:rFonts w:ascii="Times New Roman" w:hAnsi="Times New Roman" w:cs="Times New Roman"/>
          <w:b/>
          <w:color w:val="auto"/>
          <w:sz w:val="24"/>
          <w:highlight w:val="none"/>
        </w:rPr>
        <w:t>2 光功率计</w:t>
      </w:r>
      <w:r>
        <w:rPr>
          <w:rFonts w:hint="eastAsia" w:ascii="Times New Roman" w:hAnsi="Times New Roman" w:cs="Times New Roman"/>
          <w:b/>
          <w:color w:val="auto"/>
          <w:sz w:val="24"/>
          <w:highlight w:val="none"/>
          <w:lang w:val="en-US" w:eastAsia="zh-CN"/>
        </w:rPr>
        <w:t>指标要求</w:t>
      </w:r>
    </w:p>
    <w:tbl>
      <w:tblPr>
        <w:tblStyle w:val="30"/>
        <w:tblW w:w="8530"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1682"/>
        <w:gridCol w:w="2082"/>
        <w:gridCol w:w="2575"/>
      </w:tblGrid>
      <w:tr w14:paraId="4D7D0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1" w:type="dxa"/>
            <w:shd w:val="clear" w:color="auto" w:fill="FFFFFF"/>
            <w:vAlign w:val="center"/>
          </w:tcPr>
          <w:p w14:paraId="1E881D9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b/>
                <w:color w:val="auto"/>
                <w:kern w:val="0"/>
                <w:sz w:val="21"/>
                <w:szCs w:val="21"/>
                <w:highlight w:val="none"/>
                <w:lang w:val="en-US" w:eastAsia="zh-CN" w:bidi="ar-SA"/>
              </w:rPr>
            </w:pPr>
            <w:r>
              <w:rPr>
                <w:rFonts w:ascii="Times New Roman" w:hAnsi="Times New Roman" w:cs="Times New Roman"/>
                <w:b/>
                <w:color w:val="auto"/>
                <w:kern w:val="0"/>
                <w:szCs w:val="21"/>
                <w:highlight w:val="none"/>
              </w:rPr>
              <w:t>波长范围</w:t>
            </w:r>
          </w:p>
        </w:tc>
        <w:tc>
          <w:tcPr>
            <w:tcW w:w="1682" w:type="dxa"/>
            <w:shd w:val="clear" w:color="auto" w:fill="FFFFFF"/>
            <w:vAlign w:val="center"/>
          </w:tcPr>
          <w:p w14:paraId="4186D51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color w:val="auto"/>
                <w:kern w:val="0"/>
                <w:sz w:val="21"/>
                <w:szCs w:val="21"/>
                <w:highlight w:val="none"/>
                <w:lang w:val="en-US" w:eastAsia="zh-CN" w:bidi="ar-SA"/>
              </w:rPr>
            </w:pPr>
            <w:r>
              <w:rPr>
                <w:rFonts w:hint="eastAsia" w:ascii="Times New Roman" w:hAnsi="Times New Roman" w:cs="Times New Roman"/>
                <w:b/>
                <w:color w:val="auto"/>
                <w:kern w:val="0"/>
                <w:szCs w:val="21"/>
                <w:highlight w:val="none"/>
                <w:lang w:val="en-US" w:eastAsia="zh-CN"/>
              </w:rPr>
              <w:t>功率测量范围</w:t>
            </w:r>
          </w:p>
        </w:tc>
        <w:tc>
          <w:tcPr>
            <w:tcW w:w="2082" w:type="dxa"/>
            <w:shd w:val="clear" w:color="auto" w:fill="FFFFFF"/>
            <w:vAlign w:val="center"/>
          </w:tcPr>
          <w:p w14:paraId="6A36E8F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color w:val="auto"/>
                <w:kern w:val="0"/>
                <w:sz w:val="21"/>
                <w:szCs w:val="21"/>
                <w:highlight w:val="none"/>
                <w:lang w:val="en-US" w:eastAsia="zh-CN" w:bidi="ar-SA"/>
              </w:rPr>
            </w:pPr>
            <w:r>
              <w:rPr>
                <w:rFonts w:hint="eastAsia" w:ascii="Times New Roman" w:hAnsi="Times New Roman" w:cs="Times New Roman"/>
                <w:b/>
                <w:color w:val="auto"/>
                <w:kern w:val="0"/>
                <w:szCs w:val="21"/>
                <w:highlight w:val="none"/>
                <w:lang w:val="en-US" w:eastAsia="zh-CN"/>
              </w:rPr>
              <w:t>分辨率</w:t>
            </w:r>
          </w:p>
        </w:tc>
        <w:tc>
          <w:tcPr>
            <w:tcW w:w="2575" w:type="dxa"/>
            <w:shd w:val="clear" w:color="auto" w:fill="FFFFFF"/>
            <w:vAlign w:val="center"/>
          </w:tcPr>
          <w:p w14:paraId="1E38970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color w:val="auto"/>
                <w:kern w:val="0"/>
                <w:sz w:val="21"/>
                <w:szCs w:val="21"/>
                <w:highlight w:val="none"/>
                <w:lang w:val="en-US" w:eastAsia="zh-CN" w:bidi="ar-SA"/>
              </w:rPr>
            </w:pPr>
            <w:r>
              <w:rPr>
                <w:rFonts w:hint="eastAsia" w:ascii="Times New Roman" w:hAnsi="Times New Roman" w:cs="Times New Roman"/>
                <w:b/>
                <w:color w:val="auto"/>
                <w:kern w:val="0"/>
                <w:szCs w:val="21"/>
                <w:highlight w:val="none"/>
                <w:lang w:val="en-US" w:eastAsia="zh-CN"/>
              </w:rPr>
              <w:t>分辨率精度要求</w:t>
            </w:r>
          </w:p>
        </w:tc>
      </w:tr>
      <w:tr w14:paraId="5D056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1" w:type="dxa"/>
            <w:vAlign w:val="center"/>
          </w:tcPr>
          <w:p w14:paraId="787D6F3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cs="Times New Roman"/>
                <w:color w:val="auto"/>
                <w:szCs w:val="21"/>
                <w:highlight w:val="none"/>
              </w:rPr>
            </w:pPr>
            <w:r>
              <w:rPr>
                <w:rFonts w:ascii="Times New Roman" w:hAnsi="Times New Roman" w:cs="Times New Roman"/>
                <w:color w:val="auto"/>
                <w:szCs w:val="21"/>
                <w:highlight w:val="none"/>
              </w:rPr>
              <w:t>1310 nm/1550 nm</w:t>
            </w:r>
          </w:p>
        </w:tc>
        <w:tc>
          <w:tcPr>
            <w:tcW w:w="1682" w:type="dxa"/>
            <w:vMerge w:val="restart"/>
            <w:shd w:val="clear" w:color="auto" w:fill="auto"/>
            <w:vAlign w:val="center"/>
          </w:tcPr>
          <w:p w14:paraId="7D31DEA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-70</w:t>
            </w:r>
            <w:r>
              <w:rPr>
                <w:rFonts w:ascii="Times New Roman" w:hAnsi="Times New Roman" w:cs="Times New Roman"/>
                <w:color w:val="auto"/>
                <w:sz w:val="21"/>
                <w:szCs w:val="21"/>
                <w:highlight w:val="none"/>
              </w:rPr>
              <w:t>～</w:t>
            </w:r>
            <w:r>
              <w:rPr>
                <w:rFonts w:hint="eastAsia" w:ascii="微软雅黑" w:hAnsi="微软雅黑" w:eastAsia="微软雅黑" w:cs="微软雅黑"/>
                <w:color w:val="auto"/>
                <w:sz w:val="21"/>
                <w:szCs w:val="21"/>
                <w:highlight w:val="none"/>
              </w:rPr>
              <w:t>+</w:t>
            </w:r>
            <w:r>
              <w:rPr>
                <w:rFonts w:hint="eastAsia" w:ascii="Times New Roman" w:hAnsi="Times New Roman" w:cs="Times New Roman"/>
                <w:color w:val="auto"/>
                <w:sz w:val="21"/>
                <w:szCs w:val="21"/>
                <w:highlight w:val="none"/>
                <w:lang w:val="en-US" w:eastAsia="zh-CN"/>
              </w:rPr>
              <w:t>10dBm</w:t>
            </w:r>
          </w:p>
        </w:tc>
        <w:tc>
          <w:tcPr>
            <w:tcW w:w="2082" w:type="dxa"/>
            <w:vMerge w:val="restart"/>
            <w:shd w:val="clear" w:color="auto" w:fill="auto"/>
            <w:vAlign w:val="center"/>
          </w:tcPr>
          <w:p w14:paraId="65B32D7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2"/>
                <w:sz w:val="21"/>
                <w:szCs w:val="21"/>
                <w:highlight w:val="none"/>
                <w:lang w:val="en-US" w:eastAsia="zh-CN" w:bidi="ar-SA"/>
              </w:rPr>
            </w:pPr>
            <w:r>
              <w:rPr>
                <w:rFonts w:ascii="Times New Roman" w:hAnsi="Times New Roman" w:cs="Times New Roman"/>
                <w:color w:val="auto"/>
                <w:szCs w:val="21"/>
                <w:highlight w:val="none"/>
              </w:rPr>
              <w:t>0.01 dB</w:t>
            </w:r>
          </w:p>
        </w:tc>
        <w:tc>
          <w:tcPr>
            <w:tcW w:w="2575" w:type="dxa"/>
            <w:vMerge w:val="restart"/>
            <w:shd w:val="clear" w:color="auto" w:fill="auto"/>
            <w:vAlign w:val="center"/>
          </w:tcPr>
          <w:p w14:paraId="62FE8AD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2"/>
                <w:sz w:val="21"/>
                <w:szCs w:val="21"/>
                <w:highlight w:val="none"/>
                <w:lang w:val="en-US" w:eastAsia="zh-CN" w:bidi="ar-SA"/>
              </w:rPr>
            </w:pPr>
            <w:r>
              <w:rPr>
                <w:rFonts w:ascii="Times New Roman" w:hAnsi="Times New Roman" w:cs="Times New Roman"/>
                <w:color w:val="auto"/>
                <w:szCs w:val="21"/>
                <w:highlight w:val="none"/>
              </w:rPr>
              <w:t>±5%</w:t>
            </w:r>
          </w:p>
        </w:tc>
      </w:tr>
      <w:tr w14:paraId="2FDF3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1" w:type="dxa"/>
            <w:vAlign w:val="center"/>
          </w:tcPr>
          <w:p w14:paraId="1467EFD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cs="Times New Roman"/>
                <w:color w:val="auto"/>
                <w:szCs w:val="21"/>
                <w:highlight w:val="none"/>
              </w:rPr>
            </w:pPr>
            <w:r>
              <w:rPr>
                <w:rFonts w:ascii="Times New Roman" w:hAnsi="Times New Roman" w:cs="Times New Roman"/>
                <w:color w:val="auto"/>
                <w:szCs w:val="21"/>
                <w:highlight w:val="none"/>
              </w:rPr>
              <w:t>850 nm/1300 nm</w:t>
            </w:r>
          </w:p>
        </w:tc>
        <w:tc>
          <w:tcPr>
            <w:tcW w:w="1682" w:type="dxa"/>
            <w:vMerge w:val="continue"/>
            <w:vAlign w:val="center"/>
          </w:tcPr>
          <w:p w14:paraId="7FAC4C6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szCs w:val="21"/>
                <w:highlight w:val="none"/>
                <w:lang w:val="en-US" w:eastAsia="zh-CN"/>
              </w:rPr>
            </w:pPr>
          </w:p>
        </w:tc>
        <w:tc>
          <w:tcPr>
            <w:tcW w:w="2082" w:type="dxa"/>
            <w:vMerge w:val="continue"/>
            <w:vAlign w:val="center"/>
          </w:tcPr>
          <w:p w14:paraId="1ACA7A9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cs="Times New Roman"/>
                <w:color w:val="auto"/>
                <w:szCs w:val="21"/>
                <w:highlight w:val="none"/>
              </w:rPr>
            </w:pPr>
          </w:p>
        </w:tc>
        <w:tc>
          <w:tcPr>
            <w:tcW w:w="2575" w:type="dxa"/>
            <w:vMerge w:val="continue"/>
            <w:vAlign w:val="center"/>
          </w:tcPr>
          <w:p w14:paraId="461EFE8C">
            <w:pPr>
              <w:keepNext w:val="0"/>
              <w:keepLines w:val="0"/>
              <w:pageBreakBefore w:val="0"/>
              <w:widowControl/>
              <w:kinsoku/>
              <w:wordWrap/>
              <w:overflowPunct/>
              <w:topLinePunct w:val="0"/>
              <w:autoSpaceDE/>
              <w:autoSpaceDN/>
              <w:bidi w:val="0"/>
              <w:adjustRightInd/>
              <w:snapToGrid/>
              <w:spacing w:line="360" w:lineRule="auto"/>
              <w:ind w:firstLine="480"/>
              <w:jc w:val="center"/>
              <w:textAlignment w:val="auto"/>
              <w:rPr>
                <w:rFonts w:ascii="Times New Roman" w:hAnsi="Times New Roman" w:cs="Times New Roman"/>
                <w:color w:val="auto"/>
                <w:szCs w:val="21"/>
                <w:highlight w:val="none"/>
              </w:rPr>
            </w:pPr>
          </w:p>
        </w:tc>
      </w:tr>
    </w:tbl>
    <w:p w14:paraId="712430D4">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表</w:t>
      </w:r>
      <w:r>
        <w:rPr>
          <w:rFonts w:hint="eastAsia" w:ascii="Times New Roman" w:hAnsi="Times New Roman" w:cs="Times New Roman"/>
          <w:b/>
          <w:color w:val="auto"/>
          <w:sz w:val="24"/>
          <w:highlight w:val="none"/>
          <w:lang w:eastAsia="zh-CN"/>
        </w:rPr>
        <w:t>A.0.1-</w:t>
      </w:r>
      <w:r>
        <w:rPr>
          <w:rFonts w:ascii="Times New Roman" w:hAnsi="Times New Roman" w:cs="Times New Roman"/>
          <w:b/>
          <w:color w:val="auto"/>
          <w:sz w:val="24"/>
          <w:highlight w:val="none"/>
        </w:rPr>
        <w:t>3 光时域反射仪(OTDR)</w:t>
      </w:r>
      <w:r>
        <w:rPr>
          <w:rFonts w:hint="eastAsia" w:ascii="Times New Roman" w:hAnsi="Times New Roman" w:cs="Times New Roman"/>
          <w:b/>
          <w:color w:val="auto"/>
          <w:sz w:val="24"/>
          <w:highlight w:val="none"/>
          <w:lang w:val="en-US" w:eastAsia="zh-CN"/>
        </w:rPr>
        <w:t>指标要求</w:t>
      </w:r>
    </w:p>
    <w:tbl>
      <w:tblPr>
        <w:tblStyle w:val="30"/>
        <w:tblW w:w="8519"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1682"/>
        <w:gridCol w:w="2082"/>
        <w:gridCol w:w="2564"/>
      </w:tblGrid>
      <w:tr w14:paraId="07645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1" w:type="dxa"/>
            <w:shd w:val="clear" w:color="auto" w:fill="FFFFFF"/>
            <w:vAlign w:val="center"/>
          </w:tcPr>
          <w:p w14:paraId="45D6F19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b/>
                <w:color w:val="auto"/>
                <w:kern w:val="0"/>
                <w:sz w:val="21"/>
                <w:szCs w:val="21"/>
                <w:highlight w:val="none"/>
                <w:lang w:val="en-US" w:eastAsia="zh-CN" w:bidi="ar-SA"/>
              </w:rPr>
            </w:pPr>
            <w:r>
              <w:rPr>
                <w:rFonts w:ascii="Times New Roman" w:hAnsi="Times New Roman" w:cs="Times New Roman"/>
                <w:b/>
                <w:color w:val="auto"/>
                <w:kern w:val="0"/>
                <w:szCs w:val="21"/>
                <w:highlight w:val="none"/>
              </w:rPr>
              <w:t>波长范围</w:t>
            </w:r>
          </w:p>
        </w:tc>
        <w:tc>
          <w:tcPr>
            <w:tcW w:w="1682" w:type="dxa"/>
            <w:shd w:val="clear" w:color="auto" w:fill="FFFFFF"/>
            <w:vAlign w:val="center"/>
          </w:tcPr>
          <w:p w14:paraId="29CA69A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color w:val="auto"/>
                <w:kern w:val="0"/>
                <w:sz w:val="21"/>
                <w:szCs w:val="21"/>
                <w:highlight w:val="none"/>
                <w:lang w:val="en-US" w:eastAsia="zh-CN" w:bidi="ar-SA"/>
              </w:rPr>
            </w:pPr>
            <w:r>
              <w:rPr>
                <w:rFonts w:hint="eastAsia" w:ascii="Times New Roman" w:hAnsi="Times New Roman" w:cs="Times New Roman"/>
                <w:b/>
                <w:color w:val="auto"/>
                <w:kern w:val="0"/>
                <w:szCs w:val="21"/>
                <w:highlight w:val="none"/>
                <w:lang w:val="en-US" w:eastAsia="zh-CN"/>
              </w:rPr>
              <w:t>测量动态范围</w:t>
            </w:r>
          </w:p>
        </w:tc>
        <w:tc>
          <w:tcPr>
            <w:tcW w:w="2082" w:type="dxa"/>
            <w:shd w:val="clear" w:color="auto" w:fill="FFFFFF"/>
            <w:vAlign w:val="center"/>
          </w:tcPr>
          <w:p w14:paraId="1EBA5F5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color w:val="auto"/>
                <w:kern w:val="0"/>
                <w:sz w:val="21"/>
                <w:szCs w:val="21"/>
                <w:highlight w:val="none"/>
                <w:lang w:val="en-US" w:eastAsia="zh-CN" w:bidi="ar-SA"/>
              </w:rPr>
            </w:pPr>
            <w:r>
              <w:rPr>
                <w:rFonts w:hint="eastAsia" w:ascii="Times New Roman" w:hAnsi="Times New Roman" w:cs="Times New Roman"/>
                <w:b/>
                <w:color w:val="auto"/>
                <w:kern w:val="0"/>
                <w:szCs w:val="21"/>
                <w:highlight w:val="none"/>
                <w:lang w:val="en-US" w:eastAsia="zh-CN"/>
              </w:rPr>
              <w:t>分辨率</w:t>
            </w:r>
          </w:p>
        </w:tc>
        <w:tc>
          <w:tcPr>
            <w:tcW w:w="2564" w:type="dxa"/>
            <w:shd w:val="clear" w:color="auto" w:fill="FFFFFF"/>
            <w:vAlign w:val="center"/>
          </w:tcPr>
          <w:p w14:paraId="2A5A838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color w:val="auto"/>
                <w:kern w:val="0"/>
                <w:sz w:val="21"/>
                <w:szCs w:val="21"/>
                <w:highlight w:val="none"/>
                <w:lang w:val="en-US" w:eastAsia="zh-CN" w:bidi="ar-SA"/>
              </w:rPr>
            </w:pPr>
            <w:r>
              <w:rPr>
                <w:rFonts w:hint="eastAsia" w:ascii="Times New Roman" w:hAnsi="Times New Roman" w:cs="Times New Roman"/>
                <w:b/>
                <w:color w:val="auto"/>
                <w:kern w:val="0"/>
                <w:szCs w:val="21"/>
                <w:highlight w:val="none"/>
                <w:lang w:val="en-US" w:eastAsia="zh-CN"/>
              </w:rPr>
              <w:t>长度精度</w:t>
            </w:r>
          </w:p>
        </w:tc>
      </w:tr>
      <w:tr w14:paraId="095B1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1" w:type="dxa"/>
            <w:vAlign w:val="center"/>
          </w:tcPr>
          <w:p w14:paraId="64BAFDE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cs="Times New Roman"/>
                <w:color w:val="auto"/>
                <w:szCs w:val="21"/>
                <w:highlight w:val="none"/>
              </w:rPr>
            </w:pPr>
            <w:r>
              <w:rPr>
                <w:rFonts w:ascii="Times New Roman" w:hAnsi="Times New Roman" w:cs="Times New Roman"/>
                <w:color w:val="auto"/>
                <w:szCs w:val="21"/>
                <w:highlight w:val="none"/>
              </w:rPr>
              <w:t>1310 nm/1550 nm</w:t>
            </w:r>
          </w:p>
        </w:tc>
        <w:tc>
          <w:tcPr>
            <w:tcW w:w="1682" w:type="dxa"/>
            <w:vMerge w:val="restart"/>
            <w:shd w:val="clear" w:color="auto" w:fill="auto"/>
            <w:vAlign w:val="center"/>
          </w:tcPr>
          <w:p w14:paraId="011ED8B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微软雅黑" w:hAnsi="微软雅黑" w:eastAsia="微软雅黑" w:cs="微软雅黑"/>
                <w:color w:val="auto"/>
                <w:sz w:val="24"/>
                <w:highlight w:val="none"/>
              </w:rPr>
              <w:t>&gt;</w:t>
            </w:r>
            <w:r>
              <w:rPr>
                <w:rFonts w:hint="eastAsia" w:ascii="Times New Roman" w:hAnsi="Times New Roman" w:cs="Times New Roman"/>
                <w:color w:val="auto"/>
                <w:szCs w:val="21"/>
                <w:highlight w:val="none"/>
                <w:lang w:val="en-US" w:eastAsia="zh-CN"/>
              </w:rPr>
              <w:t>20</w:t>
            </w:r>
            <w:r>
              <w:rPr>
                <w:rFonts w:ascii="Times New Roman" w:hAnsi="Times New Roman" w:cs="Times New Roman"/>
                <w:color w:val="auto"/>
                <w:szCs w:val="21"/>
                <w:highlight w:val="none"/>
              </w:rPr>
              <w:t>dBm</w:t>
            </w:r>
          </w:p>
        </w:tc>
        <w:tc>
          <w:tcPr>
            <w:tcW w:w="2082" w:type="dxa"/>
            <w:shd w:val="clear" w:color="auto" w:fill="auto"/>
            <w:vAlign w:val="center"/>
          </w:tcPr>
          <w:p w14:paraId="607C583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2"/>
                <w:sz w:val="21"/>
                <w:szCs w:val="21"/>
                <w:highlight w:val="none"/>
                <w:lang w:val="en-US" w:eastAsia="zh-CN" w:bidi="ar-SA"/>
              </w:rPr>
            </w:pPr>
            <w:r>
              <w:rPr>
                <w:rFonts w:ascii="Times New Roman" w:hAnsi="Times New Roman" w:cs="Times New Roman"/>
                <w:color w:val="auto"/>
                <w:szCs w:val="21"/>
                <w:highlight w:val="none"/>
              </w:rPr>
              <w:t>0.001 km</w:t>
            </w:r>
          </w:p>
        </w:tc>
        <w:tc>
          <w:tcPr>
            <w:tcW w:w="2564" w:type="dxa"/>
            <w:vMerge w:val="restart"/>
            <w:shd w:val="clear" w:color="auto" w:fill="auto"/>
            <w:vAlign w:val="center"/>
          </w:tcPr>
          <w:p w14:paraId="4C14C9A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2"/>
                <w:sz w:val="21"/>
                <w:szCs w:val="21"/>
                <w:highlight w:val="none"/>
                <w:lang w:val="en-US" w:eastAsia="zh-CN" w:bidi="ar-SA"/>
              </w:rPr>
            </w:pPr>
            <w:r>
              <w:rPr>
                <w:rFonts w:ascii="Times New Roman" w:hAnsi="Times New Roman" w:cs="Times New Roman"/>
                <w:color w:val="auto"/>
                <w:szCs w:val="21"/>
                <w:highlight w:val="none"/>
              </w:rPr>
              <w:t>±0.1%</w:t>
            </w:r>
          </w:p>
        </w:tc>
      </w:tr>
      <w:tr w14:paraId="3179D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1" w:type="dxa"/>
            <w:vAlign w:val="center"/>
          </w:tcPr>
          <w:p w14:paraId="3D5C673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cs="Times New Roman"/>
                <w:color w:val="auto"/>
                <w:szCs w:val="21"/>
                <w:highlight w:val="none"/>
              </w:rPr>
            </w:pPr>
            <w:r>
              <w:rPr>
                <w:rFonts w:ascii="Times New Roman" w:hAnsi="Times New Roman" w:cs="Times New Roman"/>
                <w:color w:val="auto"/>
                <w:szCs w:val="21"/>
                <w:highlight w:val="none"/>
              </w:rPr>
              <w:t>850 nm/1300 nm</w:t>
            </w:r>
          </w:p>
        </w:tc>
        <w:tc>
          <w:tcPr>
            <w:tcW w:w="1682" w:type="dxa"/>
            <w:vMerge w:val="continue"/>
            <w:vAlign w:val="center"/>
          </w:tcPr>
          <w:p w14:paraId="1F19439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szCs w:val="21"/>
                <w:highlight w:val="none"/>
                <w:lang w:val="en-US" w:eastAsia="zh-CN"/>
              </w:rPr>
            </w:pPr>
          </w:p>
        </w:tc>
        <w:tc>
          <w:tcPr>
            <w:tcW w:w="2082" w:type="dxa"/>
            <w:vAlign w:val="center"/>
          </w:tcPr>
          <w:p w14:paraId="5905D96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cs="Times New Roman"/>
                <w:color w:val="auto"/>
                <w:szCs w:val="21"/>
                <w:highlight w:val="none"/>
              </w:rPr>
            </w:pPr>
            <w:r>
              <w:rPr>
                <w:rFonts w:ascii="Times New Roman" w:hAnsi="Times New Roman" w:cs="Times New Roman"/>
                <w:color w:val="auto"/>
                <w:szCs w:val="21"/>
                <w:highlight w:val="none"/>
              </w:rPr>
              <w:t>0.01 km</w:t>
            </w:r>
          </w:p>
        </w:tc>
        <w:tc>
          <w:tcPr>
            <w:tcW w:w="2564" w:type="dxa"/>
            <w:vMerge w:val="continue"/>
            <w:vAlign w:val="center"/>
          </w:tcPr>
          <w:p w14:paraId="23247133">
            <w:pPr>
              <w:keepNext w:val="0"/>
              <w:keepLines w:val="0"/>
              <w:pageBreakBefore w:val="0"/>
              <w:widowControl/>
              <w:kinsoku/>
              <w:wordWrap/>
              <w:overflowPunct/>
              <w:topLinePunct w:val="0"/>
              <w:autoSpaceDE/>
              <w:autoSpaceDN/>
              <w:bidi w:val="0"/>
              <w:adjustRightInd/>
              <w:snapToGrid/>
              <w:spacing w:line="360" w:lineRule="auto"/>
              <w:ind w:firstLine="480" w:firstLineChars="0"/>
              <w:jc w:val="center"/>
              <w:textAlignment w:val="auto"/>
              <w:rPr>
                <w:rFonts w:ascii="Times New Roman" w:hAnsi="Times New Roman" w:cs="Times New Roman"/>
                <w:color w:val="auto"/>
                <w:szCs w:val="21"/>
                <w:highlight w:val="none"/>
              </w:rPr>
            </w:pPr>
          </w:p>
        </w:tc>
      </w:tr>
    </w:tbl>
    <w:p w14:paraId="53A94254">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ascii="Times New Roman" w:hAnsi="Times New Roman" w:cs="Times New Roman"/>
          <w:b/>
          <w:color w:val="auto"/>
          <w:sz w:val="24"/>
          <w:highlight w:val="none"/>
        </w:rPr>
      </w:pPr>
      <w:r>
        <w:rPr>
          <w:rFonts w:hint="eastAsia" w:ascii="Times New Roman" w:hAnsi="Times New Roman" w:cs="Times New Roman"/>
          <w:b/>
          <w:color w:val="auto"/>
          <w:sz w:val="24"/>
          <w:highlight w:val="none"/>
          <w:lang w:val="en-US" w:eastAsia="zh-CN"/>
        </w:rPr>
        <w:t>表</w:t>
      </w:r>
      <w:r>
        <w:rPr>
          <w:rFonts w:hint="eastAsia" w:ascii="Times New Roman" w:hAnsi="Times New Roman" w:cs="Times New Roman"/>
          <w:b/>
          <w:color w:val="auto"/>
          <w:sz w:val="24"/>
          <w:highlight w:val="none"/>
          <w:lang w:eastAsia="zh-CN"/>
        </w:rPr>
        <w:t>A.0.1-</w:t>
      </w:r>
      <w:r>
        <w:rPr>
          <w:rFonts w:ascii="Times New Roman" w:hAnsi="Times New Roman" w:cs="Times New Roman"/>
          <w:b/>
          <w:color w:val="auto"/>
          <w:sz w:val="24"/>
          <w:highlight w:val="none"/>
        </w:rPr>
        <w:t>4 电缆性能测试仪</w:t>
      </w:r>
      <w:r>
        <w:rPr>
          <w:rFonts w:hint="eastAsia" w:ascii="Times New Roman" w:hAnsi="Times New Roman" w:cs="Times New Roman"/>
          <w:b/>
          <w:color w:val="auto"/>
          <w:sz w:val="24"/>
          <w:highlight w:val="none"/>
          <w:lang w:val="en-US" w:eastAsia="zh-CN"/>
        </w:rPr>
        <w:t>指标要求</w:t>
      </w:r>
    </w:p>
    <w:tbl>
      <w:tblPr>
        <w:tblStyle w:val="30"/>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1418"/>
        <w:gridCol w:w="1417"/>
        <w:gridCol w:w="1418"/>
        <w:gridCol w:w="1417"/>
        <w:gridCol w:w="1594"/>
      </w:tblGrid>
      <w:tr w14:paraId="4C895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5" w:type="dxa"/>
            <w:shd w:val="clear" w:color="auto" w:fill="FFFFFF"/>
            <w:vAlign w:val="center"/>
          </w:tcPr>
          <w:p w14:paraId="1806039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cs="Times New Roman"/>
                <w:b/>
                <w:color w:val="auto"/>
                <w:kern w:val="0"/>
                <w:szCs w:val="21"/>
                <w:highlight w:val="none"/>
              </w:rPr>
            </w:pPr>
            <w:r>
              <w:rPr>
                <w:rFonts w:ascii="Times New Roman" w:hAnsi="Times New Roman" w:cs="Times New Roman"/>
                <w:b/>
                <w:color w:val="auto"/>
                <w:kern w:val="0"/>
                <w:szCs w:val="21"/>
                <w:highlight w:val="none"/>
              </w:rPr>
              <w:t>布线等级</w:t>
            </w:r>
          </w:p>
        </w:tc>
        <w:tc>
          <w:tcPr>
            <w:tcW w:w="1418" w:type="dxa"/>
            <w:shd w:val="clear" w:color="auto" w:fill="FFFFFF"/>
            <w:vAlign w:val="center"/>
          </w:tcPr>
          <w:p w14:paraId="60127FE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cs="Times New Roman"/>
                <w:b w:val="0"/>
                <w:bCs/>
                <w:color w:val="auto"/>
                <w:kern w:val="0"/>
                <w:szCs w:val="21"/>
                <w:highlight w:val="none"/>
              </w:rPr>
            </w:pPr>
            <w:r>
              <w:rPr>
                <w:rFonts w:ascii="Times New Roman" w:hAnsi="Times New Roman" w:cs="Times New Roman"/>
                <w:b w:val="0"/>
                <w:bCs/>
                <w:color w:val="auto"/>
                <w:kern w:val="0"/>
                <w:szCs w:val="21"/>
                <w:highlight w:val="none"/>
              </w:rPr>
              <w:t>D级</w:t>
            </w:r>
          </w:p>
        </w:tc>
        <w:tc>
          <w:tcPr>
            <w:tcW w:w="1417" w:type="dxa"/>
            <w:shd w:val="clear" w:color="auto" w:fill="FFFFFF"/>
            <w:vAlign w:val="center"/>
          </w:tcPr>
          <w:p w14:paraId="4DC99D0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cs="Times New Roman"/>
                <w:b w:val="0"/>
                <w:bCs/>
                <w:color w:val="auto"/>
                <w:kern w:val="0"/>
                <w:szCs w:val="21"/>
                <w:highlight w:val="none"/>
              </w:rPr>
            </w:pPr>
            <w:r>
              <w:rPr>
                <w:rFonts w:ascii="Times New Roman" w:hAnsi="Times New Roman" w:cs="Times New Roman"/>
                <w:b w:val="0"/>
                <w:bCs/>
                <w:color w:val="auto"/>
                <w:kern w:val="0"/>
                <w:szCs w:val="21"/>
                <w:highlight w:val="none"/>
              </w:rPr>
              <w:t>E级</w:t>
            </w:r>
          </w:p>
        </w:tc>
        <w:tc>
          <w:tcPr>
            <w:tcW w:w="1418" w:type="dxa"/>
            <w:shd w:val="clear" w:color="auto" w:fill="FFFFFF"/>
            <w:vAlign w:val="center"/>
          </w:tcPr>
          <w:p w14:paraId="370C58E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cs="Times New Roman"/>
                <w:b w:val="0"/>
                <w:bCs/>
                <w:color w:val="auto"/>
                <w:kern w:val="0"/>
                <w:szCs w:val="21"/>
                <w:highlight w:val="none"/>
              </w:rPr>
            </w:pPr>
            <w:r>
              <w:rPr>
                <w:rFonts w:ascii="Times New Roman" w:hAnsi="Times New Roman" w:cs="Times New Roman"/>
                <w:b w:val="0"/>
                <w:bCs/>
                <w:color w:val="auto"/>
                <w:kern w:val="0"/>
                <w:szCs w:val="21"/>
                <w:highlight w:val="none"/>
              </w:rPr>
              <w:t>EA级</w:t>
            </w:r>
          </w:p>
        </w:tc>
        <w:tc>
          <w:tcPr>
            <w:tcW w:w="1417" w:type="dxa"/>
            <w:shd w:val="clear" w:color="auto" w:fill="FFFFFF"/>
            <w:vAlign w:val="center"/>
          </w:tcPr>
          <w:p w14:paraId="4C75D89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cs="Times New Roman"/>
                <w:b w:val="0"/>
                <w:bCs/>
                <w:color w:val="auto"/>
                <w:kern w:val="0"/>
                <w:szCs w:val="21"/>
                <w:highlight w:val="none"/>
              </w:rPr>
            </w:pPr>
            <w:r>
              <w:rPr>
                <w:rFonts w:ascii="Times New Roman" w:hAnsi="Times New Roman" w:cs="Times New Roman"/>
                <w:b w:val="0"/>
                <w:bCs/>
                <w:color w:val="auto"/>
                <w:kern w:val="0"/>
                <w:szCs w:val="21"/>
                <w:highlight w:val="none"/>
              </w:rPr>
              <w:t>F级</w:t>
            </w:r>
          </w:p>
        </w:tc>
        <w:tc>
          <w:tcPr>
            <w:tcW w:w="1594" w:type="dxa"/>
            <w:shd w:val="clear" w:color="auto" w:fill="FFFFFF"/>
            <w:vAlign w:val="center"/>
          </w:tcPr>
          <w:p w14:paraId="74B1C13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cs="Times New Roman"/>
                <w:b w:val="0"/>
                <w:bCs/>
                <w:color w:val="auto"/>
                <w:kern w:val="0"/>
                <w:szCs w:val="21"/>
                <w:highlight w:val="none"/>
              </w:rPr>
            </w:pPr>
            <w:r>
              <w:rPr>
                <w:rFonts w:ascii="Times New Roman" w:hAnsi="Times New Roman" w:cs="Times New Roman"/>
                <w:b w:val="0"/>
                <w:bCs/>
                <w:color w:val="auto"/>
                <w:kern w:val="0"/>
                <w:szCs w:val="21"/>
                <w:highlight w:val="none"/>
              </w:rPr>
              <w:t>FA级</w:t>
            </w:r>
          </w:p>
        </w:tc>
      </w:tr>
      <w:tr w14:paraId="10393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5" w:type="dxa"/>
            <w:vAlign w:val="center"/>
          </w:tcPr>
          <w:p w14:paraId="396494A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cs="Times New Roman"/>
                <w:b/>
                <w:color w:val="auto"/>
                <w:kern w:val="0"/>
                <w:szCs w:val="21"/>
                <w:highlight w:val="none"/>
              </w:rPr>
            </w:pPr>
            <w:r>
              <w:rPr>
                <w:rFonts w:ascii="Times New Roman" w:hAnsi="Times New Roman" w:cs="Times New Roman"/>
                <w:b/>
                <w:color w:val="auto"/>
                <w:kern w:val="0"/>
                <w:szCs w:val="21"/>
                <w:highlight w:val="none"/>
              </w:rPr>
              <w:t>仪表精度</w:t>
            </w:r>
          </w:p>
        </w:tc>
        <w:tc>
          <w:tcPr>
            <w:tcW w:w="1418" w:type="dxa"/>
            <w:vAlign w:val="center"/>
          </w:tcPr>
          <w:p w14:paraId="4171432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cs="Times New Roman"/>
                <w:b w:val="0"/>
                <w:bCs/>
                <w:color w:val="auto"/>
                <w:kern w:val="0"/>
                <w:szCs w:val="21"/>
                <w:highlight w:val="none"/>
              </w:rPr>
            </w:pPr>
            <w:r>
              <w:rPr>
                <w:rFonts w:ascii="Times New Roman" w:hAnsi="Times New Roman" w:cs="Times New Roman"/>
                <w:b w:val="0"/>
                <w:bCs/>
                <w:color w:val="auto"/>
                <w:kern w:val="0"/>
                <w:szCs w:val="21"/>
                <w:highlight w:val="none"/>
              </w:rPr>
              <w:t>Ⅱe</w:t>
            </w:r>
          </w:p>
        </w:tc>
        <w:tc>
          <w:tcPr>
            <w:tcW w:w="1417" w:type="dxa"/>
            <w:vAlign w:val="center"/>
          </w:tcPr>
          <w:p w14:paraId="0EC3233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cs="Times New Roman"/>
                <w:b w:val="0"/>
                <w:bCs/>
                <w:color w:val="auto"/>
                <w:kern w:val="0"/>
                <w:szCs w:val="21"/>
                <w:highlight w:val="none"/>
              </w:rPr>
            </w:pPr>
            <w:r>
              <w:rPr>
                <w:rFonts w:ascii="Times New Roman" w:hAnsi="Times New Roman" w:cs="Times New Roman"/>
                <w:b w:val="0"/>
                <w:bCs/>
                <w:color w:val="auto"/>
                <w:kern w:val="0"/>
                <w:szCs w:val="21"/>
                <w:highlight w:val="none"/>
              </w:rPr>
              <w:t>Ⅲ</w:t>
            </w:r>
          </w:p>
        </w:tc>
        <w:tc>
          <w:tcPr>
            <w:tcW w:w="1418" w:type="dxa"/>
            <w:vAlign w:val="center"/>
          </w:tcPr>
          <w:p w14:paraId="3029201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cs="Times New Roman"/>
                <w:b w:val="0"/>
                <w:bCs/>
                <w:color w:val="auto"/>
                <w:kern w:val="0"/>
                <w:szCs w:val="21"/>
                <w:highlight w:val="none"/>
              </w:rPr>
            </w:pPr>
            <w:r>
              <w:rPr>
                <w:rFonts w:ascii="Times New Roman" w:hAnsi="Times New Roman" w:cs="Times New Roman"/>
                <w:b w:val="0"/>
                <w:bCs/>
                <w:color w:val="auto"/>
                <w:kern w:val="0"/>
                <w:szCs w:val="21"/>
                <w:highlight w:val="none"/>
              </w:rPr>
              <w:t>Ⅲe</w:t>
            </w:r>
          </w:p>
        </w:tc>
        <w:tc>
          <w:tcPr>
            <w:tcW w:w="1417" w:type="dxa"/>
            <w:vAlign w:val="center"/>
          </w:tcPr>
          <w:p w14:paraId="40EC6A4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cs="Times New Roman"/>
                <w:b w:val="0"/>
                <w:bCs/>
                <w:color w:val="auto"/>
                <w:kern w:val="0"/>
                <w:szCs w:val="21"/>
                <w:highlight w:val="none"/>
              </w:rPr>
            </w:pPr>
            <w:r>
              <w:rPr>
                <w:rFonts w:ascii="Times New Roman" w:hAnsi="Times New Roman" w:cs="Times New Roman"/>
                <w:b w:val="0"/>
                <w:bCs/>
                <w:color w:val="auto"/>
                <w:kern w:val="0"/>
                <w:szCs w:val="21"/>
                <w:highlight w:val="none"/>
              </w:rPr>
              <w:t>Ⅳ</w:t>
            </w:r>
          </w:p>
        </w:tc>
        <w:tc>
          <w:tcPr>
            <w:tcW w:w="1594" w:type="dxa"/>
            <w:vAlign w:val="center"/>
          </w:tcPr>
          <w:p w14:paraId="6554C7F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cs="Times New Roman"/>
                <w:b w:val="0"/>
                <w:bCs/>
                <w:color w:val="auto"/>
                <w:kern w:val="0"/>
                <w:szCs w:val="21"/>
                <w:highlight w:val="none"/>
              </w:rPr>
            </w:pPr>
            <w:r>
              <w:rPr>
                <w:rFonts w:ascii="Times New Roman" w:hAnsi="Times New Roman" w:cs="Times New Roman"/>
                <w:b w:val="0"/>
                <w:bCs/>
                <w:color w:val="auto"/>
                <w:kern w:val="0"/>
                <w:szCs w:val="21"/>
                <w:highlight w:val="none"/>
              </w:rPr>
              <w:t>Ⅴ</w:t>
            </w:r>
          </w:p>
        </w:tc>
      </w:tr>
    </w:tbl>
    <w:p w14:paraId="3B7C4BDA">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表</w:t>
      </w:r>
      <w:r>
        <w:rPr>
          <w:rFonts w:hint="eastAsia" w:ascii="Times New Roman" w:hAnsi="Times New Roman" w:cs="Times New Roman"/>
          <w:b/>
          <w:color w:val="auto"/>
          <w:sz w:val="24"/>
          <w:highlight w:val="none"/>
          <w:lang w:eastAsia="zh-CN"/>
        </w:rPr>
        <w:t>A.0.1-</w:t>
      </w:r>
      <w:r>
        <w:rPr>
          <w:rFonts w:ascii="Times New Roman" w:hAnsi="Times New Roman" w:cs="Times New Roman"/>
          <w:b/>
          <w:color w:val="auto"/>
          <w:sz w:val="24"/>
          <w:highlight w:val="none"/>
        </w:rPr>
        <w:t>5 驻波比测试仪</w:t>
      </w:r>
      <w:r>
        <w:rPr>
          <w:rFonts w:hint="eastAsia" w:ascii="Times New Roman" w:hAnsi="Times New Roman" w:cs="Times New Roman"/>
          <w:b/>
          <w:color w:val="auto"/>
          <w:sz w:val="24"/>
          <w:highlight w:val="none"/>
          <w:lang w:val="en-US" w:eastAsia="zh-CN"/>
        </w:rPr>
        <w:t>指标要求</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6036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Pr>
          <w:p w14:paraId="5809503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bCs/>
                <w:color w:val="auto"/>
                <w:sz w:val="21"/>
                <w:szCs w:val="21"/>
                <w:highlight w:val="none"/>
                <w:vertAlign w:val="baseline"/>
                <w:lang w:val="en-US" w:eastAsia="zh-CN"/>
              </w:rPr>
            </w:pPr>
            <w:r>
              <w:rPr>
                <w:rFonts w:ascii="Times New Roman" w:hAnsi="Times New Roman" w:cs="Times New Roman"/>
                <w:b/>
                <w:bCs/>
                <w:color w:val="auto"/>
                <w:sz w:val="21"/>
                <w:szCs w:val="21"/>
                <w:highlight w:val="none"/>
              </w:rPr>
              <w:t>频率范围</w:t>
            </w:r>
          </w:p>
        </w:tc>
        <w:tc>
          <w:tcPr>
            <w:tcW w:w="4261" w:type="dxa"/>
          </w:tcPr>
          <w:p w14:paraId="6F81DDE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color w:val="auto"/>
                <w:sz w:val="21"/>
                <w:szCs w:val="21"/>
                <w:highlight w:val="none"/>
                <w:vertAlign w:val="baseline"/>
                <w:lang w:val="en-US" w:eastAsia="zh-CN"/>
              </w:rPr>
            </w:pPr>
            <w:r>
              <w:rPr>
                <w:rFonts w:ascii="Times New Roman" w:hAnsi="Times New Roman" w:cs="Times New Roman"/>
                <w:color w:val="auto"/>
                <w:sz w:val="21"/>
                <w:szCs w:val="21"/>
                <w:highlight w:val="none"/>
              </w:rPr>
              <w:t>25MHz～6GHz</w:t>
            </w:r>
          </w:p>
        </w:tc>
      </w:tr>
      <w:tr w14:paraId="22EAC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B36873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bCs/>
                <w:color w:val="auto"/>
                <w:sz w:val="21"/>
                <w:szCs w:val="21"/>
                <w:highlight w:val="none"/>
                <w:vertAlign w:val="baseline"/>
                <w:lang w:val="en-US" w:eastAsia="zh-CN"/>
              </w:rPr>
            </w:pPr>
            <w:r>
              <w:rPr>
                <w:rFonts w:ascii="Times New Roman" w:hAnsi="Times New Roman" w:cs="Times New Roman"/>
                <w:b/>
                <w:bCs/>
                <w:color w:val="auto"/>
                <w:sz w:val="21"/>
                <w:szCs w:val="21"/>
                <w:highlight w:val="none"/>
              </w:rPr>
              <w:t>频率分辨率</w:t>
            </w:r>
          </w:p>
        </w:tc>
        <w:tc>
          <w:tcPr>
            <w:tcW w:w="4261" w:type="dxa"/>
          </w:tcPr>
          <w:p w14:paraId="3F4D683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color w:val="auto"/>
                <w:sz w:val="21"/>
                <w:szCs w:val="21"/>
                <w:highlight w:val="none"/>
                <w:vertAlign w:val="baseline"/>
                <w:lang w:val="en-US" w:eastAsia="zh-CN"/>
              </w:rPr>
            </w:pPr>
            <w:r>
              <w:rPr>
                <w:rFonts w:ascii="Times New Roman" w:hAnsi="Times New Roman" w:cs="Times New Roman"/>
                <w:color w:val="auto"/>
                <w:sz w:val="24"/>
                <w:highlight w:val="none"/>
              </w:rPr>
              <w:t>&lt;</w:t>
            </w:r>
            <w:r>
              <w:rPr>
                <w:rFonts w:ascii="Times New Roman" w:hAnsi="Times New Roman" w:cs="Times New Roman"/>
                <w:color w:val="auto"/>
                <w:sz w:val="21"/>
                <w:szCs w:val="21"/>
                <w:highlight w:val="none"/>
              </w:rPr>
              <w:t>100kHz</w:t>
            </w:r>
          </w:p>
        </w:tc>
      </w:tr>
      <w:tr w14:paraId="4285B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EEF193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bCs/>
                <w:color w:val="auto"/>
                <w:sz w:val="21"/>
                <w:szCs w:val="21"/>
                <w:highlight w:val="none"/>
                <w:vertAlign w:val="baseline"/>
                <w:lang w:val="en-US" w:eastAsia="zh-CN"/>
              </w:rPr>
            </w:pPr>
            <w:r>
              <w:rPr>
                <w:rFonts w:ascii="Times New Roman" w:hAnsi="Times New Roman" w:cs="Times New Roman"/>
                <w:b/>
                <w:bCs/>
                <w:color w:val="auto"/>
                <w:sz w:val="21"/>
                <w:szCs w:val="21"/>
                <w:highlight w:val="none"/>
              </w:rPr>
              <w:t>频率准确度</w:t>
            </w:r>
          </w:p>
        </w:tc>
        <w:tc>
          <w:tcPr>
            <w:tcW w:w="4261" w:type="dxa"/>
          </w:tcPr>
          <w:p w14:paraId="626DC44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color w:val="auto"/>
                <w:sz w:val="21"/>
                <w:szCs w:val="21"/>
                <w:highlight w:val="none"/>
                <w:vertAlign w:val="baseline"/>
                <w:lang w:val="en-US" w:eastAsia="zh-CN"/>
              </w:rPr>
            </w:pPr>
            <w:r>
              <w:rPr>
                <w:rFonts w:ascii="Times New Roman" w:hAnsi="Times New Roman" w:cs="Times New Roman"/>
                <w:color w:val="auto"/>
                <w:sz w:val="24"/>
                <w:highlight w:val="none"/>
              </w:rPr>
              <w:t>&lt;</w:t>
            </w:r>
            <w:r>
              <w:rPr>
                <w:rFonts w:ascii="Times New Roman" w:hAnsi="Times New Roman" w:cs="Times New Roman"/>
                <w:color w:val="auto"/>
                <w:sz w:val="21"/>
                <w:szCs w:val="21"/>
                <w:highlight w:val="none"/>
              </w:rPr>
              <w:t>±50ppm</w:t>
            </w:r>
          </w:p>
        </w:tc>
      </w:tr>
      <w:tr w14:paraId="6F1E9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705341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bCs/>
                <w:color w:val="auto"/>
                <w:sz w:val="21"/>
                <w:szCs w:val="21"/>
                <w:highlight w:val="none"/>
                <w:vertAlign w:val="baseline"/>
                <w:lang w:val="en-US" w:eastAsia="zh-CN"/>
              </w:rPr>
            </w:pPr>
            <w:r>
              <w:rPr>
                <w:rFonts w:ascii="Times New Roman" w:hAnsi="Times New Roman" w:cs="Times New Roman"/>
                <w:b/>
                <w:bCs/>
                <w:color w:val="auto"/>
                <w:sz w:val="21"/>
                <w:szCs w:val="21"/>
                <w:highlight w:val="none"/>
              </w:rPr>
              <w:t>驻波比测量范围</w:t>
            </w:r>
          </w:p>
        </w:tc>
        <w:tc>
          <w:tcPr>
            <w:tcW w:w="4261" w:type="dxa"/>
          </w:tcPr>
          <w:p w14:paraId="6F1408F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color w:val="auto"/>
                <w:sz w:val="21"/>
                <w:szCs w:val="21"/>
                <w:highlight w:val="none"/>
                <w:vertAlign w:val="baseline"/>
                <w:lang w:val="en-US" w:eastAsia="zh-CN"/>
              </w:rPr>
            </w:pPr>
            <w:r>
              <w:rPr>
                <w:rFonts w:ascii="Times New Roman" w:hAnsi="Times New Roman" w:cs="Times New Roman"/>
                <w:color w:val="auto"/>
                <w:sz w:val="21"/>
                <w:szCs w:val="21"/>
                <w:highlight w:val="none"/>
              </w:rPr>
              <w:t>1.00dB～65.00dB</w:t>
            </w:r>
          </w:p>
        </w:tc>
      </w:tr>
      <w:tr w14:paraId="356ED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AD2300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bCs/>
                <w:color w:val="auto"/>
                <w:sz w:val="21"/>
                <w:szCs w:val="21"/>
                <w:highlight w:val="none"/>
                <w:vertAlign w:val="baseline"/>
                <w:lang w:val="en-US" w:eastAsia="zh-CN"/>
              </w:rPr>
            </w:pPr>
            <w:r>
              <w:rPr>
                <w:rFonts w:ascii="Times New Roman" w:hAnsi="Times New Roman" w:cs="Times New Roman"/>
                <w:b/>
                <w:bCs/>
                <w:color w:val="auto"/>
                <w:sz w:val="21"/>
                <w:szCs w:val="21"/>
                <w:highlight w:val="none"/>
              </w:rPr>
              <w:t>驻波比测量分辨率</w:t>
            </w:r>
          </w:p>
        </w:tc>
        <w:tc>
          <w:tcPr>
            <w:tcW w:w="4261" w:type="dxa"/>
          </w:tcPr>
          <w:p w14:paraId="351B678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color w:val="auto"/>
                <w:sz w:val="21"/>
                <w:szCs w:val="21"/>
                <w:highlight w:val="none"/>
                <w:vertAlign w:val="baseline"/>
                <w:lang w:val="en-US" w:eastAsia="zh-CN"/>
              </w:rPr>
            </w:pPr>
            <w:r>
              <w:rPr>
                <w:rFonts w:ascii="Times New Roman" w:hAnsi="Times New Roman" w:cs="Times New Roman"/>
                <w:color w:val="auto"/>
                <w:sz w:val="21"/>
                <w:szCs w:val="21"/>
                <w:highlight w:val="none"/>
              </w:rPr>
              <w:t>0.01dB</w:t>
            </w:r>
          </w:p>
        </w:tc>
      </w:tr>
      <w:tr w14:paraId="25E68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Pr>
          <w:p w14:paraId="3589B48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bCs/>
                <w:color w:val="auto"/>
                <w:sz w:val="21"/>
                <w:szCs w:val="21"/>
                <w:highlight w:val="none"/>
                <w:vertAlign w:val="baseline"/>
                <w:lang w:val="en-US" w:eastAsia="zh-CN"/>
              </w:rPr>
            </w:pPr>
            <w:r>
              <w:rPr>
                <w:rFonts w:ascii="Times New Roman" w:hAnsi="Times New Roman" w:cs="Times New Roman"/>
                <w:b/>
                <w:bCs/>
                <w:color w:val="auto"/>
                <w:sz w:val="21"/>
                <w:szCs w:val="21"/>
                <w:highlight w:val="none"/>
              </w:rPr>
              <w:t>回波损耗测量范围</w:t>
            </w:r>
          </w:p>
        </w:tc>
        <w:tc>
          <w:tcPr>
            <w:tcW w:w="4261" w:type="dxa"/>
          </w:tcPr>
          <w:p w14:paraId="39C3141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color w:val="auto"/>
                <w:sz w:val="21"/>
                <w:szCs w:val="21"/>
                <w:highlight w:val="none"/>
                <w:vertAlign w:val="baseline"/>
                <w:lang w:val="en-US" w:eastAsia="zh-CN"/>
              </w:rPr>
            </w:pPr>
            <w:r>
              <w:rPr>
                <w:rFonts w:ascii="Times New Roman" w:hAnsi="Times New Roman" w:cs="Times New Roman"/>
                <w:color w:val="auto"/>
                <w:sz w:val="21"/>
                <w:szCs w:val="21"/>
                <w:highlight w:val="none"/>
              </w:rPr>
              <w:t>0.00dB～60.00dB</w:t>
            </w:r>
          </w:p>
        </w:tc>
      </w:tr>
      <w:tr w14:paraId="0E6E0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B71E341">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cs="Times New Roman"/>
                <w:b/>
                <w:bCs/>
                <w:color w:val="auto"/>
                <w:sz w:val="21"/>
                <w:szCs w:val="21"/>
                <w:highlight w:val="none"/>
              </w:rPr>
            </w:pPr>
            <w:r>
              <w:rPr>
                <w:rFonts w:ascii="Times New Roman" w:hAnsi="Times New Roman" w:cs="Times New Roman"/>
                <w:b/>
                <w:bCs/>
                <w:color w:val="auto"/>
                <w:sz w:val="21"/>
                <w:szCs w:val="21"/>
                <w:highlight w:val="none"/>
              </w:rPr>
              <w:t>回波损耗测量分辨率</w:t>
            </w:r>
          </w:p>
        </w:tc>
        <w:tc>
          <w:tcPr>
            <w:tcW w:w="4261" w:type="dxa"/>
          </w:tcPr>
          <w:p w14:paraId="4E18D7F1">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0.01dB</w:t>
            </w:r>
          </w:p>
        </w:tc>
      </w:tr>
    </w:tbl>
    <w:p w14:paraId="2B1F420D">
      <w:pPr>
        <w:rPr>
          <w:rFonts w:hint="eastAsia"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br w:type="page"/>
      </w:r>
    </w:p>
    <w:p w14:paraId="3445CE5E">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ascii="Times New Roman" w:hAnsi="Times New Roman" w:cs="Times New Roman"/>
          <w:b/>
          <w:color w:val="auto"/>
          <w:sz w:val="24"/>
          <w:highlight w:val="none"/>
        </w:rPr>
      </w:pPr>
      <w:r>
        <w:rPr>
          <w:rFonts w:hint="eastAsia" w:ascii="Times New Roman" w:hAnsi="Times New Roman" w:cs="Times New Roman"/>
          <w:b/>
          <w:color w:val="auto"/>
          <w:sz w:val="24"/>
          <w:highlight w:val="none"/>
          <w:lang w:val="en-US" w:eastAsia="zh-CN"/>
        </w:rPr>
        <w:t>表</w:t>
      </w:r>
      <w:r>
        <w:rPr>
          <w:rFonts w:hint="eastAsia" w:ascii="Times New Roman" w:hAnsi="Times New Roman" w:cs="Times New Roman"/>
          <w:b/>
          <w:color w:val="auto"/>
          <w:sz w:val="24"/>
          <w:highlight w:val="none"/>
          <w:lang w:eastAsia="zh-CN"/>
        </w:rPr>
        <w:t>A.0.1-</w:t>
      </w:r>
      <w:r>
        <w:rPr>
          <w:rFonts w:ascii="Times New Roman" w:hAnsi="Times New Roman" w:cs="Times New Roman"/>
          <w:b/>
          <w:color w:val="auto"/>
          <w:sz w:val="24"/>
          <w:highlight w:val="none"/>
        </w:rPr>
        <w:t>6 信号源</w:t>
      </w:r>
      <w:r>
        <w:rPr>
          <w:rFonts w:hint="eastAsia" w:ascii="Times New Roman" w:hAnsi="Times New Roman" w:cs="Times New Roman"/>
          <w:b/>
          <w:color w:val="auto"/>
          <w:sz w:val="24"/>
          <w:highlight w:val="none"/>
          <w:lang w:val="en-US" w:eastAsia="zh-CN"/>
        </w:rPr>
        <w:t>指标要求</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6C9A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787B86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bCs/>
                <w:color w:val="auto"/>
                <w:sz w:val="21"/>
                <w:szCs w:val="21"/>
                <w:highlight w:val="none"/>
                <w:vertAlign w:val="baseline"/>
                <w:lang w:val="en-US" w:eastAsia="zh-CN"/>
              </w:rPr>
            </w:pPr>
            <w:r>
              <w:rPr>
                <w:rFonts w:ascii="Times New Roman" w:hAnsi="Times New Roman" w:cs="Times New Roman"/>
                <w:b/>
                <w:bCs/>
                <w:color w:val="auto"/>
                <w:sz w:val="21"/>
                <w:szCs w:val="21"/>
                <w:highlight w:val="none"/>
              </w:rPr>
              <w:t>频率范围</w:t>
            </w:r>
          </w:p>
        </w:tc>
        <w:tc>
          <w:tcPr>
            <w:tcW w:w="4261" w:type="dxa"/>
          </w:tcPr>
          <w:p w14:paraId="5E60447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color w:val="auto"/>
                <w:sz w:val="21"/>
                <w:szCs w:val="21"/>
                <w:highlight w:val="none"/>
                <w:vertAlign w:val="baseline"/>
                <w:lang w:val="en-US" w:eastAsia="zh-CN"/>
              </w:rPr>
            </w:pPr>
            <w:r>
              <w:rPr>
                <w:rFonts w:ascii="Times New Roman" w:hAnsi="Times New Roman" w:cs="Times New Roman"/>
                <w:color w:val="auto"/>
                <w:sz w:val="21"/>
                <w:szCs w:val="21"/>
                <w:highlight w:val="none"/>
              </w:rPr>
              <w:t>25MHz～6GHz</w:t>
            </w:r>
          </w:p>
        </w:tc>
      </w:tr>
      <w:tr w14:paraId="6791B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618758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bCs/>
                <w:color w:val="auto"/>
                <w:sz w:val="21"/>
                <w:szCs w:val="21"/>
                <w:highlight w:val="none"/>
                <w:vertAlign w:val="baseline"/>
                <w:lang w:val="en-US" w:eastAsia="zh-CN"/>
              </w:rPr>
            </w:pPr>
            <w:r>
              <w:rPr>
                <w:rFonts w:ascii="Times New Roman" w:hAnsi="Times New Roman" w:cs="Times New Roman"/>
                <w:b/>
                <w:bCs/>
                <w:color w:val="auto"/>
                <w:sz w:val="21"/>
                <w:szCs w:val="21"/>
                <w:highlight w:val="none"/>
              </w:rPr>
              <w:t>频率准确度</w:t>
            </w:r>
          </w:p>
        </w:tc>
        <w:tc>
          <w:tcPr>
            <w:tcW w:w="4261" w:type="dxa"/>
          </w:tcPr>
          <w:p w14:paraId="7A94D16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color w:val="auto"/>
                <w:sz w:val="21"/>
                <w:szCs w:val="21"/>
                <w:highlight w:val="none"/>
                <w:vertAlign w:val="baseline"/>
                <w:lang w:val="en-US" w:eastAsia="zh-CN"/>
              </w:rPr>
            </w:pPr>
            <w:r>
              <w:rPr>
                <w:rFonts w:ascii="Times New Roman" w:hAnsi="Times New Roman" w:cs="Times New Roman"/>
                <w:color w:val="auto"/>
                <w:sz w:val="21"/>
                <w:szCs w:val="21"/>
                <w:highlight w:val="none"/>
              </w:rPr>
              <w:t>±</w:t>
            </w:r>
            <w:r>
              <w:rPr>
                <w:rFonts w:hint="eastAsia" w:ascii="Times New Roman" w:hAnsi="Times New Roman" w:cs="Times New Roman"/>
                <w:color w:val="auto"/>
                <w:sz w:val="21"/>
                <w:szCs w:val="21"/>
                <w:highlight w:val="none"/>
                <w:lang w:val="en-US" w:eastAsia="zh-CN"/>
              </w:rPr>
              <w:t>1</w:t>
            </w:r>
            <w:r>
              <w:rPr>
                <w:rFonts w:ascii="Times New Roman" w:hAnsi="Times New Roman" w:cs="Times New Roman"/>
                <w:color w:val="auto"/>
                <w:sz w:val="21"/>
                <w:szCs w:val="21"/>
                <w:highlight w:val="none"/>
              </w:rPr>
              <w:t>ppm</w:t>
            </w:r>
          </w:p>
        </w:tc>
      </w:tr>
      <w:tr w14:paraId="2C2FC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4A15CF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最大</w:t>
            </w:r>
            <w:r>
              <w:rPr>
                <w:rFonts w:hint="eastAsia" w:ascii="Times New Roman" w:hAnsi="Times New Roman" w:cs="Times New Roman"/>
                <w:b/>
                <w:bCs/>
                <w:color w:val="auto"/>
                <w:sz w:val="21"/>
                <w:szCs w:val="21"/>
                <w:highlight w:val="none"/>
                <w:lang w:eastAsia="zh-CN"/>
              </w:rPr>
              <w:t>输出电平</w:t>
            </w:r>
          </w:p>
        </w:tc>
        <w:tc>
          <w:tcPr>
            <w:tcW w:w="4261" w:type="dxa"/>
          </w:tcPr>
          <w:p w14:paraId="71973D7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color w:val="auto"/>
                <w:sz w:val="21"/>
                <w:szCs w:val="21"/>
                <w:highlight w:val="none"/>
                <w:vertAlign w:val="baseline"/>
                <w:lang w:val="en-US" w:eastAsia="zh-CN"/>
              </w:rPr>
            </w:pPr>
            <w:r>
              <w:rPr>
                <w:rFonts w:hint="eastAsia" w:ascii="Times New Roman" w:hAnsi="Times New Roman" w:cs="Times New Roman"/>
                <w:color w:val="auto"/>
                <w:sz w:val="24"/>
                <w:highlight w:val="none"/>
                <w:lang w:val="en-US" w:eastAsia="zh-CN"/>
              </w:rPr>
              <w:t>&gt;</w:t>
            </w:r>
            <w:r>
              <w:rPr>
                <w:rFonts w:hint="eastAsia" w:ascii="Times New Roman" w:hAnsi="Times New Roman" w:cs="Times New Roman"/>
                <w:color w:val="auto"/>
                <w:sz w:val="21"/>
                <w:szCs w:val="21"/>
                <w:highlight w:val="none"/>
                <w:lang w:val="en-US" w:eastAsia="zh-CN"/>
              </w:rPr>
              <w:t>5</w:t>
            </w:r>
            <w:r>
              <w:rPr>
                <w:rFonts w:hint="eastAsia" w:ascii="Times New Roman" w:hAnsi="Times New Roman" w:cs="Times New Roman"/>
                <w:color w:val="auto"/>
                <w:sz w:val="21"/>
                <w:szCs w:val="21"/>
                <w:highlight w:val="none"/>
                <w:lang w:eastAsia="zh-CN"/>
              </w:rPr>
              <w:t>dBm</w:t>
            </w:r>
          </w:p>
        </w:tc>
      </w:tr>
      <w:tr w14:paraId="1BC20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E683B7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eastAsia="zh-CN"/>
              </w:rPr>
              <w:t>输出电平准确度</w:t>
            </w:r>
          </w:p>
        </w:tc>
        <w:tc>
          <w:tcPr>
            <w:tcW w:w="4261" w:type="dxa"/>
          </w:tcPr>
          <w:p w14:paraId="19B714D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color w:val="auto"/>
                <w:sz w:val="21"/>
                <w:szCs w:val="21"/>
                <w:highlight w:val="none"/>
                <w:vertAlign w:val="baseline"/>
                <w:lang w:val="en-US" w:eastAsia="zh-CN"/>
              </w:rPr>
            </w:pP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1</w:t>
            </w:r>
            <w:r>
              <w:rPr>
                <w:rFonts w:hint="eastAsia" w:ascii="Times New Roman" w:hAnsi="Times New Roman" w:cs="Times New Roman"/>
                <w:color w:val="auto"/>
                <w:sz w:val="21"/>
                <w:szCs w:val="21"/>
                <w:highlight w:val="none"/>
                <w:lang w:eastAsia="zh-CN"/>
              </w:rPr>
              <w:t>dB</w:t>
            </w:r>
          </w:p>
        </w:tc>
      </w:tr>
      <w:tr w14:paraId="24AAA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18D50DE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输出信号制式</w:t>
            </w:r>
          </w:p>
        </w:tc>
        <w:tc>
          <w:tcPr>
            <w:tcW w:w="4261" w:type="dxa"/>
          </w:tcPr>
          <w:p w14:paraId="0C87BA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color w:val="auto"/>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支持100MHz带宽5G NR信号调制，支持20MHz带宽4G LTE信号调制</w:t>
            </w:r>
          </w:p>
        </w:tc>
      </w:tr>
    </w:tbl>
    <w:p w14:paraId="0B344204">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ascii="Times New Roman" w:hAnsi="Times New Roman" w:cs="Times New Roman"/>
          <w:b/>
          <w:color w:val="auto"/>
          <w:sz w:val="24"/>
          <w:highlight w:val="none"/>
        </w:rPr>
      </w:pPr>
      <w:r>
        <w:rPr>
          <w:rFonts w:hint="eastAsia" w:ascii="Times New Roman" w:hAnsi="Times New Roman" w:cs="Times New Roman"/>
          <w:b/>
          <w:color w:val="auto"/>
          <w:sz w:val="24"/>
          <w:highlight w:val="none"/>
          <w:lang w:val="en-US" w:eastAsia="zh-CN"/>
        </w:rPr>
        <w:t>表</w:t>
      </w:r>
      <w:r>
        <w:rPr>
          <w:rFonts w:hint="eastAsia" w:ascii="Times New Roman" w:hAnsi="Times New Roman" w:cs="Times New Roman"/>
          <w:b/>
          <w:color w:val="auto"/>
          <w:sz w:val="24"/>
          <w:highlight w:val="none"/>
          <w:lang w:eastAsia="zh-CN"/>
        </w:rPr>
        <w:t>A.0.1-</w:t>
      </w:r>
      <w:r>
        <w:rPr>
          <w:rFonts w:hint="eastAsia" w:ascii="Times New Roman" w:hAnsi="Times New Roman" w:cs="Times New Roman"/>
          <w:b/>
          <w:color w:val="auto"/>
          <w:sz w:val="24"/>
          <w:highlight w:val="none"/>
          <w:lang w:val="en-US" w:eastAsia="zh-CN"/>
        </w:rPr>
        <w:t>7</w:t>
      </w:r>
      <w:r>
        <w:rPr>
          <w:rFonts w:ascii="Times New Roman" w:hAnsi="Times New Roman" w:cs="Times New Roman"/>
          <w:b/>
          <w:color w:val="auto"/>
          <w:sz w:val="24"/>
          <w:highlight w:val="none"/>
        </w:rPr>
        <w:t xml:space="preserve"> 频谱分析仪</w:t>
      </w:r>
      <w:r>
        <w:rPr>
          <w:rFonts w:hint="eastAsia" w:ascii="Times New Roman" w:hAnsi="Times New Roman" w:cs="Times New Roman"/>
          <w:b/>
          <w:color w:val="auto"/>
          <w:sz w:val="24"/>
          <w:highlight w:val="none"/>
          <w:lang w:val="en-US" w:eastAsia="zh-CN"/>
        </w:rPr>
        <w:t>指标要求</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12F2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74555F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bCs/>
                <w:color w:val="auto"/>
                <w:sz w:val="21"/>
                <w:szCs w:val="21"/>
                <w:highlight w:val="none"/>
                <w:vertAlign w:val="baseline"/>
                <w:lang w:val="en-US" w:eastAsia="zh-CN"/>
              </w:rPr>
            </w:pPr>
            <w:r>
              <w:rPr>
                <w:rFonts w:ascii="Times New Roman" w:hAnsi="Times New Roman" w:cs="Times New Roman"/>
                <w:b/>
                <w:bCs/>
                <w:color w:val="auto"/>
                <w:sz w:val="21"/>
                <w:szCs w:val="21"/>
                <w:highlight w:val="none"/>
              </w:rPr>
              <w:t>频率范围</w:t>
            </w:r>
          </w:p>
        </w:tc>
        <w:tc>
          <w:tcPr>
            <w:tcW w:w="4261" w:type="dxa"/>
          </w:tcPr>
          <w:p w14:paraId="198F74C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color w:val="auto"/>
                <w:sz w:val="21"/>
                <w:szCs w:val="21"/>
                <w:highlight w:val="none"/>
                <w:vertAlign w:val="baseline"/>
                <w:lang w:val="en-US" w:eastAsia="zh-CN"/>
              </w:rPr>
            </w:pPr>
            <w:r>
              <w:rPr>
                <w:rFonts w:ascii="Times New Roman" w:hAnsi="Times New Roman" w:cs="Times New Roman"/>
                <w:color w:val="auto"/>
                <w:sz w:val="21"/>
                <w:szCs w:val="21"/>
                <w:highlight w:val="none"/>
              </w:rPr>
              <w:t>25MHz～6GHz</w:t>
            </w:r>
          </w:p>
        </w:tc>
      </w:tr>
      <w:tr w14:paraId="77DD8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CA9345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bCs/>
                <w:color w:val="auto"/>
                <w:sz w:val="21"/>
                <w:szCs w:val="21"/>
                <w:highlight w:val="none"/>
                <w:vertAlign w:val="baseline"/>
                <w:lang w:val="en-US" w:eastAsia="zh-CN"/>
              </w:rPr>
            </w:pPr>
            <w:r>
              <w:rPr>
                <w:rFonts w:ascii="Times New Roman" w:hAnsi="Times New Roman" w:cs="Times New Roman"/>
                <w:b/>
                <w:bCs/>
                <w:color w:val="auto"/>
                <w:sz w:val="21"/>
                <w:szCs w:val="21"/>
                <w:highlight w:val="none"/>
              </w:rPr>
              <w:t>频率准确度</w:t>
            </w:r>
          </w:p>
        </w:tc>
        <w:tc>
          <w:tcPr>
            <w:tcW w:w="4261" w:type="dxa"/>
          </w:tcPr>
          <w:p w14:paraId="35B1383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color w:val="auto"/>
                <w:sz w:val="21"/>
                <w:szCs w:val="21"/>
                <w:highlight w:val="none"/>
                <w:vertAlign w:val="baseline"/>
                <w:lang w:val="en-US" w:eastAsia="zh-CN"/>
              </w:rPr>
            </w:pPr>
            <w:r>
              <w:rPr>
                <w:rFonts w:ascii="Times New Roman" w:hAnsi="Times New Roman" w:cs="Times New Roman"/>
                <w:color w:val="auto"/>
                <w:sz w:val="21"/>
                <w:szCs w:val="21"/>
                <w:highlight w:val="none"/>
              </w:rPr>
              <w:t>±</w:t>
            </w:r>
            <w:r>
              <w:rPr>
                <w:rFonts w:hint="eastAsia" w:ascii="Times New Roman" w:hAnsi="Times New Roman" w:cs="Times New Roman"/>
                <w:color w:val="auto"/>
                <w:sz w:val="21"/>
                <w:szCs w:val="21"/>
                <w:highlight w:val="none"/>
                <w:lang w:val="en-US" w:eastAsia="zh-CN"/>
              </w:rPr>
              <w:t>1</w:t>
            </w:r>
            <w:r>
              <w:rPr>
                <w:rFonts w:ascii="Times New Roman" w:hAnsi="Times New Roman" w:cs="Times New Roman"/>
                <w:color w:val="auto"/>
                <w:sz w:val="21"/>
                <w:szCs w:val="21"/>
                <w:highlight w:val="none"/>
              </w:rPr>
              <w:t>ppm</w:t>
            </w:r>
          </w:p>
        </w:tc>
      </w:tr>
      <w:tr w14:paraId="10171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7C0C5E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bCs/>
                <w:color w:val="auto"/>
                <w:sz w:val="21"/>
                <w:szCs w:val="21"/>
                <w:highlight w:val="none"/>
                <w:vertAlign w:val="baseline"/>
                <w:lang w:val="en-US" w:eastAsia="zh-CN"/>
              </w:rPr>
            </w:pPr>
            <w:r>
              <w:rPr>
                <w:rFonts w:hint="eastAsia" w:ascii="Times New Roman" w:hAnsi="Times New Roman" w:cs="Times New Roman"/>
                <w:b/>
                <w:bCs/>
                <w:color w:val="auto"/>
                <w:sz w:val="21"/>
                <w:szCs w:val="21"/>
                <w:highlight w:val="none"/>
                <w:vertAlign w:val="baseline"/>
                <w:lang w:val="en-US" w:eastAsia="zh-CN"/>
              </w:rPr>
              <w:t>显示的平均噪声电平</w:t>
            </w:r>
          </w:p>
        </w:tc>
        <w:tc>
          <w:tcPr>
            <w:tcW w:w="4261" w:type="dxa"/>
          </w:tcPr>
          <w:p w14:paraId="4547BB3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color w:val="auto"/>
                <w:sz w:val="21"/>
                <w:szCs w:val="21"/>
                <w:highlight w:val="none"/>
                <w:vertAlign w:val="baseline"/>
                <w:lang w:val="en-US" w:eastAsia="zh-CN"/>
              </w:rPr>
            </w:pPr>
            <w:r>
              <w:rPr>
                <w:rFonts w:ascii="Times New Roman" w:hAnsi="Times New Roman" w:cs="Times New Roman"/>
                <w:color w:val="auto"/>
                <w:sz w:val="24"/>
                <w:highlight w:val="none"/>
              </w:rPr>
              <w:t>&lt;</w:t>
            </w:r>
            <w:r>
              <w:rPr>
                <w:rFonts w:hint="eastAsia" w:ascii="Times New Roman" w:hAnsi="Times New Roman" w:cs="Times New Roman"/>
                <w:color w:val="auto"/>
                <w:sz w:val="21"/>
                <w:szCs w:val="21"/>
                <w:highlight w:val="none"/>
              </w:rPr>
              <w:t>-130dBm/100Hz</w:t>
            </w:r>
          </w:p>
        </w:tc>
      </w:tr>
      <w:tr w14:paraId="6960E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59AF47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bCs/>
                <w:color w:val="auto"/>
                <w:sz w:val="21"/>
                <w:szCs w:val="21"/>
                <w:highlight w:val="none"/>
                <w:vertAlign w:val="baseline"/>
                <w:lang w:val="en-US" w:eastAsia="zh-CN"/>
              </w:rPr>
            </w:pPr>
            <w:r>
              <w:rPr>
                <w:rFonts w:hint="eastAsia" w:ascii="Times New Roman" w:hAnsi="Times New Roman" w:cs="Times New Roman"/>
                <w:b/>
                <w:bCs/>
                <w:color w:val="auto"/>
                <w:sz w:val="21"/>
                <w:szCs w:val="21"/>
                <w:highlight w:val="none"/>
                <w:vertAlign w:val="baseline"/>
                <w:lang w:val="en-US" w:eastAsia="zh-CN"/>
              </w:rPr>
              <w:t>电平测量精度</w:t>
            </w:r>
          </w:p>
        </w:tc>
        <w:tc>
          <w:tcPr>
            <w:tcW w:w="4261" w:type="dxa"/>
          </w:tcPr>
          <w:p w14:paraId="0A876FC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1</w:t>
            </w:r>
            <w:r>
              <w:rPr>
                <w:rFonts w:hint="eastAsia" w:ascii="Times New Roman" w:hAnsi="Times New Roman" w:cs="Times New Roman"/>
                <w:color w:val="auto"/>
                <w:sz w:val="21"/>
                <w:szCs w:val="21"/>
                <w:highlight w:val="none"/>
                <w:lang w:eastAsia="zh-CN"/>
              </w:rPr>
              <w:t>dB</w:t>
            </w:r>
          </w:p>
        </w:tc>
      </w:tr>
      <w:tr w14:paraId="67D8F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6FBE6FF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color w:val="auto"/>
                <w:sz w:val="21"/>
                <w:szCs w:val="21"/>
                <w:highlight w:val="none"/>
                <w:vertAlign w:val="baseline"/>
                <w:lang w:val="en-US" w:eastAsia="zh-CN"/>
              </w:rPr>
            </w:pPr>
            <w:r>
              <w:rPr>
                <w:rFonts w:hint="eastAsia" w:ascii="Times New Roman" w:hAnsi="Times New Roman" w:cs="Times New Roman"/>
                <w:b/>
                <w:bCs/>
                <w:color w:val="auto"/>
                <w:sz w:val="21"/>
                <w:szCs w:val="21"/>
                <w:highlight w:val="none"/>
                <w:vertAlign w:val="baseline"/>
                <w:lang w:val="en-US" w:eastAsia="zh-CN"/>
              </w:rPr>
              <w:t>输出信号制式</w:t>
            </w:r>
          </w:p>
        </w:tc>
        <w:tc>
          <w:tcPr>
            <w:tcW w:w="4261" w:type="dxa"/>
            <w:vAlign w:val="top"/>
          </w:tcPr>
          <w:p w14:paraId="493657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支持</w:t>
            </w:r>
            <w:r>
              <w:rPr>
                <w:rFonts w:hint="eastAsia" w:ascii="Times New Roman" w:hAnsi="Times New Roman" w:cs="Times New Roman"/>
                <w:color w:val="auto"/>
                <w:sz w:val="21"/>
                <w:szCs w:val="21"/>
                <w:highlight w:val="none"/>
                <w:lang w:eastAsia="zh-CN"/>
              </w:rPr>
              <w:t>100MHz带宽5G NR</w:t>
            </w:r>
            <w:r>
              <w:rPr>
                <w:rFonts w:hint="eastAsia" w:ascii="Times New Roman" w:hAnsi="Times New Roman" w:cs="Times New Roman"/>
                <w:color w:val="auto"/>
                <w:sz w:val="21"/>
                <w:szCs w:val="21"/>
                <w:highlight w:val="none"/>
                <w:lang w:val="en-US" w:eastAsia="zh-CN"/>
              </w:rPr>
              <w:t>信号解调，支持20</w:t>
            </w:r>
            <w:r>
              <w:rPr>
                <w:rFonts w:hint="eastAsia" w:ascii="Times New Roman" w:hAnsi="Times New Roman" w:cs="Times New Roman"/>
                <w:color w:val="auto"/>
                <w:sz w:val="21"/>
                <w:szCs w:val="21"/>
                <w:highlight w:val="none"/>
                <w:lang w:eastAsia="zh-CN"/>
              </w:rPr>
              <w:t>MHz带宽4G LTE信号</w:t>
            </w:r>
            <w:r>
              <w:rPr>
                <w:rFonts w:hint="eastAsia" w:ascii="Times New Roman" w:hAnsi="Times New Roman" w:cs="Times New Roman"/>
                <w:color w:val="auto"/>
                <w:sz w:val="21"/>
                <w:szCs w:val="21"/>
                <w:highlight w:val="none"/>
                <w:lang w:val="en-US" w:eastAsia="zh-CN"/>
              </w:rPr>
              <w:t>解调</w:t>
            </w:r>
          </w:p>
        </w:tc>
      </w:tr>
    </w:tbl>
    <w:p w14:paraId="16A5F679">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ascii="Times New Roman" w:hAnsi="Times New Roman" w:cs="Times New Roman"/>
          <w:b/>
          <w:color w:val="auto"/>
          <w:sz w:val="24"/>
          <w:highlight w:val="none"/>
        </w:rPr>
      </w:pPr>
      <w:r>
        <w:rPr>
          <w:rFonts w:hint="eastAsia" w:ascii="Times New Roman" w:hAnsi="Times New Roman" w:cs="Times New Roman"/>
          <w:b/>
          <w:color w:val="auto"/>
          <w:sz w:val="24"/>
          <w:highlight w:val="none"/>
          <w:lang w:val="en-US" w:eastAsia="zh-CN"/>
        </w:rPr>
        <w:t>表</w:t>
      </w:r>
      <w:r>
        <w:rPr>
          <w:rFonts w:hint="eastAsia" w:ascii="Times New Roman" w:hAnsi="Times New Roman" w:cs="Times New Roman"/>
          <w:b/>
          <w:color w:val="auto"/>
          <w:sz w:val="24"/>
          <w:highlight w:val="none"/>
          <w:lang w:eastAsia="zh-CN"/>
        </w:rPr>
        <w:t>A.0.1-</w:t>
      </w:r>
      <w:r>
        <w:rPr>
          <w:rFonts w:hint="eastAsia" w:ascii="Times New Roman" w:hAnsi="Times New Roman" w:cs="Times New Roman"/>
          <w:b/>
          <w:color w:val="auto"/>
          <w:sz w:val="24"/>
          <w:highlight w:val="none"/>
          <w:lang w:val="en-US" w:eastAsia="zh-CN"/>
        </w:rPr>
        <w:t>8</w:t>
      </w:r>
      <w:r>
        <w:rPr>
          <w:rFonts w:ascii="Times New Roman" w:hAnsi="Times New Roman" w:cs="Times New Roman"/>
          <w:b/>
          <w:color w:val="auto"/>
          <w:sz w:val="24"/>
          <w:highlight w:val="none"/>
        </w:rPr>
        <w:t xml:space="preserve"> 路测仪</w:t>
      </w:r>
      <w:r>
        <w:rPr>
          <w:rFonts w:hint="eastAsia" w:ascii="Times New Roman" w:hAnsi="Times New Roman" w:cs="Times New Roman"/>
          <w:b/>
          <w:color w:val="auto"/>
          <w:sz w:val="24"/>
          <w:highlight w:val="none"/>
          <w:lang w:val="en-US" w:eastAsia="zh-CN"/>
        </w:rPr>
        <w:t>指标要求</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40DA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612F1B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bCs/>
                <w:color w:val="auto"/>
                <w:sz w:val="21"/>
                <w:szCs w:val="21"/>
                <w:highlight w:val="none"/>
                <w:vertAlign w:val="baseline"/>
                <w:lang w:val="en-US" w:eastAsia="zh-CN"/>
              </w:rPr>
            </w:pPr>
            <w:r>
              <w:rPr>
                <w:rFonts w:ascii="Times New Roman" w:hAnsi="Times New Roman" w:cs="Times New Roman"/>
                <w:b/>
                <w:bCs/>
                <w:color w:val="auto"/>
                <w:sz w:val="21"/>
                <w:szCs w:val="21"/>
                <w:highlight w:val="none"/>
              </w:rPr>
              <w:t>频率范围</w:t>
            </w:r>
          </w:p>
        </w:tc>
        <w:tc>
          <w:tcPr>
            <w:tcW w:w="4261" w:type="dxa"/>
          </w:tcPr>
          <w:p w14:paraId="402DF51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color w:val="auto"/>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覆盖所测频率</w:t>
            </w:r>
          </w:p>
        </w:tc>
      </w:tr>
      <w:tr w14:paraId="0459E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CCD6D8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bCs/>
                <w:color w:val="auto"/>
                <w:sz w:val="21"/>
                <w:szCs w:val="21"/>
                <w:highlight w:val="none"/>
                <w:vertAlign w:val="baseline"/>
                <w:lang w:val="en-US" w:eastAsia="zh-CN"/>
              </w:rPr>
            </w:pPr>
            <w:r>
              <w:rPr>
                <w:rFonts w:ascii="Times New Roman" w:hAnsi="Times New Roman" w:cs="Times New Roman"/>
                <w:b/>
                <w:bCs/>
                <w:color w:val="auto"/>
                <w:sz w:val="21"/>
                <w:szCs w:val="21"/>
                <w:highlight w:val="none"/>
              </w:rPr>
              <w:t>频率准确度</w:t>
            </w:r>
          </w:p>
        </w:tc>
        <w:tc>
          <w:tcPr>
            <w:tcW w:w="4261" w:type="dxa"/>
          </w:tcPr>
          <w:p w14:paraId="49D8BBD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color w:val="auto"/>
                <w:sz w:val="21"/>
                <w:szCs w:val="21"/>
                <w:highlight w:val="none"/>
                <w:vertAlign w:val="baseline"/>
                <w:lang w:val="en-US" w:eastAsia="zh-CN"/>
              </w:rPr>
            </w:pPr>
            <w:r>
              <w:rPr>
                <w:rFonts w:ascii="Times New Roman" w:hAnsi="Times New Roman" w:cs="Times New Roman"/>
                <w:color w:val="auto"/>
                <w:sz w:val="21"/>
                <w:szCs w:val="21"/>
                <w:highlight w:val="none"/>
              </w:rPr>
              <w:t>±</w:t>
            </w:r>
            <w:r>
              <w:rPr>
                <w:rFonts w:hint="eastAsia" w:ascii="Times New Roman" w:hAnsi="Times New Roman" w:cs="Times New Roman"/>
                <w:color w:val="auto"/>
                <w:sz w:val="21"/>
                <w:szCs w:val="21"/>
                <w:highlight w:val="none"/>
                <w:lang w:val="en-US" w:eastAsia="zh-CN"/>
              </w:rPr>
              <w:t>2</w:t>
            </w:r>
            <w:r>
              <w:rPr>
                <w:rFonts w:ascii="Times New Roman" w:hAnsi="Times New Roman" w:cs="Times New Roman"/>
                <w:color w:val="auto"/>
                <w:sz w:val="21"/>
                <w:szCs w:val="21"/>
                <w:highlight w:val="none"/>
              </w:rPr>
              <w:t>ppm</w:t>
            </w:r>
          </w:p>
        </w:tc>
      </w:tr>
      <w:tr w14:paraId="1CE05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shd w:val="clear" w:color="auto" w:fill="auto"/>
            <w:vAlign w:val="center"/>
          </w:tcPr>
          <w:p w14:paraId="59952FF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bCs/>
                <w:color w:val="auto"/>
                <w:kern w:val="2"/>
                <w:sz w:val="21"/>
                <w:szCs w:val="21"/>
                <w:highlight w:val="none"/>
                <w:vertAlign w:val="baseline"/>
                <w:lang w:val="en-US" w:eastAsia="zh-CN" w:bidi="ar-SA"/>
              </w:rPr>
            </w:pPr>
            <w:r>
              <w:rPr>
                <w:rFonts w:hint="eastAsia" w:ascii="Times New Roman" w:hAnsi="Times New Roman" w:cs="Times New Roman"/>
                <w:b/>
                <w:bCs/>
                <w:color w:val="auto"/>
                <w:sz w:val="21"/>
                <w:szCs w:val="21"/>
                <w:highlight w:val="none"/>
                <w:vertAlign w:val="baseline"/>
                <w:lang w:val="en-US" w:eastAsia="zh-CN"/>
              </w:rPr>
              <w:t>输出信号制式</w:t>
            </w:r>
          </w:p>
        </w:tc>
        <w:tc>
          <w:tcPr>
            <w:tcW w:w="4261" w:type="dxa"/>
            <w:shd w:val="clear" w:color="auto" w:fill="auto"/>
            <w:vAlign w:val="top"/>
          </w:tcPr>
          <w:p w14:paraId="350B40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支持</w:t>
            </w:r>
            <w:r>
              <w:rPr>
                <w:rFonts w:hint="eastAsia" w:ascii="Times New Roman" w:hAnsi="Times New Roman" w:cs="Times New Roman"/>
                <w:color w:val="auto"/>
                <w:sz w:val="21"/>
                <w:szCs w:val="21"/>
                <w:highlight w:val="none"/>
                <w:lang w:eastAsia="zh-CN"/>
              </w:rPr>
              <w:t>100MHz带宽5G NR</w:t>
            </w:r>
            <w:r>
              <w:rPr>
                <w:rFonts w:hint="eastAsia" w:ascii="Times New Roman" w:hAnsi="Times New Roman" w:cs="Times New Roman"/>
                <w:color w:val="auto"/>
                <w:sz w:val="21"/>
                <w:szCs w:val="21"/>
                <w:highlight w:val="none"/>
                <w:lang w:val="en-US" w:eastAsia="zh-CN"/>
              </w:rPr>
              <w:t>信号解调，支持20</w:t>
            </w:r>
            <w:r>
              <w:rPr>
                <w:rFonts w:hint="eastAsia" w:ascii="Times New Roman" w:hAnsi="Times New Roman" w:cs="Times New Roman"/>
                <w:color w:val="auto"/>
                <w:sz w:val="21"/>
                <w:szCs w:val="21"/>
                <w:highlight w:val="none"/>
                <w:lang w:eastAsia="zh-CN"/>
              </w:rPr>
              <w:t>MHz带宽4G LTE信号</w:t>
            </w:r>
            <w:r>
              <w:rPr>
                <w:rFonts w:hint="eastAsia" w:ascii="Times New Roman" w:hAnsi="Times New Roman" w:cs="Times New Roman"/>
                <w:color w:val="auto"/>
                <w:sz w:val="21"/>
                <w:szCs w:val="21"/>
                <w:highlight w:val="none"/>
                <w:lang w:val="en-US" w:eastAsia="zh-CN"/>
              </w:rPr>
              <w:t>解调</w:t>
            </w:r>
          </w:p>
        </w:tc>
      </w:tr>
      <w:tr w14:paraId="1030E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38F90D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color w:val="auto"/>
                <w:sz w:val="21"/>
                <w:szCs w:val="21"/>
                <w:highlight w:val="none"/>
                <w:vertAlign w:val="baseline"/>
                <w:lang w:val="en-US" w:eastAsia="zh-CN"/>
              </w:rPr>
            </w:pPr>
            <w:r>
              <w:rPr>
                <w:rFonts w:hint="eastAsia" w:ascii="Times New Roman" w:hAnsi="Times New Roman" w:cs="Times New Roman"/>
                <w:b/>
                <w:bCs/>
                <w:color w:val="auto"/>
                <w:sz w:val="21"/>
                <w:szCs w:val="21"/>
                <w:highlight w:val="none"/>
                <w:vertAlign w:val="baseline"/>
                <w:lang w:val="en-US" w:eastAsia="zh-CN"/>
              </w:rPr>
              <w:t>测量结果输出</w:t>
            </w:r>
          </w:p>
        </w:tc>
        <w:tc>
          <w:tcPr>
            <w:tcW w:w="4261" w:type="dxa"/>
          </w:tcPr>
          <w:p w14:paraId="4917452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支持热点图显示</w:t>
            </w:r>
          </w:p>
        </w:tc>
      </w:tr>
    </w:tbl>
    <w:p w14:paraId="62596436">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ascii="Times New Roman" w:hAnsi="Times New Roman" w:cs="Times New Roman"/>
          <w:b/>
          <w:color w:val="auto"/>
          <w:sz w:val="24"/>
          <w:highlight w:val="none"/>
        </w:rPr>
      </w:pPr>
      <w:r>
        <w:rPr>
          <w:rFonts w:hint="eastAsia" w:ascii="Times New Roman" w:hAnsi="Times New Roman" w:cs="Times New Roman"/>
          <w:b/>
          <w:color w:val="auto"/>
          <w:sz w:val="24"/>
          <w:highlight w:val="none"/>
          <w:lang w:val="en-US" w:eastAsia="zh-CN"/>
        </w:rPr>
        <w:t>表</w:t>
      </w:r>
      <w:r>
        <w:rPr>
          <w:rFonts w:hint="eastAsia" w:ascii="Times New Roman" w:hAnsi="Times New Roman" w:cs="Times New Roman"/>
          <w:b/>
          <w:color w:val="auto"/>
          <w:sz w:val="24"/>
          <w:highlight w:val="none"/>
          <w:lang w:eastAsia="zh-CN"/>
        </w:rPr>
        <w:t>A.0.1-</w:t>
      </w:r>
      <w:r>
        <w:rPr>
          <w:rFonts w:hint="eastAsia" w:ascii="Times New Roman" w:hAnsi="Times New Roman" w:cs="Times New Roman"/>
          <w:b/>
          <w:color w:val="auto"/>
          <w:sz w:val="24"/>
          <w:highlight w:val="none"/>
          <w:lang w:val="en-US" w:eastAsia="zh-CN"/>
        </w:rPr>
        <w:t>9</w:t>
      </w:r>
      <w:r>
        <w:rPr>
          <w:rFonts w:ascii="Times New Roman" w:hAnsi="Times New Roman" w:cs="Times New Roman"/>
          <w:b/>
          <w:color w:val="auto"/>
          <w:sz w:val="24"/>
          <w:highlight w:val="none"/>
        </w:rPr>
        <w:t xml:space="preserve"> 矢量网络分析仪</w:t>
      </w:r>
      <w:r>
        <w:rPr>
          <w:rFonts w:hint="eastAsia" w:ascii="Times New Roman" w:hAnsi="Times New Roman" w:cs="Times New Roman"/>
          <w:b/>
          <w:color w:val="auto"/>
          <w:sz w:val="24"/>
          <w:highlight w:val="none"/>
          <w:lang w:val="en-US" w:eastAsia="zh-CN"/>
        </w:rPr>
        <w:t>指标要求</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C446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1DBED3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bCs/>
                <w:color w:val="auto"/>
                <w:sz w:val="21"/>
                <w:szCs w:val="21"/>
                <w:highlight w:val="none"/>
                <w:vertAlign w:val="baseline"/>
                <w:lang w:val="en-US" w:eastAsia="zh-CN"/>
              </w:rPr>
            </w:pPr>
            <w:r>
              <w:rPr>
                <w:rFonts w:ascii="Times New Roman" w:hAnsi="Times New Roman" w:cs="Times New Roman"/>
                <w:b/>
                <w:bCs/>
                <w:color w:val="auto"/>
                <w:sz w:val="21"/>
                <w:szCs w:val="21"/>
                <w:highlight w:val="none"/>
              </w:rPr>
              <w:t>频率范围</w:t>
            </w:r>
          </w:p>
        </w:tc>
        <w:tc>
          <w:tcPr>
            <w:tcW w:w="4261" w:type="dxa"/>
          </w:tcPr>
          <w:p w14:paraId="511D4AF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color w:val="auto"/>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10</w:t>
            </w:r>
            <w:r>
              <w:rPr>
                <w:rFonts w:ascii="Times New Roman" w:hAnsi="Times New Roman" w:cs="Times New Roman"/>
                <w:color w:val="auto"/>
                <w:sz w:val="21"/>
                <w:szCs w:val="21"/>
                <w:highlight w:val="none"/>
              </w:rPr>
              <w:t>MHz～6GHz</w:t>
            </w:r>
          </w:p>
        </w:tc>
      </w:tr>
      <w:tr w14:paraId="35EE0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5349CF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bCs/>
                <w:color w:val="auto"/>
                <w:sz w:val="21"/>
                <w:szCs w:val="21"/>
                <w:highlight w:val="none"/>
                <w:lang w:val="en-US" w:eastAsia="zh-CN"/>
              </w:rPr>
            </w:pPr>
            <w:r>
              <w:rPr>
                <w:rFonts w:ascii="Times New Roman" w:hAnsi="Times New Roman" w:cs="Times New Roman"/>
                <w:b/>
                <w:bCs/>
                <w:color w:val="auto"/>
                <w:sz w:val="21"/>
                <w:szCs w:val="21"/>
                <w:highlight w:val="none"/>
              </w:rPr>
              <w:t>传输测量范围</w:t>
            </w:r>
          </w:p>
        </w:tc>
        <w:tc>
          <w:tcPr>
            <w:tcW w:w="4261" w:type="dxa"/>
          </w:tcPr>
          <w:p w14:paraId="752C5C6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0dB～80dB</w:t>
            </w:r>
          </w:p>
        </w:tc>
      </w:tr>
      <w:tr w14:paraId="5137F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F2BF7B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bCs/>
                <w:color w:val="auto"/>
                <w:sz w:val="21"/>
                <w:szCs w:val="21"/>
                <w:highlight w:val="none"/>
                <w:lang w:val="en-US" w:eastAsia="zh-CN"/>
              </w:rPr>
            </w:pPr>
            <w:r>
              <w:rPr>
                <w:rFonts w:ascii="Times New Roman" w:hAnsi="Times New Roman" w:cs="Times New Roman"/>
                <w:b/>
                <w:bCs/>
                <w:color w:val="auto"/>
                <w:sz w:val="21"/>
                <w:szCs w:val="21"/>
                <w:highlight w:val="none"/>
              </w:rPr>
              <w:t>反射测量范围</w:t>
            </w:r>
          </w:p>
        </w:tc>
        <w:tc>
          <w:tcPr>
            <w:tcW w:w="4261" w:type="dxa"/>
          </w:tcPr>
          <w:p w14:paraId="355D9E2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0dB～40dB</w:t>
            </w:r>
          </w:p>
        </w:tc>
      </w:tr>
      <w:tr w14:paraId="4023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3136878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bCs/>
                <w:color w:val="auto"/>
                <w:sz w:val="21"/>
                <w:szCs w:val="21"/>
                <w:highlight w:val="none"/>
                <w:lang w:val="en-US" w:eastAsia="zh-CN"/>
              </w:rPr>
            </w:pPr>
            <w:r>
              <w:rPr>
                <w:rFonts w:ascii="Times New Roman" w:hAnsi="Times New Roman" w:cs="Times New Roman"/>
                <w:b/>
                <w:bCs/>
                <w:color w:val="auto"/>
                <w:sz w:val="21"/>
                <w:szCs w:val="21"/>
                <w:highlight w:val="none"/>
              </w:rPr>
              <w:t>频率精度</w:t>
            </w:r>
          </w:p>
        </w:tc>
        <w:tc>
          <w:tcPr>
            <w:tcW w:w="4261" w:type="dxa"/>
          </w:tcPr>
          <w:p w14:paraId="6D2BCF0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color w:val="auto"/>
                <w:sz w:val="21"/>
                <w:szCs w:val="21"/>
                <w:highlight w:val="none"/>
                <w:lang w:val="en-US" w:eastAsia="zh-CN"/>
              </w:rPr>
            </w:pPr>
            <w:r>
              <w:rPr>
                <w:rFonts w:ascii="Times New Roman" w:hAnsi="Times New Roman" w:cs="Times New Roman"/>
                <w:color w:val="auto"/>
                <w:sz w:val="24"/>
                <w:highlight w:val="none"/>
              </w:rPr>
              <w:t>&lt;</w:t>
            </w:r>
            <w:r>
              <w:rPr>
                <w:rFonts w:hint="eastAsia" w:ascii="Times New Roman" w:hAnsi="Times New Roman" w:cs="Times New Roman"/>
                <w:color w:val="auto"/>
                <w:sz w:val="21"/>
                <w:szCs w:val="21"/>
                <w:highlight w:val="none"/>
                <w:lang w:val="en-US" w:eastAsia="zh-CN"/>
              </w:rPr>
              <w:t>0.005%</w:t>
            </w:r>
          </w:p>
        </w:tc>
      </w:tr>
    </w:tbl>
    <w:p w14:paraId="49430358">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ascii="Times New Roman" w:hAnsi="Times New Roman" w:cs="Times New Roman"/>
          <w:b/>
          <w:color w:val="auto"/>
          <w:sz w:val="24"/>
          <w:highlight w:val="none"/>
        </w:rPr>
      </w:pPr>
      <w:r>
        <w:rPr>
          <w:rFonts w:hint="eastAsia" w:ascii="Times New Roman" w:hAnsi="Times New Roman" w:cs="Times New Roman"/>
          <w:b/>
          <w:color w:val="auto"/>
          <w:sz w:val="24"/>
          <w:highlight w:val="none"/>
          <w:lang w:val="en-US" w:eastAsia="zh-CN"/>
        </w:rPr>
        <w:t>表</w:t>
      </w:r>
      <w:r>
        <w:rPr>
          <w:rFonts w:hint="eastAsia" w:ascii="Times New Roman" w:hAnsi="Times New Roman" w:cs="Times New Roman"/>
          <w:b/>
          <w:color w:val="auto"/>
          <w:sz w:val="24"/>
          <w:highlight w:val="none"/>
          <w:lang w:eastAsia="zh-CN"/>
        </w:rPr>
        <w:t>A.0.1-</w:t>
      </w:r>
      <w:r>
        <w:rPr>
          <w:rFonts w:hint="eastAsia" w:ascii="Times New Roman" w:hAnsi="Times New Roman" w:cs="Times New Roman"/>
          <w:b/>
          <w:color w:val="auto"/>
          <w:sz w:val="24"/>
          <w:highlight w:val="none"/>
          <w:lang w:val="en-US" w:eastAsia="zh-CN"/>
        </w:rPr>
        <w:t>10</w:t>
      </w:r>
      <w:r>
        <w:rPr>
          <w:rFonts w:ascii="Times New Roman" w:hAnsi="Times New Roman" w:cs="Times New Roman"/>
          <w:b/>
          <w:color w:val="auto"/>
          <w:sz w:val="24"/>
          <w:highlight w:val="none"/>
        </w:rPr>
        <w:t xml:space="preserve"> 互调测试仪</w:t>
      </w:r>
      <w:r>
        <w:rPr>
          <w:rFonts w:hint="eastAsia" w:ascii="Times New Roman" w:hAnsi="Times New Roman" w:cs="Times New Roman"/>
          <w:b/>
          <w:color w:val="auto"/>
          <w:sz w:val="24"/>
          <w:highlight w:val="none"/>
          <w:lang w:val="en-US" w:eastAsia="zh-CN"/>
        </w:rPr>
        <w:t>指标要求</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C7E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192F13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bCs/>
                <w:color w:val="auto"/>
                <w:sz w:val="21"/>
                <w:szCs w:val="21"/>
                <w:highlight w:val="none"/>
                <w:vertAlign w:val="baseline"/>
                <w:lang w:val="en-US" w:eastAsia="zh-CN"/>
              </w:rPr>
            </w:pPr>
            <w:r>
              <w:rPr>
                <w:rFonts w:ascii="Times New Roman" w:hAnsi="Times New Roman" w:cs="Times New Roman"/>
                <w:b/>
                <w:bCs/>
                <w:color w:val="auto"/>
                <w:sz w:val="21"/>
                <w:szCs w:val="21"/>
                <w:highlight w:val="none"/>
              </w:rPr>
              <w:t>频率范围</w:t>
            </w:r>
          </w:p>
        </w:tc>
        <w:tc>
          <w:tcPr>
            <w:tcW w:w="4261" w:type="dxa"/>
          </w:tcPr>
          <w:p w14:paraId="3143EC5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color w:val="auto"/>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700</w:t>
            </w:r>
            <w:r>
              <w:rPr>
                <w:rFonts w:ascii="Times New Roman" w:hAnsi="Times New Roman" w:cs="Times New Roman"/>
                <w:color w:val="auto"/>
                <w:sz w:val="21"/>
                <w:szCs w:val="21"/>
                <w:highlight w:val="none"/>
              </w:rPr>
              <w:t>MHz～6GHz</w:t>
            </w:r>
          </w:p>
        </w:tc>
      </w:tr>
      <w:tr w14:paraId="7E849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4445EC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cs="Times New Roman"/>
                <w:b/>
                <w:bCs/>
                <w:color w:val="auto"/>
                <w:sz w:val="21"/>
                <w:szCs w:val="21"/>
                <w:highlight w:val="none"/>
                <w:lang w:val="en-US" w:eastAsia="zh-CN"/>
              </w:rPr>
              <w:t>功率</w:t>
            </w:r>
          </w:p>
        </w:tc>
        <w:tc>
          <w:tcPr>
            <w:tcW w:w="4261" w:type="dxa"/>
          </w:tcPr>
          <w:p w14:paraId="60802EE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color w:val="auto"/>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20W（2ch）</w:t>
            </w:r>
          </w:p>
        </w:tc>
      </w:tr>
    </w:tbl>
    <w:p w14:paraId="062F6C6F">
      <w:pPr>
        <w:rPr>
          <w:rFonts w:hint="eastAsia"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br w:type="page"/>
      </w:r>
    </w:p>
    <w:p w14:paraId="07B9D2F5">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ascii="Times New Roman" w:hAnsi="Times New Roman" w:cs="Times New Roman"/>
          <w:b/>
          <w:color w:val="auto"/>
          <w:sz w:val="24"/>
          <w:highlight w:val="none"/>
        </w:rPr>
      </w:pPr>
      <w:r>
        <w:rPr>
          <w:rFonts w:hint="eastAsia" w:ascii="Times New Roman" w:hAnsi="Times New Roman" w:cs="Times New Roman"/>
          <w:b/>
          <w:color w:val="auto"/>
          <w:sz w:val="24"/>
          <w:highlight w:val="none"/>
          <w:lang w:val="en-US" w:eastAsia="zh-CN"/>
        </w:rPr>
        <w:t>表</w:t>
      </w:r>
      <w:r>
        <w:rPr>
          <w:rFonts w:hint="eastAsia" w:ascii="Times New Roman" w:hAnsi="Times New Roman" w:cs="Times New Roman"/>
          <w:b/>
          <w:color w:val="auto"/>
          <w:sz w:val="24"/>
          <w:highlight w:val="none"/>
          <w:lang w:eastAsia="zh-CN"/>
        </w:rPr>
        <w:t>A.0.1-</w:t>
      </w:r>
      <w:r>
        <w:rPr>
          <w:rFonts w:ascii="Times New Roman" w:hAnsi="Times New Roman" w:cs="Times New Roman"/>
          <w:b/>
          <w:color w:val="auto"/>
          <w:sz w:val="24"/>
          <w:highlight w:val="none"/>
        </w:rPr>
        <w:t>1</w:t>
      </w:r>
      <w:r>
        <w:rPr>
          <w:rFonts w:hint="eastAsia" w:ascii="Times New Roman" w:hAnsi="Times New Roman" w:cs="Times New Roman"/>
          <w:b/>
          <w:color w:val="auto"/>
          <w:sz w:val="24"/>
          <w:highlight w:val="none"/>
          <w:lang w:val="en-US" w:eastAsia="zh-CN"/>
        </w:rPr>
        <w:t>1</w:t>
      </w:r>
      <w:r>
        <w:rPr>
          <w:rFonts w:ascii="Times New Roman" w:hAnsi="Times New Roman" w:cs="Times New Roman"/>
          <w:b/>
          <w:color w:val="auto"/>
          <w:sz w:val="24"/>
          <w:highlight w:val="none"/>
        </w:rPr>
        <w:t xml:space="preserve"> 接地电阻测试仪</w:t>
      </w:r>
      <w:r>
        <w:rPr>
          <w:rFonts w:hint="eastAsia" w:ascii="Times New Roman" w:hAnsi="Times New Roman" w:cs="Times New Roman"/>
          <w:b/>
          <w:color w:val="auto"/>
          <w:sz w:val="24"/>
          <w:highlight w:val="none"/>
          <w:lang w:val="en-US" w:eastAsia="zh-CN"/>
        </w:rPr>
        <w:t>指标要求</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1CA6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E6C64C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bCs/>
                <w:color w:val="auto"/>
                <w:sz w:val="21"/>
                <w:szCs w:val="21"/>
                <w:highlight w:val="none"/>
                <w:vertAlign w:val="baseline"/>
                <w:lang w:val="en-US" w:eastAsia="zh-CN"/>
              </w:rPr>
            </w:pPr>
            <w:r>
              <w:rPr>
                <w:rFonts w:hint="eastAsia" w:ascii="Times New Roman" w:hAnsi="Times New Roman" w:cs="Times New Roman"/>
                <w:b/>
                <w:bCs/>
                <w:color w:val="auto"/>
                <w:sz w:val="21"/>
                <w:szCs w:val="21"/>
                <w:highlight w:val="none"/>
                <w:lang w:val="en-US" w:eastAsia="zh-CN"/>
              </w:rPr>
              <w:t>电阻测量</w:t>
            </w:r>
            <w:r>
              <w:rPr>
                <w:rFonts w:ascii="Times New Roman" w:hAnsi="Times New Roman" w:cs="Times New Roman"/>
                <w:b/>
                <w:bCs/>
                <w:color w:val="auto"/>
                <w:sz w:val="21"/>
                <w:szCs w:val="21"/>
                <w:highlight w:val="none"/>
              </w:rPr>
              <w:t>范围</w:t>
            </w:r>
          </w:p>
        </w:tc>
        <w:tc>
          <w:tcPr>
            <w:tcW w:w="4261" w:type="dxa"/>
          </w:tcPr>
          <w:p w14:paraId="4BC05C4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color w:val="auto"/>
                <w:sz w:val="21"/>
                <w:szCs w:val="21"/>
                <w:highlight w:val="none"/>
                <w:lang w:val="en-US" w:eastAsia="zh-CN"/>
              </w:rPr>
            </w:pPr>
            <w:r>
              <w:rPr>
                <w:rFonts w:ascii="Times New Roman" w:hAnsi="Times New Roman" w:cs="Times New Roman"/>
                <w:color w:val="auto"/>
                <w:sz w:val="21"/>
                <w:szCs w:val="21"/>
                <w:highlight w:val="none"/>
              </w:rPr>
              <w:t>0Ω～20Ω</w:t>
            </w:r>
          </w:p>
        </w:tc>
      </w:tr>
      <w:tr w14:paraId="23122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CF6804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cs="Times New Roman"/>
                <w:b/>
                <w:bCs/>
                <w:color w:val="auto"/>
                <w:sz w:val="21"/>
                <w:szCs w:val="21"/>
                <w:highlight w:val="none"/>
                <w:lang w:val="en-US" w:eastAsia="zh-CN"/>
              </w:rPr>
              <w:t>电阻准确度</w:t>
            </w:r>
          </w:p>
        </w:tc>
        <w:tc>
          <w:tcPr>
            <w:tcW w:w="4261" w:type="dxa"/>
          </w:tcPr>
          <w:p w14:paraId="0970086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ascii="Times New Roman" w:hAnsi="Times New Roman" w:cs="Times New Roman"/>
                <w:color w:val="auto"/>
                <w:sz w:val="21"/>
                <w:szCs w:val="21"/>
                <w:highlight w:val="none"/>
              </w:rPr>
              <w:t>±2%</w:t>
            </w:r>
          </w:p>
        </w:tc>
      </w:tr>
    </w:tbl>
    <w:p w14:paraId="69691125">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ascii="Times New Roman" w:hAnsi="Times New Roman" w:cs="Times New Roman"/>
          <w:b/>
          <w:color w:val="auto"/>
          <w:sz w:val="24"/>
          <w:highlight w:val="none"/>
        </w:rPr>
      </w:pPr>
      <w:r>
        <w:rPr>
          <w:rFonts w:hint="eastAsia" w:ascii="Times New Roman" w:hAnsi="Times New Roman" w:cs="Times New Roman"/>
          <w:b/>
          <w:color w:val="auto"/>
          <w:sz w:val="24"/>
          <w:highlight w:val="none"/>
          <w:lang w:val="en-US" w:eastAsia="zh-CN"/>
        </w:rPr>
        <w:t>表</w:t>
      </w:r>
      <w:r>
        <w:rPr>
          <w:rFonts w:hint="eastAsia" w:ascii="Times New Roman" w:hAnsi="Times New Roman" w:cs="Times New Roman"/>
          <w:b/>
          <w:color w:val="auto"/>
          <w:sz w:val="24"/>
          <w:highlight w:val="none"/>
          <w:lang w:eastAsia="zh-CN"/>
        </w:rPr>
        <w:t>A.0.1-</w:t>
      </w:r>
      <w:r>
        <w:rPr>
          <w:rFonts w:ascii="Times New Roman" w:hAnsi="Times New Roman" w:cs="Times New Roman"/>
          <w:b/>
          <w:color w:val="auto"/>
          <w:sz w:val="24"/>
          <w:highlight w:val="none"/>
        </w:rPr>
        <w:t>1</w:t>
      </w:r>
      <w:r>
        <w:rPr>
          <w:rFonts w:hint="eastAsia" w:ascii="Times New Roman" w:hAnsi="Times New Roman" w:cs="Times New Roman"/>
          <w:b/>
          <w:color w:val="auto"/>
          <w:sz w:val="24"/>
          <w:highlight w:val="none"/>
          <w:lang w:val="en-US" w:eastAsia="zh-CN"/>
        </w:rPr>
        <w:t>2</w:t>
      </w:r>
      <w:r>
        <w:rPr>
          <w:rFonts w:ascii="Times New Roman" w:hAnsi="Times New Roman" w:cs="Times New Roman"/>
          <w:b/>
          <w:color w:val="auto"/>
          <w:sz w:val="24"/>
          <w:highlight w:val="none"/>
        </w:rPr>
        <w:t xml:space="preserve"> 电能质量分析仪</w:t>
      </w:r>
      <w:r>
        <w:rPr>
          <w:rFonts w:hint="eastAsia" w:ascii="Times New Roman" w:hAnsi="Times New Roman" w:cs="Times New Roman"/>
          <w:b/>
          <w:color w:val="auto"/>
          <w:sz w:val="24"/>
          <w:highlight w:val="none"/>
          <w:lang w:val="en-US" w:eastAsia="zh-CN"/>
        </w:rPr>
        <w:t>指标要求</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C062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0DAF91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bCs/>
                <w:color w:val="auto"/>
                <w:sz w:val="21"/>
                <w:szCs w:val="21"/>
                <w:highlight w:val="none"/>
                <w:vertAlign w:val="baseline"/>
                <w:lang w:val="en-US" w:eastAsia="zh-CN"/>
              </w:rPr>
            </w:pPr>
            <w:r>
              <w:rPr>
                <w:rFonts w:hint="eastAsia" w:ascii="Times New Roman" w:hAnsi="Times New Roman" w:cs="Times New Roman"/>
                <w:b/>
                <w:bCs/>
                <w:color w:val="auto"/>
                <w:sz w:val="21"/>
                <w:szCs w:val="21"/>
                <w:highlight w:val="none"/>
                <w:lang w:val="en-US" w:eastAsia="zh-CN"/>
              </w:rPr>
              <w:t>电压测量</w:t>
            </w:r>
            <w:r>
              <w:rPr>
                <w:rFonts w:ascii="Times New Roman" w:hAnsi="Times New Roman" w:cs="Times New Roman"/>
                <w:b/>
                <w:bCs/>
                <w:color w:val="auto"/>
                <w:sz w:val="21"/>
                <w:szCs w:val="21"/>
                <w:highlight w:val="none"/>
              </w:rPr>
              <w:t>范围</w:t>
            </w:r>
          </w:p>
        </w:tc>
        <w:tc>
          <w:tcPr>
            <w:tcW w:w="4261" w:type="dxa"/>
          </w:tcPr>
          <w:p w14:paraId="4ED1491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color w:val="auto"/>
                <w:sz w:val="21"/>
                <w:szCs w:val="21"/>
                <w:highlight w:val="none"/>
                <w:lang w:val="en-US" w:eastAsia="zh-CN"/>
              </w:rPr>
            </w:pPr>
            <w:r>
              <w:rPr>
                <w:rFonts w:ascii="Times New Roman" w:hAnsi="Times New Roman" w:cs="Times New Roman"/>
                <w:color w:val="auto"/>
                <w:sz w:val="21"/>
                <w:szCs w:val="21"/>
                <w:highlight w:val="none"/>
              </w:rPr>
              <w:t>0V～500V</w:t>
            </w:r>
          </w:p>
        </w:tc>
      </w:tr>
      <w:tr w14:paraId="23188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73A1A9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电压准确度</w:t>
            </w:r>
          </w:p>
        </w:tc>
        <w:tc>
          <w:tcPr>
            <w:tcW w:w="4261" w:type="dxa"/>
          </w:tcPr>
          <w:p w14:paraId="7F75E3C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lang w:val="en-US" w:eastAsia="zh-CN"/>
              </w:rPr>
            </w:pPr>
            <w:r>
              <w:rPr>
                <w:rFonts w:ascii="Times New Roman" w:hAnsi="Times New Roman" w:cs="Times New Roman"/>
                <w:color w:val="auto"/>
                <w:sz w:val="21"/>
                <w:szCs w:val="21"/>
                <w:highlight w:val="none"/>
              </w:rPr>
              <w:t>±0.1V</w:t>
            </w:r>
          </w:p>
        </w:tc>
      </w:tr>
      <w:tr w14:paraId="177D4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F0ACEC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频率准确度</w:t>
            </w:r>
          </w:p>
        </w:tc>
        <w:tc>
          <w:tcPr>
            <w:tcW w:w="4261" w:type="dxa"/>
          </w:tcPr>
          <w:p w14:paraId="1316152D">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±0.15Hz</w:t>
            </w:r>
          </w:p>
        </w:tc>
      </w:tr>
      <w:tr w14:paraId="5CFF9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314CA1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电流准确度</w:t>
            </w:r>
          </w:p>
        </w:tc>
        <w:tc>
          <w:tcPr>
            <w:tcW w:w="4261" w:type="dxa"/>
          </w:tcPr>
          <w:p w14:paraId="32C1D5C6">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±3%</w:t>
            </w:r>
          </w:p>
        </w:tc>
      </w:tr>
      <w:tr w14:paraId="3C8F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0EB8B6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功率准确度</w:t>
            </w:r>
          </w:p>
        </w:tc>
        <w:tc>
          <w:tcPr>
            <w:tcW w:w="4261" w:type="dxa"/>
          </w:tcPr>
          <w:p w14:paraId="1980B2BC">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±2%</w:t>
            </w:r>
          </w:p>
        </w:tc>
      </w:tr>
    </w:tbl>
    <w:p w14:paraId="71706264">
      <w:pPr>
        <w:spacing w:line="440" w:lineRule="exact"/>
        <w:jc w:val="center"/>
        <w:outlineLvl w:val="0"/>
        <w:rPr>
          <w:rFonts w:ascii="Times New Roman" w:hAnsi="Times New Roman" w:cs="Times New Roman"/>
          <w:b/>
          <w:bCs/>
          <w:color w:val="auto"/>
          <w:sz w:val="28"/>
          <w:szCs w:val="28"/>
          <w:highlight w:val="none"/>
        </w:rPr>
      </w:pPr>
      <w:r>
        <w:rPr>
          <w:rFonts w:ascii="Times New Roman" w:hAnsi="Times New Roman" w:cs="Times New Roman"/>
          <w:color w:val="auto"/>
          <w:sz w:val="28"/>
          <w:szCs w:val="28"/>
          <w:highlight w:val="none"/>
        </w:rPr>
        <w:br w:type="page"/>
      </w:r>
      <w:bookmarkStart w:id="251" w:name="_Toc45890819"/>
      <w:bookmarkStart w:id="252" w:name="_Toc13950"/>
      <w:bookmarkStart w:id="253" w:name="_Toc50652138"/>
      <w:bookmarkStart w:id="254" w:name="_Toc34244671"/>
      <w:bookmarkStart w:id="255" w:name="_Toc180960220"/>
      <w:bookmarkStart w:id="256" w:name="_Toc21103"/>
      <w:r>
        <w:rPr>
          <w:rFonts w:ascii="Times New Roman" w:hAnsi="Times New Roman" w:cs="Times New Roman"/>
          <w:b/>
          <w:bCs/>
          <w:color w:val="auto"/>
          <w:sz w:val="28"/>
          <w:szCs w:val="28"/>
          <w:highlight w:val="none"/>
        </w:rPr>
        <w:t>附录B 检测报告格式</w:t>
      </w:r>
      <w:bookmarkEnd w:id="251"/>
      <w:bookmarkEnd w:id="252"/>
      <w:bookmarkEnd w:id="253"/>
      <w:bookmarkEnd w:id="254"/>
      <w:bookmarkEnd w:id="255"/>
      <w:bookmarkEnd w:id="256"/>
    </w:p>
    <w:p w14:paraId="2C542B45">
      <w:pPr>
        <w:keepNext w:val="0"/>
        <w:keepLines w:val="0"/>
        <w:pageBreakBefore w:val="0"/>
        <w:widowControl w:val="0"/>
        <w:kinsoku/>
        <w:wordWrap/>
        <w:overflowPunct/>
        <w:topLinePunct w:val="0"/>
        <w:autoSpaceDE/>
        <w:autoSpaceDN/>
        <w:bidi w:val="0"/>
        <w:adjustRightInd/>
        <w:snapToGrid/>
        <w:spacing w:before="313" w:beforeLines="100" w:line="440" w:lineRule="exact"/>
        <w:ind w:firstLine="561"/>
        <w:jc w:val="center"/>
        <w:textAlignment w:val="auto"/>
        <w:outlineLvl w:val="9"/>
        <w:rPr>
          <w:rFonts w:hint="eastAsia" w:ascii="Times New Roman" w:hAnsi="Times New Roman" w:eastAsia="宋体" w:cs="Times New Roman"/>
          <w:b w:val="0"/>
          <w:bCs w:val="0"/>
          <w:color w:val="auto"/>
          <w:sz w:val="22"/>
          <w:szCs w:val="22"/>
          <w:highlight w:val="none"/>
          <w:lang w:val="en-US" w:eastAsia="zh-CN"/>
        </w:rPr>
      </w:pPr>
      <w:r>
        <w:rPr>
          <w:rFonts w:hint="eastAsia" w:ascii="Times New Roman" w:hAnsi="Times New Roman" w:cs="Times New Roman"/>
          <w:b w:val="0"/>
          <w:bCs w:val="0"/>
          <w:color w:val="auto"/>
          <w:sz w:val="22"/>
          <w:szCs w:val="22"/>
          <w:highlight w:val="none"/>
          <w:lang w:val="en-US" w:eastAsia="zh-CN"/>
        </w:rPr>
        <w:t xml:space="preserve">表B </w:t>
      </w:r>
      <w:r>
        <w:rPr>
          <w:rFonts w:ascii="Times New Roman" w:hAnsi="Times New Roman" w:cs="Times New Roman"/>
          <w:b w:val="0"/>
          <w:bCs w:val="0"/>
          <w:color w:val="auto"/>
          <w:sz w:val="22"/>
          <w:szCs w:val="22"/>
          <w:highlight w:val="none"/>
        </w:rPr>
        <w:t>检测报告</w:t>
      </w:r>
      <w:r>
        <w:rPr>
          <w:rFonts w:hint="eastAsia" w:ascii="Times New Roman" w:hAnsi="Times New Roman" w:cs="Times New Roman"/>
          <w:b w:val="0"/>
          <w:bCs w:val="0"/>
          <w:color w:val="auto"/>
          <w:sz w:val="22"/>
          <w:szCs w:val="22"/>
          <w:highlight w:val="none"/>
          <w:lang w:val="en-US" w:eastAsia="zh-CN"/>
        </w:rPr>
        <w:t>格式</w:t>
      </w:r>
    </w:p>
    <w:tbl>
      <w:tblPr>
        <w:tblStyle w:val="30"/>
        <w:tblW w:w="0" w:type="auto"/>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1"/>
      </w:tblGrid>
      <w:tr w14:paraId="0CBCF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9" w:hRule="atLeast"/>
        </w:trPr>
        <w:tc>
          <w:tcPr>
            <w:tcW w:w="8261" w:type="dxa"/>
          </w:tcPr>
          <w:p w14:paraId="175FDFEB">
            <w:pPr>
              <w:pStyle w:val="15"/>
              <w:ind w:firstLine="643"/>
              <w:jc w:val="center"/>
              <w:rPr>
                <w:rFonts w:ascii="Times New Roman" w:hAnsi="Times New Roman" w:cs="Times New Roman"/>
                <w:b/>
                <w:color w:val="auto"/>
                <w:sz w:val="32"/>
                <w:szCs w:val="32"/>
                <w:highlight w:val="none"/>
              </w:rPr>
            </w:pPr>
          </w:p>
          <w:p w14:paraId="2087DC91">
            <w:pPr>
              <w:pStyle w:val="15"/>
              <w:ind w:firstLine="643"/>
              <w:jc w:val="center"/>
              <w:rPr>
                <w:rFonts w:ascii="Times New Roman" w:hAnsi="Times New Roman" w:cs="Times New Roman"/>
                <w:b/>
                <w:color w:val="auto"/>
                <w:sz w:val="32"/>
                <w:szCs w:val="32"/>
                <w:highlight w:val="none"/>
              </w:rPr>
            </w:pPr>
          </w:p>
          <w:p w14:paraId="11F76D7D">
            <w:pPr>
              <w:pStyle w:val="15"/>
              <w:ind w:left="0" w:leftChars="0"/>
              <w:jc w:val="center"/>
              <w:rPr>
                <w:rFonts w:ascii="Times New Roman" w:hAnsi="Times New Roman" w:cs="Times New Roman"/>
                <w:b/>
                <w:color w:val="auto"/>
                <w:sz w:val="44"/>
                <w:szCs w:val="44"/>
                <w:highlight w:val="none"/>
              </w:rPr>
            </w:pPr>
            <w:r>
              <w:rPr>
                <w:rFonts w:ascii="Times New Roman" w:hAnsi="Times New Roman" w:cs="Times New Roman"/>
                <w:b/>
                <w:color w:val="auto"/>
                <w:sz w:val="44"/>
                <w:szCs w:val="44"/>
                <w:highlight w:val="none"/>
              </w:rPr>
              <w:t>检验检测报告</w:t>
            </w:r>
          </w:p>
          <w:p w14:paraId="5772ABF9">
            <w:pPr>
              <w:pStyle w:val="15"/>
              <w:ind w:left="0" w:leftChars="0"/>
              <w:jc w:val="center"/>
              <w:rPr>
                <w:rFonts w:ascii="Times New Roman" w:hAnsi="Times New Roman" w:cs="Times New Roman"/>
                <w:b/>
                <w:color w:val="auto"/>
                <w:sz w:val="32"/>
                <w:szCs w:val="32"/>
                <w:highlight w:val="none"/>
              </w:rPr>
            </w:pPr>
            <w:r>
              <w:rPr>
                <w:rFonts w:ascii="Times New Roman" w:hAnsi="Times New Roman" w:cs="Times New Roman"/>
                <w:b/>
                <w:color w:val="auto"/>
                <w:sz w:val="32"/>
                <w:szCs w:val="32"/>
                <w:highlight w:val="none"/>
              </w:rPr>
              <w:t>Test Report</w:t>
            </w:r>
          </w:p>
          <w:p w14:paraId="38FC6F6D">
            <w:pPr>
              <w:pStyle w:val="15"/>
              <w:ind w:firstLine="602"/>
              <w:jc w:val="center"/>
              <w:rPr>
                <w:rFonts w:ascii="Times New Roman" w:hAnsi="Times New Roman" w:cs="Times New Roman"/>
                <w:b/>
                <w:color w:val="auto"/>
                <w:sz w:val="30"/>
                <w:szCs w:val="30"/>
                <w:highlight w:val="none"/>
              </w:rPr>
            </w:pPr>
          </w:p>
          <w:p w14:paraId="2C46EEAA">
            <w:pPr>
              <w:pStyle w:val="15"/>
              <w:ind w:left="0" w:leftChars="0"/>
              <w:jc w:val="center"/>
              <w:rPr>
                <w:rFonts w:ascii="Times New Roman" w:hAnsi="Times New Roman" w:cs="Times New Roman"/>
                <w:b/>
                <w:color w:val="auto"/>
                <w:sz w:val="30"/>
                <w:szCs w:val="30"/>
                <w:highlight w:val="none"/>
              </w:rPr>
            </w:pPr>
            <w:r>
              <w:rPr>
                <w:rFonts w:hint="eastAsia" w:ascii="Times New Roman" w:hAnsi="Times New Roman" w:cs="Times New Roman"/>
                <w:b/>
                <w:color w:val="auto"/>
                <w:sz w:val="30"/>
                <w:szCs w:val="30"/>
                <w:highlight w:val="none"/>
              </w:rPr>
              <w:t>（</w:t>
            </w:r>
            <w:r>
              <w:rPr>
                <w:rFonts w:ascii="Times New Roman" w:hAnsi="Times New Roman" w:cs="Times New Roman"/>
                <w:b/>
                <w:color w:val="auto"/>
                <w:sz w:val="30"/>
                <w:szCs w:val="30"/>
                <w:highlight w:val="none"/>
              </w:rPr>
              <w:t>报告编号</w:t>
            </w:r>
            <w:r>
              <w:rPr>
                <w:rFonts w:hint="eastAsia" w:ascii="Times New Roman" w:hAnsi="Times New Roman" w:cs="Times New Roman"/>
                <w:b/>
                <w:color w:val="auto"/>
                <w:sz w:val="30"/>
                <w:szCs w:val="30"/>
                <w:highlight w:val="none"/>
              </w:rPr>
              <w:t>）</w:t>
            </w:r>
          </w:p>
          <w:p w14:paraId="3A31E187">
            <w:pPr>
              <w:pStyle w:val="15"/>
              <w:ind w:firstLine="643"/>
              <w:jc w:val="center"/>
              <w:rPr>
                <w:rFonts w:ascii="Times New Roman" w:hAnsi="Times New Roman" w:cs="Times New Roman"/>
                <w:b/>
                <w:color w:val="auto"/>
                <w:sz w:val="32"/>
                <w:szCs w:val="32"/>
                <w:highlight w:val="none"/>
              </w:rPr>
            </w:pPr>
          </w:p>
          <w:p w14:paraId="3579F44D">
            <w:pPr>
              <w:pStyle w:val="15"/>
              <w:ind w:firstLine="643"/>
              <w:jc w:val="center"/>
              <w:rPr>
                <w:rFonts w:ascii="Times New Roman" w:hAnsi="Times New Roman" w:eastAsia="黑体" w:cs="Times New Roman"/>
                <w:b/>
                <w:color w:val="auto"/>
                <w:sz w:val="32"/>
                <w:szCs w:val="32"/>
                <w:highlight w:val="none"/>
              </w:rPr>
            </w:pPr>
          </w:p>
          <w:p w14:paraId="7C1782E5">
            <w:pPr>
              <w:pStyle w:val="15"/>
              <w:ind w:right="1785" w:rightChars="850" w:firstLine="983" w:firstLineChars="410"/>
              <w:rPr>
                <w:rFonts w:ascii="Times New Roman" w:hAnsi="Times New Roman" w:eastAsia="黑体" w:cs="Times New Roman"/>
                <w:color w:val="auto"/>
                <w:sz w:val="24"/>
                <w:highlight w:val="none"/>
              </w:rPr>
            </w:pPr>
          </w:p>
          <w:p w14:paraId="3FE4350F">
            <w:pPr>
              <w:pStyle w:val="15"/>
              <w:ind w:left="2626" w:leftChars="584" w:right="1075" w:rightChars="512" w:hanging="1400" w:hangingChars="500"/>
              <w:rPr>
                <w:rFonts w:ascii="Times New Roman" w:hAnsi="Times New Roman" w:eastAsia="黑体" w:cs="Times New Roman"/>
                <w:color w:val="auto"/>
                <w:sz w:val="28"/>
                <w:szCs w:val="28"/>
                <w:highlight w:val="none"/>
                <w:u w:val="single"/>
              </w:rPr>
            </w:pPr>
            <w:r>
              <w:rPr>
                <w:rFonts w:ascii="Times New Roman" w:hAnsi="Times New Roman" w:eastAsia="黑体" w:cs="Times New Roman"/>
                <w:color w:val="auto"/>
                <w:sz w:val="28"/>
                <w:szCs w:val="28"/>
                <w:highlight w:val="none"/>
              </w:rPr>
              <w:t>工程名称/Project：</w:t>
            </w:r>
            <w:r>
              <w:rPr>
                <w:rFonts w:ascii="Times New Roman" w:hAnsi="Times New Roman" w:eastAsia="黑体" w:cs="Times New Roman"/>
                <w:color w:val="auto"/>
                <w:sz w:val="28"/>
                <w:szCs w:val="28"/>
                <w:highlight w:val="none"/>
                <w:u w:val="single"/>
              </w:rPr>
              <w:t xml:space="preserve">                        </w:t>
            </w:r>
          </w:p>
          <w:p w14:paraId="0F8A74C5">
            <w:pPr>
              <w:pStyle w:val="15"/>
              <w:ind w:left="1326" w:leftChars="584" w:right="1785" w:rightChars="850" w:hanging="100" w:hangingChars="500"/>
              <w:rPr>
                <w:rFonts w:ascii="Times New Roman" w:hAnsi="Times New Roman" w:eastAsia="黑体" w:cs="Times New Roman"/>
                <w:color w:val="auto"/>
                <w:sz w:val="2"/>
                <w:szCs w:val="2"/>
                <w:highlight w:val="none"/>
              </w:rPr>
            </w:pPr>
          </w:p>
          <w:p w14:paraId="48C079A8">
            <w:pPr>
              <w:pStyle w:val="15"/>
              <w:ind w:left="2626" w:leftChars="584" w:right="1218" w:rightChars="580" w:hanging="1400" w:hangingChars="500"/>
              <w:rPr>
                <w:rFonts w:ascii="Times New Roman" w:hAnsi="Times New Roman" w:eastAsia="黑体" w:cs="Times New Roman"/>
                <w:color w:val="auto"/>
                <w:sz w:val="28"/>
                <w:szCs w:val="28"/>
                <w:highlight w:val="none"/>
                <w:u w:val="single"/>
              </w:rPr>
            </w:pPr>
            <w:r>
              <w:rPr>
                <w:rFonts w:ascii="Times New Roman" w:hAnsi="Times New Roman" w:eastAsia="黑体" w:cs="Times New Roman"/>
                <w:color w:val="auto"/>
                <w:sz w:val="28"/>
                <w:szCs w:val="28"/>
                <w:highlight w:val="none"/>
              </w:rPr>
              <w:t xml:space="preserve">工程地点/Site：   </w:t>
            </w:r>
            <w:r>
              <w:rPr>
                <w:rFonts w:ascii="Times New Roman" w:hAnsi="Times New Roman" w:eastAsia="黑体" w:cs="Times New Roman"/>
                <w:color w:val="auto"/>
                <w:sz w:val="28"/>
                <w:szCs w:val="28"/>
                <w:highlight w:val="none"/>
                <w:u w:val="single"/>
              </w:rPr>
              <w:t xml:space="preserve">                        </w:t>
            </w:r>
          </w:p>
          <w:p w14:paraId="6619F3DD">
            <w:pPr>
              <w:pStyle w:val="15"/>
              <w:ind w:left="1326" w:leftChars="584" w:right="1785" w:rightChars="850" w:hanging="100" w:hangingChars="500"/>
              <w:rPr>
                <w:rFonts w:ascii="Times New Roman" w:hAnsi="Times New Roman" w:eastAsia="黑体" w:cs="Times New Roman"/>
                <w:color w:val="auto"/>
                <w:sz w:val="2"/>
                <w:szCs w:val="2"/>
                <w:highlight w:val="none"/>
              </w:rPr>
            </w:pPr>
          </w:p>
          <w:p w14:paraId="3B4CAC0D">
            <w:pPr>
              <w:pStyle w:val="15"/>
              <w:ind w:left="2626" w:leftChars="584" w:right="1218" w:rightChars="580" w:hanging="1400" w:hangingChars="500"/>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rPr>
              <w:t>委托单位/Client：</w:t>
            </w:r>
            <w:r>
              <w:rPr>
                <w:rFonts w:ascii="Times New Roman" w:hAnsi="Times New Roman" w:eastAsia="黑体" w:cs="Times New Roman"/>
                <w:color w:val="auto"/>
                <w:sz w:val="28"/>
                <w:szCs w:val="28"/>
                <w:highlight w:val="none"/>
                <w:u w:val="single"/>
              </w:rPr>
              <w:t xml:space="preserve">                         </w:t>
            </w:r>
          </w:p>
          <w:p w14:paraId="5B0B8F5C">
            <w:pPr>
              <w:pStyle w:val="15"/>
              <w:ind w:right="1785" w:rightChars="850" w:firstLine="1274" w:firstLineChars="531"/>
              <w:rPr>
                <w:rFonts w:ascii="Times New Roman" w:hAnsi="Times New Roman" w:eastAsia="黑体" w:cs="Times New Roman"/>
                <w:color w:val="auto"/>
                <w:sz w:val="24"/>
                <w:highlight w:val="none"/>
                <w:u w:val="single"/>
              </w:rPr>
            </w:pPr>
          </w:p>
          <w:p w14:paraId="66EBF117">
            <w:pPr>
              <w:pStyle w:val="15"/>
              <w:ind w:left="0" w:leftChars="0" w:right="1785" w:rightChars="850" w:firstLine="0" w:firstLineChars="0"/>
              <w:jc w:val="center"/>
              <w:rPr>
                <w:rFonts w:ascii="Times New Roman" w:hAnsi="Times New Roman" w:eastAsia="黑体" w:cs="Times New Roman"/>
                <w:color w:val="auto"/>
                <w:sz w:val="28"/>
                <w:szCs w:val="28"/>
                <w:highlight w:val="none"/>
              </w:rPr>
            </w:pPr>
            <w:r>
              <w:rPr>
                <w:rFonts w:hint="eastAsia" w:ascii="Times New Roman" w:hAnsi="Times New Roman" w:eastAsia="黑体" w:cs="Times New Roman"/>
                <w:snapToGrid w:val="0"/>
                <w:color w:val="auto"/>
                <w:sz w:val="28"/>
                <w:szCs w:val="28"/>
                <w:highlight w:val="none"/>
                <w:lang w:val="en-US" w:eastAsia="zh-CN"/>
              </w:rPr>
              <w:t xml:space="preserve">             </w:t>
            </w:r>
            <w:r>
              <w:rPr>
                <w:rFonts w:ascii="Times New Roman" w:hAnsi="Times New Roman" w:eastAsia="黑体" w:cs="Times New Roman"/>
                <w:snapToGrid w:val="0"/>
                <w:color w:val="auto"/>
                <w:sz w:val="28"/>
                <w:szCs w:val="28"/>
                <w:highlight w:val="none"/>
              </w:rPr>
              <w:t>报告总页数/Pages：共  页（含此页）</w:t>
            </w:r>
          </w:p>
          <w:p w14:paraId="11EBE624">
            <w:pPr>
              <w:pStyle w:val="15"/>
              <w:tabs>
                <w:tab w:val="left" w:pos="315"/>
              </w:tabs>
              <w:rPr>
                <w:rFonts w:ascii="Times New Roman" w:hAnsi="Times New Roman" w:eastAsia="黑体" w:cs="Times New Roman"/>
                <w:color w:val="auto"/>
                <w:sz w:val="24"/>
                <w:highlight w:val="none"/>
              </w:rPr>
            </w:pPr>
            <w:r>
              <w:rPr>
                <w:rFonts w:ascii="Times New Roman" w:hAnsi="Times New Roman" w:eastAsia="黑体" w:cs="Times New Roman"/>
                <w:color w:val="auto"/>
                <w:sz w:val="24"/>
                <w:highlight w:val="none"/>
              </w:rPr>
              <w:tab/>
            </w:r>
          </w:p>
          <w:p w14:paraId="25AD70FD">
            <w:pPr>
              <w:pStyle w:val="15"/>
              <w:jc w:val="center"/>
              <w:rPr>
                <w:rFonts w:ascii="Times New Roman" w:hAnsi="Times New Roman" w:eastAsia="黑体" w:cs="Times New Roman"/>
                <w:color w:val="auto"/>
                <w:sz w:val="24"/>
                <w:highlight w:val="none"/>
              </w:rPr>
            </w:pPr>
          </w:p>
          <w:p w14:paraId="4DCBA1FF">
            <w:pPr>
              <w:pStyle w:val="15"/>
              <w:ind w:left="0" w:leftChars="0"/>
              <w:jc w:val="center"/>
              <w:rPr>
                <w:rFonts w:ascii="Times New Roman" w:hAnsi="Times New Roman" w:eastAsia="黑体" w:cs="Times New Roman"/>
                <w:color w:val="auto"/>
                <w:sz w:val="24"/>
                <w:highlight w:val="none"/>
              </w:rPr>
            </w:pPr>
            <w:r>
              <w:rPr>
                <w:rFonts w:ascii="Times New Roman" w:hAnsi="Times New Roman" w:eastAsia="黑体" w:cs="Times New Roman"/>
                <w:color w:val="auto"/>
                <w:sz w:val="24"/>
                <w:highlight w:val="none"/>
              </w:rPr>
              <w:t>（检测单位名称）</w:t>
            </w:r>
          </w:p>
          <w:p w14:paraId="3D17FFDF">
            <w:pPr>
              <w:pStyle w:val="15"/>
              <w:ind w:left="0" w:leftChars="0"/>
              <w:jc w:val="center"/>
              <w:rPr>
                <w:rFonts w:ascii="Times New Roman" w:hAnsi="Times New Roman" w:eastAsia="黑体" w:cs="Times New Roman"/>
                <w:color w:val="auto"/>
                <w:sz w:val="24"/>
                <w:highlight w:val="none"/>
              </w:rPr>
            </w:pPr>
            <w:r>
              <w:rPr>
                <w:rFonts w:ascii="Times New Roman" w:hAnsi="Times New Roman" w:eastAsia="黑体" w:cs="Times New Roman"/>
                <w:color w:val="auto"/>
                <w:sz w:val="24"/>
                <w:highlight w:val="none"/>
              </w:rPr>
              <w:t>年/Year   月/Month   日/Date</w:t>
            </w:r>
          </w:p>
          <w:p w14:paraId="22E179FB">
            <w:pPr>
              <w:ind w:firstLine="480"/>
              <w:rPr>
                <w:rFonts w:ascii="Times New Roman" w:hAnsi="Times New Roman" w:cs="Times New Roman"/>
                <w:color w:val="auto"/>
                <w:highlight w:val="none"/>
              </w:rPr>
            </w:pPr>
          </w:p>
        </w:tc>
      </w:tr>
    </w:tbl>
    <w:p w14:paraId="0C4CBE81">
      <w:pPr>
        <w:jc w:val="center"/>
        <w:rPr>
          <w:rFonts w:ascii="Times New Roman" w:hAnsi="Times New Roman" w:cs="Times New Roman"/>
          <w:color w:val="auto"/>
          <w:highlight w:val="none"/>
        </w:rPr>
      </w:pPr>
      <w:r>
        <w:rPr>
          <w:rFonts w:ascii="Times New Roman" w:hAnsi="Times New Roman" w:cs="Times New Roman"/>
          <w:color w:val="auto"/>
          <w:highlight w:val="none"/>
        </w:rPr>
        <w:br w:type="page"/>
      </w:r>
      <w:r>
        <w:rPr>
          <w:rFonts w:hint="eastAsia" w:ascii="Times New Roman" w:hAnsi="Times New Roman" w:cs="Times New Roman"/>
          <w:b w:val="0"/>
          <w:bCs w:val="0"/>
          <w:color w:val="auto"/>
          <w:sz w:val="22"/>
          <w:szCs w:val="22"/>
          <w:highlight w:val="none"/>
          <w:lang w:val="en-US" w:eastAsia="zh-CN"/>
        </w:rPr>
        <w:t>续表B</w:t>
      </w:r>
    </w:p>
    <w:tbl>
      <w:tblPr>
        <w:tblStyle w:val="30"/>
        <w:tblW w:w="0" w:type="auto"/>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3"/>
      </w:tblGrid>
      <w:tr w14:paraId="5CBE5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9" w:hRule="atLeast"/>
        </w:trPr>
        <w:tc>
          <w:tcPr>
            <w:tcW w:w="8273" w:type="dxa"/>
          </w:tcPr>
          <w:p w14:paraId="54AB7481">
            <w:pPr>
              <w:pStyle w:val="15"/>
              <w:ind w:firstLine="480"/>
              <w:rPr>
                <w:rFonts w:ascii="Times New Roman" w:hAnsi="Times New Roman" w:cs="Times New Roman"/>
                <w:color w:val="auto"/>
                <w:szCs w:val="21"/>
                <w:highlight w:val="none"/>
              </w:rPr>
            </w:pPr>
          </w:p>
          <w:tbl>
            <w:tblPr>
              <w:tblStyle w:val="30"/>
              <w:tblpPr w:leftFromText="180" w:rightFromText="180" w:vertAnchor="text" w:horzAnchor="page" w:tblpX="248" w:tblpY="6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6176"/>
            </w:tblGrid>
            <w:tr w14:paraId="7C3A7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1620" w:type="dxa"/>
                  <w:vAlign w:val="center"/>
                </w:tcPr>
                <w:p w14:paraId="4D4FA25B">
                  <w:pPr>
                    <w:spacing w:line="400" w:lineRule="exact"/>
                    <w:jc w:val="center"/>
                    <w:rPr>
                      <w:rFonts w:ascii="Times New Roman" w:hAnsi="Times New Roman" w:cs="Times New Roman"/>
                      <w:b/>
                      <w:color w:val="auto"/>
                      <w:sz w:val="24"/>
                      <w:szCs w:val="28"/>
                      <w:highlight w:val="none"/>
                    </w:rPr>
                  </w:pPr>
                  <w:r>
                    <w:rPr>
                      <w:rFonts w:ascii="Times New Roman" w:hAnsi="Times New Roman" w:cs="Times New Roman"/>
                      <w:b/>
                      <w:color w:val="auto"/>
                      <w:sz w:val="24"/>
                      <w:szCs w:val="28"/>
                      <w:highlight w:val="none"/>
                    </w:rPr>
                    <w:t>工程名称</w:t>
                  </w:r>
                </w:p>
                <w:p w14:paraId="1D5F08EC">
                  <w:pPr>
                    <w:spacing w:line="400" w:lineRule="exact"/>
                    <w:jc w:val="center"/>
                    <w:rPr>
                      <w:rFonts w:ascii="Times New Roman" w:hAnsi="Times New Roman" w:cs="Times New Roman"/>
                      <w:b/>
                      <w:color w:val="auto"/>
                      <w:sz w:val="24"/>
                      <w:szCs w:val="28"/>
                      <w:highlight w:val="none"/>
                    </w:rPr>
                  </w:pPr>
                  <w:r>
                    <w:rPr>
                      <w:rFonts w:ascii="Times New Roman" w:hAnsi="Times New Roman" w:cs="Times New Roman"/>
                      <w:b/>
                      <w:color w:val="auto"/>
                      <w:sz w:val="24"/>
                      <w:szCs w:val="28"/>
                      <w:highlight w:val="none"/>
                    </w:rPr>
                    <w:t>Project</w:t>
                  </w:r>
                </w:p>
              </w:tc>
              <w:tc>
                <w:tcPr>
                  <w:tcW w:w="6176" w:type="dxa"/>
                  <w:vAlign w:val="center"/>
                </w:tcPr>
                <w:p w14:paraId="78EA15A4">
                  <w:pPr>
                    <w:spacing w:line="400" w:lineRule="exact"/>
                    <w:ind w:firstLine="480"/>
                    <w:rPr>
                      <w:rFonts w:ascii="Times New Roman" w:hAnsi="Times New Roman" w:cs="Times New Roman"/>
                      <w:color w:val="auto"/>
                      <w:sz w:val="24"/>
                      <w:highlight w:val="none"/>
                    </w:rPr>
                  </w:pPr>
                </w:p>
              </w:tc>
            </w:tr>
            <w:tr w14:paraId="1C5A3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49" w:hRule="atLeast"/>
              </w:trPr>
              <w:tc>
                <w:tcPr>
                  <w:tcW w:w="1620" w:type="dxa"/>
                  <w:vAlign w:val="center"/>
                </w:tcPr>
                <w:p w14:paraId="48C459BB">
                  <w:pPr>
                    <w:spacing w:line="400" w:lineRule="exact"/>
                    <w:jc w:val="center"/>
                    <w:rPr>
                      <w:rFonts w:ascii="Times New Roman" w:hAnsi="Times New Roman" w:cs="Times New Roman"/>
                      <w:b/>
                      <w:color w:val="auto"/>
                      <w:sz w:val="24"/>
                      <w:szCs w:val="28"/>
                      <w:highlight w:val="none"/>
                    </w:rPr>
                  </w:pPr>
                  <w:r>
                    <w:rPr>
                      <w:rFonts w:ascii="Times New Roman" w:hAnsi="Times New Roman" w:cs="Times New Roman"/>
                      <w:b/>
                      <w:color w:val="auto"/>
                      <w:sz w:val="24"/>
                      <w:szCs w:val="28"/>
                      <w:highlight w:val="none"/>
                    </w:rPr>
                    <w:t>工程地址</w:t>
                  </w:r>
                </w:p>
                <w:p w14:paraId="6FBDB43E">
                  <w:pPr>
                    <w:spacing w:line="400" w:lineRule="exact"/>
                    <w:jc w:val="center"/>
                    <w:rPr>
                      <w:rFonts w:ascii="Times New Roman" w:hAnsi="Times New Roman" w:cs="Times New Roman"/>
                      <w:b/>
                      <w:color w:val="auto"/>
                      <w:sz w:val="24"/>
                      <w:szCs w:val="28"/>
                      <w:highlight w:val="none"/>
                    </w:rPr>
                  </w:pPr>
                  <w:r>
                    <w:rPr>
                      <w:rFonts w:ascii="Times New Roman" w:hAnsi="Times New Roman" w:cs="Times New Roman"/>
                      <w:b/>
                      <w:color w:val="auto"/>
                      <w:sz w:val="24"/>
                      <w:szCs w:val="28"/>
                      <w:highlight w:val="none"/>
                    </w:rPr>
                    <w:t>Site</w:t>
                  </w:r>
                </w:p>
              </w:tc>
              <w:tc>
                <w:tcPr>
                  <w:tcW w:w="6176" w:type="dxa"/>
                  <w:vAlign w:val="center"/>
                </w:tcPr>
                <w:p w14:paraId="4EBD3966">
                  <w:pPr>
                    <w:spacing w:line="400" w:lineRule="exact"/>
                    <w:ind w:firstLine="480"/>
                    <w:rPr>
                      <w:rFonts w:ascii="Times New Roman" w:hAnsi="Times New Roman" w:cs="Times New Roman"/>
                      <w:color w:val="auto"/>
                      <w:sz w:val="24"/>
                      <w:highlight w:val="none"/>
                    </w:rPr>
                  </w:pPr>
                </w:p>
              </w:tc>
            </w:tr>
            <w:tr w14:paraId="60971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49" w:hRule="atLeast"/>
              </w:trPr>
              <w:tc>
                <w:tcPr>
                  <w:tcW w:w="1620" w:type="dxa"/>
                  <w:vAlign w:val="center"/>
                </w:tcPr>
                <w:p w14:paraId="3B021C10">
                  <w:pPr>
                    <w:spacing w:line="400" w:lineRule="exact"/>
                    <w:jc w:val="center"/>
                    <w:rPr>
                      <w:rFonts w:ascii="Times New Roman" w:hAnsi="Times New Roman" w:cs="Times New Roman"/>
                      <w:b/>
                      <w:color w:val="auto"/>
                      <w:sz w:val="24"/>
                      <w:szCs w:val="28"/>
                      <w:highlight w:val="none"/>
                    </w:rPr>
                  </w:pPr>
                  <w:r>
                    <w:rPr>
                      <w:rFonts w:ascii="Times New Roman" w:hAnsi="Times New Roman" w:cs="Times New Roman"/>
                      <w:b/>
                      <w:color w:val="auto"/>
                      <w:sz w:val="24"/>
                      <w:szCs w:val="28"/>
                      <w:highlight w:val="none"/>
                    </w:rPr>
                    <w:t>委托单位</w:t>
                  </w:r>
                </w:p>
                <w:p w14:paraId="3A8AB88E">
                  <w:pPr>
                    <w:spacing w:line="400" w:lineRule="exact"/>
                    <w:jc w:val="center"/>
                    <w:rPr>
                      <w:rFonts w:ascii="Times New Roman" w:hAnsi="Times New Roman" w:cs="Times New Roman"/>
                      <w:b/>
                      <w:color w:val="auto"/>
                      <w:sz w:val="24"/>
                      <w:szCs w:val="28"/>
                      <w:highlight w:val="none"/>
                    </w:rPr>
                  </w:pPr>
                  <w:r>
                    <w:rPr>
                      <w:rFonts w:ascii="Times New Roman" w:hAnsi="Times New Roman" w:cs="Times New Roman"/>
                      <w:b/>
                      <w:color w:val="auto"/>
                      <w:sz w:val="24"/>
                      <w:szCs w:val="28"/>
                      <w:highlight w:val="none"/>
                    </w:rPr>
                    <w:t>Client</w:t>
                  </w:r>
                </w:p>
              </w:tc>
              <w:tc>
                <w:tcPr>
                  <w:tcW w:w="6176" w:type="dxa"/>
                  <w:vAlign w:val="center"/>
                </w:tcPr>
                <w:p w14:paraId="1B99F692">
                  <w:pPr>
                    <w:spacing w:line="400" w:lineRule="exact"/>
                    <w:ind w:firstLine="480"/>
                    <w:rPr>
                      <w:rFonts w:ascii="Times New Roman" w:hAnsi="Times New Roman" w:cs="Times New Roman"/>
                      <w:color w:val="auto"/>
                      <w:sz w:val="24"/>
                      <w:highlight w:val="none"/>
                    </w:rPr>
                  </w:pPr>
                </w:p>
              </w:tc>
            </w:tr>
            <w:tr w14:paraId="727F2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49" w:hRule="atLeast"/>
              </w:trPr>
              <w:tc>
                <w:tcPr>
                  <w:tcW w:w="1620" w:type="dxa"/>
                  <w:vAlign w:val="center"/>
                </w:tcPr>
                <w:p w14:paraId="6801E7E1">
                  <w:pPr>
                    <w:spacing w:line="400" w:lineRule="exact"/>
                    <w:jc w:val="center"/>
                    <w:rPr>
                      <w:rFonts w:ascii="Times New Roman" w:hAnsi="Times New Roman" w:cs="Times New Roman"/>
                      <w:b/>
                      <w:color w:val="auto"/>
                      <w:sz w:val="24"/>
                      <w:szCs w:val="28"/>
                      <w:highlight w:val="none"/>
                    </w:rPr>
                  </w:pPr>
                  <w:r>
                    <w:rPr>
                      <w:rFonts w:ascii="Times New Roman" w:hAnsi="Times New Roman" w:cs="Times New Roman"/>
                      <w:b/>
                      <w:color w:val="auto"/>
                      <w:sz w:val="24"/>
                      <w:szCs w:val="28"/>
                      <w:highlight w:val="none"/>
                    </w:rPr>
                    <w:t>建设单位</w:t>
                  </w:r>
                </w:p>
                <w:p w14:paraId="5981A5AF">
                  <w:pPr>
                    <w:spacing w:line="400" w:lineRule="exact"/>
                    <w:jc w:val="center"/>
                    <w:rPr>
                      <w:rFonts w:ascii="Times New Roman" w:hAnsi="Times New Roman" w:cs="Times New Roman"/>
                      <w:b/>
                      <w:color w:val="auto"/>
                      <w:sz w:val="24"/>
                      <w:szCs w:val="28"/>
                      <w:highlight w:val="none"/>
                    </w:rPr>
                  </w:pPr>
                  <w:r>
                    <w:rPr>
                      <w:rFonts w:ascii="Times New Roman" w:hAnsi="Times New Roman" w:cs="Times New Roman"/>
                      <w:b/>
                      <w:color w:val="auto"/>
                      <w:sz w:val="24"/>
                      <w:szCs w:val="28"/>
                      <w:highlight w:val="none"/>
                    </w:rPr>
                    <w:t>Owner</w:t>
                  </w:r>
                </w:p>
              </w:tc>
              <w:tc>
                <w:tcPr>
                  <w:tcW w:w="6176" w:type="dxa"/>
                  <w:vAlign w:val="center"/>
                </w:tcPr>
                <w:p w14:paraId="34582DAA">
                  <w:pPr>
                    <w:spacing w:line="360" w:lineRule="exact"/>
                    <w:ind w:firstLine="480"/>
                    <w:jc w:val="left"/>
                    <w:rPr>
                      <w:rFonts w:ascii="Times New Roman" w:hAnsi="Times New Roman" w:cs="Times New Roman"/>
                      <w:color w:val="auto"/>
                      <w:sz w:val="24"/>
                      <w:highlight w:val="none"/>
                    </w:rPr>
                  </w:pPr>
                </w:p>
              </w:tc>
            </w:tr>
            <w:tr w14:paraId="535B0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1620" w:type="dxa"/>
                  <w:vAlign w:val="center"/>
                </w:tcPr>
                <w:p w14:paraId="6E47878F">
                  <w:pPr>
                    <w:spacing w:line="400" w:lineRule="exact"/>
                    <w:jc w:val="center"/>
                    <w:rPr>
                      <w:rFonts w:ascii="Times New Roman" w:hAnsi="Times New Roman" w:cs="Times New Roman"/>
                      <w:b/>
                      <w:color w:val="auto"/>
                      <w:sz w:val="24"/>
                      <w:szCs w:val="28"/>
                      <w:highlight w:val="none"/>
                    </w:rPr>
                  </w:pPr>
                  <w:r>
                    <w:rPr>
                      <w:rFonts w:ascii="Times New Roman" w:hAnsi="Times New Roman" w:cs="Times New Roman"/>
                      <w:b/>
                      <w:color w:val="auto"/>
                      <w:sz w:val="24"/>
                      <w:szCs w:val="28"/>
                      <w:highlight w:val="none"/>
                    </w:rPr>
                    <w:t>设计单位</w:t>
                  </w:r>
                </w:p>
                <w:p w14:paraId="03F4D3E8">
                  <w:pPr>
                    <w:spacing w:line="400" w:lineRule="exact"/>
                    <w:jc w:val="center"/>
                    <w:rPr>
                      <w:rFonts w:ascii="Times New Roman" w:hAnsi="Times New Roman" w:cs="Times New Roman"/>
                      <w:b/>
                      <w:color w:val="auto"/>
                      <w:sz w:val="24"/>
                      <w:szCs w:val="28"/>
                      <w:highlight w:val="none"/>
                    </w:rPr>
                  </w:pPr>
                  <w:r>
                    <w:rPr>
                      <w:rFonts w:ascii="Times New Roman" w:hAnsi="Times New Roman" w:cs="Times New Roman"/>
                      <w:b/>
                      <w:color w:val="auto"/>
                      <w:sz w:val="24"/>
                      <w:szCs w:val="28"/>
                      <w:highlight w:val="none"/>
                    </w:rPr>
                    <w:t>Designer</w:t>
                  </w:r>
                </w:p>
              </w:tc>
              <w:tc>
                <w:tcPr>
                  <w:tcW w:w="6176" w:type="dxa"/>
                  <w:vAlign w:val="center"/>
                </w:tcPr>
                <w:p w14:paraId="0C0B3F16">
                  <w:pPr>
                    <w:ind w:firstLine="480"/>
                    <w:rPr>
                      <w:rFonts w:ascii="Times New Roman" w:hAnsi="Times New Roman" w:cs="Times New Roman"/>
                      <w:color w:val="auto"/>
                      <w:sz w:val="24"/>
                      <w:szCs w:val="28"/>
                      <w:highlight w:val="none"/>
                    </w:rPr>
                  </w:pPr>
                </w:p>
              </w:tc>
            </w:tr>
            <w:tr w14:paraId="027B0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1620" w:type="dxa"/>
                  <w:vAlign w:val="center"/>
                </w:tcPr>
                <w:p w14:paraId="717C1240">
                  <w:pPr>
                    <w:spacing w:line="400" w:lineRule="exact"/>
                    <w:jc w:val="center"/>
                    <w:rPr>
                      <w:rFonts w:ascii="Times New Roman" w:hAnsi="Times New Roman" w:cs="Times New Roman"/>
                      <w:b/>
                      <w:color w:val="auto"/>
                      <w:sz w:val="24"/>
                      <w:szCs w:val="28"/>
                      <w:highlight w:val="none"/>
                    </w:rPr>
                  </w:pPr>
                  <w:r>
                    <w:rPr>
                      <w:rFonts w:ascii="Times New Roman" w:hAnsi="Times New Roman" w:cs="Times New Roman"/>
                      <w:b/>
                      <w:color w:val="auto"/>
                      <w:sz w:val="24"/>
                      <w:szCs w:val="28"/>
                      <w:highlight w:val="none"/>
                    </w:rPr>
                    <w:t>施工单位</w:t>
                  </w:r>
                </w:p>
                <w:p w14:paraId="4EBB570E">
                  <w:pPr>
                    <w:spacing w:line="400" w:lineRule="exact"/>
                    <w:jc w:val="center"/>
                    <w:rPr>
                      <w:rFonts w:ascii="Times New Roman" w:hAnsi="Times New Roman" w:cs="Times New Roman"/>
                      <w:b/>
                      <w:color w:val="auto"/>
                      <w:sz w:val="24"/>
                      <w:szCs w:val="28"/>
                      <w:highlight w:val="none"/>
                    </w:rPr>
                  </w:pPr>
                  <w:r>
                    <w:rPr>
                      <w:rFonts w:ascii="Times New Roman" w:hAnsi="Times New Roman" w:cs="Times New Roman"/>
                      <w:b/>
                      <w:color w:val="auto"/>
                      <w:sz w:val="24"/>
                      <w:szCs w:val="28"/>
                      <w:highlight w:val="none"/>
                    </w:rPr>
                    <w:t>Builder</w:t>
                  </w:r>
                </w:p>
              </w:tc>
              <w:tc>
                <w:tcPr>
                  <w:tcW w:w="6176" w:type="dxa"/>
                  <w:vAlign w:val="center"/>
                </w:tcPr>
                <w:p w14:paraId="543E678E">
                  <w:pPr>
                    <w:ind w:firstLine="480"/>
                    <w:rPr>
                      <w:rFonts w:ascii="Times New Roman" w:hAnsi="Times New Roman" w:cs="Times New Roman"/>
                      <w:color w:val="auto"/>
                      <w:sz w:val="24"/>
                      <w:szCs w:val="28"/>
                      <w:highlight w:val="none"/>
                    </w:rPr>
                  </w:pPr>
                </w:p>
              </w:tc>
            </w:tr>
            <w:tr w14:paraId="7B0D0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49" w:hRule="atLeast"/>
              </w:trPr>
              <w:tc>
                <w:tcPr>
                  <w:tcW w:w="1620" w:type="dxa"/>
                  <w:vAlign w:val="center"/>
                </w:tcPr>
                <w:p w14:paraId="3D4A05BF">
                  <w:pPr>
                    <w:spacing w:line="400" w:lineRule="exact"/>
                    <w:jc w:val="center"/>
                    <w:rPr>
                      <w:rFonts w:ascii="Times New Roman" w:hAnsi="Times New Roman" w:cs="Times New Roman"/>
                      <w:b/>
                      <w:color w:val="auto"/>
                      <w:sz w:val="24"/>
                      <w:szCs w:val="28"/>
                      <w:highlight w:val="none"/>
                    </w:rPr>
                  </w:pPr>
                  <w:r>
                    <w:rPr>
                      <w:rFonts w:ascii="Times New Roman" w:hAnsi="Times New Roman" w:cs="Times New Roman"/>
                      <w:b/>
                      <w:color w:val="auto"/>
                      <w:sz w:val="24"/>
                      <w:szCs w:val="28"/>
                      <w:highlight w:val="none"/>
                    </w:rPr>
                    <w:t>监理单位Construction Supervisior</w:t>
                  </w:r>
                </w:p>
              </w:tc>
              <w:tc>
                <w:tcPr>
                  <w:tcW w:w="6176" w:type="dxa"/>
                  <w:vAlign w:val="center"/>
                </w:tcPr>
                <w:p w14:paraId="6891EF9C">
                  <w:pPr>
                    <w:ind w:firstLine="480"/>
                    <w:rPr>
                      <w:rFonts w:ascii="Times New Roman" w:hAnsi="Times New Roman" w:cs="Times New Roman"/>
                      <w:color w:val="auto"/>
                      <w:sz w:val="24"/>
                      <w:highlight w:val="none"/>
                    </w:rPr>
                  </w:pPr>
                </w:p>
              </w:tc>
            </w:tr>
            <w:tr w14:paraId="2C900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1620" w:type="dxa"/>
                  <w:vAlign w:val="center"/>
                </w:tcPr>
                <w:p w14:paraId="0352D21B">
                  <w:pPr>
                    <w:spacing w:line="400" w:lineRule="exact"/>
                    <w:jc w:val="center"/>
                    <w:rPr>
                      <w:rFonts w:ascii="Times New Roman" w:hAnsi="Times New Roman" w:cs="Times New Roman"/>
                      <w:b/>
                      <w:color w:val="auto"/>
                      <w:sz w:val="24"/>
                      <w:szCs w:val="28"/>
                      <w:highlight w:val="none"/>
                    </w:rPr>
                  </w:pPr>
                  <w:r>
                    <w:rPr>
                      <w:rFonts w:ascii="Times New Roman" w:hAnsi="Times New Roman" w:cs="Times New Roman"/>
                      <w:b/>
                      <w:color w:val="auto"/>
                      <w:sz w:val="24"/>
                      <w:szCs w:val="28"/>
                      <w:highlight w:val="none"/>
                    </w:rPr>
                    <w:t>检测日期</w:t>
                  </w:r>
                </w:p>
                <w:p w14:paraId="13C0A9E2">
                  <w:pPr>
                    <w:spacing w:line="400" w:lineRule="exact"/>
                    <w:jc w:val="center"/>
                    <w:rPr>
                      <w:rFonts w:ascii="Times New Roman" w:hAnsi="Times New Roman" w:cs="Times New Roman"/>
                      <w:b/>
                      <w:color w:val="auto"/>
                      <w:sz w:val="24"/>
                      <w:szCs w:val="28"/>
                      <w:highlight w:val="none"/>
                    </w:rPr>
                  </w:pPr>
                  <w:r>
                    <w:rPr>
                      <w:rFonts w:ascii="Times New Roman" w:hAnsi="Times New Roman" w:cs="Times New Roman"/>
                      <w:b/>
                      <w:color w:val="auto"/>
                      <w:sz w:val="24"/>
                      <w:szCs w:val="28"/>
                      <w:highlight w:val="none"/>
                    </w:rPr>
                    <w:t>Test Date</w:t>
                  </w:r>
                </w:p>
              </w:tc>
              <w:tc>
                <w:tcPr>
                  <w:tcW w:w="6176" w:type="dxa"/>
                  <w:vAlign w:val="center"/>
                </w:tcPr>
                <w:p w14:paraId="6E216AA4">
                  <w:pPr>
                    <w:ind w:firstLine="480"/>
                    <w:rPr>
                      <w:rFonts w:ascii="Times New Roman" w:hAnsi="Times New Roman" w:cs="Times New Roman"/>
                      <w:color w:val="auto"/>
                      <w:sz w:val="24"/>
                      <w:highlight w:val="none"/>
                    </w:rPr>
                  </w:pPr>
                </w:p>
              </w:tc>
            </w:tr>
          </w:tbl>
          <w:p w14:paraId="65CB912A">
            <w:pPr>
              <w:pStyle w:val="15"/>
              <w:rPr>
                <w:rFonts w:ascii="Times New Roman" w:hAnsi="Times New Roman" w:cs="Times New Roman"/>
                <w:b/>
                <w:color w:val="auto"/>
                <w:sz w:val="28"/>
                <w:szCs w:val="28"/>
                <w:highlight w:val="none"/>
              </w:rPr>
            </w:pPr>
            <w:r>
              <w:rPr>
                <w:rFonts w:ascii="Times New Roman" w:hAnsi="Times New Roman" w:cs="Times New Roman"/>
                <w:b/>
                <w:color w:val="auto"/>
                <w:sz w:val="28"/>
                <w:szCs w:val="28"/>
                <w:highlight w:val="none"/>
              </w:rPr>
              <w:t>工程信息</w:t>
            </w:r>
          </w:p>
          <w:p w14:paraId="3DF18880">
            <w:pPr>
              <w:pStyle w:val="15"/>
              <w:ind w:left="0" w:leftChars="0" w:firstLine="0" w:firstLineChars="0"/>
              <w:rPr>
                <w:rFonts w:ascii="Times New Roman" w:hAnsi="Times New Roman" w:cs="Times New Roman"/>
                <w:color w:val="auto"/>
                <w:highlight w:val="none"/>
              </w:rPr>
            </w:pPr>
          </w:p>
        </w:tc>
      </w:tr>
    </w:tbl>
    <w:p w14:paraId="65811993">
      <w:pPr>
        <w:jc w:val="center"/>
        <w:rPr>
          <w:rFonts w:ascii="Times New Roman" w:hAnsi="Times New Roman" w:cs="Times New Roman"/>
          <w:color w:val="auto"/>
          <w:highlight w:val="none"/>
        </w:rPr>
      </w:pPr>
      <w:r>
        <w:rPr>
          <w:rFonts w:ascii="Times New Roman" w:hAnsi="Times New Roman" w:cs="Times New Roman"/>
          <w:color w:val="auto"/>
          <w:highlight w:val="none"/>
        </w:rPr>
        <w:br w:type="page"/>
      </w:r>
      <w:r>
        <w:rPr>
          <w:rFonts w:ascii="Times New Roman" w:hAnsi="Times New Roman" w:cs="Times New Roman"/>
          <w:color w:val="auto"/>
          <w:highlight w:val="none"/>
        </w:rPr>
        <w:t>续表</w:t>
      </w:r>
      <w:r>
        <w:rPr>
          <w:rFonts w:hint="eastAsia" w:ascii="Times New Roman" w:hAnsi="Times New Roman" w:cs="Times New Roman"/>
          <w:b w:val="0"/>
          <w:bCs w:val="0"/>
          <w:color w:val="auto"/>
          <w:sz w:val="22"/>
          <w:szCs w:val="22"/>
          <w:highlight w:val="none"/>
          <w:lang w:val="en-US" w:eastAsia="zh-CN"/>
        </w:rPr>
        <w:t>B</w:t>
      </w:r>
    </w:p>
    <w:tbl>
      <w:tblPr>
        <w:tblStyle w:val="30"/>
        <w:tblW w:w="0" w:type="auto"/>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7"/>
      </w:tblGrid>
      <w:tr w14:paraId="1782F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9" w:hRule="atLeast"/>
        </w:trPr>
        <w:tc>
          <w:tcPr>
            <w:tcW w:w="8277" w:type="dxa"/>
          </w:tcPr>
          <w:p w14:paraId="2F3180C8">
            <w:pPr>
              <w:pStyle w:val="15"/>
              <w:numPr>
                <w:ilvl w:val="0"/>
                <w:numId w:val="7"/>
              </w:numPr>
              <w:spacing w:after="0"/>
              <w:ind w:left="0" w:leftChars="0"/>
              <w:jc w:val="left"/>
              <w:rPr>
                <w:rFonts w:ascii="Times New Roman" w:hAnsi="Times New Roman" w:cs="Times New Roman"/>
                <w:b/>
                <w:color w:val="auto"/>
                <w:sz w:val="28"/>
                <w:szCs w:val="28"/>
                <w:highlight w:val="none"/>
              </w:rPr>
            </w:pPr>
            <w:r>
              <w:rPr>
                <w:rFonts w:ascii="Times New Roman" w:hAnsi="Times New Roman" w:cs="Times New Roman"/>
                <w:b/>
                <w:color w:val="auto"/>
                <w:sz w:val="28"/>
                <w:szCs w:val="28"/>
                <w:highlight w:val="none"/>
              </w:rPr>
              <w:t>工程概况/Overview</w:t>
            </w:r>
          </w:p>
          <w:p w14:paraId="696621DD">
            <w:pPr>
              <w:pStyle w:val="15"/>
              <w:numPr>
                <w:ilvl w:val="0"/>
                <w:numId w:val="0"/>
              </w:numPr>
              <w:spacing w:after="0"/>
              <w:jc w:val="left"/>
              <w:rPr>
                <w:rFonts w:ascii="Times New Roman" w:hAnsi="Times New Roman" w:cs="Times New Roman"/>
                <w:b/>
                <w:color w:val="auto"/>
                <w:sz w:val="28"/>
                <w:szCs w:val="28"/>
                <w:highlight w:val="none"/>
              </w:rPr>
            </w:pPr>
          </w:p>
          <w:p w14:paraId="07FF2AC7">
            <w:pPr>
              <w:pStyle w:val="15"/>
              <w:numPr>
                <w:ilvl w:val="0"/>
                <w:numId w:val="7"/>
              </w:numPr>
              <w:spacing w:after="0"/>
              <w:ind w:left="0" w:leftChars="0" w:firstLine="0" w:firstLineChars="0"/>
              <w:rPr>
                <w:rFonts w:ascii="Times New Roman" w:hAnsi="Times New Roman" w:cs="Times New Roman"/>
                <w:b/>
                <w:color w:val="auto"/>
                <w:sz w:val="28"/>
                <w:szCs w:val="28"/>
                <w:highlight w:val="none"/>
              </w:rPr>
            </w:pPr>
            <w:r>
              <w:rPr>
                <w:rFonts w:ascii="Times New Roman" w:hAnsi="Times New Roman" w:cs="Times New Roman"/>
                <w:b/>
                <w:color w:val="auto"/>
                <w:sz w:val="28"/>
                <w:szCs w:val="28"/>
                <w:highlight w:val="none"/>
              </w:rPr>
              <w:t>检测依据/Refrenced standards</w:t>
            </w:r>
          </w:p>
          <w:p w14:paraId="47E81D0F">
            <w:pPr>
              <w:pStyle w:val="15"/>
              <w:numPr>
                <w:ilvl w:val="0"/>
                <w:numId w:val="0"/>
              </w:numPr>
              <w:spacing w:after="0"/>
              <w:ind w:leftChars="0"/>
              <w:rPr>
                <w:rFonts w:ascii="Times New Roman" w:hAnsi="Times New Roman" w:cs="Times New Roman"/>
                <w:b/>
                <w:color w:val="auto"/>
                <w:sz w:val="28"/>
                <w:szCs w:val="28"/>
                <w:highlight w:val="none"/>
              </w:rPr>
            </w:pPr>
          </w:p>
          <w:p w14:paraId="11BBB8CD">
            <w:pPr>
              <w:pStyle w:val="15"/>
              <w:spacing w:after="0"/>
              <w:ind w:left="0" w:leftChars="0"/>
              <w:rPr>
                <w:rFonts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rPr>
              <w:t>3.</w:t>
            </w:r>
            <w:r>
              <w:rPr>
                <w:rFonts w:ascii="Times New Roman" w:hAnsi="Times New Roman" w:cs="Times New Roman"/>
                <w:b/>
                <w:color w:val="auto"/>
                <w:sz w:val="28"/>
                <w:szCs w:val="28"/>
                <w:highlight w:val="none"/>
              </w:rPr>
              <w:t>检测设备/Test Instruments</w:t>
            </w:r>
          </w:p>
          <w:tbl>
            <w:tblPr>
              <w:tblStyle w:val="30"/>
              <w:tblW w:w="7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767"/>
              <w:gridCol w:w="1226"/>
              <w:gridCol w:w="1774"/>
              <w:gridCol w:w="2390"/>
            </w:tblGrid>
            <w:tr w14:paraId="2F6D5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20" w:type="dxa"/>
                  <w:vAlign w:val="center"/>
                </w:tcPr>
                <w:p w14:paraId="7BF11677">
                  <w:pPr>
                    <w:pStyle w:val="15"/>
                    <w:spacing w:after="0"/>
                    <w:ind w:left="0" w:leftChars="0"/>
                    <w:jc w:val="center"/>
                    <w:rPr>
                      <w:rFonts w:ascii="Times New Roman" w:hAnsi="Times New Roman" w:cs="Times New Roman"/>
                      <w:b/>
                      <w:bCs/>
                      <w:color w:val="auto"/>
                      <w:highlight w:val="none"/>
                    </w:rPr>
                  </w:pPr>
                  <w:r>
                    <w:rPr>
                      <w:rFonts w:ascii="Times New Roman" w:hAnsi="Times New Roman" w:cs="Times New Roman"/>
                      <w:b/>
                      <w:bCs/>
                      <w:color w:val="auto"/>
                      <w:highlight w:val="none"/>
                    </w:rPr>
                    <w:t>序号</w:t>
                  </w:r>
                </w:p>
              </w:tc>
              <w:tc>
                <w:tcPr>
                  <w:tcW w:w="1767" w:type="dxa"/>
                  <w:vAlign w:val="center"/>
                </w:tcPr>
                <w:p w14:paraId="7E5430BB">
                  <w:pPr>
                    <w:pStyle w:val="15"/>
                    <w:spacing w:after="0"/>
                    <w:ind w:left="0" w:leftChars="0"/>
                    <w:jc w:val="center"/>
                    <w:rPr>
                      <w:rFonts w:ascii="Times New Roman" w:hAnsi="Times New Roman" w:cs="Times New Roman"/>
                      <w:b/>
                      <w:bCs/>
                      <w:color w:val="auto"/>
                      <w:highlight w:val="none"/>
                    </w:rPr>
                  </w:pPr>
                  <w:r>
                    <w:rPr>
                      <w:rFonts w:ascii="Times New Roman" w:hAnsi="Times New Roman" w:cs="Times New Roman"/>
                      <w:b/>
                      <w:bCs/>
                      <w:color w:val="auto"/>
                      <w:highlight w:val="none"/>
                    </w:rPr>
                    <w:t>设备名称</w:t>
                  </w:r>
                </w:p>
              </w:tc>
              <w:tc>
                <w:tcPr>
                  <w:tcW w:w="1226" w:type="dxa"/>
                  <w:vAlign w:val="center"/>
                </w:tcPr>
                <w:p w14:paraId="0A12568E">
                  <w:pPr>
                    <w:pStyle w:val="15"/>
                    <w:spacing w:after="0"/>
                    <w:ind w:left="0" w:leftChars="0"/>
                    <w:jc w:val="center"/>
                    <w:rPr>
                      <w:rFonts w:ascii="Times New Roman" w:hAnsi="Times New Roman" w:cs="Times New Roman"/>
                      <w:b/>
                      <w:bCs/>
                      <w:color w:val="auto"/>
                      <w:highlight w:val="none"/>
                    </w:rPr>
                  </w:pPr>
                  <w:r>
                    <w:rPr>
                      <w:rFonts w:ascii="Times New Roman" w:hAnsi="Times New Roman" w:cs="Times New Roman"/>
                      <w:b/>
                      <w:bCs/>
                      <w:color w:val="auto"/>
                      <w:highlight w:val="none"/>
                    </w:rPr>
                    <w:t>设备编号</w:t>
                  </w:r>
                </w:p>
              </w:tc>
              <w:tc>
                <w:tcPr>
                  <w:tcW w:w="1774" w:type="dxa"/>
                  <w:vAlign w:val="center"/>
                </w:tcPr>
                <w:p w14:paraId="7A437A45">
                  <w:pPr>
                    <w:pStyle w:val="15"/>
                    <w:spacing w:after="0"/>
                    <w:ind w:left="0" w:leftChars="0"/>
                    <w:jc w:val="center"/>
                    <w:rPr>
                      <w:rFonts w:ascii="Times New Roman" w:hAnsi="Times New Roman" w:cs="Times New Roman"/>
                      <w:b/>
                      <w:bCs/>
                      <w:color w:val="auto"/>
                      <w:highlight w:val="none"/>
                    </w:rPr>
                  </w:pPr>
                  <w:r>
                    <w:rPr>
                      <w:rFonts w:ascii="Times New Roman" w:hAnsi="Times New Roman" w:cs="Times New Roman"/>
                      <w:b/>
                      <w:bCs/>
                      <w:color w:val="auto"/>
                      <w:highlight w:val="none"/>
                    </w:rPr>
                    <w:t>校准/检定证书</w:t>
                  </w:r>
                </w:p>
              </w:tc>
              <w:tc>
                <w:tcPr>
                  <w:tcW w:w="2390" w:type="dxa"/>
                  <w:vAlign w:val="center"/>
                </w:tcPr>
                <w:p w14:paraId="5A5833C6">
                  <w:pPr>
                    <w:pStyle w:val="15"/>
                    <w:spacing w:after="0"/>
                    <w:ind w:left="0" w:leftChars="0"/>
                    <w:jc w:val="center"/>
                    <w:rPr>
                      <w:rFonts w:ascii="Times New Roman" w:hAnsi="Times New Roman" w:cs="Times New Roman"/>
                      <w:b/>
                      <w:bCs/>
                      <w:color w:val="auto"/>
                      <w:highlight w:val="none"/>
                    </w:rPr>
                  </w:pPr>
                  <w:r>
                    <w:rPr>
                      <w:rFonts w:ascii="Times New Roman" w:hAnsi="Times New Roman" w:cs="Times New Roman"/>
                      <w:b/>
                      <w:bCs/>
                      <w:color w:val="auto"/>
                      <w:highlight w:val="none"/>
                    </w:rPr>
                    <w:t>校准/检定有效截止日期</w:t>
                  </w:r>
                </w:p>
              </w:tc>
            </w:tr>
            <w:tr w14:paraId="34FB6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20" w:type="dxa"/>
                  <w:vAlign w:val="center"/>
                </w:tcPr>
                <w:p w14:paraId="7DAEA787">
                  <w:pPr>
                    <w:pStyle w:val="15"/>
                    <w:spacing w:before="100" w:beforeAutospacing="1" w:after="100" w:afterAutospacing="1"/>
                    <w:ind w:left="0" w:leftChars="0"/>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1767" w:type="dxa"/>
                  <w:vAlign w:val="center"/>
                </w:tcPr>
                <w:p w14:paraId="2D0A40AF">
                  <w:pPr>
                    <w:pStyle w:val="15"/>
                    <w:ind w:firstLine="480"/>
                    <w:rPr>
                      <w:rFonts w:ascii="Times New Roman" w:hAnsi="Times New Roman" w:cs="Times New Roman"/>
                      <w:color w:val="auto"/>
                      <w:highlight w:val="none"/>
                    </w:rPr>
                  </w:pPr>
                </w:p>
              </w:tc>
              <w:tc>
                <w:tcPr>
                  <w:tcW w:w="1226" w:type="dxa"/>
                  <w:vAlign w:val="center"/>
                </w:tcPr>
                <w:p w14:paraId="6BF73190">
                  <w:pPr>
                    <w:pStyle w:val="15"/>
                    <w:ind w:firstLine="480"/>
                    <w:rPr>
                      <w:rFonts w:ascii="Times New Roman" w:hAnsi="Times New Roman" w:cs="Times New Roman"/>
                      <w:color w:val="auto"/>
                      <w:highlight w:val="none"/>
                    </w:rPr>
                  </w:pPr>
                </w:p>
              </w:tc>
              <w:tc>
                <w:tcPr>
                  <w:tcW w:w="1774" w:type="dxa"/>
                  <w:vAlign w:val="center"/>
                </w:tcPr>
                <w:p w14:paraId="6795053E">
                  <w:pPr>
                    <w:pStyle w:val="15"/>
                    <w:ind w:firstLine="480"/>
                    <w:rPr>
                      <w:rFonts w:ascii="Times New Roman" w:hAnsi="Times New Roman" w:cs="Times New Roman"/>
                      <w:color w:val="auto"/>
                      <w:highlight w:val="none"/>
                    </w:rPr>
                  </w:pPr>
                </w:p>
              </w:tc>
              <w:tc>
                <w:tcPr>
                  <w:tcW w:w="2390" w:type="dxa"/>
                  <w:vAlign w:val="center"/>
                </w:tcPr>
                <w:p w14:paraId="52D7F982">
                  <w:pPr>
                    <w:pStyle w:val="15"/>
                    <w:ind w:firstLine="480"/>
                    <w:rPr>
                      <w:rFonts w:ascii="Times New Roman" w:hAnsi="Times New Roman" w:cs="Times New Roman"/>
                      <w:color w:val="auto"/>
                      <w:highlight w:val="none"/>
                    </w:rPr>
                  </w:pPr>
                </w:p>
              </w:tc>
            </w:tr>
            <w:tr w14:paraId="1223A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20" w:type="dxa"/>
                  <w:vAlign w:val="center"/>
                </w:tcPr>
                <w:p w14:paraId="5C21E068">
                  <w:pPr>
                    <w:pStyle w:val="15"/>
                    <w:spacing w:before="100" w:beforeAutospacing="1" w:after="100" w:afterAutospacing="1"/>
                    <w:ind w:left="0" w:leftChars="0"/>
                    <w:jc w:val="center"/>
                    <w:rPr>
                      <w:rFonts w:ascii="Times New Roman" w:hAnsi="Times New Roman" w:cs="Times New Roman"/>
                      <w:color w:val="auto"/>
                      <w:highlight w:val="none"/>
                    </w:rPr>
                  </w:pPr>
                  <w:r>
                    <w:rPr>
                      <w:rFonts w:ascii="Times New Roman" w:hAnsi="Times New Roman" w:cs="Times New Roman"/>
                      <w:color w:val="auto"/>
                      <w:highlight w:val="none"/>
                    </w:rPr>
                    <w:t>2</w:t>
                  </w:r>
                </w:p>
              </w:tc>
              <w:tc>
                <w:tcPr>
                  <w:tcW w:w="1767" w:type="dxa"/>
                  <w:vAlign w:val="center"/>
                </w:tcPr>
                <w:p w14:paraId="5D8C1ADF">
                  <w:pPr>
                    <w:pStyle w:val="15"/>
                    <w:ind w:firstLine="480"/>
                    <w:rPr>
                      <w:rFonts w:ascii="Times New Roman" w:hAnsi="Times New Roman" w:cs="Times New Roman"/>
                      <w:color w:val="auto"/>
                      <w:highlight w:val="none"/>
                    </w:rPr>
                  </w:pPr>
                </w:p>
              </w:tc>
              <w:tc>
                <w:tcPr>
                  <w:tcW w:w="1226" w:type="dxa"/>
                  <w:vAlign w:val="center"/>
                </w:tcPr>
                <w:p w14:paraId="60FD2106">
                  <w:pPr>
                    <w:pStyle w:val="15"/>
                    <w:ind w:firstLine="480"/>
                    <w:rPr>
                      <w:rFonts w:ascii="Times New Roman" w:hAnsi="Times New Roman" w:cs="Times New Roman"/>
                      <w:color w:val="auto"/>
                      <w:highlight w:val="none"/>
                    </w:rPr>
                  </w:pPr>
                </w:p>
              </w:tc>
              <w:tc>
                <w:tcPr>
                  <w:tcW w:w="1774" w:type="dxa"/>
                  <w:vAlign w:val="center"/>
                </w:tcPr>
                <w:p w14:paraId="576CFE33">
                  <w:pPr>
                    <w:pStyle w:val="15"/>
                    <w:ind w:firstLine="480"/>
                    <w:rPr>
                      <w:rFonts w:ascii="Times New Roman" w:hAnsi="Times New Roman" w:cs="Times New Roman"/>
                      <w:color w:val="auto"/>
                      <w:highlight w:val="none"/>
                    </w:rPr>
                  </w:pPr>
                </w:p>
              </w:tc>
              <w:tc>
                <w:tcPr>
                  <w:tcW w:w="2390" w:type="dxa"/>
                  <w:vAlign w:val="center"/>
                </w:tcPr>
                <w:p w14:paraId="0BC8ECF8">
                  <w:pPr>
                    <w:pStyle w:val="15"/>
                    <w:ind w:firstLine="480"/>
                    <w:rPr>
                      <w:rFonts w:ascii="Times New Roman" w:hAnsi="Times New Roman" w:cs="Times New Roman"/>
                      <w:color w:val="auto"/>
                      <w:highlight w:val="none"/>
                    </w:rPr>
                  </w:pPr>
                </w:p>
              </w:tc>
            </w:tr>
            <w:tr w14:paraId="666D9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20" w:type="dxa"/>
                  <w:vAlign w:val="center"/>
                </w:tcPr>
                <w:p w14:paraId="6347A59D">
                  <w:pPr>
                    <w:pStyle w:val="15"/>
                    <w:spacing w:before="100" w:beforeAutospacing="1" w:after="100" w:afterAutospacing="1"/>
                    <w:ind w:left="0" w:leftChars="0"/>
                    <w:jc w:val="center"/>
                    <w:rPr>
                      <w:rFonts w:ascii="Times New Roman" w:hAnsi="Times New Roman" w:cs="Times New Roman"/>
                      <w:color w:val="auto"/>
                      <w:highlight w:val="none"/>
                    </w:rPr>
                  </w:pPr>
                  <w:r>
                    <w:rPr>
                      <w:rFonts w:ascii="Times New Roman" w:hAnsi="Times New Roman" w:cs="Times New Roman"/>
                      <w:color w:val="auto"/>
                      <w:highlight w:val="none"/>
                    </w:rPr>
                    <w:t>…</w:t>
                  </w:r>
                </w:p>
              </w:tc>
              <w:tc>
                <w:tcPr>
                  <w:tcW w:w="1767" w:type="dxa"/>
                  <w:vAlign w:val="center"/>
                </w:tcPr>
                <w:p w14:paraId="4D4E49B1">
                  <w:pPr>
                    <w:pStyle w:val="15"/>
                    <w:ind w:firstLine="480"/>
                    <w:rPr>
                      <w:rFonts w:ascii="Times New Roman" w:hAnsi="Times New Roman" w:cs="Times New Roman"/>
                      <w:color w:val="auto"/>
                      <w:highlight w:val="none"/>
                    </w:rPr>
                  </w:pPr>
                </w:p>
              </w:tc>
              <w:tc>
                <w:tcPr>
                  <w:tcW w:w="1226" w:type="dxa"/>
                  <w:vAlign w:val="center"/>
                </w:tcPr>
                <w:p w14:paraId="3ECE0C5F">
                  <w:pPr>
                    <w:pStyle w:val="15"/>
                    <w:ind w:firstLine="480"/>
                    <w:rPr>
                      <w:rFonts w:ascii="Times New Roman" w:hAnsi="Times New Roman" w:cs="Times New Roman"/>
                      <w:color w:val="auto"/>
                      <w:highlight w:val="none"/>
                    </w:rPr>
                  </w:pPr>
                </w:p>
              </w:tc>
              <w:tc>
                <w:tcPr>
                  <w:tcW w:w="1774" w:type="dxa"/>
                  <w:vAlign w:val="center"/>
                </w:tcPr>
                <w:p w14:paraId="625CBE71">
                  <w:pPr>
                    <w:pStyle w:val="15"/>
                    <w:ind w:firstLine="480"/>
                    <w:rPr>
                      <w:rFonts w:ascii="Times New Roman" w:hAnsi="Times New Roman" w:cs="Times New Roman"/>
                      <w:color w:val="auto"/>
                      <w:highlight w:val="none"/>
                    </w:rPr>
                  </w:pPr>
                </w:p>
              </w:tc>
              <w:tc>
                <w:tcPr>
                  <w:tcW w:w="2390" w:type="dxa"/>
                  <w:vAlign w:val="center"/>
                </w:tcPr>
                <w:p w14:paraId="057CD94F">
                  <w:pPr>
                    <w:pStyle w:val="15"/>
                    <w:ind w:firstLine="480"/>
                    <w:rPr>
                      <w:rFonts w:ascii="Times New Roman" w:hAnsi="Times New Roman" w:cs="Times New Roman"/>
                      <w:color w:val="auto"/>
                      <w:highlight w:val="none"/>
                    </w:rPr>
                  </w:pPr>
                </w:p>
              </w:tc>
            </w:tr>
          </w:tbl>
          <w:p w14:paraId="25E1D4F0">
            <w:pPr>
              <w:pStyle w:val="15"/>
              <w:numPr>
                <w:ilvl w:val="0"/>
                <w:numId w:val="7"/>
              </w:numPr>
              <w:spacing w:after="0"/>
              <w:ind w:left="0" w:leftChars="0" w:firstLine="0" w:firstLineChars="0"/>
              <w:rPr>
                <w:rFonts w:ascii="Times New Roman" w:hAnsi="Times New Roman" w:cs="Times New Roman"/>
                <w:b/>
                <w:color w:val="auto"/>
                <w:sz w:val="28"/>
                <w:szCs w:val="28"/>
                <w:highlight w:val="none"/>
              </w:rPr>
            </w:pPr>
            <w:r>
              <w:rPr>
                <w:rFonts w:ascii="Times New Roman" w:hAnsi="Times New Roman" w:cs="Times New Roman"/>
                <w:b/>
                <w:color w:val="auto"/>
                <w:sz w:val="28"/>
                <w:szCs w:val="28"/>
                <w:highlight w:val="none"/>
              </w:rPr>
              <w:t>检测内容/Test items</w:t>
            </w:r>
          </w:p>
          <w:p w14:paraId="745BD88B">
            <w:pPr>
              <w:pStyle w:val="15"/>
              <w:widowControl w:val="0"/>
              <w:numPr>
                <w:ilvl w:val="0"/>
                <w:numId w:val="0"/>
              </w:numPr>
              <w:spacing w:after="0"/>
              <w:jc w:val="both"/>
              <w:rPr>
                <w:rFonts w:ascii="Times New Roman" w:hAnsi="Times New Roman" w:cs="Times New Roman"/>
                <w:b/>
                <w:color w:val="auto"/>
                <w:sz w:val="28"/>
                <w:szCs w:val="28"/>
                <w:highlight w:val="none"/>
              </w:rPr>
            </w:pPr>
          </w:p>
          <w:p w14:paraId="536B9B6A">
            <w:pPr>
              <w:pStyle w:val="15"/>
              <w:numPr>
                <w:ilvl w:val="0"/>
                <w:numId w:val="7"/>
              </w:numPr>
              <w:spacing w:after="0"/>
              <w:ind w:left="0" w:leftChars="0" w:firstLine="0" w:firstLineChars="0"/>
              <w:rPr>
                <w:rFonts w:ascii="Times New Roman" w:hAnsi="Times New Roman" w:cs="Times New Roman"/>
                <w:b/>
                <w:color w:val="auto"/>
                <w:sz w:val="28"/>
                <w:szCs w:val="28"/>
                <w:highlight w:val="none"/>
              </w:rPr>
            </w:pPr>
            <w:r>
              <w:rPr>
                <w:rFonts w:ascii="Times New Roman" w:hAnsi="Times New Roman" w:cs="Times New Roman"/>
                <w:b/>
                <w:color w:val="auto"/>
                <w:sz w:val="28"/>
                <w:szCs w:val="28"/>
                <w:highlight w:val="none"/>
              </w:rPr>
              <w:t>检测结论/Conclusions</w:t>
            </w:r>
          </w:p>
          <w:p w14:paraId="4CD62ABE">
            <w:pPr>
              <w:pStyle w:val="15"/>
              <w:widowControl w:val="0"/>
              <w:numPr>
                <w:ilvl w:val="0"/>
                <w:numId w:val="0"/>
              </w:numPr>
              <w:spacing w:after="0"/>
              <w:jc w:val="both"/>
              <w:rPr>
                <w:rFonts w:ascii="Times New Roman" w:hAnsi="Times New Roman" w:cs="Times New Roman"/>
                <w:b/>
                <w:color w:val="auto"/>
                <w:sz w:val="28"/>
                <w:szCs w:val="28"/>
                <w:highlight w:val="none"/>
              </w:rPr>
            </w:pPr>
          </w:p>
          <w:p w14:paraId="5C80E818">
            <w:pPr>
              <w:pStyle w:val="15"/>
              <w:numPr>
                <w:ilvl w:val="0"/>
                <w:numId w:val="7"/>
              </w:numPr>
              <w:spacing w:after="0"/>
              <w:ind w:left="0" w:leftChars="0" w:firstLine="0" w:firstLineChars="0"/>
              <w:rPr>
                <w:rFonts w:ascii="Times New Roman" w:hAnsi="Times New Roman" w:cs="Times New Roman"/>
                <w:b/>
                <w:color w:val="auto"/>
                <w:sz w:val="28"/>
                <w:szCs w:val="28"/>
                <w:highlight w:val="none"/>
              </w:rPr>
            </w:pPr>
            <w:r>
              <w:rPr>
                <w:rFonts w:ascii="Times New Roman" w:hAnsi="Times New Roman" w:cs="Times New Roman"/>
                <w:b/>
                <w:color w:val="auto"/>
                <w:sz w:val="28"/>
                <w:szCs w:val="28"/>
                <w:highlight w:val="none"/>
              </w:rPr>
              <w:t>检测内容及结果（Test items and result）</w:t>
            </w:r>
          </w:p>
          <w:p w14:paraId="2062382D">
            <w:pPr>
              <w:pStyle w:val="15"/>
              <w:numPr>
                <w:ilvl w:val="0"/>
                <w:numId w:val="0"/>
              </w:numPr>
              <w:spacing w:after="0"/>
              <w:ind w:leftChars="0"/>
              <w:rPr>
                <w:rFonts w:ascii="Times New Roman" w:hAnsi="Times New Roman" w:cs="Times New Roman"/>
                <w:b/>
                <w:color w:val="auto"/>
                <w:sz w:val="28"/>
                <w:szCs w:val="28"/>
                <w:highlight w:val="none"/>
              </w:rPr>
            </w:pPr>
          </w:p>
          <w:p w14:paraId="0DC73F64">
            <w:pPr>
              <w:pStyle w:val="15"/>
              <w:numPr>
                <w:ilvl w:val="0"/>
                <w:numId w:val="7"/>
              </w:numPr>
              <w:spacing w:after="0"/>
              <w:ind w:left="0" w:leftChars="0" w:firstLine="0" w:firstLineChars="0"/>
              <w:rPr>
                <w:rFonts w:ascii="Times New Roman" w:hAnsi="Times New Roman" w:cs="Times New Roman"/>
                <w:b/>
                <w:color w:val="auto"/>
                <w:sz w:val="28"/>
                <w:szCs w:val="28"/>
                <w:highlight w:val="none"/>
              </w:rPr>
            </w:pPr>
            <w:r>
              <w:rPr>
                <w:rFonts w:ascii="Times New Roman" w:hAnsi="Times New Roman" w:cs="Times New Roman"/>
                <w:b/>
                <w:color w:val="auto"/>
                <w:sz w:val="28"/>
                <w:szCs w:val="28"/>
                <w:highlight w:val="none"/>
              </w:rPr>
              <w:t>附录/Appendix</w:t>
            </w:r>
          </w:p>
          <w:p w14:paraId="52AF3EF8">
            <w:pPr>
              <w:pStyle w:val="15"/>
              <w:ind w:firstLine="480"/>
              <w:rPr>
                <w:rFonts w:ascii="Times New Roman" w:hAnsi="Times New Roman" w:cs="Times New Roman"/>
                <w:color w:val="auto"/>
                <w:highlight w:val="none"/>
              </w:rPr>
            </w:pPr>
          </w:p>
        </w:tc>
      </w:tr>
    </w:tbl>
    <w:p w14:paraId="75C91CC0">
      <w:pPr>
        <w:pStyle w:val="2"/>
        <w:rPr>
          <w:color w:val="auto"/>
          <w:highlight w:val="none"/>
        </w:rPr>
      </w:pPr>
      <w:bookmarkStart w:id="257" w:name="_Toc45890820"/>
      <w:bookmarkStart w:id="258" w:name="_Toc15592"/>
      <w:bookmarkStart w:id="259" w:name="_Toc25163"/>
      <w:bookmarkStart w:id="260" w:name="_Toc180960221"/>
      <w:bookmarkStart w:id="261" w:name="_Toc50652139"/>
      <w:bookmarkStart w:id="262" w:name="_Toc34244672"/>
      <w:r>
        <w:rPr>
          <w:color w:val="auto"/>
          <w:highlight w:val="none"/>
        </w:rPr>
        <w:t>本</w:t>
      </w:r>
      <w:r>
        <w:rPr>
          <w:rFonts w:hint="eastAsia"/>
          <w:color w:val="auto"/>
          <w:highlight w:val="none"/>
          <w:lang w:val="en-US" w:eastAsia="zh-CN"/>
        </w:rPr>
        <w:t>标准</w:t>
      </w:r>
      <w:r>
        <w:rPr>
          <w:color w:val="auto"/>
          <w:highlight w:val="none"/>
        </w:rPr>
        <w:t>用词说明</w:t>
      </w:r>
      <w:bookmarkEnd w:id="257"/>
      <w:bookmarkEnd w:id="258"/>
      <w:bookmarkEnd w:id="259"/>
      <w:bookmarkEnd w:id="260"/>
      <w:bookmarkEnd w:id="261"/>
      <w:bookmarkEnd w:id="262"/>
    </w:p>
    <w:p w14:paraId="6617FBD7">
      <w:pPr>
        <w:spacing w:line="400" w:lineRule="exact"/>
        <w:ind w:firstLine="480" w:firstLineChars="200"/>
        <w:rPr>
          <w:rFonts w:hint="eastAsia" w:ascii="宋体" w:hAnsi="宋体" w:eastAsia="宋体" w:cs="宋体"/>
          <w:color w:val="auto"/>
          <w:sz w:val="24"/>
          <w:highlight w:val="none"/>
        </w:rPr>
      </w:pPr>
      <w:r>
        <w:rPr>
          <w:rFonts w:hint="default" w:ascii="Times New Roman" w:hAnsi="Times New Roman" w:eastAsia="宋体" w:cs="Times New Roman"/>
          <w:b w:val="0"/>
          <w:bCs/>
          <w:color w:val="auto"/>
          <w:sz w:val="24"/>
          <w:highlight w:val="none"/>
        </w:rPr>
        <w:t>1</w:t>
      </w:r>
      <w:r>
        <w:rPr>
          <w:rFonts w:hint="default" w:ascii="Times New Roman" w:hAnsi="Times New Roman" w:eastAsia="宋体" w:cs="Times New Roman"/>
          <w:color w:val="auto"/>
          <w:sz w:val="24"/>
          <w:highlight w:val="none"/>
        </w:rPr>
        <w:t xml:space="preserve"> </w:t>
      </w:r>
      <w:r>
        <w:rPr>
          <w:rFonts w:hint="eastAsia" w:ascii="宋体" w:hAnsi="宋体" w:eastAsia="宋体" w:cs="宋体"/>
          <w:color w:val="auto"/>
          <w:sz w:val="24"/>
          <w:highlight w:val="none"/>
        </w:rPr>
        <w:t>为便于在执行本</w:t>
      </w:r>
      <w:r>
        <w:rPr>
          <w:rFonts w:hint="eastAsia" w:ascii="宋体" w:hAnsi="宋体" w:cs="宋体"/>
          <w:color w:val="auto"/>
          <w:sz w:val="24"/>
          <w:highlight w:val="none"/>
          <w:lang w:eastAsia="zh-CN"/>
        </w:rPr>
        <w:t>标准</w:t>
      </w:r>
      <w:r>
        <w:rPr>
          <w:rFonts w:hint="eastAsia" w:ascii="宋体" w:hAnsi="宋体" w:eastAsia="宋体" w:cs="宋体"/>
          <w:color w:val="auto"/>
          <w:sz w:val="24"/>
          <w:highlight w:val="none"/>
        </w:rPr>
        <w:t>条文时区别对待，对要求严格程度不同的用词说明如下：</w:t>
      </w:r>
    </w:p>
    <w:p w14:paraId="469CAE53">
      <w:pPr>
        <w:spacing w:line="400" w:lineRule="exact"/>
        <w:ind w:firstLine="480" w:firstLineChars="200"/>
        <w:rPr>
          <w:rFonts w:hint="eastAsia" w:ascii="宋体" w:hAnsi="宋体" w:eastAsia="宋体" w:cs="宋体"/>
          <w:color w:val="auto"/>
          <w:sz w:val="24"/>
          <w:highlight w:val="none"/>
        </w:rPr>
      </w:pPr>
      <w:r>
        <w:rPr>
          <w:rFonts w:hint="default" w:ascii="Times New Roman" w:hAnsi="Times New Roman" w:eastAsia="宋体" w:cs="Times New Roman"/>
          <w:color w:val="auto"/>
          <w:sz w:val="24"/>
          <w:highlight w:val="none"/>
        </w:rPr>
        <w:t>1）</w:t>
      </w:r>
      <w:r>
        <w:rPr>
          <w:rFonts w:hint="eastAsia" w:ascii="宋体" w:hAnsi="宋体" w:eastAsia="宋体" w:cs="宋体"/>
          <w:color w:val="auto"/>
          <w:sz w:val="24"/>
          <w:highlight w:val="none"/>
        </w:rPr>
        <w:t>表示很严格，非这样做不可的：</w:t>
      </w:r>
    </w:p>
    <w:p w14:paraId="04AB1E5F">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正面词采用“必须”，反面词采用“严禁”；</w:t>
      </w:r>
    </w:p>
    <w:p w14:paraId="6AB9928A">
      <w:pPr>
        <w:spacing w:line="400" w:lineRule="exact"/>
        <w:ind w:firstLine="480" w:firstLineChars="200"/>
        <w:rPr>
          <w:rFonts w:hint="eastAsia" w:ascii="宋体" w:hAnsi="宋体" w:eastAsia="宋体" w:cs="宋体"/>
          <w:color w:val="auto"/>
          <w:sz w:val="24"/>
          <w:highlight w:val="none"/>
        </w:rPr>
      </w:pPr>
      <w:r>
        <w:rPr>
          <w:rFonts w:hint="default" w:ascii="Times New Roman" w:hAnsi="Times New Roman" w:eastAsia="宋体" w:cs="Times New Roman"/>
          <w:color w:val="auto"/>
          <w:sz w:val="24"/>
          <w:highlight w:val="none"/>
        </w:rPr>
        <w:t>2）</w:t>
      </w:r>
      <w:r>
        <w:rPr>
          <w:rFonts w:hint="eastAsia" w:ascii="宋体" w:hAnsi="宋体" w:eastAsia="宋体" w:cs="宋体"/>
          <w:color w:val="auto"/>
          <w:sz w:val="24"/>
          <w:highlight w:val="none"/>
        </w:rPr>
        <w:t>表示严格，在正常情况下均应这样做的：</w:t>
      </w:r>
    </w:p>
    <w:p w14:paraId="12DF3D42">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正面词采用“应”，反面词采用“不应”或“不得”；</w:t>
      </w:r>
    </w:p>
    <w:p w14:paraId="5FE90F25">
      <w:pPr>
        <w:spacing w:line="400" w:lineRule="exact"/>
        <w:ind w:firstLine="480" w:firstLineChars="200"/>
        <w:rPr>
          <w:rFonts w:hint="eastAsia" w:ascii="宋体" w:hAnsi="宋体" w:eastAsia="宋体" w:cs="宋体"/>
          <w:color w:val="auto"/>
          <w:sz w:val="24"/>
          <w:highlight w:val="none"/>
        </w:rPr>
      </w:pPr>
      <w:r>
        <w:rPr>
          <w:rFonts w:hint="eastAsia" w:ascii="Times New Roman" w:hAnsi="Times New Roman" w:eastAsia="宋体" w:cs="Times New Roman"/>
          <w:color w:val="auto"/>
          <w:sz w:val="24"/>
          <w:highlight w:val="none"/>
        </w:rPr>
        <w:t>3）</w:t>
      </w:r>
      <w:r>
        <w:rPr>
          <w:rFonts w:hint="eastAsia" w:ascii="宋体" w:hAnsi="宋体" w:eastAsia="宋体" w:cs="宋体"/>
          <w:color w:val="auto"/>
          <w:sz w:val="24"/>
          <w:highlight w:val="none"/>
        </w:rPr>
        <w:t>表示允许稍有选择，在条件许可时首先应这样做的：</w:t>
      </w:r>
    </w:p>
    <w:p w14:paraId="5EC14E82">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正面词采用“宜”，反面词采用“不宜”；</w:t>
      </w:r>
    </w:p>
    <w:p w14:paraId="0BC613D0">
      <w:pPr>
        <w:spacing w:line="400" w:lineRule="exact"/>
        <w:ind w:firstLine="480" w:firstLineChars="200"/>
        <w:rPr>
          <w:rFonts w:hint="eastAsia" w:ascii="宋体" w:hAnsi="宋体" w:eastAsia="宋体" w:cs="宋体"/>
          <w:color w:val="auto"/>
          <w:sz w:val="24"/>
          <w:highlight w:val="none"/>
        </w:rPr>
      </w:pPr>
      <w:r>
        <w:rPr>
          <w:rFonts w:hint="eastAsia" w:ascii="Times New Roman" w:hAnsi="Times New Roman" w:eastAsia="宋体" w:cs="Times New Roman"/>
          <w:color w:val="auto"/>
          <w:sz w:val="24"/>
          <w:highlight w:val="none"/>
        </w:rPr>
        <w:t>4）</w:t>
      </w:r>
      <w:r>
        <w:rPr>
          <w:rFonts w:hint="eastAsia" w:ascii="宋体" w:hAnsi="宋体" w:eastAsia="宋体" w:cs="宋体"/>
          <w:color w:val="auto"/>
          <w:sz w:val="24"/>
          <w:highlight w:val="none"/>
        </w:rPr>
        <w:t>表示有选择，在一定条件下可以这样做的，采用“可”。</w:t>
      </w:r>
    </w:p>
    <w:p w14:paraId="16419220">
      <w:pPr>
        <w:spacing w:line="400" w:lineRule="exact"/>
        <w:ind w:firstLine="480" w:firstLineChars="200"/>
        <w:rPr>
          <w:rStyle w:val="39"/>
          <w:rFonts w:hint="eastAsia" w:ascii="宋体" w:hAnsi="宋体" w:eastAsia="宋体" w:cs="宋体"/>
          <w:b w:val="0"/>
          <w:color w:val="auto"/>
          <w:sz w:val="28"/>
          <w:szCs w:val="28"/>
          <w:highlight w:val="none"/>
        </w:rPr>
      </w:pPr>
      <w:r>
        <w:rPr>
          <w:rFonts w:hint="eastAsia" w:ascii="Times New Roman" w:hAnsi="Times New Roman" w:eastAsia="宋体" w:cs="Times New Roman"/>
          <w:color w:val="auto"/>
          <w:sz w:val="24"/>
          <w:highlight w:val="none"/>
        </w:rPr>
        <w:t xml:space="preserve">2 </w:t>
      </w:r>
      <w:r>
        <w:rPr>
          <w:rFonts w:hint="eastAsia" w:ascii="宋体" w:hAnsi="宋体" w:eastAsia="宋体" w:cs="宋体"/>
          <w:color w:val="auto"/>
          <w:sz w:val="24"/>
          <w:highlight w:val="none"/>
        </w:rPr>
        <w:t>条文中指明应按其他有关标准执行的写法为：“应符合……的规定”或“应按……执行”。</w:t>
      </w:r>
    </w:p>
    <w:p w14:paraId="25B61B87">
      <w:pPr>
        <w:rPr>
          <w:rStyle w:val="39"/>
          <w:rFonts w:ascii="Times New Roman" w:hAnsi="Times New Roman" w:cs="Times New Roman"/>
          <w:b w:val="0"/>
          <w:color w:val="auto"/>
          <w:highlight w:val="none"/>
        </w:rPr>
      </w:pPr>
      <w:r>
        <w:rPr>
          <w:rStyle w:val="39"/>
          <w:rFonts w:ascii="Times New Roman" w:hAnsi="Times New Roman" w:cs="Times New Roman"/>
          <w:b w:val="0"/>
          <w:color w:val="auto"/>
          <w:highlight w:val="none"/>
        </w:rPr>
        <w:br w:type="page"/>
      </w:r>
    </w:p>
    <w:p w14:paraId="67790378">
      <w:pPr>
        <w:keepNext/>
        <w:keepLines/>
        <w:pageBreakBefore w:val="0"/>
        <w:widowControl w:val="0"/>
        <w:kinsoku/>
        <w:wordWrap/>
        <w:overflowPunct/>
        <w:topLinePunct w:val="0"/>
        <w:autoSpaceDE/>
        <w:autoSpaceDN/>
        <w:bidi w:val="0"/>
        <w:adjustRightInd/>
        <w:snapToGrid/>
        <w:spacing w:before="0" w:after="0" w:line="360" w:lineRule="auto"/>
        <w:ind w:firstLine="601"/>
        <w:jc w:val="center"/>
        <w:textAlignment w:val="auto"/>
        <w:outlineLvl w:val="9"/>
        <w:rPr>
          <w:color w:val="auto"/>
          <w:sz w:val="32"/>
          <w:szCs w:val="32"/>
          <w:highlight w:val="none"/>
        </w:rPr>
      </w:pPr>
      <w:bookmarkStart w:id="263" w:name="_Toc45890821"/>
      <w:bookmarkStart w:id="264" w:name="_Toc34244673"/>
      <w:bookmarkStart w:id="265" w:name="_Toc50652140"/>
    </w:p>
    <w:p w14:paraId="69B98892">
      <w:pPr>
        <w:pStyle w:val="2"/>
        <w:rPr>
          <w:color w:val="auto"/>
          <w:highlight w:val="none"/>
        </w:rPr>
      </w:pPr>
      <w:bookmarkStart w:id="266" w:name="_Toc4994"/>
      <w:r>
        <w:rPr>
          <w:color w:val="auto"/>
          <w:highlight w:val="none"/>
        </w:rPr>
        <w:t>引用标准名录</w:t>
      </w:r>
      <w:bookmarkEnd w:id="263"/>
      <w:bookmarkEnd w:id="264"/>
      <w:bookmarkEnd w:id="265"/>
      <w:bookmarkEnd w:id="266"/>
    </w:p>
    <w:p w14:paraId="6CABAB87">
      <w:pPr>
        <w:numPr>
          <w:ilvl w:val="0"/>
          <w:numId w:val="0"/>
        </w:numPr>
        <w:spacing w:line="400" w:lineRule="exact"/>
        <w:ind w:leftChars="202"/>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《综合布线系统工程验收规范》GB/T 50312</w:t>
      </w:r>
    </w:p>
    <w:p w14:paraId="3696F165">
      <w:pPr>
        <w:numPr>
          <w:ilvl w:val="0"/>
          <w:numId w:val="0"/>
        </w:numPr>
        <w:spacing w:line="400" w:lineRule="exact"/>
        <w:ind w:leftChars="202"/>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《建筑物电子信息系统防雷技术规范》GB 50343</w:t>
      </w:r>
    </w:p>
    <w:p w14:paraId="3A4B0B04">
      <w:pPr>
        <w:numPr>
          <w:ilvl w:val="0"/>
          <w:numId w:val="0"/>
        </w:numPr>
        <w:spacing w:line="400" w:lineRule="exact"/>
        <w:ind w:leftChars="202"/>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《城市轨道交通通信工程质量验收规范》GB 50382</w:t>
      </w:r>
    </w:p>
    <w:p w14:paraId="4932A12F">
      <w:pPr>
        <w:numPr>
          <w:ilvl w:val="0"/>
          <w:numId w:val="0"/>
        </w:numPr>
        <w:spacing w:line="400" w:lineRule="exact"/>
        <w:ind w:leftChars="202"/>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《数据中心基础设施施工及验收标准》GB 50462</w:t>
      </w:r>
    </w:p>
    <w:p w14:paraId="7C62CF15">
      <w:pPr>
        <w:numPr>
          <w:ilvl w:val="0"/>
          <w:numId w:val="0"/>
        </w:numPr>
        <w:spacing w:line="400" w:lineRule="exact"/>
        <w:ind w:leftChars="202"/>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《建筑物防雷工程施工与质量验收规范》GB 50601</w:t>
      </w:r>
    </w:p>
    <w:p w14:paraId="53D3CB3E">
      <w:pPr>
        <w:numPr>
          <w:ilvl w:val="0"/>
          <w:numId w:val="0"/>
        </w:numPr>
        <w:spacing w:line="400" w:lineRule="exact"/>
        <w:ind w:leftChars="202"/>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《无线通信室内覆盖系统工程技术标准》GB/T 51292</w:t>
      </w:r>
    </w:p>
    <w:p w14:paraId="47079134">
      <w:pPr>
        <w:numPr>
          <w:ilvl w:val="0"/>
          <w:numId w:val="0"/>
        </w:numPr>
        <w:spacing w:line="400" w:lineRule="exact"/>
        <w:ind w:leftChars="202"/>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《通信设备安装工程抗震设计标准》GB/T 51369</w:t>
      </w:r>
    </w:p>
    <w:p w14:paraId="1FB64C07">
      <w:pPr>
        <w:numPr>
          <w:ilvl w:val="0"/>
          <w:numId w:val="0"/>
        </w:numPr>
        <w:spacing w:line="400" w:lineRule="exact"/>
        <w:ind w:leftChars="202"/>
        <w:rPr>
          <w:color w:val="auto"/>
          <w:sz w:val="24"/>
          <w:szCs w:val="24"/>
          <w:highlight w:val="none"/>
        </w:rPr>
      </w:pPr>
      <w:r>
        <w:rPr>
          <w:rFonts w:hint="eastAsia" w:ascii="Times New Roman" w:hAnsi="Times New Roman" w:cs="Times New Roman"/>
          <w:color w:val="auto"/>
          <w:sz w:val="24"/>
          <w:highlight w:val="none"/>
          <w:lang w:val="en-US" w:eastAsia="zh-CN"/>
        </w:rPr>
        <w:t>《城市轨道交通工程项目规范》GB 55033</w:t>
      </w:r>
    </w:p>
    <w:p w14:paraId="323C01D6">
      <w:pPr>
        <w:numPr>
          <w:ilvl w:val="0"/>
          <w:numId w:val="0"/>
        </w:numPr>
        <w:spacing w:line="400" w:lineRule="exact"/>
        <w:ind w:leftChars="202"/>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《信息技术设备的安全》GB 4943.1</w:t>
      </w:r>
    </w:p>
    <w:p w14:paraId="16BEC07E">
      <w:pPr>
        <w:numPr>
          <w:ilvl w:val="0"/>
          <w:numId w:val="0"/>
        </w:numPr>
        <w:spacing w:line="400" w:lineRule="exact"/>
        <w:ind w:leftChars="202"/>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《信息安全技术 网络安全等级保护基本要求》GB/T 22239</w:t>
      </w:r>
    </w:p>
    <w:p w14:paraId="31E885A0">
      <w:pPr>
        <w:numPr>
          <w:ilvl w:val="0"/>
          <w:numId w:val="0"/>
        </w:numPr>
        <w:spacing w:line="400" w:lineRule="exact"/>
        <w:ind w:leftChars="202"/>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《信息安全技术 网络安全等级保护测评要求》GB/T 28448</w:t>
      </w:r>
    </w:p>
    <w:p w14:paraId="4C1E6E34">
      <w:pPr>
        <w:numPr>
          <w:ilvl w:val="0"/>
          <w:numId w:val="0"/>
        </w:numPr>
        <w:spacing w:line="400" w:lineRule="exact"/>
        <w:ind w:leftChars="202"/>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《基带馈入数字分布系统设备测试方法》YD/T 3636</w:t>
      </w:r>
    </w:p>
    <w:p w14:paraId="155016C3">
      <w:pPr>
        <w:numPr>
          <w:ilvl w:val="0"/>
          <w:numId w:val="0"/>
        </w:numPr>
        <w:spacing w:line="400" w:lineRule="exact"/>
        <w:ind w:leftChars="202"/>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《射频馈入数字分布系统设备测试方法》YD/T 3638</w:t>
      </w:r>
    </w:p>
    <w:p w14:paraId="76478C97">
      <w:pPr>
        <w:numPr>
          <w:ilvl w:val="0"/>
          <w:numId w:val="0"/>
        </w:numPr>
        <w:spacing w:line="400" w:lineRule="exact"/>
        <w:ind w:leftChars="202"/>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《5G数字化室内分布系统测试方法》YD/T 4010</w:t>
      </w:r>
    </w:p>
    <w:p w14:paraId="12E81B60">
      <w:pPr>
        <w:numPr>
          <w:ilvl w:val="0"/>
          <w:numId w:val="0"/>
        </w:numPr>
        <w:spacing w:line="400" w:lineRule="exact"/>
        <w:ind w:leftChars="202"/>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《5G多模数字化室内分布系统测试方法》YD/T 4553</w:t>
      </w:r>
    </w:p>
    <w:p w14:paraId="739088E6">
      <w:pPr>
        <w:numPr>
          <w:ilvl w:val="0"/>
          <w:numId w:val="0"/>
        </w:numPr>
        <w:spacing w:line="400" w:lineRule="exact"/>
        <w:ind w:leftChars="202"/>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《无线通信室内覆盖系统工程验收规范》YD/T 5160</w:t>
      </w:r>
    </w:p>
    <w:p w14:paraId="4ED66BAB">
      <w:pPr>
        <w:numPr>
          <w:ilvl w:val="0"/>
          <w:numId w:val="0"/>
        </w:numPr>
        <w:spacing w:line="400" w:lineRule="exact"/>
        <w:ind w:leftChars="202"/>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《无线通信室内信号分布系统 第1部分：总体技术要求》YD/T 2740.1</w:t>
      </w:r>
    </w:p>
    <w:p w14:paraId="7B79FB59">
      <w:pPr>
        <w:numPr>
          <w:ilvl w:val="0"/>
          <w:numId w:val="0"/>
        </w:numPr>
        <w:spacing w:line="400" w:lineRule="exact"/>
        <w:ind w:leftChars="202"/>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《无线通信室内信号分布系统 第2部分：电缆（含漏泄电缆）技术要求和测试方法》YD/T 2740.2</w:t>
      </w:r>
    </w:p>
    <w:p w14:paraId="7122ACB3">
      <w:pPr>
        <w:numPr>
          <w:ilvl w:val="0"/>
          <w:numId w:val="0"/>
        </w:numPr>
        <w:spacing w:line="400" w:lineRule="exact"/>
        <w:ind w:leftChars="202"/>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《无线通信室内信号分布系统 第5部分：无源器件技术要求和测试方法》YD/T 2740.5</w:t>
      </w:r>
    </w:p>
    <w:p w14:paraId="7CF2FD36">
      <w:pPr>
        <w:numPr>
          <w:ilvl w:val="0"/>
          <w:numId w:val="0"/>
        </w:numPr>
        <w:spacing w:line="400" w:lineRule="exact"/>
        <w:ind w:leftChars="202"/>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《无线通信室内信号分布系统 第6部分：网络验收方法》YD/T 2740.6</w:t>
      </w:r>
    </w:p>
    <w:p w14:paraId="73BD33A8">
      <w:pPr>
        <w:numPr>
          <w:ilvl w:val="0"/>
          <w:numId w:val="0"/>
        </w:numPr>
        <w:spacing w:line="400" w:lineRule="exact"/>
        <w:ind w:leftChars="202"/>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《无线电设备杂散发射技术要求和测量方法》YD/T 1483</w:t>
      </w:r>
    </w:p>
    <w:p w14:paraId="0524622B">
      <w:pPr>
        <w:numPr>
          <w:ilvl w:val="0"/>
          <w:numId w:val="0"/>
        </w:numPr>
        <w:spacing w:line="400" w:lineRule="exact"/>
        <w:ind w:leftChars="202"/>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《警用数字集群（PDT）通信系统 功能测试方法》GA/T 1367</w:t>
      </w:r>
    </w:p>
    <w:p w14:paraId="53EA3350">
      <w:pPr>
        <w:numPr>
          <w:ilvl w:val="0"/>
          <w:numId w:val="0"/>
        </w:numPr>
        <w:spacing w:line="400" w:lineRule="exact"/>
        <w:ind w:leftChars="202"/>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《广东省建筑物移动通信基础设施技术规范》DBJ/T 15-190</w:t>
      </w:r>
    </w:p>
    <w:p w14:paraId="1F6BC289">
      <w:pPr>
        <w:rPr>
          <w:rStyle w:val="39"/>
          <w:rFonts w:ascii="Times New Roman" w:hAnsi="Times New Roman" w:cs="Times New Roman"/>
          <w:b w:val="0"/>
          <w:color w:val="auto"/>
          <w:highlight w:val="none"/>
        </w:rPr>
      </w:pPr>
      <w:r>
        <w:rPr>
          <w:rStyle w:val="39"/>
          <w:rFonts w:ascii="Times New Roman" w:hAnsi="Times New Roman" w:cs="Times New Roman"/>
          <w:b w:val="0"/>
          <w:color w:val="auto"/>
          <w:highlight w:val="none"/>
        </w:rPr>
        <w:br w:type="page"/>
      </w:r>
    </w:p>
    <w:p w14:paraId="09F727ED">
      <w:pPr>
        <w:spacing w:line="360" w:lineRule="auto"/>
        <w:ind w:firstLine="600"/>
        <w:jc w:val="center"/>
        <w:rPr>
          <w:rStyle w:val="39"/>
          <w:rFonts w:ascii="Times New Roman" w:hAnsi="Times New Roman" w:cs="Times New Roman"/>
          <w:b w:val="0"/>
          <w:color w:val="auto"/>
          <w:highlight w:val="none"/>
        </w:rPr>
      </w:pPr>
    </w:p>
    <w:p w14:paraId="3ABECD96">
      <w:pPr>
        <w:spacing w:line="360" w:lineRule="auto"/>
        <w:ind w:firstLine="600"/>
        <w:jc w:val="center"/>
        <w:rPr>
          <w:rStyle w:val="39"/>
          <w:rFonts w:ascii="Times New Roman" w:hAnsi="Times New Roman" w:cs="Times New Roman"/>
          <w:b w:val="0"/>
          <w:color w:val="auto"/>
          <w:highlight w:val="none"/>
        </w:rPr>
      </w:pPr>
    </w:p>
    <w:p w14:paraId="43A7A2F9">
      <w:pPr>
        <w:spacing w:line="360" w:lineRule="auto"/>
        <w:ind w:firstLine="600"/>
        <w:jc w:val="center"/>
        <w:rPr>
          <w:rStyle w:val="39"/>
          <w:rFonts w:ascii="Times New Roman" w:hAnsi="Times New Roman" w:cs="Times New Roman"/>
          <w:b w:val="0"/>
          <w:color w:val="auto"/>
          <w:highlight w:val="none"/>
        </w:rPr>
      </w:pPr>
    </w:p>
    <w:p w14:paraId="26EF4F54">
      <w:pPr>
        <w:spacing w:line="360" w:lineRule="auto"/>
        <w:ind w:firstLine="600"/>
        <w:jc w:val="center"/>
        <w:rPr>
          <w:rStyle w:val="39"/>
          <w:rFonts w:ascii="Times New Roman" w:hAnsi="Times New Roman" w:cs="Times New Roman"/>
          <w:b w:val="0"/>
          <w:color w:val="auto"/>
          <w:highlight w:val="none"/>
        </w:rPr>
      </w:pPr>
    </w:p>
    <w:p w14:paraId="753B1BD4">
      <w:pPr>
        <w:spacing w:line="360" w:lineRule="auto"/>
        <w:ind w:firstLine="643"/>
        <w:jc w:val="center"/>
        <w:rPr>
          <w:rFonts w:ascii="Times New Roman" w:hAnsi="Times New Roman" w:cs="Times New Roman"/>
          <w:b/>
          <w:bCs/>
          <w:color w:val="auto"/>
          <w:kern w:val="44"/>
          <w:sz w:val="28"/>
          <w:szCs w:val="28"/>
          <w:highlight w:val="none"/>
        </w:rPr>
      </w:pPr>
      <w:r>
        <w:rPr>
          <w:rFonts w:hint="eastAsia" w:ascii="Times New Roman" w:hAnsi="Times New Roman" w:cs="Times New Roman"/>
          <w:b/>
          <w:bCs/>
          <w:color w:val="auto"/>
          <w:kern w:val="44"/>
          <w:sz w:val="32"/>
          <w:szCs w:val="32"/>
          <w:highlight w:val="none"/>
        </w:rPr>
        <w:t>广东省标准</w:t>
      </w:r>
    </w:p>
    <w:p w14:paraId="0AB4F91D">
      <w:pPr>
        <w:ind w:firstLine="643"/>
        <w:jc w:val="center"/>
        <w:rPr>
          <w:rFonts w:ascii="Times New Roman" w:hAnsi="Times New Roman" w:cs="Times New Roman"/>
          <w:b/>
          <w:bCs/>
          <w:color w:val="auto"/>
          <w:sz w:val="32"/>
          <w:szCs w:val="32"/>
          <w:highlight w:val="none"/>
        </w:rPr>
      </w:pPr>
      <w:r>
        <w:rPr>
          <w:rFonts w:ascii="Times New Roman" w:hAnsi="Times New Roman" w:cs="Times New Roman"/>
          <w:b/>
          <w:bCs/>
          <w:color w:val="auto"/>
          <w:sz w:val="32"/>
          <w:szCs w:val="32"/>
          <w:highlight w:val="none"/>
        </w:rPr>
        <w:t>城市轨道交通</w:t>
      </w:r>
      <w:r>
        <w:rPr>
          <w:rFonts w:hint="eastAsia" w:ascii="Times New Roman" w:hAnsi="Times New Roman" w:cs="Times New Roman"/>
          <w:b/>
          <w:bCs/>
          <w:color w:val="auto"/>
          <w:sz w:val="32"/>
          <w:szCs w:val="32"/>
          <w:highlight w:val="none"/>
        </w:rPr>
        <w:t>移动</w:t>
      </w:r>
      <w:r>
        <w:rPr>
          <w:rFonts w:ascii="Times New Roman" w:hAnsi="Times New Roman" w:cs="Times New Roman"/>
          <w:b/>
          <w:bCs/>
          <w:color w:val="auto"/>
          <w:sz w:val="32"/>
          <w:szCs w:val="32"/>
          <w:highlight w:val="none"/>
        </w:rPr>
        <w:t>通信信号分布系统</w:t>
      </w:r>
      <w:r>
        <w:rPr>
          <w:rFonts w:hint="eastAsia" w:ascii="Times New Roman" w:hAnsi="Times New Roman" w:cs="Times New Roman"/>
          <w:b/>
          <w:bCs/>
          <w:color w:val="auto"/>
          <w:sz w:val="32"/>
          <w:szCs w:val="32"/>
          <w:highlight w:val="none"/>
        </w:rPr>
        <w:t>检测标准</w:t>
      </w:r>
    </w:p>
    <w:p w14:paraId="379FDB37">
      <w:pPr>
        <w:spacing w:line="360" w:lineRule="auto"/>
        <w:ind w:firstLine="692"/>
        <w:jc w:val="center"/>
        <w:rPr>
          <w:rFonts w:ascii="Times New Roman" w:hAnsi="Times New Roman" w:cs="Times New Roman"/>
          <w:b/>
          <w:bCs/>
          <w:color w:val="auto"/>
          <w:kern w:val="44"/>
          <w:sz w:val="28"/>
          <w:szCs w:val="28"/>
          <w:highlight w:val="none"/>
        </w:rPr>
      </w:pPr>
      <w:r>
        <w:rPr>
          <w:rFonts w:ascii="Times New Roman" w:hAnsi="Times New Roman" w:cs="Times New Roman"/>
          <w:color w:val="auto"/>
          <w:spacing w:val="23"/>
          <w:sz w:val="30"/>
          <w:szCs w:val="30"/>
          <w:highlight w:val="none"/>
        </w:rPr>
        <w:t>DBJ/T 15-XX-2</w:t>
      </w:r>
      <w:r>
        <w:rPr>
          <w:rFonts w:ascii="Times New Roman" w:hAnsi="Times New Roman" w:cs="Times New Roman"/>
          <w:color w:val="auto"/>
          <w:sz w:val="30"/>
          <w:szCs w:val="30"/>
          <w:highlight w:val="none"/>
        </w:rPr>
        <w:t>02X</w:t>
      </w:r>
    </w:p>
    <w:p w14:paraId="1CED1979">
      <w:pPr>
        <w:spacing w:line="360" w:lineRule="auto"/>
        <w:ind w:firstLine="562"/>
        <w:jc w:val="center"/>
        <w:outlineLvl w:val="0"/>
        <w:rPr>
          <w:rFonts w:hint="eastAsia" w:ascii="Times New Roman" w:hAnsi="Times New Roman" w:cs="Times New Roman"/>
          <w:b/>
          <w:bCs/>
          <w:color w:val="auto"/>
          <w:kern w:val="44"/>
          <w:sz w:val="28"/>
          <w:szCs w:val="28"/>
          <w:highlight w:val="none"/>
        </w:rPr>
      </w:pPr>
      <w:bookmarkStart w:id="267" w:name="_Toc22675"/>
      <w:bookmarkStart w:id="268" w:name="_Toc261"/>
      <w:r>
        <w:rPr>
          <w:rFonts w:hint="eastAsia" w:ascii="Times New Roman" w:hAnsi="Times New Roman" w:cs="Times New Roman"/>
          <w:b/>
          <w:bCs/>
          <w:color w:val="auto"/>
          <w:kern w:val="44"/>
          <w:sz w:val="28"/>
          <w:szCs w:val="28"/>
          <w:highlight w:val="none"/>
        </w:rPr>
        <w:t>条文说明</w:t>
      </w:r>
      <w:bookmarkEnd w:id="267"/>
      <w:bookmarkEnd w:id="268"/>
    </w:p>
    <w:p w14:paraId="51A95C1D">
      <w:pPr>
        <w:rPr>
          <w:rFonts w:hint="eastAsia" w:ascii="Times New Roman" w:hAnsi="Times New Roman" w:cs="Times New Roman"/>
          <w:b/>
          <w:bCs/>
          <w:color w:val="auto"/>
          <w:kern w:val="44"/>
          <w:sz w:val="28"/>
          <w:szCs w:val="28"/>
          <w:highlight w:val="none"/>
        </w:rPr>
      </w:pPr>
      <w:r>
        <w:rPr>
          <w:rFonts w:hint="eastAsia" w:ascii="Times New Roman" w:hAnsi="Times New Roman" w:cs="Times New Roman"/>
          <w:b/>
          <w:bCs/>
          <w:color w:val="auto"/>
          <w:kern w:val="44"/>
          <w:sz w:val="28"/>
          <w:szCs w:val="28"/>
          <w:highlight w:val="none"/>
        </w:rPr>
        <w:br w:type="page"/>
      </w:r>
    </w:p>
    <w:p w14:paraId="13B75E32">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bCs/>
          <w:color w:val="auto"/>
          <w:kern w:val="0"/>
          <w:sz w:val="32"/>
          <w:szCs w:val="32"/>
          <w:highlight w:val="none"/>
          <w:lang w:val="en-US" w:eastAsia="zh-CN" w:bidi="ar"/>
        </w:rPr>
      </w:pPr>
    </w:p>
    <w:p w14:paraId="4A629F59">
      <w:pPr>
        <w:keepNext w:val="0"/>
        <w:keepLines w:val="0"/>
        <w:pageBreakBefore w:val="0"/>
        <w:widowControl/>
        <w:suppressLineNumbers w:val="0"/>
        <w:kinsoku/>
        <w:wordWrap/>
        <w:overflowPunct/>
        <w:topLinePunct w:val="0"/>
        <w:autoSpaceDE/>
        <w:autoSpaceDN/>
        <w:bidi w:val="0"/>
        <w:adjustRightInd/>
        <w:snapToGrid/>
        <w:spacing w:before="313" w:beforeLines="100" w:after="313" w:afterLines="100"/>
        <w:jc w:val="center"/>
        <w:textAlignment w:val="auto"/>
        <w:rPr>
          <w:color w:val="auto"/>
          <w:sz w:val="32"/>
          <w:szCs w:val="32"/>
          <w:highlight w:val="none"/>
        </w:rPr>
      </w:pPr>
      <w:r>
        <w:rPr>
          <w:rFonts w:hint="eastAsia" w:ascii="宋体" w:hAnsi="宋体" w:eastAsia="宋体" w:cs="宋体"/>
          <w:b/>
          <w:bCs/>
          <w:color w:val="auto"/>
          <w:kern w:val="0"/>
          <w:sz w:val="32"/>
          <w:szCs w:val="32"/>
          <w:highlight w:val="none"/>
          <w:lang w:val="en-US" w:eastAsia="zh-CN" w:bidi="ar"/>
        </w:rPr>
        <w:t>制</w:t>
      </w:r>
      <w:r>
        <w:rPr>
          <w:rFonts w:hint="eastAsia" w:ascii="宋体" w:hAnsi="宋体" w:cs="宋体"/>
          <w:b/>
          <w:bCs/>
          <w:color w:val="auto"/>
          <w:kern w:val="0"/>
          <w:sz w:val="32"/>
          <w:szCs w:val="32"/>
          <w:highlight w:val="none"/>
          <w:lang w:val="en-US" w:eastAsia="zh-CN" w:bidi="ar"/>
        </w:rPr>
        <w:t>定</w:t>
      </w:r>
      <w:r>
        <w:rPr>
          <w:rFonts w:hint="eastAsia" w:ascii="宋体" w:hAnsi="宋体" w:eastAsia="宋体" w:cs="宋体"/>
          <w:b/>
          <w:bCs/>
          <w:color w:val="auto"/>
          <w:kern w:val="0"/>
          <w:sz w:val="32"/>
          <w:szCs w:val="32"/>
          <w:highlight w:val="none"/>
          <w:lang w:val="en-US" w:eastAsia="zh-CN" w:bidi="ar"/>
        </w:rPr>
        <w:t>说明</w:t>
      </w:r>
    </w:p>
    <w:p w14:paraId="52D53CA9">
      <w:pPr>
        <w:spacing w:line="400" w:lineRule="exact"/>
        <w:ind w:firstLine="480" w:firstLineChars="200"/>
        <w:rPr>
          <w:rFonts w:hint="default" w:ascii="Times New Roman" w:hAnsi="Times New Roman" w:eastAsia="宋体" w:cs="Times New Roman"/>
          <w:b w:val="0"/>
          <w:bCs/>
          <w:color w:val="auto"/>
          <w:sz w:val="24"/>
          <w:highlight w:val="none"/>
          <w:lang w:val="en-US" w:eastAsia="zh-CN"/>
        </w:rPr>
      </w:pPr>
      <w:r>
        <w:rPr>
          <w:rFonts w:hint="default" w:ascii="Times New Roman" w:hAnsi="Times New Roman" w:eastAsia="宋体" w:cs="Times New Roman"/>
          <w:b w:val="0"/>
          <w:bCs/>
          <w:color w:val="auto"/>
          <w:sz w:val="24"/>
          <w:highlight w:val="none"/>
          <w:lang w:val="en-US" w:eastAsia="zh-CN"/>
        </w:rPr>
        <w:t>《城市轨道交通移动通信信号分布系统检测标准》DBJ/T 15-XX-202X</w:t>
      </w:r>
      <w:r>
        <w:rPr>
          <w:rFonts w:hint="eastAsia" w:ascii="Times New Roman" w:hAnsi="Times New Roman" w:eastAsia="宋体" w:cs="Times New Roman"/>
          <w:b w:val="0"/>
          <w:bCs/>
          <w:color w:val="auto"/>
          <w:sz w:val="24"/>
          <w:highlight w:val="none"/>
          <w:lang w:val="en-US" w:eastAsia="zh-CN"/>
        </w:rPr>
        <w:t>，经广东省住房和城乡建设厅</w:t>
      </w:r>
      <w:r>
        <w:rPr>
          <w:rFonts w:hint="default" w:ascii="Times New Roman" w:hAnsi="Times New Roman" w:eastAsia="宋体" w:cs="Times New Roman"/>
          <w:b w:val="0"/>
          <w:bCs/>
          <w:color w:val="auto"/>
          <w:sz w:val="24"/>
          <w:highlight w:val="none"/>
          <w:lang w:val="en-US" w:eastAsia="zh-CN"/>
        </w:rPr>
        <w:t>202</w:t>
      </w:r>
      <w:r>
        <w:rPr>
          <w:rFonts w:hint="eastAsia" w:ascii="Times New Roman" w:hAnsi="Times New Roman" w:cs="Times New Roman"/>
          <w:b w:val="0"/>
          <w:bCs/>
          <w:color w:val="auto"/>
          <w:sz w:val="24"/>
          <w:highlight w:val="none"/>
          <w:lang w:val="en-US" w:eastAsia="zh-CN"/>
        </w:rPr>
        <w:t>X</w:t>
      </w:r>
      <w:r>
        <w:rPr>
          <w:rFonts w:hint="eastAsia" w:ascii="Times New Roman" w:hAnsi="Times New Roman" w:eastAsia="宋体" w:cs="Times New Roman"/>
          <w:b w:val="0"/>
          <w:bCs/>
          <w:color w:val="auto"/>
          <w:sz w:val="24"/>
          <w:highlight w:val="none"/>
          <w:lang w:val="en-US" w:eastAsia="zh-CN"/>
        </w:rPr>
        <w:t>年</w:t>
      </w:r>
      <w:r>
        <w:rPr>
          <w:rFonts w:hint="eastAsia" w:ascii="Times New Roman" w:hAnsi="Times New Roman" w:cs="Times New Roman"/>
          <w:b w:val="0"/>
          <w:bCs/>
          <w:color w:val="auto"/>
          <w:sz w:val="24"/>
          <w:highlight w:val="none"/>
          <w:lang w:val="en-US" w:eastAsia="zh-CN"/>
        </w:rPr>
        <w:t>XX</w:t>
      </w:r>
      <w:r>
        <w:rPr>
          <w:rFonts w:hint="eastAsia" w:ascii="Times New Roman" w:hAnsi="Times New Roman" w:eastAsia="宋体" w:cs="Times New Roman"/>
          <w:b w:val="0"/>
          <w:bCs/>
          <w:color w:val="auto"/>
          <w:sz w:val="24"/>
          <w:highlight w:val="none"/>
          <w:lang w:val="en-US" w:eastAsia="zh-CN"/>
        </w:rPr>
        <w:t>月</w:t>
      </w:r>
      <w:r>
        <w:rPr>
          <w:rFonts w:hint="eastAsia" w:ascii="Times New Roman" w:hAnsi="Times New Roman" w:cs="Times New Roman"/>
          <w:b w:val="0"/>
          <w:bCs/>
          <w:color w:val="auto"/>
          <w:sz w:val="24"/>
          <w:highlight w:val="none"/>
          <w:lang w:val="en-US" w:eastAsia="zh-CN"/>
        </w:rPr>
        <w:t>XX</w:t>
      </w:r>
      <w:r>
        <w:rPr>
          <w:rFonts w:hint="eastAsia" w:ascii="Times New Roman" w:hAnsi="Times New Roman" w:eastAsia="宋体" w:cs="Times New Roman"/>
          <w:b w:val="0"/>
          <w:bCs/>
          <w:color w:val="auto"/>
          <w:sz w:val="24"/>
          <w:highlight w:val="none"/>
          <w:lang w:val="en-US" w:eastAsia="zh-CN"/>
        </w:rPr>
        <w:t>日以粤建公〔</w:t>
      </w:r>
      <w:r>
        <w:rPr>
          <w:rFonts w:hint="default" w:ascii="Times New Roman" w:hAnsi="Times New Roman" w:eastAsia="宋体" w:cs="Times New Roman"/>
          <w:b w:val="0"/>
          <w:bCs/>
          <w:color w:val="auto"/>
          <w:sz w:val="24"/>
          <w:highlight w:val="none"/>
          <w:lang w:val="en-US" w:eastAsia="zh-CN"/>
        </w:rPr>
        <w:t>202</w:t>
      </w:r>
      <w:r>
        <w:rPr>
          <w:rFonts w:hint="eastAsia" w:ascii="Times New Roman" w:hAnsi="Times New Roman" w:cs="Times New Roman"/>
          <w:b w:val="0"/>
          <w:bCs/>
          <w:color w:val="auto"/>
          <w:sz w:val="24"/>
          <w:highlight w:val="none"/>
          <w:lang w:val="en-US" w:eastAsia="zh-CN"/>
        </w:rPr>
        <w:t>X</w:t>
      </w:r>
      <w:r>
        <w:rPr>
          <w:rFonts w:hint="eastAsia" w:ascii="Times New Roman" w:hAnsi="Times New Roman" w:eastAsia="宋体" w:cs="Times New Roman"/>
          <w:b w:val="0"/>
          <w:bCs/>
          <w:color w:val="auto"/>
          <w:sz w:val="24"/>
          <w:highlight w:val="none"/>
          <w:lang w:val="en-US" w:eastAsia="zh-CN"/>
        </w:rPr>
        <w:t>〕</w:t>
      </w:r>
      <w:r>
        <w:rPr>
          <w:rFonts w:hint="eastAsia" w:ascii="Times New Roman" w:hAnsi="Times New Roman" w:cs="Times New Roman"/>
          <w:b w:val="0"/>
          <w:bCs/>
          <w:color w:val="auto"/>
          <w:sz w:val="24"/>
          <w:highlight w:val="none"/>
          <w:lang w:val="en-US" w:eastAsia="zh-CN"/>
        </w:rPr>
        <w:t>XX</w:t>
      </w:r>
      <w:r>
        <w:rPr>
          <w:rFonts w:hint="eastAsia" w:ascii="Times New Roman" w:hAnsi="Times New Roman" w:eastAsia="宋体" w:cs="Times New Roman"/>
          <w:b w:val="0"/>
          <w:bCs/>
          <w:color w:val="auto"/>
          <w:sz w:val="24"/>
          <w:highlight w:val="none"/>
          <w:lang w:val="en-US" w:eastAsia="zh-CN"/>
        </w:rPr>
        <w:t xml:space="preserve">号公告批准发布。 </w:t>
      </w:r>
    </w:p>
    <w:p w14:paraId="391F4DAA">
      <w:pPr>
        <w:spacing w:line="400" w:lineRule="exact"/>
        <w:ind w:firstLine="480" w:firstLineChars="200"/>
        <w:rPr>
          <w:rFonts w:hint="default" w:ascii="Times New Roman" w:hAnsi="Times New Roman" w:eastAsia="宋体" w:cs="Times New Roman"/>
          <w:b w:val="0"/>
          <w:bCs/>
          <w:color w:val="auto"/>
          <w:sz w:val="24"/>
          <w:highlight w:val="none"/>
          <w:lang w:val="en-US" w:eastAsia="zh-CN"/>
        </w:rPr>
      </w:pPr>
      <w:r>
        <w:rPr>
          <w:rFonts w:hint="eastAsia" w:ascii="Times New Roman" w:hAnsi="Times New Roman" w:eastAsia="宋体" w:cs="Times New Roman"/>
          <w:b w:val="0"/>
          <w:bCs/>
          <w:color w:val="auto"/>
          <w:sz w:val="24"/>
          <w:highlight w:val="none"/>
          <w:lang w:val="en-US" w:eastAsia="zh-CN"/>
        </w:rPr>
        <w:t xml:space="preserve">本标准在制定过程中，编制组进行了深入而广泛的调查研究，总结广东的实际环境和需求，参考了国内现行相关技术标准，在广泛征求省内有关单位和专家意见，经反复讨论、修改和完善，最终经广泛征求意见的基础上编制完成。 </w:t>
      </w:r>
    </w:p>
    <w:p w14:paraId="3D157D72">
      <w:pPr>
        <w:spacing w:line="400" w:lineRule="exact"/>
        <w:ind w:firstLine="480" w:firstLineChars="200"/>
        <w:rPr>
          <w:rFonts w:hint="default" w:ascii="Times New Roman" w:hAnsi="Times New Roman" w:eastAsia="宋体" w:cs="Times New Roman"/>
          <w:b w:val="0"/>
          <w:bCs/>
          <w:color w:val="auto"/>
          <w:sz w:val="24"/>
          <w:highlight w:val="none"/>
        </w:rPr>
      </w:pPr>
      <w:r>
        <w:rPr>
          <w:rFonts w:hint="eastAsia" w:ascii="Times New Roman" w:hAnsi="Times New Roman" w:eastAsia="宋体" w:cs="Times New Roman"/>
          <w:b w:val="0"/>
          <w:bCs/>
          <w:color w:val="auto"/>
          <w:sz w:val="24"/>
          <w:highlight w:val="none"/>
          <w:lang w:val="en-US" w:eastAsia="zh-CN"/>
        </w:rPr>
        <w:t>为了便于</w:t>
      </w:r>
      <w:r>
        <w:rPr>
          <w:rFonts w:hint="eastAsia" w:ascii="Times New Roman" w:hAnsi="Times New Roman" w:cs="Times New Roman"/>
          <w:b w:val="0"/>
          <w:bCs/>
          <w:color w:val="auto"/>
          <w:sz w:val="24"/>
          <w:highlight w:val="none"/>
          <w:lang w:val="en-US" w:eastAsia="zh-CN"/>
        </w:rPr>
        <w:t>建设、</w:t>
      </w:r>
      <w:r>
        <w:rPr>
          <w:rFonts w:hint="eastAsia" w:ascii="Times New Roman" w:hAnsi="Times New Roman" w:eastAsia="宋体" w:cs="Times New Roman"/>
          <w:b w:val="0"/>
          <w:bCs/>
          <w:color w:val="auto"/>
          <w:sz w:val="24"/>
          <w:highlight w:val="none"/>
          <w:lang w:val="en-US" w:eastAsia="zh-CN"/>
        </w:rPr>
        <w:t>施工、</w:t>
      </w:r>
      <w:r>
        <w:rPr>
          <w:rFonts w:hint="eastAsia" w:ascii="Times New Roman" w:hAnsi="Times New Roman" w:cs="Times New Roman"/>
          <w:b w:val="0"/>
          <w:bCs/>
          <w:color w:val="auto"/>
          <w:sz w:val="24"/>
          <w:highlight w:val="none"/>
          <w:lang w:val="en-US" w:eastAsia="zh-CN"/>
        </w:rPr>
        <w:t>监理、</w:t>
      </w:r>
      <w:r>
        <w:rPr>
          <w:rFonts w:hint="eastAsia" w:ascii="Times New Roman" w:hAnsi="Times New Roman" w:eastAsia="宋体" w:cs="Times New Roman"/>
          <w:b w:val="0"/>
          <w:bCs/>
          <w:color w:val="auto"/>
          <w:sz w:val="24"/>
          <w:highlight w:val="none"/>
          <w:lang w:val="en-US" w:eastAsia="zh-CN"/>
        </w:rPr>
        <w:t>检测</w:t>
      </w:r>
      <w:r>
        <w:rPr>
          <w:rFonts w:hint="eastAsia" w:ascii="Times New Roman" w:hAnsi="Times New Roman" w:cs="Times New Roman"/>
          <w:b w:val="0"/>
          <w:bCs/>
          <w:color w:val="auto"/>
          <w:sz w:val="24"/>
          <w:highlight w:val="none"/>
          <w:lang w:val="en-US" w:eastAsia="zh-CN"/>
        </w:rPr>
        <w:t>、质量监督</w:t>
      </w:r>
      <w:r>
        <w:rPr>
          <w:rFonts w:hint="eastAsia" w:ascii="Times New Roman" w:hAnsi="Times New Roman" w:eastAsia="宋体" w:cs="Times New Roman"/>
          <w:b w:val="0"/>
          <w:bCs/>
          <w:color w:val="auto"/>
          <w:sz w:val="24"/>
          <w:highlight w:val="none"/>
          <w:lang w:val="en-US" w:eastAsia="zh-CN"/>
        </w:rPr>
        <w:t>等单位有关人员在使用本</w:t>
      </w:r>
      <w:r>
        <w:rPr>
          <w:rFonts w:hint="eastAsia" w:ascii="Times New Roman" w:hAnsi="Times New Roman" w:cs="Times New Roman"/>
          <w:b w:val="0"/>
          <w:bCs/>
          <w:color w:val="auto"/>
          <w:sz w:val="24"/>
          <w:highlight w:val="none"/>
          <w:lang w:val="en-US" w:eastAsia="zh-CN"/>
        </w:rPr>
        <w:t>标准</w:t>
      </w:r>
      <w:r>
        <w:rPr>
          <w:rFonts w:hint="eastAsia" w:ascii="Times New Roman" w:hAnsi="Times New Roman" w:eastAsia="宋体" w:cs="Times New Roman"/>
          <w:b w:val="0"/>
          <w:bCs/>
          <w:color w:val="auto"/>
          <w:sz w:val="24"/>
          <w:highlight w:val="none"/>
          <w:lang w:val="en-US" w:eastAsia="zh-CN"/>
        </w:rPr>
        <w:t>时能正确理解和执行条文规定，编制组按章、节、条顺序编制了本</w:t>
      </w:r>
      <w:r>
        <w:rPr>
          <w:rFonts w:hint="eastAsia" w:ascii="Times New Roman" w:hAnsi="Times New Roman" w:cs="Times New Roman"/>
          <w:b w:val="0"/>
          <w:bCs/>
          <w:color w:val="auto"/>
          <w:sz w:val="24"/>
          <w:highlight w:val="none"/>
          <w:lang w:val="en-US" w:eastAsia="zh-CN"/>
        </w:rPr>
        <w:t>标准</w:t>
      </w:r>
      <w:r>
        <w:rPr>
          <w:rFonts w:hint="eastAsia" w:ascii="Times New Roman" w:hAnsi="Times New Roman" w:eastAsia="宋体" w:cs="Times New Roman"/>
          <w:b w:val="0"/>
          <w:bCs/>
          <w:color w:val="auto"/>
          <w:sz w:val="24"/>
          <w:highlight w:val="none"/>
          <w:lang w:val="en-US" w:eastAsia="zh-CN"/>
        </w:rPr>
        <w:t>的条文说明，</w:t>
      </w:r>
      <w:r>
        <w:rPr>
          <w:rFonts w:hint="eastAsia" w:ascii="Times New Roman" w:hAnsi="Times New Roman" w:cs="Times New Roman"/>
          <w:b w:val="0"/>
          <w:bCs/>
          <w:color w:val="auto"/>
          <w:sz w:val="24"/>
          <w:highlight w:val="none"/>
          <w:lang w:val="en-US" w:eastAsia="zh-CN"/>
        </w:rPr>
        <w:t>供使用者参考</w:t>
      </w:r>
      <w:r>
        <w:rPr>
          <w:rFonts w:hint="eastAsia" w:ascii="Times New Roman" w:hAnsi="Times New Roman" w:eastAsia="宋体" w:cs="Times New Roman"/>
          <w:b w:val="0"/>
          <w:bCs/>
          <w:color w:val="auto"/>
          <w:sz w:val="24"/>
          <w:highlight w:val="none"/>
          <w:lang w:val="en-US" w:eastAsia="zh-CN"/>
        </w:rPr>
        <w:t>。但是，本条文说明不具备与</w:t>
      </w:r>
      <w:r>
        <w:rPr>
          <w:rFonts w:hint="eastAsia" w:ascii="Times New Roman" w:hAnsi="Times New Roman" w:cs="Times New Roman"/>
          <w:b w:val="0"/>
          <w:bCs/>
          <w:color w:val="auto"/>
          <w:sz w:val="24"/>
          <w:highlight w:val="none"/>
          <w:lang w:val="en-US" w:eastAsia="zh-CN"/>
        </w:rPr>
        <w:t>标准</w:t>
      </w:r>
      <w:r>
        <w:rPr>
          <w:rFonts w:hint="eastAsia" w:ascii="Times New Roman" w:hAnsi="Times New Roman" w:eastAsia="宋体" w:cs="Times New Roman"/>
          <w:b w:val="0"/>
          <w:bCs/>
          <w:color w:val="auto"/>
          <w:sz w:val="24"/>
          <w:highlight w:val="none"/>
          <w:lang w:val="en-US" w:eastAsia="zh-CN"/>
        </w:rPr>
        <w:t>正文同等的法律效力，仅供使用者作为理解和把握</w:t>
      </w:r>
      <w:r>
        <w:rPr>
          <w:rFonts w:hint="eastAsia" w:ascii="Times New Roman" w:hAnsi="Times New Roman" w:cs="Times New Roman"/>
          <w:b w:val="0"/>
          <w:bCs/>
          <w:color w:val="auto"/>
          <w:sz w:val="24"/>
          <w:highlight w:val="none"/>
          <w:lang w:val="en-US" w:eastAsia="zh-CN"/>
        </w:rPr>
        <w:t>标准</w:t>
      </w:r>
      <w:r>
        <w:rPr>
          <w:rFonts w:hint="eastAsia" w:ascii="Times New Roman" w:hAnsi="Times New Roman" w:eastAsia="宋体" w:cs="Times New Roman"/>
          <w:b w:val="0"/>
          <w:bCs/>
          <w:color w:val="auto"/>
          <w:sz w:val="24"/>
          <w:highlight w:val="none"/>
          <w:lang w:val="en-US" w:eastAsia="zh-CN"/>
        </w:rPr>
        <w:t>规定的参考。</w:t>
      </w:r>
    </w:p>
    <w:p w14:paraId="03E31BDE">
      <w:pPr>
        <w:keepNext w:val="0"/>
        <w:keepLines w:val="0"/>
        <w:pageBreakBefore w:val="0"/>
        <w:widowControl w:val="0"/>
        <w:kinsoku/>
        <w:wordWrap/>
        <w:overflowPunct/>
        <w:topLinePunct w:val="0"/>
        <w:autoSpaceDE/>
        <w:autoSpaceDN/>
        <w:bidi w:val="0"/>
        <w:adjustRightInd/>
        <w:snapToGrid/>
        <w:spacing w:line="360" w:lineRule="auto"/>
        <w:ind w:firstLine="561"/>
        <w:jc w:val="center"/>
        <w:textAlignment w:val="auto"/>
        <w:outlineLvl w:val="9"/>
        <w:rPr>
          <w:rFonts w:hint="eastAsia" w:ascii="Times New Roman" w:hAnsi="Times New Roman" w:cs="Times New Roman"/>
          <w:b/>
          <w:bCs/>
          <w:color w:val="auto"/>
          <w:kern w:val="44"/>
          <w:sz w:val="28"/>
          <w:szCs w:val="28"/>
          <w:highlight w:val="none"/>
        </w:rPr>
      </w:pPr>
    </w:p>
    <w:p w14:paraId="1F9ECFC1">
      <w:pPr>
        <w:widowControl/>
        <w:ind w:firstLine="480"/>
        <w:jc w:val="left"/>
        <w:rPr>
          <w:rFonts w:ascii="Times New Roman" w:hAnsi="Times New Roman" w:cs="Times New Roman"/>
          <w:color w:val="auto"/>
          <w:sz w:val="24"/>
          <w:highlight w:val="none"/>
        </w:rPr>
      </w:pPr>
      <w:r>
        <w:rPr>
          <w:rFonts w:ascii="Times New Roman" w:hAnsi="Times New Roman" w:cs="Times New Roman"/>
          <w:color w:val="auto"/>
          <w:sz w:val="24"/>
          <w:highlight w:val="none"/>
        </w:rPr>
        <w:br w:type="page"/>
      </w:r>
    </w:p>
    <w:p w14:paraId="38ABF861">
      <w:pPr>
        <w:ind w:firstLine="480"/>
        <w:jc w:val="center"/>
        <w:rPr>
          <w:color w:val="auto"/>
          <w:highlight w:val="none"/>
        </w:rPr>
      </w:pPr>
      <w:r>
        <w:rPr>
          <w:rFonts w:ascii="Times New Roman" w:hAnsi="Times New Roman" w:cs="Times New Roman"/>
          <w:bCs/>
          <w:color w:val="auto"/>
          <w:sz w:val="44"/>
          <w:szCs w:val="44"/>
          <w:highlight w:val="none"/>
        </w:rPr>
        <w:t>目  次</w:t>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TOC \o "1-3" \h \z \u </w:instrText>
      </w:r>
      <w:r>
        <w:rPr>
          <w:rFonts w:ascii="Times New Roman" w:hAnsi="Times New Roman" w:cs="Times New Roman"/>
          <w:color w:val="auto"/>
          <w:sz w:val="28"/>
          <w:szCs w:val="28"/>
          <w:highlight w:val="none"/>
        </w:rPr>
        <w:fldChar w:fldCharType="separate"/>
      </w:r>
    </w:p>
    <w:p w14:paraId="063670A6">
      <w:pPr>
        <w:pStyle w:val="22"/>
        <w:tabs>
          <w:tab w:val="right" w:leader="dot" w:pos="8306"/>
          <w:tab w:val="clear" w:pos="8296"/>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_Toc32741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1 总则</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_Toc32741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37</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62E25600">
      <w:pPr>
        <w:pStyle w:val="22"/>
        <w:tabs>
          <w:tab w:val="right" w:leader="dot" w:pos="8306"/>
          <w:tab w:val="clear" w:pos="8296"/>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_Toc28115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4 安装质量</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_Toc28115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38</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6A101E38">
      <w:pPr>
        <w:pStyle w:val="25"/>
        <w:tabs>
          <w:tab w:val="right" w:leader="dot" w:pos="8306"/>
        </w:tabs>
        <w:ind w:left="0" w:leftChars="0" w:firstLine="210" w:firstLineChars="100"/>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_Toc12620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4.2 缆线安装质量检查</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_Toc12620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38</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107EF3BC">
      <w:pPr>
        <w:pStyle w:val="25"/>
        <w:tabs>
          <w:tab w:val="right" w:leader="dot" w:pos="8306"/>
        </w:tabs>
        <w:ind w:left="0" w:leftChars="0" w:firstLine="210" w:firstLineChars="100"/>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_Toc854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4.4 接地装置检测</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_Toc854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39</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1B195A94">
      <w:pPr>
        <w:pStyle w:val="22"/>
        <w:tabs>
          <w:tab w:val="right" w:leader="dot" w:pos="8306"/>
          <w:tab w:val="clear" w:pos="8296"/>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_Toc23927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5 系统组网</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_Toc23927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40</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3DA92708">
      <w:pPr>
        <w:pStyle w:val="25"/>
        <w:tabs>
          <w:tab w:val="right" w:leader="dot" w:pos="8306"/>
        </w:tabs>
        <w:ind w:left="0" w:leftChars="0" w:firstLine="210" w:firstLineChars="100"/>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_Toc7684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5.1 一般要求</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_Toc7684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40</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35E66D1B">
      <w:pPr>
        <w:pStyle w:val="25"/>
        <w:tabs>
          <w:tab w:val="right" w:leader="dot" w:pos="8306"/>
        </w:tabs>
        <w:ind w:left="0" w:leftChars="0" w:firstLine="210" w:firstLineChars="100"/>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_Toc6036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5.2 各网元间传输接口与介质</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_Toc6036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40</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3DF22257">
      <w:pPr>
        <w:pStyle w:val="25"/>
        <w:tabs>
          <w:tab w:val="right" w:leader="dot" w:pos="8306"/>
        </w:tabs>
        <w:ind w:left="0" w:leftChars="0" w:firstLine="210" w:firstLineChars="100"/>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_Toc19498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5.3 拓扑结构检测</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_Toc19498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40</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2A13448C">
      <w:pPr>
        <w:pStyle w:val="25"/>
        <w:tabs>
          <w:tab w:val="right" w:leader="dot" w:pos="8306"/>
        </w:tabs>
        <w:ind w:left="0" w:leftChars="0" w:firstLine="210" w:firstLineChars="100"/>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_Toc4545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5.4 组网能力检测</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_Toc4545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40</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6597A7FA">
      <w:pPr>
        <w:pStyle w:val="22"/>
        <w:tabs>
          <w:tab w:val="right" w:leader="dot" w:pos="8306"/>
          <w:tab w:val="clear" w:pos="8296"/>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_Toc358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6 系统性能</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_Toc358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41</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5192214F">
      <w:pPr>
        <w:pStyle w:val="25"/>
        <w:tabs>
          <w:tab w:val="right" w:leader="dot" w:pos="8306"/>
        </w:tabs>
        <w:ind w:left="0" w:leftChars="0" w:firstLine="210" w:firstLineChars="100"/>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_Toc29164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6.3 设备性能检测</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_Toc29164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41</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2B8FBD6C">
      <w:pPr>
        <w:pStyle w:val="25"/>
        <w:tabs>
          <w:tab w:val="right" w:leader="dot" w:pos="8306"/>
        </w:tabs>
        <w:ind w:left="0" w:leftChars="0" w:firstLine="210" w:firstLineChars="100"/>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_Toc8166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6.4 网络性能检测</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_Toc8166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41</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6F9EA69F">
      <w:pPr>
        <w:pStyle w:val="22"/>
        <w:tabs>
          <w:tab w:val="right" w:leader="dot" w:pos="8306"/>
          <w:tab w:val="clear" w:pos="8296"/>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_Toc15218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8 系统安全</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_Toc15218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43</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1CD8B1AC">
      <w:pPr>
        <w:pStyle w:val="25"/>
        <w:tabs>
          <w:tab w:val="right" w:leader="dot" w:pos="8306"/>
        </w:tabs>
        <w:ind w:left="0" w:leftChars="0" w:firstLine="210" w:firstLineChars="100"/>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_Toc21756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8.3 系统网络安全检测</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_Toc21756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43</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7F0C3DC9">
      <w:pPr>
        <w:ind w:firstLine="880"/>
        <w:jc w:val="center"/>
        <w:rPr>
          <w:rFonts w:ascii="Times New Roman" w:hAnsi="Times New Roman" w:cs="Times New Roman"/>
          <w:color w:val="auto"/>
          <w:sz w:val="24"/>
          <w:highlight w:val="none"/>
        </w:rPr>
      </w:pPr>
      <w:r>
        <w:rPr>
          <w:rFonts w:ascii="Times New Roman" w:hAnsi="Times New Roman" w:cs="Times New Roman"/>
          <w:color w:val="auto"/>
          <w:highlight w:val="none"/>
        </w:rPr>
        <w:fldChar w:fldCharType="end"/>
      </w:r>
    </w:p>
    <w:p w14:paraId="1BDD965F">
      <w:pPr>
        <w:widowControl/>
        <w:ind w:firstLine="560"/>
        <w:jc w:val="left"/>
        <w:rPr>
          <w:rFonts w:ascii="Times New Roman" w:hAnsi="Times New Roman" w:cs="Times New Roman"/>
          <w:color w:val="auto"/>
          <w:kern w:val="0"/>
          <w:sz w:val="28"/>
          <w:szCs w:val="28"/>
          <w:highlight w:val="none"/>
        </w:rPr>
      </w:pPr>
    </w:p>
    <w:p w14:paraId="24265461">
      <w:pPr>
        <w:pStyle w:val="2"/>
        <w:rPr>
          <w:color w:val="auto"/>
          <w:highlight w:val="none"/>
        </w:rPr>
      </w:pPr>
      <w:r>
        <w:rPr>
          <w:color w:val="auto"/>
          <w:highlight w:val="none"/>
        </w:rPr>
        <w:br w:type="page"/>
      </w:r>
      <w:bookmarkStart w:id="269" w:name="_Toc31038"/>
      <w:bookmarkStart w:id="270" w:name="_Toc32741"/>
      <w:bookmarkStart w:id="271" w:name="_Toc19958"/>
      <w:r>
        <w:rPr>
          <w:rFonts w:hint="eastAsia"/>
          <w:color w:val="auto"/>
          <w:highlight w:val="none"/>
        </w:rPr>
        <w:t>1 总则</w:t>
      </w:r>
      <w:bookmarkEnd w:id="269"/>
      <w:bookmarkEnd w:id="270"/>
      <w:bookmarkEnd w:id="271"/>
    </w:p>
    <w:p w14:paraId="7D30A261">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1.0.1 </w:t>
      </w:r>
      <w:r>
        <w:rPr>
          <w:rFonts w:hint="eastAsia" w:ascii="Times New Roman" w:hAnsi="Times New Roman" w:cs="Times New Roman"/>
          <w:color w:val="auto"/>
          <w:sz w:val="24"/>
          <w:highlight w:val="none"/>
        </w:rPr>
        <w:t>明确标准制定的目的，标准规定了安装质量、系统组网、系统性能、网管功能、系统安全等的检测要求，起到保证城市轨道交通移动通信信号分布系统工程质量的作用，为工程验收提供了依据</w:t>
      </w:r>
      <w:r>
        <w:rPr>
          <w:rFonts w:ascii="Times New Roman" w:hAnsi="Times New Roman" w:cs="Times New Roman"/>
          <w:color w:val="auto"/>
          <w:sz w:val="24"/>
          <w:highlight w:val="none"/>
        </w:rPr>
        <w:t>。</w:t>
      </w:r>
    </w:p>
    <w:p w14:paraId="15223D7C">
      <w:pPr>
        <w:spacing w:line="400" w:lineRule="exact"/>
        <w:rPr>
          <w:rFonts w:hint="eastAsia" w:ascii="Times New Roman" w:hAnsi="Times New Roman" w:cs="Times New Roman"/>
          <w:color w:val="auto"/>
          <w:sz w:val="24"/>
          <w:highlight w:val="none"/>
        </w:rPr>
      </w:pPr>
      <w:r>
        <w:rPr>
          <w:rFonts w:ascii="Times New Roman" w:hAnsi="Times New Roman" w:cs="Times New Roman"/>
          <w:color w:val="auto"/>
          <w:sz w:val="24"/>
          <w:highlight w:val="none"/>
        </w:rPr>
        <w:t xml:space="preserve">1.0.2 </w:t>
      </w:r>
      <w:r>
        <w:rPr>
          <w:rFonts w:hint="eastAsia" w:ascii="Times New Roman" w:hAnsi="Times New Roman" w:cs="Times New Roman"/>
          <w:color w:val="auto"/>
          <w:sz w:val="24"/>
          <w:highlight w:val="none"/>
        </w:rPr>
        <w:t>城市轨道交通移动通信系统是一个复杂而庞大的系统，包括专用通信系统、公</w:t>
      </w:r>
      <w:r>
        <w:rPr>
          <w:rFonts w:hint="eastAsia" w:ascii="Times New Roman" w:hAnsi="Times New Roman" w:cs="Times New Roman"/>
          <w:color w:val="auto"/>
          <w:sz w:val="24"/>
          <w:highlight w:val="none"/>
          <w:lang w:val="en-US" w:eastAsia="zh-CN"/>
        </w:rPr>
        <w:t>用</w:t>
      </w:r>
      <w:r>
        <w:rPr>
          <w:rFonts w:hint="eastAsia" w:ascii="Times New Roman" w:hAnsi="Times New Roman" w:cs="Times New Roman"/>
          <w:color w:val="auto"/>
          <w:sz w:val="24"/>
          <w:highlight w:val="none"/>
        </w:rPr>
        <w:t>通信系统、应急通信系统以及其他通信系统等多个方面。本条明确了本标准适用范围。</w:t>
      </w:r>
    </w:p>
    <w:p w14:paraId="25F787A4">
      <w:pPr>
        <w:spacing w:line="40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1.0.4 </w:t>
      </w:r>
      <w:r>
        <w:rPr>
          <w:rFonts w:hint="eastAsia" w:ascii="Times New Roman" w:hAnsi="Times New Roman" w:cs="Times New Roman"/>
          <w:color w:val="auto"/>
          <w:sz w:val="24"/>
          <w:highlight w:val="none"/>
        </w:rPr>
        <w:t>工程技术文件、承包合同文件要求采用其他标准时，应按要求采用适用的标准，但不应低于本标准的规定</w:t>
      </w:r>
      <w:r>
        <w:rPr>
          <w:rFonts w:ascii="Times New Roman" w:hAnsi="Times New Roman" w:cs="Times New Roman"/>
          <w:color w:val="auto"/>
          <w:sz w:val="24"/>
          <w:highlight w:val="none"/>
        </w:rPr>
        <w:t>。</w:t>
      </w:r>
    </w:p>
    <w:p w14:paraId="54BCC9C7">
      <w:pPr>
        <w:widowControl/>
        <w:ind w:firstLine="602"/>
        <w:jc w:val="left"/>
        <w:rPr>
          <w:rFonts w:cs="Times New Roman"/>
          <w:b/>
          <w:color w:val="auto"/>
          <w:kern w:val="44"/>
          <w:sz w:val="30"/>
          <w:szCs w:val="30"/>
          <w:highlight w:val="none"/>
        </w:rPr>
      </w:pPr>
    </w:p>
    <w:p w14:paraId="73C6E1EA">
      <w:pPr>
        <w:widowControl/>
        <w:ind w:firstLine="480"/>
        <w:jc w:val="left"/>
        <w:rPr>
          <w:rFonts w:cs="Times New Roman"/>
          <w:b/>
          <w:color w:val="auto"/>
          <w:kern w:val="44"/>
          <w:sz w:val="30"/>
          <w:szCs w:val="30"/>
          <w:highlight w:val="none"/>
        </w:rPr>
      </w:pPr>
      <w:r>
        <w:rPr>
          <w:color w:val="auto"/>
          <w:highlight w:val="none"/>
        </w:rPr>
        <w:br w:type="page"/>
      </w:r>
    </w:p>
    <w:p w14:paraId="76E387EF">
      <w:pPr>
        <w:pStyle w:val="2"/>
        <w:rPr>
          <w:color w:val="auto"/>
          <w:highlight w:val="none"/>
        </w:rPr>
      </w:pPr>
      <w:bookmarkStart w:id="272" w:name="_Toc636"/>
      <w:bookmarkStart w:id="273" w:name="_Toc5517"/>
      <w:bookmarkStart w:id="274" w:name="_Toc28115"/>
      <w:r>
        <w:rPr>
          <w:color w:val="auto"/>
          <w:highlight w:val="none"/>
        </w:rPr>
        <w:t>4 安装质量</w:t>
      </w:r>
      <w:bookmarkEnd w:id="272"/>
      <w:bookmarkEnd w:id="273"/>
      <w:bookmarkEnd w:id="274"/>
    </w:p>
    <w:p w14:paraId="48E3F059">
      <w:pPr>
        <w:pStyle w:val="3"/>
        <w:ind w:firstLine="482"/>
        <w:rPr>
          <w:color w:val="auto"/>
          <w:highlight w:val="none"/>
        </w:rPr>
      </w:pPr>
      <w:bookmarkStart w:id="275" w:name="_Toc16269"/>
      <w:bookmarkStart w:id="276" w:name="_Toc12620"/>
      <w:bookmarkStart w:id="277" w:name="_Toc17883"/>
      <w:r>
        <w:rPr>
          <w:color w:val="auto"/>
          <w:highlight w:val="none"/>
        </w:rPr>
        <w:t>4.2 缆线安装质量检查</w:t>
      </w:r>
      <w:bookmarkEnd w:id="275"/>
      <w:bookmarkEnd w:id="276"/>
      <w:bookmarkEnd w:id="277"/>
    </w:p>
    <w:p w14:paraId="5801720E">
      <w:pPr>
        <w:spacing w:line="360" w:lineRule="auto"/>
        <w:outlineLvl w:val="2"/>
        <w:rPr>
          <w:rFonts w:hint="eastAsia" w:ascii="Times New Roman" w:hAnsi="Times New Roman" w:eastAsia="宋体" w:cs="Times New Roman"/>
          <w:bCs/>
          <w:color w:val="auto"/>
          <w:sz w:val="24"/>
          <w:highlight w:val="none"/>
          <w:lang w:eastAsia="zh-CN"/>
        </w:rPr>
      </w:pPr>
      <w:bookmarkStart w:id="278" w:name="_Toc6212"/>
      <w:bookmarkStart w:id="279" w:name="_Toc28252"/>
      <w:bookmarkStart w:id="280" w:name="_Toc8753"/>
      <w:r>
        <w:rPr>
          <w:rFonts w:ascii="Times New Roman" w:hAnsi="Times New Roman" w:cs="Times New Roman"/>
          <w:bCs/>
          <w:color w:val="auto"/>
          <w:sz w:val="24"/>
          <w:highlight w:val="none"/>
        </w:rPr>
        <w:t xml:space="preserve">4.2.1 </w:t>
      </w:r>
      <w:r>
        <w:rPr>
          <w:rFonts w:hint="eastAsia" w:ascii="Times New Roman" w:hAnsi="Times New Roman" w:cs="Times New Roman"/>
          <w:bCs/>
          <w:color w:val="auto"/>
          <w:sz w:val="24"/>
          <w:highlight w:val="none"/>
          <w:lang w:val="en-US" w:eastAsia="zh-CN"/>
        </w:rPr>
        <w:t>本条对</w:t>
      </w:r>
      <w:r>
        <w:rPr>
          <w:rFonts w:ascii="Times New Roman" w:hAnsi="Times New Roman" w:cs="Times New Roman"/>
          <w:bCs/>
          <w:color w:val="auto"/>
          <w:sz w:val="24"/>
          <w:highlight w:val="none"/>
        </w:rPr>
        <w:t>馈线安装质量</w:t>
      </w:r>
      <w:r>
        <w:rPr>
          <w:rFonts w:hint="eastAsia" w:ascii="Times New Roman" w:hAnsi="Times New Roman" w:cs="Times New Roman"/>
          <w:bCs/>
          <w:color w:val="auto"/>
          <w:sz w:val="24"/>
          <w:highlight w:val="none"/>
          <w:lang w:val="en-US" w:eastAsia="zh-CN"/>
        </w:rPr>
        <w:t>做了相关</w:t>
      </w:r>
      <w:bookmarkEnd w:id="278"/>
      <w:bookmarkEnd w:id="279"/>
      <w:bookmarkEnd w:id="280"/>
      <w:r>
        <w:rPr>
          <w:rFonts w:hint="eastAsia" w:ascii="Times New Roman" w:hAnsi="Times New Roman" w:cs="Times New Roman"/>
          <w:bCs/>
          <w:color w:val="auto"/>
          <w:sz w:val="24"/>
          <w:highlight w:val="none"/>
          <w:lang w:val="en-US" w:eastAsia="zh-CN"/>
        </w:rPr>
        <w:t>规定</w:t>
      </w:r>
      <w:r>
        <w:rPr>
          <w:rFonts w:hint="eastAsia" w:ascii="Times New Roman" w:hAnsi="Times New Roman" w:cs="Times New Roman"/>
          <w:bCs/>
          <w:color w:val="auto"/>
          <w:sz w:val="24"/>
          <w:highlight w:val="none"/>
          <w:lang w:eastAsia="zh-CN"/>
        </w:rPr>
        <w:t>。</w:t>
      </w:r>
    </w:p>
    <w:p w14:paraId="470CD4EC">
      <w:pPr>
        <w:spacing w:line="360" w:lineRule="auto"/>
        <w:ind w:firstLine="480" w:firstLineChars="200"/>
        <w:rPr>
          <w:rFonts w:hint="default" w:ascii="宋体" w:hAnsi="宋体"/>
          <w:color w:val="auto"/>
          <w:sz w:val="24"/>
          <w:highlight w:val="none"/>
          <w:lang w:val="en-US" w:eastAsia="zh-CN"/>
        </w:rPr>
      </w:pPr>
      <w:r>
        <w:rPr>
          <w:rFonts w:ascii="Times New Roman" w:hAnsi="Times New Roman" w:cs="Times New Roman"/>
          <w:color w:val="auto"/>
          <w:sz w:val="24"/>
          <w:highlight w:val="none"/>
        </w:rPr>
        <w:t xml:space="preserve">2 </w:t>
      </w:r>
      <w:r>
        <w:rPr>
          <w:rFonts w:hint="eastAsia" w:ascii="宋体" w:hAnsi="宋体"/>
          <w:color w:val="auto"/>
          <w:sz w:val="24"/>
          <w:highlight w:val="none"/>
          <w:lang w:val="en-US" w:eastAsia="zh-CN"/>
        </w:rPr>
        <w:t>不同型号规格的馈线弯曲半径要求是不同的，单次弯曲主要考虑施工过程中搬运、敷设等引起的临时弯曲，多次弯曲主要考虑缆线敷设完成后最终形成的静态使用情况下的弯曲。一般根据使用的馈线规格可查找相应产品技术标准给出的弯曲半径要求，本处列出</w:t>
      </w:r>
      <w:r>
        <w:rPr>
          <w:rFonts w:hint="eastAsia" w:ascii="Times New Roman" w:hAnsi="Times New Roman" w:cs="Times New Roman"/>
          <w:color w:val="auto"/>
          <w:sz w:val="24"/>
          <w:highlight w:val="none"/>
          <w:lang w:val="en-US" w:eastAsia="zh-CN"/>
        </w:rPr>
        <w:t>了一般工程常用馈线弯曲半径要求如表1，以供参考使用。</w:t>
      </w:r>
    </w:p>
    <w:p w14:paraId="509FD8E5">
      <w:pPr>
        <w:spacing w:line="360" w:lineRule="auto"/>
        <w:ind w:firstLine="480" w:firstLineChars="200"/>
        <w:jc w:val="center"/>
        <w:rPr>
          <w:rFonts w:hint="default" w:ascii="宋体" w:hAnsi="宋体"/>
          <w:color w:val="auto"/>
          <w:sz w:val="24"/>
          <w:highlight w:val="none"/>
          <w:lang w:val="en-US" w:eastAsia="zh-CN"/>
        </w:rPr>
      </w:pPr>
      <w:r>
        <w:rPr>
          <w:rFonts w:hint="eastAsia" w:ascii="宋体" w:hAnsi="宋体"/>
          <w:color w:val="auto"/>
          <w:sz w:val="24"/>
          <w:highlight w:val="none"/>
          <w:lang w:val="en-US" w:eastAsia="zh-CN"/>
        </w:rPr>
        <w:t>表1 常用馈线弯曲半径要求</w:t>
      </w:r>
    </w:p>
    <w:tbl>
      <w:tblPr>
        <w:tblStyle w:val="30"/>
        <w:tblW w:w="46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6"/>
        <w:gridCol w:w="2498"/>
        <w:gridCol w:w="2896"/>
      </w:tblGrid>
      <w:tr w14:paraId="4E8F6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1560" w:type="pct"/>
            <w:noWrap/>
            <w:vAlign w:val="center"/>
          </w:tcPr>
          <w:p w14:paraId="1E0250D8">
            <w:pPr>
              <w:spacing w:line="360" w:lineRule="auto"/>
              <w:jc w:val="center"/>
              <w:rPr>
                <w:rFonts w:hint="default" w:ascii="宋体" w:hAnsi="宋体" w:eastAsia="宋体" w:cs="Times New Roman"/>
                <w:color w:val="auto"/>
                <w:sz w:val="24"/>
                <w:highlight w:val="none"/>
                <w:lang w:val="en-US" w:eastAsia="zh-CN"/>
              </w:rPr>
            </w:pPr>
            <w:r>
              <w:rPr>
                <w:rFonts w:hint="eastAsia" w:ascii="宋体" w:hAnsi="宋体" w:cs="Times New Roman"/>
                <w:color w:val="auto"/>
                <w:sz w:val="24"/>
                <w:highlight w:val="none"/>
                <w:lang w:val="en-US" w:eastAsia="zh-CN"/>
              </w:rPr>
              <w:t>馈线类型</w:t>
            </w:r>
          </w:p>
        </w:tc>
        <w:tc>
          <w:tcPr>
            <w:tcW w:w="1593" w:type="pct"/>
            <w:noWrap/>
            <w:vAlign w:val="center"/>
          </w:tcPr>
          <w:p w14:paraId="2B3770E7">
            <w:pPr>
              <w:spacing w:line="360" w:lineRule="auto"/>
              <w:jc w:val="center"/>
              <w:rPr>
                <w:rFonts w:hint="default" w:ascii="宋体" w:hAnsi="宋体" w:eastAsia="宋体" w:cs="Times New Roman"/>
                <w:color w:val="auto"/>
                <w:sz w:val="24"/>
                <w:highlight w:val="none"/>
                <w:lang w:val="en-US" w:eastAsia="zh-CN"/>
              </w:rPr>
            </w:pPr>
            <w:r>
              <w:rPr>
                <w:rFonts w:hint="eastAsia" w:ascii="宋体" w:hAnsi="宋体" w:cs="Times New Roman"/>
                <w:color w:val="auto"/>
                <w:sz w:val="24"/>
                <w:highlight w:val="none"/>
                <w:lang w:val="en-US" w:eastAsia="zh-CN"/>
              </w:rPr>
              <w:t>一次弯曲</w:t>
            </w:r>
            <w:r>
              <w:rPr>
                <w:rFonts w:hint="eastAsia" w:ascii="宋体" w:hAnsi="宋体"/>
                <w:color w:val="auto"/>
                <w:sz w:val="24"/>
                <w:highlight w:val="none"/>
              </w:rPr>
              <w:t>半径</w:t>
            </w:r>
          </w:p>
        </w:tc>
        <w:tc>
          <w:tcPr>
            <w:tcW w:w="2896" w:type="dxa"/>
            <w:noWrap/>
            <w:vAlign w:val="center"/>
          </w:tcPr>
          <w:p w14:paraId="74F635B6">
            <w:pPr>
              <w:spacing w:line="360" w:lineRule="auto"/>
              <w:jc w:val="center"/>
              <w:rPr>
                <w:rFonts w:ascii="宋体" w:hAnsi="宋体" w:cs="Times New Roman"/>
                <w:color w:val="auto"/>
                <w:sz w:val="24"/>
                <w:highlight w:val="none"/>
              </w:rPr>
            </w:pPr>
            <w:r>
              <w:rPr>
                <w:rFonts w:hint="eastAsia" w:ascii="宋体" w:hAnsi="宋体" w:cs="Times New Roman"/>
                <w:color w:val="auto"/>
                <w:sz w:val="24"/>
                <w:highlight w:val="none"/>
                <w:lang w:val="en-US" w:eastAsia="zh-CN"/>
              </w:rPr>
              <w:t>二次弯曲</w:t>
            </w:r>
            <w:r>
              <w:rPr>
                <w:rFonts w:hint="eastAsia" w:ascii="宋体" w:hAnsi="宋体"/>
                <w:color w:val="auto"/>
                <w:sz w:val="24"/>
                <w:highlight w:val="none"/>
              </w:rPr>
              <w:t>半径</w:t>
            </w:r>
          </w:p>
        </w:tc>
      </w:tr>
      <w:tr w14:paraId="263C7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60" w:type="pct"/>
            <w:noWrap/>
            <w:vAlign w:val="center"/>
          </w:tcPr>
          <w:p w14:paraId="217E4C43">
            <w:pPr>
              <w:spacing w:line="360" w:lineRule="auto"/>
              <w:jc w:val="center"/>
              <w:rPr>
                <w:rFonts w:ascii="宋体" w:hAnsi="宋体" w:cs="Times New Roman"/>
                <w:color w:val="auto"/>
                <w:sz w:val="24"/>
                <w:highlight w:val="none"/>
              </w:rPr>
            </w:pPr>
            <w:r>
              <w:rPr>
                <w:rFonts w:hint="eastAsia" w:ascii="宋体" w:hAnsi="宋体" w:cs="Times New Roman"/>
                <w:color w:val="auto"/>
                <w:sz w:val="24"/>
                <w:highlight w:val="none"/>
              </w:rPr>
              <w:t>1/2″</w:t>
            </w:r>
          </w:p>
        </w:tc>
        <w:tc>
          <w:tcPr>
            <w:tcW w:w="1593" w:type="pct"/>
            <w:noWrap/>
            <w:vAlign w:val="center"/>
          </w:tcPr>
          <w:p w14:paraId="1A1E690F">
            <w:pPr>
              <w:spacing w:line="360" w:lineRule="auto"/>
              <w:jc w:val="center"/>
              <w:rPr>
                <w:rFonts w:hint="default" w:ascii="宋体" w:hAnsi="宋体" w:eastAsia="宋体" w:cs="Times New Roman"/>
                <w:color w:val="auto"/>
                <w:sz w:val="24"/>
                <w:highlight w:val="none"/>
                <w:lang w:val="en-US" w:eastAsia="zh-CN"/>
              </w:rPr>
            </w:pPr>
            <w:r>
              <w:rPr>
                <w:rFonts w:hint="eastAsia" w:ascii="宋体" w:hAnsi="宋体" w:eastAsia="宋体" w:cs="宋体"/>
                <w:color w:val="auto"/>
                <w:sz w:val="24"/>
                <w:highlight w:val="none"/>
                <w:lang w:val="en-US" w:eastAsia="zh-CN"/>
              </w:rPr>
              <w:t>≧</w:t>
            </w:r>
            <w:r>
              <w:rPr>
                <w:rFonts w:hint="eastAsia" w:ascii="宋体" w:hAnsi="宋体" w:cs="Times New Roman"/>
                <w:color w:val="auto"/>
                <w:sz w:val="24"/>
                <w:highlight w:val="none"/>
                <w:lang w:val="en-US" w:eastAsia="zh-CN"/>
              </w:rPr>
              <w:t>70</w:t>
            </w:r>
            <w:r>
              <w:rPr>
                <w:rFonts w:hint="eastAsia" w:ascii="宋体" w:hAnsi="宋体"/>
                <w:color w:val="auto"/>
                <w:sz w:val="24"/>
                <w:highlight w:val="none"/>
              </w:rPr>
              <w:t>㎜</w:t>
            </w:r>
          </w:p>
        </w:tc>
        <w:tc>
          <w:tcPr>
            <w:tcW w:w="1847" w:type="pct"/>
            <w:noWrap/>
            <w:vAlign w:val="center"/>
          </w:tcPr>
          <w:p w14:paraId="3F60332E">
            <w:pPr>
              <w:spacing w:line="360" w:lineRule="auto"/>
              <w:jc w:val="center"/>
              <w:rPr>
                <w:rFonts w:hint="default" w:ascii="宋体" w:hAnsi="宋体" w:eastAsia="宋体" w:cs="Times New Roman"/>
                <w:color w:val="auto"/>
                <w:sz w:val="24"/>
                <w:highlight w:val="none"/>
                <w:lang w:val="en-US" w:eastAsia="zh-CN"/>
              </w:rPr>
            </w:pPr>
            <w:r>
              <w:rPr>
                <w:rFonts w:hint="eastAsia" w:ascii="宋体" w:hAnsi="宋体" w:eastAsia="宋体" w:cs="宋体"/>
                <w:color w:val="auto"/>
                <w:sz w:val="24"/>
                <w:highlight w:val="none"/>
                <w:lang w:val="en-US" w:eastAsia="zh-CN"/>
              </w:rPr>
              <w:t>≧</w:t>
            </w:r>
            <w:r>
              <w:rPr>
                <w:rFonts w:hint="eastAsia" w:ascii="宋体" w:hAnsi="宋体" w:cs="Times New Roman"/>
                <w:color w:val="auto"/>
                <w:sz w:val="24"/>
                <w:highlight w:val="none"/>
                <w:lang w:val="en-US" w:eastAsia="zh-CN"/>
              </w:rPr>
              <w:t>210</w:t>
            </w:r>
            <w:r>
              <w:rPr>
                <w:rFonts w:hint="eastAsia" w:ascii="宋体" w:hAnsi="宋体"/>
                <w:color w:val="auto"/>
                <w:sz w:val="24"/>
                <w:highlight w:val="none"/>
              </w:rPr>
              <w:t>㎜</w:t>
            </w:r>
          </w:p>
        </w:tc>
      </w:tr>
      <w:tr w14:paraId="28AB4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60" w:type="pct"/>
            <w:noWrap/>
            <w:vAlign w:val="center"/>
          </w:tcPr>
          <w:p w14:paraId="742B83C4">
            <w:pPr>
              <w:spacing w:line="360" w:lineRule="auto"/>
              <w:jc w:val="center"/>
              <w:rPr>
                <w:rFonts w:ascii="宋体" w:hAnsi="宋体" w:cs="Times New Roman"/>
                <w:color w:val="auto"/>
                <w:sz w:val="24"/>
                <w:highlight w:val="none"/>
              </w:rPr>
            </w:pPr>
            <w:r>
              <w:rPr>
                <w:rFonts w:hint="eastAsia" w:ascii="宋体" w:hAnsi="宋体" w:cs="Times New Roman"/>
                <w:color w:val="auto"/>
                <w:sz w:val="24"/>
                <w:highlight w:val="none"/>
                <w:lang w:val="en-US" w:eastAsia="zh-CN"/>
              </w:rPr>
              <w:t>7</w:t>
            </w:r>
            <w:r>
              <w:rPr>
                <w:rFonts w:hint="eastAsia" w:ascii="宋体" w:hAnsi="宋体" w:cs="Times New Roman"/>
                <w:color w:val="auto"/>
                <w:sz w:val="24"/>
                <w:highlight w:val="none"/>
              </w:rPr>
              <w:t>/</w:t>
            </w:r>
            <w:r>
              <w:rPr>
                <w:rFonts w:hint="eastAsia" w:ascii="宋体" w:hAnsi="宋体" w:cs="Times New Roman"/>
                <w:color w:val="auto"/>
                <w:sz w:val="24"/>
                <w:highlight w:val="none"/>
                <w:lang w:val="en-US" w:eastAsia="zh-CN"/>
              </w:rPr>
              <w:t>8</w:t>
            </w:r>
            <w:r>
              <w:rPr>
                <w:rFonts w:hint="eastAsia" w:ascii="宋体" w:hAnsi="宋体" w:cs="Times New Roman"/>
                <w:color w:val="auto"/>
                <w:sz w:val="24"/>
                <w:highlight w:val="none"/>
              </w:rPr>
              <w:t>″</w:t>
            </w:r>
          </w:p>
        </w:tc>
        <w:tc>
          <w:tcPr>
            <w:tcW w:w="1593" w:type="pct"/>
            <w:noWrap/>
            <w:vAlign w:val="center"/>
          </w:tcPr>
          <w:p w14:paraId="41707773">
            <w:pPr>
              <w:spacing w:line="360" w:lineRule="auto"/>
              <w:jc w:val="center"/>
              <w:rPr>
                <w:rFonts w:hint="default" w:ascii="宋体" w:hAnsi="宋体" w:eastAsia="宋体" w:cs="Times New Roman"/>
                <w:color w:val="auto"/>
                <w:sz w:val="24"/>
                <w:highlight w:val="none"/>
                <w:lang w:val="en-US" w:eastAsia="zh-CN"/>
              </w:rPr>
            </w:pPr>
            <w:r>
              <w:rPr>
                <w:rFonts w:hint="eastAsia" w:ascii="宋体" w:hAnsi="宋体" w:eastAsia="宋体" w:cs="宋体"/>
                <w:color w:val="auto"/>
                <w:sz w:val="24"/>
                <w:highlight w:val="none"/>
                <w:lang w:val="en-US" w:eastAsia="zh-CN"/>
              </w:rPr>
              <w:t>≧</w:t>
            </w:r>
            <w:r>
              <w:rPr>
                <w:rFonts w:hint="eastAsia" w:ascii="宋体" w:hAnsi="宋体" w:cs="Times New Roman"/>
                <w:color w:val="auto"/>
                <w:sz w:val="24"/>
                <w:highlight w:val="none"/>
                <w:lang w:val="en-US" w:eastAsia="zh-CN"/>
              </w:rPr>
              <w:t>120</w:t>
            </w:r>
            <w:r>
              <w:rPr>
                <w:rFonts w:hint="eastAsia" w:ascii="宋体" w:hAnsi="宋体"/>
                <w:color w:val="auto"/>
                <w:sz w:val="24"/>
                <w:highlight w:val="none"/>
              </w:rPr>
              <w:t>㎜</w:t>
            </w:r>
          </w:p>
        </w:tc>
        <w:tc>
          <w:tcPr>
            <w:tcW w:w="1847" w:type="pct"/>
            <w:noWrap/>
            <w:vAlign w:val="center"/>
          </w:tcPr>
          <w:p w14:paraId="054FA804">
            <w:pPr>
              <w:keepNext/>
              <w:spacing w:line="360" w:lineRule="auto"/>
              <w:jc w:val="center"/>
              <w:rPr>
                <w:rFonts w:hint="default" w:ascii="宋体" w:hAnsi="宋体" w:eastAsia="宋体" w:cs="Times New Roman"/>
                <w:color w:val="auto"/>
                <w:sz w:val="24"/>
                <w:highlight w:val="none"/>
                <w:lang w:val="en-US" w:eastAsia="zh-CN"/>
              </w:rPr>
            </w:pPr>
            <w:r>
              <w:rPr>
                <w:rFonts w:hint="eastAsia" w:ascii="宋体" w:hAnsi="宋体" w:eastAsia="宋体" w:cs="宋体"/>
                <w:color w:val="auto"/>
                <w:sz w:val="24"/>
                <w:highlight w:val="none"/>
                <w:lang w:val="en-US" w:eastAsia="zh-CN"/>
              </w:rPr>
              <w:t>≧</w:t>
            </w:r>
            <w:r>
              <w:rPr>
                <w:rFonts w:hint="eastAsia" w:ascii="宋体" w:hAnsi="宋体" w:cs="Times New Roman"/>
                <w:color w:val="auto"/>
                <w:sz w:val="24"/>
                <w:highlight w:val="none"/>
                <w:lang w:val="en-US" w:eastAsia="zh-CN"/>
              </w:rPr>
              <w:t>360</w:t>
            </w:r>
            <w:r>
              <w:rPr>
                <w:rFonts w:hint="eastAsia" w:ascii="宋体" w:hAnsi="宋体"/>
                <w:color w:val="auto"/>
                <w:sz w:val="24"/>
                <w:highlight w:val="none"/>
              </w:rPr>
              <w:t>㎜</w:t>
            </w:r>
          </w:p>
        </w:tc>
      </w:tr>
    </w:tbl>
    <w:p w14:paraId="5320F0B3">
      <w:pPr>
        <w:spacing w:line="360" w:lineRule="auto"/>
        <w:ind w:firstLine="480" w:firstLineChars="200"/>
        <w:rPr>
          <w:rFonts w:hint="eastAsia" w:ascii="宋体" w:hAnsi="宋体"/>
          <w:color w:val="auto"/>
          <w:sz w:val="24"/>
          <w:highlight w:val="none"/>
        </w:rPr>
      </w:pPr>
      <w:r>
        <w:rPr>
          <w:rFonts w:hint="eastAsia" w:ascii="Times New Roman" w:hAnsi="Times New Roman" w:cs="Times New Roman"/>
          <w:color w:val="auto"/>
          <w:sz w:val="24"/>
          <w:highlight w:val="none"/>
          <w:lang w:val="en-US" w:eastAsia="zh-CN"/>
        </w:rPr>
        <w:t>3</w:t>
      </w:r>
      <w:r>
        <w:rPr>
          <w:rFonts w:ascii="Times New Roman" w:hAnsi="Times New Roman" w:cs="Times New Roman"/>
          <w:color w:val="auto"/>
          <w:sz w:val="24"/>
          <w:highlight w:val="none"/>
        </w:rPr>
        <w:t xml:space="preserve"> </w:t>
      </w:r>
      <w:r>
        <w:rPr>
          <w:rFonts w:hint="eastAsia" w:ascii="Times New Roman" w:hAnsi="Times New Roman" w:cs="Times New Roman"/>
          <w:color w:val="auto"/>
          <w:sz w:val="24"/>
          <w:highlight w:val="none"/>
          <w:lang w:val="en-US" w:eastAsia="zh-CN"/>
        </w:rPr>
        <w:t>本条提出的馈线固定间距是根据现有馈线的外径、自重、软硬程度等提出的经验值，</w:t>
      </w:r>
      <w:r>
        <w:rPr>
          <w:rFonts w:hint="eastAsia" w:ascii="宋体" w:hAnsi="宋体"/>
          <w:color w:val="auto"/>
          <w:sz w:val="24"/>
          <w:highlight w:val="none"/>
          <w:lang w:val="en-US" w:eastAsia="zh-CN"/>
        </w:rPr>
        <w:t>本处列出</w:t>
      </w:r>
      <w:r>
        <w:rPr>
          <w:rFonts w:hint="eastAsia" w:ascii="Times New Roman" w:hAnsi="Times New Roman" w:cs="Times New Roman"/>
          <w:color w:val="auto"/>
          <w:sz w:val="24"/>
          <w:highlight w:val="none"/>
          <w:lang w:val="en-US" w:eastAsia="zh-CN"/>
        </w:rPr>
        <w:t>了一般工程常用馈线固定间距要求如表2，以供参考使用。</w:t>
      </w:r>
    </w:p>
    <w:p w14:paraId="484C1313">
      <w:pPr>
        <w:spacing w:line="360" w:lineRule="auto"/>
        <w:ind w:firstLine="480" w:firstLineChars="200"/>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表2 常用馈线固定间距要求</w:t>
      </w:r>
    </w:p>
    <w:tbl>
      <w:tblPr>
        <w:tblStyle w:val="30"/>
        <w:tblW w:w="46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6"/>
        <w:gridCol w:w="2498"/>
        <w:gridCol w:w="2896"/>
      </w:tblGrid>
      <w:tr w14:paraId="321DC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1560" w:type="pct"/>
            <w:noWrap/>
            <w:vAlign w:val="center"/>
          </w:tcPr>
          <w:p w14:paraId="447CA5A4">
            <w:pPr>
              <w:spacing w:line="360" w:lineRule="auto"/>
              <w:jc w:val="center"/>
              <w:rPr>
                <w:rFonts w:ascii="宋体" w:hAnsi="宋体" w:cs="Times New Roman"/>
                <w:color w:val="auto"/>
                <w:sz w:val="24"/>
                <w:highlight w:val="none"/>
              </w:rPr>
            </w:pPr>
            <w:r>
              <w:rPr>
                <w:rFonts w:hint="eastAsia" w:ascii="宋体" w:hAnsi="宋体" w:cs="Times New Roman"/>
                <w:color w:val="auto"/>
                <w:sz w:val="24"/>
                <w:highlight w:val="none"/>
              </w:rPr>
              <w:t>布放方式</w:t>
            </w:r>
          </w:p>
        </w:tc>
        <w:tc>
          <w:tcPr>
            <w:tcW w:w="2498" w:type="dxa"/>
            <w:noWrap/>
            <w:vAlign w:val="top"/>
          </w:tcPr>
          <w:p w14:paraId="484E1CE8">
            <w:pPr>
              <w:spacing w:line="360" w:lineRule="auto"/>
              <w:jc w:val="center"/>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7</w:t>
            </w:r>
            <w:r>
              <w:rPr>
                <w:rFonts w:hint="eastAsia" w:ascii="宋体" w:hAnsi="宋体" w:cs="Times New Roman"/>
                <w:color w:val="auto"/>
                <w:sz w:val="24"/>
                <w:highlight w:val="none"/>
              </w:rPr>
              <w:t>/</w:t>
            </w:r>
            <w:r>
              <w:rPr>
                <w:rFonts w:hint="eastAsia" w:ascii="宋体" w:hAnsi="宋体" w:cs="Times New Roman"/>
                <w:color w:val="auto"/>
                <w:sz w:val="24"/>
                <w:highlight w:val="none"/>
                <w:lang w:val="en-US" w:eastAsia="zh-CN"/>
              </w:rPr>
              <w:t>8</w:t>
            </w:r>
            <w:r>
              <w:rPr>
                <w:rFonts w:hint="eastAsia" w:ascii="宋体" w:hAnsi="宋体" w:cs="Times New Roman"/>
                <w:color w:val="auto"/>
                <w:sz w:val="24"/>
                <w:highlight w:val="none"/>
              </w:rPr>
              <w:t>″</w:t>
            </w:r>
            <w:r>
              <w:rPr>
                <w:rFonts w:hint="eastAsia" w:ascii="宋体" w:hAnsi="宋体" w:cs="Times New Roman"/>
                <w:color w:val="auto"/>
                <w:sz w:val="24"/>
                <w:highlight w:val="none"/>
                <w:lang w:val="en-US" w:eastAsia="zh-CN"/>
              </w:rPr>
              <w:t>馈线</w:t>
            </w:r>
          </w:p>
        </w:tc>
        <w:tc>
          <w:tcPr>
            <w:tcW w:w="2896" w:type="dxa"/>
            <w:noWrap/>
            <w:vAlign w:val="top"/>
          </w:tcPr>
          <w:p w14:paraId="50B1C734">
            <w:pPr>
              <w:spacing w:line="360" w:lineRule="auto"/>
              <w:jc w:val="center"/>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rPr>
              <w:t>1/2″</w:t>
            </w:r>
            <w:r>
              <w:rPr>
                <w:rFonts w:hint="eastAsia" w:ascii="宋体" w:hAnsi="宋体" w:cs="Times New Roman"/>
                <w:color w:val="auto"/>
                <w:sz w:val="24"/>
                <w:highlight w:val="none"/>
                <w:lang w:val="en-US" w:eastAsia="zh-CN"/>
              </w:rPr>
              <w:t>馈线</w:t>
            </w:r>
          </w:p>
        </w:tc>
      </w:tr>
      <w:tr w14:paraId="31EFA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60" w:type="pct"/>
            <w:noWrap/>
            <w:vAlign w:val="center"/>
          </w:tcPr>
          <w:p w14:paraId="16C3E120">
            <w:pPr>
              <w:spacing w:line="360" w:lineRule="auto"/>
              <w:ind w:firstLine="480" w:firstLineChars="200"/>
              <w:jc w:val="left"/>
              <w:rPr>
                <w:rFonts w:ascii="宋体" w:hAnsi="宋体" w:cs="Times New Roman"/>
                <w:color w:val="auto"/>
                <w:sz w:val="24"/>
                <w:highlight w:val="none"/>
              </w:rPr>
            </w:pPr>
            <w:r>
              <w:rPr>
                <w:rFonts w:hint="eastAsia" w:ascii="宋体" w:hAnsi="宋体" w:cs="Times New Roman"/>
                <w:color w:val="auto"/>
                <w:sz w:val="24"/>
                <w:highlight w:val="none"/>
              </w:rPr>
              <w:t xml:space="preserve">水平布放时 </w:t>
            </w:r>
          </w:p>
        </w:tc>
        <w:tc>
          <w:tcPr>
            <w:tcW w:w="2498" w:type="dxa"/>
            <w:noWrap/>
            <w:vAlign w:val="top"/>
          </w:tcPr>
          <w:p w14:paraId="5E0BEF1A">
            <w:pPr>
              <w:spacing w:line="360" w:lineRule="auto"/>
              <w:jc w:val="center"/>
              <w:rPr>
                <w:rFonts w:hint="eastAsia" w:ascii="宋体" w:hAnsi="宋体" w:cs="Times New Roman"/>
                <w:color w:val="auto"/>
                <w:sz w:val="24"/>
                <w:highlight w:val="none"/>
                <w:lang w:val="en-US" w:eastAsia="zh-CN"/>
              </w:rPr>
            </w:pPr>
            <w:r>
              <w:rPr>
                <w:rFonts w:hint="eastAsia" w:asciiTheme="minorEastAsia" w:hAnsiTheme="minorEastAsia" w:eastAsiaTheme="minorEastAsia" w:cstheme="minorEastAsia"/>
                <w:color w:val="auto"/>
                <w:sz w:val="24"/>
                <w:highlight w:val="none"/>
              </w:rPr>
              <w:t>≦</w:t>
            </w:r>
            <w:r>
              <w:rPr>
                <w:rFonts w:hint="eastAsia" w:ascii="宋体" w:hAnsi="宋体" w:cs="Times New Roman"/>
                <w:color w:val="auto"/>
                <w:sz w:val="24"/>
                <w:highlight w:val="none"/>
                <w:lang w:val="en-US" w:eastAsia="zh-CN"/>
              </w:rPr>
              <w:t>1.0m</w:t>
            </w:r>
          </w:p>
        </w:tc>
        <w:tc>
          <w:tcPr>
            <w:tcW w:w="2896" w:type="dxa"/>
            <w:noWrap/>
            <w:vAlign w:val="top"/>
          </w:tcPr>
          <w:p w14:paraId="1264DF45">
            <w:pPr>
              <w:spacing w:line="360" w:lineRule="auto"/>
              <w:jc w:val="center"/>
              <w:rPr>
                <w:rFonts w:hint="eastAsia" w:ascii="宋体" w:hAnsi="宋体" w:cs="Times New Roman"/>
                <w:color w:val="auto"/>
                <w:sz w:val="24"/>
                <w:highlight w:val="none"/>
                <w:lang w:val="en-US" w:eastAsia="zh-CN"/>
              </w:rPr>
            </w:pPr>
            <w:r>
              <w:rPr>
                <w:rFonts w:hint="eastAsia" w:asciiTheme="minorEastAsia" w:hAnsiTheme="minorEastAsia" w:eastAsiaTheme="minorEastAsia" w:cstheme="minorEastAsia"/>
                <w:color w:val="auto"/>
                <w:sz w:val="24"/>
                <w:highlight w:val="none"/>
              </w:rPr>
              <w:t>≦</w:t>
            </w:r>
            <w:r>
              <w:rPr>
                <w:rFonts w:hint="eastAsia" w:ascii="宋体" w:hAnsi="宋体" w:cs="Times New Roman"/>
                <w:color w:val="auto"/>
                <w:sz w:val="24"/>
                <w:highlight w:val="none"/>
                <w:lang w:val="en-US" w:eastAsia="zh-CN"/>
              </w:rPr>
              <w:t>1.5m</w:t>
            </w:r>
          </w:p>
        </w:tc>
      </w:tr>
      <w:tr w14:paraId="27CDE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60" w:type="pct"/>
            <w:noWrap/>
            <w:vAlign w:val="center"/>
          </w:tcPr>
          <w:p w14:paraId="059624DF">
            <w:pPr>
              <w:spacing w:line="360" w:lineRule="auto"/>
              <w:ind w:firstLine="480" w:firstLineChars="200"/>
              <w:jc w:val="left"/>
              <w:rPr>
                <w:rFonts w:ascii="宋体" w:hAnsi="宋体" w:cs="Times New Roman"/>
                <w:color w:val="auto"/>
                <w:sz w:val="24"/>
                <w:highlight w:val="none"/>
              </w:rPr>
            </w:pPr>
            <w:r>
              <w:rPr>
                <w:rFonts w:hint="eastAsia" w:ascii="宋体" w:hAnsi="宋体" w:cs="Times New Roman"/>
                <w:color w:val="auto"/>
                <w:sz w:val="24"/>
                <w:highlight w:val="none"/>
              </w:rPr>
              <w:t xml:space="preserve">垂直布放时 </w:t>
            </w:r>
          </w:p>
        </w:tc>
        <w:tc>
          <w:tcPr>
            <w:tcW w:w="2498" w:type="dxa"/>
            <w:noWrap/>
            <w:vAlign w:val="top"/>
          </w:tcPr>
          <w:p w14:paraId="31022DE5">
            <w:pPr>
              <w:spacing w:line="360" w:lineRule="auto"/>
              <w:jc w:val="center"/>
              <w:rPr>
                <w:rFonts w:hint="eastAsia" w:ascii="宋体" w:hAnsi="宋体" w:cs="Times New Roman"/>
                <w:color w:val="auto"/>
                <w:sz w:val="24"/>
                <w:highlight w:val="none"/>
                <w:lang w:val="en-US" w:eastAsia="zh-CN"/>
              </w:rPr>
            </w:pPr>
            <w:r>
              <w:rPr>
                <w:rFonts w:hint="eastAsia" w:asciiTheme="minorEastAsia" w:hAnsiTheme="minorEastAsia" w:eastAsiaTheme="minorEastAsia" w:cstheme="minorEastAsia"/>
                <w:color w:val="auto"/>
                <w:sz w:val="24"/>
                <w:highlight w:val="none"/>
              </w:rPr>
              <w:t>≦</w:t>
            </w:r>
            <w:r>
              <w:rPr>
                <w:rFonts w:hint="eastAsia" w:ascii="宋体" w:hAnsi="宋体" w:cs="Times New Roman"/>
                <w:color w:val="auto"/>
                <w:sz w:val="24"/>
                <w:highlight w:val="none"/>
                <w:lang w:val="en-US" w:eastAsia="zh-CN"/>
              </w:rPr>
              <w:t>0.8m</w:t>
            </w:r>
          </w:p>
        </w:tc>
        <w:tc>
          <w:tcPr>
            <w:tcW w:w="2896" w:type="dxa"/>
            <w:noWrap/>
            <w:vAlign w:val="top"/>
          </w:tcPr>
          <w:p w14:paraId="56DF20AB">
            <w:pPr>
              <w:spacing w:line="360" w:lineRule="auto"/>
              <w:jc w:val="center"/>
              <w:rPr>
                <w:rFonts w:hint="eastAsia" w:ascii="宋体" w:hAnsi="宋体" w:cs="Times New Roman"/>
                <w:color w:val="auto"/>
                <w:sz w:val="24"/>
                <w:highlight w:val="none"/>
                <w:lang w:val="en-US" w:eastAsia="zh-CN"/>
              </w:rPr>
            </w:pPr>
            <w:r>
              <w:rPr>
                <w:rFonts w:hint="eastAsia" w:asciiTheme="minorEastAsia" w:hAnsiTheme="minorEastAsia" w:eastAsiaTheme="minorEastAsia" w:cstheme="minorEastAsia"/>
                <w:color w:val="auto"/>
                <w:sz w:val="24"/>
                <w:highlight w:val="none"/>
              </w:rPr>
              <w:t>≦</w:t>
            </w:r>
            <w:r>
              <w:rPr>
                <w:rFonts w:hint="eastAsia" w:ascii="宋体" w:hAnsi="宋体" w:cs="Times New Roman"/>
                <w:color w:val="auto"/>
                <w:sz w:val="24"/>
                <w:highlight w:val="none"/>
                <w:lang w:val="en-US" w:eastAsia="zh-CN"/>
              </w:rPr>
              <w:t>1.0m</w:t>
            </w:r>
          </w:p>
        </w:tc>
      </w:tr>
    </w:tbl>
    <w:p w14:paraId="52110092">
      <w:pPr>
        <w:spacing w:line="360" w:lineRule="auto"/>
        <w:outlineLvl w:val="2"/>
        <w:rPr>
          <w:rFonts w:hint="eastAsia" w:ascii="Times New Roman" w:hAnsi="Times New Roman" w:eastAsia="宋体" w:cs="Times New Roman"/>
          <w:color w:val="auto"/>
          <w:sz w:val="24"/>
          <w:highlight w:val="none"/>
          <w:lang w:eastAsia="zh-CN"/>
        </w:rPr>
      </w:pPr>
      <w:bookmarkStart w:id="281" w:name="_Toc3611"/>
      <w:r>
        <w:rPr>
          <w:rFonts w:hint="eastAsia" w:ascii="Times New Roman" w:hAnsi="Times New Roman" w:cs="Times New Roman"/>
          <w:color w:val="auto"/>
          <w:sz w:val="24"/>
          <w:highlight w:val="none"/>
        </w:rPr>
        <w:t>4.2.2</w:t>
      </w:r>
      <w:r>
        <w:rPr>
          <w:rFonts w:ascii="Times New Roman" w:hAnsi="Times New Roman" w:cs="Times New Roman"/>
          <w:bCs/>
          <w:color w:val="auto"/>
          <w:sz w:val="24"/>
          <w:highlight w:val="none"/>
        </w:rPr>
        <w:t xml:space="preserve"> </w:t>
      </w:r>
      <w:r>
        <w:rPr>
          <w:rFonts w:hint="eastAsia" w:ascii="Times New Roman" w:hAnsi="Times New Roman" w:cs="Times New Roman"/>
          <w:bCs/>
          <w:color w:val="auto"/>
          <w:sz w:val="24"/>
          <w:highlight w:val="none"/>
          <w:lang w:val="en-US" w:eastAsia="zh-CN"/>
        </w:rPr>
        <w:t>本条对</w:t>
      </w:r>
      <w:r>
        <w:rPr>
          <w:rFonts w:ascii="Times New Roman" w:hAnsi="Times New Roman" w:cs="Times New Roman"/>
          <w:bCs/>
          <w:color w:val="auto"/>
          <w:sz w:val="24"/>
          <w:highlight w:val="none"/>
        </w:rPr>
        <w:t>泄漏电缆安装质量</w:t>
      </w:r>
      <w:r>
        <w:rPr>
          <w:rFonts w:hint="eastAsia" w:ascii="Times New Roman" w:hAnsi="Times New Roman" w:cs="Times New Roman"/>
          <w:bCs/>
          <w:color w:val="auto"/>
          <w:sz w:val="24"/>
          <w:highlight w:val="none"/>
          <w:lang w:val="en-US" w:eastAsia="zh-CN"/>
        </w:rPr>
        <w:t>做了相关</w:t>
      </w:r>
      <w:bookmarkEnd w:id="281"/>
      <w:r>
        <w:rPr>
          <w:rFonts w:hint="eastAsia" w:ascii="Times New Roman" w:hAnsi="Times New Roman" w:cs="Times New Roman"/>
          <w:bCs/>
          <w:color w:val="auto"/>
          <w:sz w:val="24"/>
          <w:highlight w:val="none"/>
          <w:lang w:val="en-US" w:eastAsia="zh-CN"/>
        </w:rPr>
        <w:t>规定</w:t>
      </w:r>
      <w:r>
        <w:rPr>
          <w:rFonts w:hint="eastAsia" w:ascii="Times New Roman" w:hAnsi="Times New Roman" w:cs="Times New Roman"/>
          <w:bCs/>
          <w:color w:val="auto"/>
          <w:sz w:val="24"/>
          <w:highlight w:val="none"/>
          <w:lang w:eastAsia="zh-CN"/>
        </w:rPr>
        <w:t>。</w:t>
      </w:r>
    </w:p>
    <w:p w14:paraId="728D05DD">
      <w:pPr>
        <w:spacing w:line="360" w:lineRule="auto"/>
        <w:ind w:firstLine="480" w:firstLineChars="200"/>
        <w:rPr>
          <w:rFonts w:hint="eastAsia" w:ascii="Times New Roman" w:hAnsi="Times New Roman" w:eastAsia="宋体" w:cs="Times New Roman"/>
          <w:color w:val="auto"/>
          <w:sz w:val="24"/>
          <w:highlight w:val="none"/>
          <w:lang w:eastAsia="zh-CN"/>
        </w:rPr>
      </w:pPr>
      <w:r>
        <w:rPr>
          <w:rFonts w:ascii="Times New Roman" w:hAnsi="Times New Roman" w:cs="Times New Roman"/>
          <w:color w:val="auto"/>
          <w:sz w:val="24"/>
          <w:highlight w:val="none"/>
        </w:rPr>
        <w:t xml:space="preserve">1 </w:t>
      </w:r>
      <w:r>
        <w:rPr>
          <w:rFonts w:hint="eastAsia" w:ascii="Times New Roman" w:hAnsi="Times New Roman" w:cs="Times New Roman"/>
          <w:color w:val="auto"/>
          <w:sz w:val="24"/>
          <w:highlight w:val="none"/>
        </w:rPr>
        <w:t>泄漏电缆布放时</w:t>
      </w:r>
      <w:r>
        <w:rPr>
          <w:rFonts w:ascii="Times New Roman" w:hAnsi="Times New Roman" w:cs="Times New Roman"/>
          <w:color w:val="auto"/>
          <w:sz w:val="24"/>
          <w:highlight w:val="none"/>
        </w:rPr>
        <w:t>安装位置、安装方式应符合设计要求</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在布放时，</w:t>
      </w:r>
      <w:r>
        <w:rPr>
          <w:rFonts w:hint="eastAsia" w:ascii="Times New Roman" w:hAnsi="Times New Roman" w:cs="Times New Roman"/>
          <w:color w:val="auto"/>
          <w:sz w:val="24"/>
          <w:highlight w:val="none"/>
        </w:rPr>
        <w:t>不应从锋利的边或角上划过</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rPr>
        <w:t>如果不得不将泄漏电缆长距离的从地面或小的障碍物上拉过，</w:t>
      </w:r>
      <w:r>
        <w:rPr>
          <w:rFonts w:hint="eastAsia" w:ascii="Times New Roman" w:hAnsi="Times New Roman" w:cs="Times New Roman"/>
          <w:color w:val="auto"/>
          <w:sz w:val="24"/>
          <w:highlight w:val="none"/>
          <w:lang w:val="en-US" w:eastAsia="zh-CN"/>
        </w:rPr>
        <w:t>可以</w:t>
      </w:r>
      <w:r>
        <w:rPr>
          <w:rFonts w:hint="eastAsia" w:ascii="Times New Roman" w:hAnsi="Times New Roman" w:cs="Times New Roman"/>
          <w:color w:val="auto"/>
          <w:sz w:val="24"/>
          <w:highlight w:val="none"/>
        </w:rPr>
        <w:t>使用落地滚筒</w:t>
      </w:r>
      <w:r>
        <w:rPr>
          <w:rFonts w:hint="eastAsia" w:ascii="Times New Roman" w:hAnsi="Times New Roman" w:cs="Times New Roman"/>
          <w:color w:val="auto"/>
          <w:sz w:val="24"/>
          <w:highlight w:val="none"/>
          <w:lang w:val="en-US" w:eastAsia="zh-CN"/>
        </w:rPr>
        <w:t>等方式</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泄漏电缆</w:t>
      </w:r>
      <w:r>
        <w:rPr>
          <w:rFonts w:hint="eastAsia" w:ascii="Times New Roman" w:hAnsi="Times New Roman" w:cs="Times New Roman"/>
          <w:color w:val="auto"/>
          <w:sz w:val="24"/>
          <w:highlight w:val="none"/>
          <w:lang w:val="en-US" w:eastAsia="zh-CN"/>
        </w:rPr>
        <w:t>安装过程中</w:t>
      </w:r>
      <w:r>
        <w:rPr>
          <w:rFonts w:hint="eastAsia" w:ascii="Times New Roman" w:hAnsi="Times New Roman" w:cs="Times New Roman"/>
          <w:color w:val="auto"/>
          <w:sz w:val="24"/>
          <w:highlight w:val="none"/>
        </w:rPr>
        <w:t>卡具是固定</w:t>
      </w:r>
      <w:r>
        <w:rPr>
          <w:rFonts w:hint="eastAsia" w:ascii="Times New Roman" w:hAnsi="Times New Roman" w:cs="Times New Roman"/>
          <w:color w:val="auto"/>
          <w:sz w:val="24"/>
          <w:highlight w:val="none"/>
          <w:lang w:val="en-US" w:eastAsia="zh-CN"/>
        </w:rPr>
        <w:t>电缆</w:t>
      </w:r>
      <w:r>
        <w:rPr>
          <w:rFonts w:hint="eastAsia" w:ascii="Times New Roman" w:hAnsi="Times New Roman" w:cs="Times New Roman"/>
          <w:color w:val="auto"/>
          <w:sz w:val="24"/>
          <w:highlight w:val="none"/>
        </w:rPr>
        <w:t>的关键工具，</w:t>
      </w:r>
      <w:r>
        <w:rPr>
          <w:rFonts w:hint="eastAsia"/>
          <w:color w:val="auto"/>
          <w:sz w:val="24"/>
          <w:highlight w:val="none"/>
        </w:rPr>
        <w:t>在</w:t>
      </w:r>
      <w:r>
        <w:rPr>
          <w:rFonts w:hint="eastAsia"/>
          <w:color w:val="auto"/>
          <w:sz w:val="24"/>
          <w:highlight w:val="none"/>
          <w:lang w:val="en-US" w:eastAsia="zh-CN"/>
        </w:rPr>
        <w:t>区间</w:t>
      </w:r>
      <w:r>
        <w:rPr>
          <w:rFonts w:hint="eastAsia"/>
          <w:color w:val="auto"/>
          <w:sz w:val="24"/>
          <w:highlight w:val="none"/>
        </w:rPr>
        <w:t>隧道内，有防火要求的区域必须使用防火夹具</w:t>
      </w:r>
      <w:r>
        <w:rPr>
          <w:rFonts w:hint="eastAsia" w:ascii="Times New Roman" w:hAnsi="Times New Roman" w:cs="Times New Roman"/>
          <w:color w:val="auto"/>
          <w:sz w:val="24"/>
          <w:highlight w:val="none"/>
        </w:rPr>
        <w:t>。</w:t>
      </w:r>
      <w:r>
        <w:rPr>
          <w:rFonts w:hint="eastAsia" w:ascii="Times New Roman" w:hAnsi="Times New Roman" w:cs="Times New Roman"/>
          <w:color w:val="auto"/>
          <w:sz w:val="24"/>
          <w:highlight w:val="none"/>
          <w:lang w:val="en-US" w:eastAsia="zh-CN"/>
        </w:rPr>
        <w:t>泄漏电缆</w:t>
      </w:r>
      <w:r>
        <w:rPr>
          <w:rFonts w:hint="eastAsia" w:ascii="Times New Roman" w:hAnsi="Times New Roman" w:cs="Times New Roman"/>
          <w:color w:val="auto"/>
          <w:sz w:val="24"/>
          <w:highlight w:val="none"/>
        </w:rPr>
        <w:t>离墙最低处与墙面、支架的距离对耦合损耗的影响很大，一般要求卡具底座大于8cm。</w:t>
      </w:r>
      <w:r>
        <w:rPr>
          <w:rFonts w:hint="eastAsia" w:ascii="Times New Roman" w:hAnsi="Times New Roman" w:cs="Times New Roman"/>
          <w:color w:val="auto"/>
          <w:sz w:val="24"/>
          <w:highlight w:val="none"/>
          <w:lang w:val="en-US" w:eastAsia="zh-CN"/>
        </w:rPr>
        <w:t>在区间隧道内一般采用</w:t>
      </w:r>
      <w:r>
        <w:rPr>
          <w:rFonts w:hint="eastAsia" w:ascii="Times New Roman" w:hAnsi="Times New Roman" w:cs="Times New Roman"/>
          <w:color w:val="auto"/>
          <w:sz w:val="24"/>
          <w:highlight w:val="none"/>
        </w:rPr>
        <w:t>膨胀管安装卡具</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rPr>
        <w:t>膨胀管、膨胀螺丝与孔紧密接触，安装好的卡具应稳固</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rPr>
        <w:t>美观，垂直高度水平间距一致</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rPr>
        <w:t>地面高架区间的卡具</w:t>
      </w:r>
      <w:r>
        <w:rPr>
          <w:rFonts w:hint="eastAsia" w:ascii="Times New Roman" w:hAnsi="Times New Roman" w:cs="Times New Roman"/>
          <w:color w:val="auto"/>
          <w:sz w:val="24"/>
          <w:highlight w:val="none"/>
          <w:lang w:val="en-US" w:eastAsia="zh-CN"/>
        </w:rPr>
        <w:t>一般</w:t>
      </w:r>
      <w:r>
        <w:rPr>
          <w:rFonts w:hint="eastAsia" w:ascii="Times New Roman" w:hAnsi="Times New Roman" w:cs="Times New Roman"/>
          <w:color w:val="auto"/>
          <w:sz w:val="24"/>
          <w:highlight w:val="none"/>
        </w:rPr>
        <w:t>用螺丝固定于钢铁架上面</w:t>
      </w:r>
      <w:r>
        <w:rPr>
          <w:rFonts w:hint="eastAsia" w:ascii="Times New Roman" w:hAnsi="Times New Roman" w:cs="Times New Roman"/>
          <w:color w:val="auto"/>
          <w:sz w:val="24"/>
          <w:highlight w:val="none"/>
          <w:lang w:eastAsia="zh-CN"/>
        </w:rPr>
        <w:t>；</w:t>
      </w:r>
    </w:p>
    <w:p w14:paraId="55A2A5AC">
      <w:pPr>
        <w:spacing w:line="360" w:lineRule="auto"/>
        <w:ind w:firstLine="480" w:firstLineChars="200"/>
        <w:rPr>
          <w:rFonts w:hint="eastAsia" w:ascii="Times New Roman" w:hAnsi="Times New Roman" w:cs="Times New Roman"/>
          <w:color w:val="auto"/>
          <w:sz w:val="24"/>
          <w:highlight w:val="none"/>
          <w:lang w:eastAsia="zh-CN"/>
        </w:rPr>
      </w:pPr>
      <w:r>
        <w:rPr>
          <w:rFonts w:ascii="Times New Roman" w:hAnsi="Times New Roman" w:cs="Times New Roman"/>
          <w:color w:val="auto"/>
          <w:sz w:val="24"/>
          <w:highlight w:val="none"/>
        </w:rPr>
        <w:t>2 泄漏电缆布放的最小弯曲半径、最大张力和固定夹最小间隔</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一般应满足如下要求</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泄漏电缆的最小弯曲半径不得小于电缆外径的</w:t>
      </w:r>
      <w:r>
        <w:rPr>
          <w:rFonts w:hint="eastAsia" w:ascii="Times New Roman" w:hAnsi="Times New Roman" w:cs="Times New Roman"/>
          <w:color w:val="auto"/>
          <w:sz w:val="24"/>
          <w:highlight w:val="none"/>
          <w:lang w:val="en-US" w:eastAsia="zh-CN"/>
        </w:rPr>
        <w:t>20</w:t>
      </w:r>
      <w:r>
        <w:rPr>
          <w:rFonts w:hint="default" w:ascii="Times New Roman" w:hAnsi="Times New Roman" w:cs="Times New Roman"/>
          <w:color w:val="auto"/>
          <w:sz w:val="24"/>
          <w:highlight w:val="none"/>
        </w:rPr>
        <w:t>倍</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泄漏电缆的最大张力应控制在100N以内</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固定夹的最小间隔应为1.5</w:t>
      </w:r>
      <w:r>
        <w:rPr>
          <w:rFonts w:hint="eastAsia" w:ascii="Times New Roman" w:hAnsi="Times New Roman" w:cs="Times New Roman"/>
          <w:color w:val="auto"/>
          <w:sz w:val="24"/>
          <w:highlight w:val="none"/>
          <w:lang w:val="en-US" w:eastAsia="zh-CN"/>
        </w:rPr>
        <w:t>m</w:t>
      </w:r>
      <w:r>
        <w:rPr>
          <w:rFonts w:hint="eastAsia" w:ascii="Times New Roman" w:hAnsi="Times New Roman" w:cs="Times New Roman"/>
          <w:color w:val="auto"/>
          <w:sz w:val="24"/>
          <w:highlight w:val="none"/>
          <w:lang w:eastAsia="zh-CN"/>
        </w:rPr>
        <w:t>；</w:t>
      </w:r>
    </w:p>
    <w:p w14:paraId="0BB1DC91">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4</w:t>
      </w:r>
      <w:r>
        <w:rPr>
          <w:rFonts w:ascii="Times New Roman" w:hAnsi="Times New Roman" w:cs="Times New Roman"/>
          <w:color w:val="auto"/>
          <w:sz w:val="24"/>
          <w:highlight w:val="none"/>
        </w:rPr>
        <w:t xml:space="preserve"> 隧道内</w:t>
      </w:r>
      <w:r>
        <w:rPr>
          <w:rFonts w:hint="eastAsia" w:ascii="Times New Roman" w:hAnsi="Times New Roman" w:cs="Times New Roman"/>
          <w:color w:val="auto"/>
          <w:sz w:val="24"/>
          <w:highlight w:val="none"/>
        </w:rPr>
        <w:t>泄漏电</w:t>
      </w:r>
      <w:r>
        <w:rPr>
          <w:rFonts w:ascii="Times New Roman" w:hAnsi="Times New Roman" w:cs="Times New Roman"/>
          <w:color w:val="auto"/>
          <w:sz w:val="24"/>
          <w:highlight w:val="none"/>
        </w:rPr>
        <w:t>缆敷设</w:t>
      </w:r>
      <w:r>
        <w:rPr>
          <w:rFonts w:hint="eastAsia" w:ascii="Times New Roman" w:hAnsi="Times New Roman" w:cs="Times New Roman"/>
          <w:color w:val="auto"/>
          <w:sz w:val="24"/>
          <w:highlight w:val="none"/>
          <w:lang w:eastAsia="zh-CN"/>
        </w:rPr>
        <w:t>，</w:t>
      </w:r>
      <w:r>
        <w:rPr>
          <w:rFonts w:ascii="Times New Roman" w:hAnsi="Times New Roman" w:cs="Times New Roman"/>
          <w:color w:val="auto"/>
          <w:sz w:val="24"/>
          <w:highlight w:val="none"/>
        </w:rPr>
        <w:t>应按设计要求进行泄漏电缆接地。</w:t>
      </w:r>
      <w:r>
        <w:rPr>
          <w:rFonts w:hint="eastAsia" w:ascii="Times New Roman" w:hAnsi="Times New Roman" w:cs="Times New Roman"/>
          <w:color w:val="auto"/>
          <w:sz w:val="24"/>
          <w:highlight w:val="none"/>
        </w:rPr>
        <w:t>为防止静电积累</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rPr>
        <w:t xml:space="preserve"> 要进行漏缆两端接地</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rPr>
        <w:t>对于整个系统，要规划好接地点必须前后一致，特别是</w:t>
      </w:r>
      <w:r>
        <w:rPr>
          <w:rFonts w:hint="eastAsia" w:ascii="Times New Roman" w:hAnsi="Times New Roman" w:cs="Times New Roman"/>
          <w:color w:val="auto"/>
          <w:sz w:val="24"/>
          <w:highlight w:val="none"/>
          <w:lang w:val="en-US" w:eastAsia="zh-CN"/>
        </w:rPr>
        <w:t>轨道隧道内在</w:t>
      </w:r>
      <w:r>
        <w:rPr>
          <w:rFonts w:hint="eastAsia" w:ascii="Times New Roman" w:hAnsi="Times New Roman" w:cs="Times New Roman"/>
          <w:color w:val="auto"/>
          <w:sz w:val="24"/>
          <w:highlight w:val="none"/>
        </w:rPr>
        <w:t>铁轨</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rPr>
        <w:t>设备</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线路等不同位置</w:t>
      </w:r>
      <w:r>
        <w:rPr>
          <w:rFonts w:hint="eastAsia" w:ascii="Times New Roman" w:hAnsi="Times New Roman" w:cs="Times New Roman"/>
          <w:color w:val="auto"/>
          <w:sz w:val="24"/>
          <w:highlight w:val="none"/>
        </w:rPr>
        <w:t>会</w:t>
      </w:r>
      <w:r>
        <w:rPr>
          <w:rFonts w:hint="eastAsia" w:ascii="Times New Roman" w:hAnsi="Times New Roman" w:cs="Times New Roman"/>
          <w:color w:val="auto"/>
          <w:sz w:val="24"/>
          <w:highlight w:val="none"/>
          <w:lang w:val="en-US" w:eastAsia="zh-CN"/>
        </w:rPr>
        <w:t>存在</w:t>
      </w:r>
      <w:r>
        <w:rPr>
          <w:rFonts w:hint="eastAsia" w:ascii="Times New Roman" w:hAnsi="Times New Roman" w:cs="Times New Roman"/>
          <w:color w:val="auto"/>
          <w:sz w:val="24"/>
          <w:highlight w:val="none"/>
        </w:rPr>
        <w:t>电势</w:t>
      </w:r>
      <w:r>
        <w:rPr>
          <w:rFonts w:hint="eastAsia" w:ascii="Times New Roman" w:hAnsi="Times New Roman" w:cs="Times New Roman"/>
          <w:color w:val="auto"/>
          <w:sz w:val="24"/>
          <w:highlight w:val="none"/>
          <w:lang w:val="en-US" w:eastAsia="zh-CN"/>
        </w:rPr>
        <w:t>差</w:t>
      </w:r>
      <w:r>
        <w:rPr>
          <w:rFonts w:hint="eastAsia" w:ascii="Times New Roman" w:hAnsi="Times New Roman" w:cs="Times New Roman"/>
          <w:color w:val="auto"/>
          <w:sz w:val="24"/>
          <w:highlight w:val="none"/>
          <w:lang w:eastAsia="zh-CN"/>
        </w:rPr>
        <w:t>。</w:t>
      </w:r>
    </w:p>
    <w:p w14:paraId="77DC59F2">
      <w:pPr>
        <w:spacing w:line="360" w:lineRule="auto"/>
        <w:outlineLvl w:val="2"/>
        <w:rPr>
          <w:rFonts w:ascii="Times New Roman" w:hAnsi="Times New Roman" w:cs="Times New Roman"/>
          <w:bCs/>
          <w:color w:val="auto"/>
          <w:sz w:val="24"/>
          <w:highlight w:val="none"/>
        </w:rPr>
      </w:pPr>
      <w:bookmarkStart w:id="282" w:name="_Toc3743"/>
      <w:bookmarkStart w:id="283" w:name="_Toc933"/>
      <w:bookmarkStart w:id="284" w:name="_Toc20429"/>
      <w:r>
        <w:rPr>
          <w:rFonts w:hint="eastAsia" w:ascii="Times New Roman" w:hAnsi="Times New Roman" w:cs="Times New Roman"/>
          <w:color w:val="auto"/>
          <w:sz w:val="24"/>
          <w:highlight w:val="none"/>
        </w:rPr>
        <w:t>4.2.3</w:t>
      </w:r>
      <w:r>
        <w:rPr>
          <w:rFonts w:ascii="Times New Roman" w:hAnsi="Times New Roman" w:cs="Times New Roman"/>
          <w:bCs/>
          <w:color w:val="auto"/>
          <w:sz w:val="24"/>
          <w:highlight w:val="none"/>
        </w:rPr>
        <w:t xml:space="preserve"> </w:t>
      </w:r>
      <w:r>
        <w:rPr>
          <w:rFonts w:hint="eastAsia" w:ascii="Times New Roman" w:hAnsi="Times New Roman" w:cs="Times New Roman"/>
          <w:bCs/>
          <w:color w:val="auto"/>
          <w:sz w:val="24"/>
          <w:highlight w:val="none"/>
          <w:lang w:val="en-US" w:eastAsia="zh-CN"/>
        </w:rPr>
        <w:t>本条对</w:t>
      </w:r>
      <w:r>
        <w:rPr>
          <w:rFonts w:ascii="Times New Roman" w:hAnsi="Times New Roman" w:cs="Times New Roman"/>
          <w:bCs/>
          <w:color w:val="auto"/>
          <w:sz w:val="24"/>
          <w:highlight w:val="none"/>
        </w:rPr>
        <w:t>信号线、</w:t>
      </w:r>
      <w:r>
        <w:rPr>
          <w:rFonts w:hint="eastAsia" w:ascii="Times New Roman" w:hAnsi="Times New Roman" w:cs="Times New Roman"/>
          <w:bCs/>
          <w:color w:val="auto"/>
          <w:sz w:val="24"/>
          <w:highlight w:val="none"/>
          <w:lang w:val="en-US" w:eastAsia="zh-CN"/>
        </w:rPr>
        <w:t>光缆</w:t>
      </w:r>
      <w:r>
        <w:rPr>
          <w:rFonts w:ascii="Times New Roman" w:hAnsi="Times New Roman" w:cs="Times New Roman"/>
          <w:bCs/>
          <w:color w:val="auto"/>
          <w:sz w:val="24"/>
          <w:highlight w:val="none"/>
        </w:rPr>
        <w:t>、电源线安装质量</w:t>
      </w:r>
      <w:r>
        <w:rPr>
          <w:rFonts w:hint="eastAsia" w:ascii="Times New Roman" w:hAnsi="Times New Roman" w:cs="Times New Roman"/>
          <w:bCs/>
          <w:color w:val="auto"/>
          <w:sz w:val="24"/>
          <w:highlight w:val="none"/>
          <w:lang w:val="en-US" w:eastAsia="zh-CN"/>
        </w:rPr>
        <w:t>做了相关要求</w:t>
      </w:r>
      <w:r>
        <w:rPr>
          <w:rFonts w:hint="eastAsia" w:ascii="Times New Roman" w:hAnsi="Times New Roman" w:cs="Times New Roman"/>
          <w:bCs/>
          <w:color w:val="auto"/>
          <w:sz w:val="24"/>
          <w:highlight w:val="none"/>
          <w:lang w:eastAsia="zh-CN"/>
        </w:rPr>
        <w:t>。</w:t>
      </w:r>
      <w:bookmarkEnd w:id="282"/>
      <w:bookmarkEnd w:id="283"/>
      <w:bookmarkEnd w:id="284"/>
    </w:p>
    <w:p w14:paraId="1C4E1959">
      <w:pPr>
        <w:spacing w:line="360" w:lineRule="auto"/>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 xml:space="preserve">6 </w:t>
      </w:r>
      <w:r>
        <w:rPr>
          <w:rFonts w:hint="eastAsia" w:ascii="Times New Roman" w:hAnsi="Times New Roman" w:cs="Times New Roman"/>
          <w:color w:val="auto"/>
          <w:sz w:val="24"/>
          <w:highlight w:val="none"/>
        </w:rPr>
        <w:t>光纤尾纤的布放，应采用阻燃塑料软管、PVC管或尾纤槽加以保护并用扎带固定。无套管保护部分宜用活扣扎带绑扎，扎带不宜扎得过紧。尾纤在机架外部布放应加套管保护，套管末端应固定或伸入机柜内部。尾纤保护套管两端应用绝缘胶带封扎，避免尾纤滑动被套管切口划伤。胶带颜色宜与套管颜色一致。</w:t>
      </w:r>
    </w:p>
    <w:p w14:paraId="6791E5D1">
      <w:pPr>
        <w:pStyle w:val="3"/>
        <w:ind w:firstLine="482"/>
        <w:rPr>
          <w:color w:val="auto"/>
          <w:highlight w:val="none"/>
        </w:rPr>
      </w:pPr>
      <w:bookmarkStart w:id="285" w:name="_Toc30614"/>
      <w:bookmarkStart w:id="286" w:name="_Toc854"/>
      <w:bookmarkStart w:id="287" w:name="_Toc10617"/>
      <w:r>
        <w:rPr>
          <w:color w:val="auto"/>
          <w:highlight w:val="none"/>
        </w:rPr>
        <w:t>4.4 接地装置检测</w:t>
      </w:r>
      <w:bookmarkEnd w:id="285"/>
      <w:bookmarkEnd w:id="286"/>
      <w:bookmarkEnd w:id="287"/>
    </w:p>
    <w:p w14:paraId="403DC1BE">
      <w:pPr>
        <w:spacing w:line="360" w:lineRule="auto"/>
        <w:outlineLvl w:val="2"/>
        <w:rPr>
          <w:rFonts w:hint="eastAsia" w:ascii="Times New Roman" w:hAnsi="Times New Roman" w:cs="Times New Roman"/>
          <w:color w:val="auto"/>
          <w:sz w:val="24"/>
          <w:highlight w:val="none"/>
          <w:lang w:val="en-US" w:eastAsia="zh-CN"/>
        </w:rPr>
      </w:pPr>
      <w:bookmarkStart w:id="288" w:name="_Toc2702"/>
      <w:bookmarkStart w:id="289" w:name="_Toc19242"/>
      <w:bookmarkStart w:id="290" w:name="_Toc5813"/>
      <w:r>
        <w:rPr>
          <w:rFonts w:ascii="Times New Roman" w:hAnsi="Times New Roman" w:cs="Times New Roman"/>
          <w:color w:val="auto"/>
          <w:sz w:val="24"/>
          <w:highlight w:val="none"/>
        </w:rPr>
        <w:t xml:space="preserve">4.4.2 </w:t>
      </w:r>
      <w:r>
        <w:rPr>
          <w:rFonts w:hint="eastAsia" w:ascii="Times New Roman" w:hAnsi="Times New Roman" w:cs="Times New Roman"/>
          <w:bCs/>
          <w:color w:val="auto"/>
          <w:sz w:val="24"/>
          <w:highlight w:val="none"/>
          <w:lang w:val="en-US" w:eastAsia="zh-CN"/>
        </w:rPr>
        <w:t>本条对</w:t>
      </w:r>
      <w:r>
        <w:rPr>
          <w:rFonts w:ascii="Times New Roman" w:hAnsi="Times New Roman" w:cs="Times New Roman"/>
          <w:color w:val="auto"/>
          <w:sz w:val="24"/>
          <w:highlight w:val="none"/>
        </w:rPr>
        <w:t>接地装置的材料、规格、数量和安装方式</w:t>
      </w:r>
      <w:bookmarkEnd w:id="288"/>
      <w:bookmarkEnd w:id="289"/>
      <w:bookmarkEnd w:id="290"/>
      <w:r>
        <w:rPr>
          <w:rFonts w:hint="eastAsia" w:ascii="Times New Roman" w:hAnsi="Times New Roman" w:cs="Times New Roman"/>
          <w:bCs/>
          <w:color w:val="auto"/>
          <w:sz w:val="24"/>
          <w:highlight w:val="none"/>
          <w:lang w:val="en-US" w:eastAsia="zh-CN"/>
        </w:rPr>
        <w:t>做了相关规定</w:t>
      </w:r>
      <w:r>
        <w:rPr>
          <w:rFonts w:hint="eastAsia" w:ascii="Times New Roman" w:hAnsi="Times New Roman" w:cs="Times New Roman"/>
          <w:bCs/>
          <w:color w:val="auto"/>
          <w:sz w:val="24"/>
          <w:highlight w:val="none"/>
          <w:lang w:eastAsia="zh-CN"/>
        </w:rPr>
        <w:t>。</w:t>
      </w:r>
    </w:p>
    <w:p w14:paraId="75D33EE3">
      <w:pPr>
        <w:spacing w:line="360" w:lineRule="auto"/>
        <w:ind w:firstLine="480" w:firstLineChars="200"/>
        <w:rPr>
          <w:rFonts w:hint="eastAsia"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lang w:val="en-US" w:eastAsia="zh-CN"/>
        </w:rPr>
        <w:t xml:space="preserve">1 </w:t>
      </w:r>
      <w:r>
        <w:rPr>
          <w:rFonts w:hint="eastAsia" w:ascii="Times New Roman" w:hAnsi="Times New Roman" w:cs="Times New Roman"/>
          <w:color w:val="auto"/>
          <w:sz w:val="24"/>
          <w:highlight w:val="none"/>
        </w:rPr>
        <w:t>接地引入线</w:t>
      </w:r>
      <w:r>
        <w:rPr>
          <w:rFonts w:hint="eastAsia" w:ascii="Times New Roman" w:hAnsi="Times New Roman" w:cs="Times New Roman"/>
          <w:color w:val="auto"/>
          <w:sz w:val="24"/>
          <w:highlight w:val="none"/>
          <w:lang w:val="en-US" w:eastAsia="zh-CN"/>
        </w:rPr>
        <w:t>应</w:t>
      </w:r>
      <w:r>
        <w:rPr>
          <w:rFonts w:hint="eastAsia" w:ascii="Times New Roman" w:hAnsi="Times New Roman" w:cs="Times New Roman"/>
          <w:color w:val="auto"/>
          <w:sz w:val="24"/>
          <w:highlight w:val="none"/>
        </w:rPr>
        <w:t>采用截面积不小于</w:t>
      </w:r>
      <w:r>
        <w:rPr>
          <w:rFonts w:hint="eastAsia" w:ascii="Times New Roman" w:hAnsi="Times New Roman" w:cs="Times New Roman"/>
          <w:color w:val="auto"/>
          <w:sz w:val="24"/>
          <w:highlight w:val="none"/>
          <w:lang w:val="en-US" w:eastAsia="zh-CN"/>
        </w:rPr>
        <w:t>16</w:t>
      </w:r>
      <w:r>
        <w:rPr>
          <w:rFonts w:hint="eastAsia" w:ascii="Times New Roman" w:hAnsi="Times New Roman" w:cs="Times New Roman"/>
          <w:color w:val="auto"/>
          <w:sz w:val="24"/>
          <w:highlight w:val="none"/>
        </w:rPr>
        <w:t>mm</w:t>
      </w:r>
      <w:r>
        <w:rPr>
          <w:rFonts w:hint="eastAsia" w:ascii="Times New Roman" w:hAnsi="Times New Roman" w:cs="Times New Roman"/>
          <w:color w:val="auto"/>
          <w:sz w:val="24"/>
          <w:highlight w:val="none"/>
          <w:vertAlign w:val="superscript"/>
        </w:rPr>
        <w:t>2</w:t>
      </w:r>
      <w:r>
        <w:rPr>
          <w:rFonts w:hint="eastAsia" w:ascii="Times New Roman" w:hAnsi="Times New Roman" w:cs="Times New Roman"/>
          <w:color w:val="auto"/>
          <w:sz w:val="24"/>
          <w:highlight w:val="none"/>
        </w:rPr>
        <w:t>的黄绿多股铜芯电缆。接地引入线须作防腐、绝缘、防氧化处理长度不超过30m。地线接头处应焊接牢固，要有防水、防锈措施，每个接地点要求接触良好，不得有松动现象</w:t>
      </w:r>
      <w:r>
        <w:rPr>
          <w:rFonts w:hint="eastAsia" w:ascii="Times New Roman" w:hAnsi="Times New Roman" w:cs="Times New Roman"/>
          <w:color w:val="auto"/>
          <w:sz w:val="24"/>
          <w:highlight w:val="none"/>
          <w:lang w:eastAsia="zh-CN"/>
        </w:rPr>
        <w:t>；</w:t>
      </w:r>
    </w:p>
    <w:p w14:paraId="2517E640">
      <w:pPr>
        <w:spacing w:line="360" w:lineRule="auto"/>
        <w:ind w:firstLine="480" w:firstLineChars="200"/>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2 接地排应使用裸质铜导体，规格尺寸不宜小于长300mm</w:t>
      </w:r>
      <w:r>
        <w:rPr>
          <w:rFonts w:hint="default" w:ascii="Arial" w:hAnsi="Arial" w:cs="Arial"/>
          <w:color w:val="auto"/>
          <w:sz w:val="24"/>
          <w:highlight w:val="none"/>
          <w:lang w:val="en-US" w:eastAsia="zh-CN"/>
        </w:rPr>
        <w:t>×</w:t>
      </w:r>
      <w:r>
        <w:rPr>
          <w:rFonts w:hint="eastAsia" w:ascii="Times New Roman" w:hAnsi="Times New Roman" w:cs="Times New Roman"/>
          <w:color w:val="auto"/>
          <w:sz w:val="24"/>
          <w:highlight w:val="none"/>
          <w:lang w:val="en-US" w:eastAsia="zh-CN"/>
        </w:rPr>
        <w:t>宽40mm</w:t>
      </w:r>
      <w:r>
        <w:rPr>
          <w:rFonts w:hint="default" w:ascii="Arial" w:hAnsi="Arial" w:cs="Arial"/>
          <w:color w:val="auto"/>
          <w:sz w:val="24"/>
          <w:highlight w:val="none"/>
          <w:lang w:val="en-US" w:eastAsia="zh-CN"/>
        </w:rPr>
        <w:t>×</w:t>
      </w:r>
      <w:r>
        <w:rPr>
          <w:rFonts w:hint="eastAsia" w:ascii="Times New Roman" w:hAnsi="Times New Roman" w:cs="Times New Roman"/>
          <w:color w:val="auto"/>
          <w:sz w:val="24"/>
          <w:highlight w:val="none"/>
          <w:lang w:val="en-US" w:eastAsia="zh-CN"/>
        </w:rPr>
        <w:t>厚4mm，用膨胀螺栓进行固定；</w:t>
      </w:r>
    </w:p>
    <w:p w14:paraId="6AF4005E">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 xml:space="preserve">3 </w:t>
      </w:r>
      <w:r>
        <w:rPr>
          <w:rFonts w:hint="eastAsia" w:ascii="Times New Roman" w:hAnsi="Times New Roman" w:cs="Times New Roman"/>
          <w:color w:val="auto"/>
          <w:sz w:val="24"/>
          <w:highlight w:val="none"/>
        </w:rPr>
        <w:t>接地线必须是整条线料，严禁中间接头，多余长度应裁剪，外皮应完整，布放时应与其他电缆分开绑扎，所有接地线应采套管保护，外观应平直美观</w:t>
      </w:r>
      <w:r>
        <w:rPr>
          <w:rFonts w:hint="eastAsia" w:ascii="Times New Roman" w:hAnsi="Times New Roman" w:cs="Times New Roman"/>
          <w:color w:val="auto"/>
          <w:sz w:val="24"/>
          <w:highlight w:val="none"/>
          <w:lang w:eastAsia="zh-CN"/>
        </w:rPr>
        <w:t>；</w:t>
      </w:r>
    </w:p>
    <w:p w14:paraId="4649A28A">
      <w:pPr>
        <w:spacing w:line="360" w:lineRule="auto"/>
        <w:ind w:firstLine="480" w:firstLineChars="200"/>
        <w:rPr>
          <w:rFonts w:hint="eastAsia"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lang w:val="en-US" w:eastAsia="zh-CN"/>
        </w:rPr>
        <w:t xml:space="preserve">4 </w:t>
      </w:r>
      <w:r>
        <w:rPr>
          <w:rFonts w:hint="eastAsia" w:ascii="Times New Roman" w:hAnsi="Times New Roman" w:cs="Times New Roman"/>
          <w:color w:val="auto"/>
          <w:sz w:val="24"/>
          <w:highlight w:val="none"/>
        </w:rPr>
        <w:t>采用双接地，</w:t>
      </w:r>
      <w:r>
        <w:rPr>
          <w:rFonts w:hint="eastAsia" w:ascii="Times New Roman" w:hAnsi="Times New Roman" w:cs="Times New Roman"/>
          <w:color w:val="auto"/>
          <w:sz w:val="24"/>
          <w:highlight w:val="none"/>
          <w:lang w:val="en-US" w:eastAsia="zh-CN"/>
        </w:rPr>
        <w:t>应</w:t>
      </w:r>
      <w:r>
        <w:rPr>
          <w:rFonts w:hint="eastAsia" w:ascii="Times New Roman" w:hAnsi="Times New Roman" w:cs="Times New Roman"/>
          <w:color w:val="auto"/>
          <w:sz w:val="24"/>
          <w:highlight w:val="none"/>
        </w:rPr>
        <w:t>单独使用电缆连接至建筑体地网</w:t>
      </w:r>
      <w:r>
        <w:rPr>
          <w:rFonts w:hint="eastAsia" w:ascii="Times New Roman" w:hAnsi="Times New Roman" w:cs="Times New Roman"/>
          <w:color w:val="auto"/>
          <w:sz w:val="24"/>
          <w:highlight w:val="none"/>
          <w:lang w:eastAsia="zh-CN"/>
        </w:rPr>
        <w:t>。</w:t>
      </w:r>
    </w:p>
    <w:p w14:paraId="3300248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cs="Times New Roman"/>
          <w:color w:val="auto"/>
          <w:sz w:val="24"/>
          <w:highlight w:val="none"/>
        </w:rPr>
      </w:pPr>
    </w:p>
    <w:p w14:paraId="089A4C32">
      <w:pPr>
        <w:widowControl/>
        <w:ind w:firstLine="602"/>
        <w:jc w:val="left"/>
        <w:rPr>
          <w:rFonts w:cs="Times New Roman"/>
          <w:b/>
          <w:color w:val="auto"/>
          <w:kern w:val="44"/>
          <w:sz w:val="30"/>
          <w:szCs w:val="30"/>
          <w:highlight w:val="none"/>
        </w:rPr>
      </w:pPr>
    </w:p>
    <w:p w14:paraId="5152B304">
      <w:pPr>
        <w:widowControl/>
        <w:ind w:firstLine="480"/>
        <w:jc w:val="left"/>
        <w:rPr>
          <w:rFonts w:cs="Times New Roman"/>
          <w:b/>
          <w:color w:val="auto"/>
          <w:kern w:val="44"/>
          <w:sz w:val="30"/>
          <w:szCs w:val="30"/>
          <w:highlight w:val="none"/>
        </w:rPr>
      </w:pPr>
      <w:r>
        <w:rPr>
          <w:color w:val="auto"/>
          <w:highlight w:val="none"/>
        </w:rPr>
        <w:br w:type="page"/>
      </w:r>
    </w:p>
    <w:p w14:paraId="3FCF4F93">
      <w:pPr>
        <w:pStyle w:val="2"/>
        <w:rPr>
          <w:color w:val="auto"/>
          <w:highlight w:val="none"/>
        </w:rPr>
      </w:pPr>
      <w:bookmarkStart w:id="291" w:name="_Toc5956"/>
      <w:bookmarkStart w:id="292" w:name="_Toc32737"/>
      <w:bookmarkStart w:id="293" w:name="_Toc23927"/>
      <w:r>
        <w:rPr>
          <w:color w:val="auto"/>
          <w:highlight w:val="none"/>
        </w:rPr>
        <w:t>5 系统组网</w:t>
      </w:r>
      <w:bookmarkEnd w:id="291"/>
      <w:bookmarkEnd w:id="292"/>
      <w:bookmarkEnd w:id="293"/>
    </w:p>
    <w:p w14:paraId="4D49955F">
      <w:pPr>
        <w:pStyle w:val="3"/>
        <w:ind w:firstLine="482"/>
        <w:rPr>
          <w:color w:val="auto"/>
          <w:highlight w:val="none"/>
        </w:rPr>
      </w:pPr>
      <w:bookmarkStart w:id="294" w:name="_Toc18338"/>
      <w:bookmarkStart w:id="295" w:name="_Toc28071"/>
      <w:bookmarkStart w:id="296" w:name="_Toc7684"/>
      <w:r>
        <w:rPr>
          <w:color w:val="auto"/>
          <w:highlight w:val="none"/>
        </w:rPr>
        <w:t>5.1 一般要求</w:t>
      </w:r>
      <w:bookmarkEnd w:id="294"/>
      <w:bookmarkEnd w:id="295"/>
      <w:bookmarkEnd w:id="296"/>
    </w:p>
    <w:p w14:paraId="5964E986">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5.1.1 组网检测</w:t>
      </w:r>
      <w:r>
        <w:rPr>
          <w:rFonts w:hint="eastAsia" w:ascii="Times New Roman" w:hAnsi="Times New Roman" w:cs="Times New Roman"/>
          <w:color w:val="auto"/>
          <w:sz w:val="24"/>
          <w:highlight w:val="none"/>
        </w:rPr>
        <w:t>主要以</w:t>
      </w:r>
      <w:r>
        <w:rPr>
          <w:rFonts w:hint="eastAsia" w:ascii="Times New Roman" w:hAnsi="Times New Roman" w:cs="Times New Roman"/>
          <w:color w:val="auto"/>
          <w:sz w:val="24"/>
          <w:highlight w:val="none"/>
          <w:lang w:eastAsia="zh-CN"/>
        </w:rPr>
        <w:t>检查</w:t>
      </w:r>
      <w:r>
        <w:rPr>
          <w:rFonts w:hint="eastAsia" w:ascii="Times New Roman" w:hAnsi="Times New Roman" w:cs="Times New Roman"/>
          <w:color w:val="auto"/>
          <w:sz w:val="24"/>
          <w:highlight w:val="none"/>
        </w:rPr>
        <w:t>工程技术资料为主，检测前应收集相关设计文件、竣工文件、设备技术说明书、检验报告等相关技术资料。</w:t>
      </w:r>
    </w:p>
    <w:p w14:paraId="48F96D54">
      <w:pPr>
        <w:pStyle w:val="3"/>
        <w:ind w:firstLine="482"/>
        <w:rPr>
          <w:color w:val="auto"/>
          <w:highlight w:val="none"/>
        </w:rPr>
      </w:pPr>
      <w:bookmarkStart w:id="297" w:name="_Toc29131"/>
      <w:bookmarkStart w:id="298" w:name="_Toc6036"/>
      <w:bookmarkStart w:id="299" w:name="_Toc16374"/>
      <w:r>
        <w:rPr>
          <w:color w:val="auto"/>
          <w:highlight w:val="none"/>
        </w:rPr>
        <w:t>5.2 各网元间传输接口与介质</w:t>
      </w:r>
      <w:bookmarkEnd w:id="297"/>
      <w:bookmarkEnd w:id="298"/>
      <w:bookmarkEnd w:id="299"/>
    </w:p>
    <w:p w14:paraId="19EA370A">
      <w:pPr>
        <w:spacing w:line="360" w:lineRule="auto"/>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rPr>
        <w:t>5.2.2</w:t>
      </w:r>
      <w:r>
        <w:rPr>
          <w:rFonts w:hint="default" w:ascii="Times New Roman" w:hAnsi="Times New Roman" w:cs="Times New Roman"/>
          <w:color w:val="auto"/>
          <w:sz w:val="24"/>
          <w:highlight w:val="none"/>
        </w:rPr>
        <w:t>不同制式的数字化室内分布系统各网元间传输接口与介质满足设计要求同时还应满足相应的</w:t>
      </w:r>
      <w:r>
        <w:rPr>
          <w:rFonts w:hint="eastAsia" w:ascii="Times New Roman" w:hAnsi="Times New Roman" w:cs="Times New Roman"/>
          <w:color w:val="auto"/>
          <w:sz w:val="24"/>
          <w:highlight w:val="none"/>
          <w:lang w:eastAsia="zh-CN"/>
        </w:rPr>
        <w:t>标准</w:t>
      </w:r>
      <w:r>
        <w:rPr>
          <w:rFonts w:hint="default" w:ascii="Times New Roman" w:hAnsi="Times New Roman" w:cs="Times New Roman"/>
          <w:color w:val="auto"/>
          <w:sz w:val="24"/>
          <w:highlight w:val="none"/>
        </w:rPr>
        <w:t>要求：</w:t>
      </w:r>
    </w:p>
    <w:p w14:paraId="03AA69B1">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 LTE数字化室内分布系统各网元间传输接口与介质应满足</w:t>
      </w:r>
      <w:r>
        <w:rPr>
          <w:rFonts w:hint="eastAsia" w:ascii="Times New Roman" w:hAnsi="Times New Roman" w:cs="Times New Roman"/>
          <w:color w:val="auto"/>
          <w:sz w:val="24"/>
          <w:highlight w:val="none"/>
          <w:lang w:val="en-US" w:eastAsia="zh-CN"/>
        </w:rPr>
        <w:t>下列规定</w:t>
      </w:r>
      <w:r>
        <w:rPr>
          <w:rFonts w:hint="default" w:ascii="Times New Roman" w:hAnsi="Times New Roman" w:cs="Times New Roman"/>
          <w:color w:val="auto"/>
          <w:sz w:val="24"/>
          <w:highlight w:val="none"/>
        </w:rPr>
        <w:t>：</w:t>
      </w:r>
    </w:p>
    <w:p w14:paraId="5C6B2D90">
      <w:pPr>
        <w:spacing w:line="400" w:lineRule="exact"/>
        <w:ind w:firstLine="720" w:firstLineChars="300"/>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1）基带单元与远端汇聚单元间传输接口为CPRI接口，可支持2.5G、4.9G、9.8G等速率，支持自动切换，传输介质为光纤</w:t>
      </w:r>
      <w:r>
        <w:rPr>
          <w:rFonts w:hint="eastAsia" w:ascii="Times New Roman" w:hAnsi="Times New Roman" w:cs="Times New Roman"/>
          <w:color w:val="auto"/>
          <w:sz w:val="24"/>
          <w:highlight w:val="none"/>
          <w:lang w:eastAsia="zh-CN"/>
        </w:rPr>
        <w:t>；</w:t>
      </w:r>
    </w:p>
    <w:p w14:paraId="38E77BAC">
      <w:pPr>
        <w:spacing w:line="400" w:lineRule="exac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2）远端汇聚单元与无线射频单元间传输介质可以为网线</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CAT-5e</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及以上)，也可以为光纤。</w:t>
      </w:r>
    </w:p>
    <w:p w14:paraId="0B18BA42">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 5G数字化室内分布系统各网元间传输接口与介质应满足</w:t>
      </w:r>
      <w:r>
        <w:rPr>
          <w:rFonts w:hint="eastAsia" w:ascii="Times New Roman" w:hAnsi="Times New Roman" w:cs="Times New Roman"/>
          <w:color w:val="auto"/>
          <w:sz w:val="24"/>
          <w:highlight w:val="none"/>
          <w:lang w:val="en-US" w:eastAsia="zh-CN"/>
        </w:rPr>
        <w:t>下列规定</w:t>
      </w:r>
      <w:r>
        <w:rPr>
          <w:rFonts w:hint="default" w:ascii="Times New Roman" w:hAnsi="Times New Roman" w:cs="Times New Roman"/>
          <w:color w:val="auto"/>
          <w:sz w:val="24"/>
          <w:highlight w:val="none"/>
        </w:rPr>
        <w:t>：</w:t>
      </w:r>
    </w:p>
    <w:p w14:paraId="57D152BF">
      <w:pPr>
        <w:spacing w:line="360" w:lineRule="auto"/>
        <w:ind w:firstLine="720" w:firstLineChars="300"/>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1）基带单元与远端汇聚单元间的每个光接口速率应不低于10G</w:t>
      </w:r>
      <w:r>
        <w:rPr>
          <w:rFonts w:hint="eastAsia" w:ascii="Times New Roman" w:hAnsi="Times New Roman" w:cs="Times New Roman"/>
          <w:color w:val="auto"/>
          <w:sz w:val="24"/>
          <w:highlight w:val="none"/>
          <w:lang w:eastAsia="zh-CN"/>
        </w:rPr>
        <w:t>；</w:t>
      </w:r>
    </w:p>
    <w:p w14:paraId="5520DE24">
      <w:pPr>
        <w:spacing w:line="360" w:lineRule="auto"/>
        <w:ind w:firstLine="720" w:firstLineChars="300"/>
        <w:rPr>
          <w:rFonts w:hint="eastAsia" w:ascii="Times New Roman" w:hAnsi="Times New Roman" w:eastAsia="宋体" w:cs="Times New Roman"/>
          <w:color w:val="auto"/>
          <w:sz w:val="24"/>
          <w:highlight w:val="none"/>
          <w:lang w:eastAsia="zh-CN"/>
        </w:rPr>
      </w:pPr>
      <w:bookmarkStart w:id="300" w:name="OLE_LINK5"/>
      <w:r>
        <w:rPr>
          <w:rFonts w:hint="default" w:ascii="Times New Roman" w:hAnsi="Times New Roman" w:cs="Times New Roman"/>
          <w:color w:val="auto"/>
          <w:sz w:val="24"/>
          <w:highlight w:val="none"/>
        </w:rPr>
        <w:t>2）</w:t>
      </w:r>
      <w:bookmarkEnd w:id="300"/>
      <w:r>
        <w:rPr>
          <w:rFonts w:hint="default" w:ascii="Times New Roman" w:hAnsi="Times New Roman" w:cs="Times New Roman"/>
          <w:color w:val="auto"/>
          <w:sz w:val="24"/>
          <w:highlight w:val="none"/>
        </w:rPr>
        <w:t>远端汇聚单元设备应至少具备8个不低于10GE的以太网接口或者8个不低于l0G的光口用于连接无线射频单元设备</w:t>
      </w:r>
      <w:r>
        <w:rPr>
          <w:rFonts w:hint="eastAsia" w:ascii="Times New Roman" w:hAnsi="Times New Roman" w:cs="Times New Roman"/>
          <w:color w:val="auto"/>
          <w:sz w:val="24"/>
          <w:highlight w:val="none"/>
          <w:lang w:eastAsia="zh-CN"/>
        </w:rPr>
        <w:t>；</w:t>
      </w:r>
    </w:p>
    <w:p w14:paraId="6609D080">
      <w:pPr>
        <w:spacing w:line="360" w:lineRule="auto"/>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3）无线射频单元应至少具有1个10GE</w:t>
      </w:r>
      <w:r>
        <w:rPr>
          <w:rFonts w:hint="eastAsia" w:ascii="Times New Roman" w:hAnsi="Times New Roman" w:cs="Times New Roman"/>
          <w:color w:val="auto"/>
          <w:sz w:val="24"/>
          <w:highlight w:val="none"/>
          <w:lang w:val="en-US" w:eastAsia="zh-CN"/>
        </w:rPr>
        <w:t>及</w:t>
      </w:r>
      <w:r>
        <w:rPr>
          <w:rFonts w:hint="default" w:ascii="Times New Roman" w:hAnsi="Times New Roman" w:cs="Times New Roman"/>
          <w:color w:val="auto"/>
          <w:sz w:val="24"/>
          <w:highlight w:val="none"/>
        </w:rPr>
        <w:t>以上速率的电接口或至少具有1个10G或以上速率的光接口。</w:t>
      </w:r>
    </w:p>
    <w:p w14:paraId="71D034B2">
      <w:pPr>
        <w:spacing w:line="360" w:lineRule="auto"/>
        <w:ind w:firstLine="480" w:firstLineChars="200"/>
        <w:rPr>
          <w:rFonts w:ascii="Times New Roman" w:hAnsi="Times New Roman" w:cs="Times New Roman"/>
          <w:color w:val="auto"/>
          <w:sz w:val="24"/>
          <w:highlight w:val="none"/>
        </w:rPr>
      </w:pPr>
    </w:p>
    <w:p w14:paraId="05BA9BBB">
      <w:pPr>
        <w:pStyle w:val="3"/>
        <w:ind w:firstLine="482"/>
        <w:rPr>
          <w:color w:val="auto"/>
          <w:highlight w:val="none"/>
        </w:rPr>
      </w:pPr>
      <w:bookmarkStart w:id="301" w:name="_Toc6380"/>
      <w:bookmarkStart w:id="302" w:name="_Toc19498"/>
      <w:bookmarkStart w:id="303" w:name="_Toc9311"/>
      <w:r>
        <w:rPr>
          <w:color w:val="auto"/>
          <w:highlight w:val="none"/>
        </w:rPr>
        <w:t>5.3 拓扑结构检测</w:t>
      </w:r>
      <w:bookmarkEnd w:id="301"/>
      <w:bookmarkEnd w:id="302"/>
      <w:bookmarkEnd w:id="303"/>
    </w:p>
    <w:p w14:paraId="71DE78EB">
      <w:pPr>
        <w:spacing w:line="360" w:lineRule="auto"/>
        <w:rPr>
          <w:rFonts w:ascii="Times New Roman" w:hAnsi="Times New Roman" w:cs="Times New Roman"/>
          <w:bCs/>
          <w:color w:val="auto"/>
          <w:sz w:val="24"/>
          <w:highlight w:val="none"/>
        </w:rPr>
      </w:pPr>
      <w:r>
        <w:rPr>
          <w:rFonts w:ascii="Times New Roman" w:hAnsi="Times New Roman" w:cs="Times New Roman"/>
          <w:bCs/>
          <w:color w:val="auto"/>
          <w:sz w:val="24"/>
          <w:highlight w:val="none"/>
        </w:rPr>
        <w:t xml:space="preserve">5.3.1 </w:t>
      </w:r>
      <w:r>
        <w:rPr>
          <w:rFonts w:hint="eastAsia" w:ascii="Times New Roman" w:hAnsi="Times New Roman" w:cs="Times New Roman"/>
          <w:color w:val="auto"/>
          <w:sz w:val="24"/>
          <w:highlight w:val="none"/>
        </w:rPr>
        <w:t>信号分布系统的</w:t>
      </w:r>
      <w:r>
        <w:rPr>
          <w:rFonts w:ascii="Times New Roman" w:hAnsi="Times New Roman" w:cs="Times New Roman"/>
          <w:bCs/>
          <w:color w:val="auto"/>
          <w:sz w:val="24"/>
          <w:highlight w:val="none"/>
        </w:rPr>
        <w:t>拓扑结构</w:t>
      </w:r>
      <w:r>
        <w:rPr>
          <w:rFonts w:hint="eastAsia" w:ascii="Times New Roman" w:hAnsi="Times New Roman" w:cs="Times New Roman"/>
          <w:bCs/>
          <w:color w:val="auto"/>
          <w:sz w:val="24"/>
          <w:highlight w:val="none"/>
        </w:rPr>
        <w:t>应根据设计采用不同类型的组网方式，</w:t>
      </w:r>
      <w:r>
        <w:rPr>
          <w:rFonts w:hint="eastAsia" w:ascii="Times New Roman" w:hAnsi="Times New Roman" w:cs="Times New Roman"/>
          <w:bCs/>
          <w:color w:val="auto"/>
          <w:sz w:val="24"/>
          <w:highlight w:val="none"/>
          <w:lang w:eastAsia="zh-CN"/>
        </w:rPr>
        <w:t>检查</w:t>
      </w:r>
      <w:r>
        <w:rPr>
          <w:rFonts w:hint="eastAsia" w:ascii="Times New Roman" w:hAnsi="Times New Roman" w:cs="Times New Roman"/>
          <w:bCs/>
          <w:color w:val="auto"/>
          <w:sz w:val="24"/>
          <w:highlight w:val="none"/>
        </w:rPr>
        <w:t>现场的一致性，不同组网方式还应满足相关</w:t>
      </w:r>
      <w:r>
        <w:rPr>
          <w:rFonts w:hint="eastAsia" w:ascii="Times New Roman" w:hAnsi="Times New Roman" w:cs="Times New Roman"/>
          <w:bCs/>
          <w:color w:val="auto"/>
          <w:sz w:val="24"/>
          <w:highlight w:val="none"/>
          <w:lang w:eastAsia="zh-CN"/>
        </w:rPr>
        <w:t>标准</w:t>
      </w:r>
      <w:r>
        <w:rPr>
          <w:rFonts w:hint="eastAsia" w:ascii="Times New Roman" w:hAnsi="Times New Roman" w:cs="Times New Roman"/>
          <w:bCs/>
          <w:color w:val="auto"/>
          <w:sz w:val="24"/>
          <w:highlight w:val="none"/>
        </w:rPr>
        <w:t>的要求。</w:t>
      </w:r>
    </w:p>
    <w:p w14:paraId="6DBA20CF">
      <w:pPr>
        <w:spacing w:line="360" w:lineRule="auto"/>
        <w:ind w:firstLine="480"/>
        <w:rPr>
          <w:rFonts w:ascii="Times New Roman" w:hAnsi="Times New Roman" w:cs="Times New Roman"/>
          <w:color w:val="auto"/>
          <w:sz w:val="24"/>
          <w:highlight w:val="none"/>
        </w:rPr>
      </w:pPr>
    </w:p>
    <w:p w14:paraId="76C88372">
      <w:pPr>
        <w:pStyle w:val="3"/>
        <w:ind w:firstLine="482"/>
        <w:rPr>
          <w:color w:val="auto"/>
          <w:highlight w:val="none"/>
        </w:rPr>
      </w:pPr>
      <w:bookmarkStart w:id="304" w:name="_Toc4545"/>
      <w:bookmarkStart w:id="305" w:name="_Toc4584"/>
      <w:bookmarkStart w:id="306" w:name="_Toc29968"/>
      <w:r>
        <w:rPr>
          <w:color w:val="auto"/>
          <w:highlight w:val="none"/>
        </w:rPr>
        <w:t>5.4 组网能力检测</w:t>
      </w:r>
      <w:bookmarkEnd w:id="304"/>
      <w:bookmarkEnd w:id="305"/>
      <w:bookmarkEnd w:id="306"/>
    </w:p>
    <w:p w14:paraId="395CB420">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5.4.</w:t>
      </w:r>
      <w:r>
        <w:rPr>
          <w:rFonts w:hint="eastAsia" w:ascii="Times New Roman" w:hAnsi="Times New Roman" w:cs="Times New Roman"/>
          <w:color w:val="auto"/>
          <w:sz w:val="24"/>
          <w:highlight w:val="none"/>
        </w:rPr>
        <w:t>2 检测系统各项最大组网能力指标一方面是为了保障网络的安全稳定运行，另一方面是为了满足未来网络的升级扩容或优化调整的需求。</w:t>
      </w:r>
    </w:p>
    <w:p w14:paraId="3B3A4A1F">
      <w:pPr>
        <w:widowControl/>
        <w:ind w:firstLine="482"/>
        <w:jc w:val="left"/>
        <w:rPr>
          <w:rFonts w:ascii="Cambria" w:hAnsi="Cambria" w:cs="Times New Roman"/>
          <w:b/>
          <w:bCs/>
          <w:color w:val="auto"/>
          <w:sz w:val="24"/>
          <w:highlight w:val="none"/>
        </w:rPr>
      </w:pPr>
    </w:p>
    <w:p w14:paraId="4CAEA2D6">
      <w:pPr>
        <w:widowControl/>
        <w:ind w:firstLine="480"/>
        <w:jc w:val="left"/>
        <w:rPr>
          <w:rFonts w:ascii="Cambria" w:hAnsi="Cambria" w:cs="Times New Roman"/>
          <w:b/>
          <w:bCs/>
          <w:color w:val="auto"/>
          <w:sz w:val="24"/>
          <w:highlight w:val="none"/>
        </w:rPr>
      </w:pPr>
      <w:r>
        <w:rPr>
          <w:color w:val="auto"/>
          <w:highlight w:val="none"/>
        </w:rPr>
        <w:br w:type="page"/>
      </w:r>
    </w:p>
    <w:p w14:paraId="65DB350A">
      <w:pPr>
        <w:pStyle w:val="2"/>
        <w:rPr>
          <w:color w:val="auto"/>
          <w:highlight w:val="none"/>
        </w:rPr>
      </w:pPr>
      <w:bookmarkStart w:id="307" w:name="_Toc358"/>
      <w:bookmarkStart w:id="308" w:name="_Toc26490"/>
      <w:bookmarkStart w:id="309" w:name="_Toc12336"/>
      <w:r>
        <w:rPr>
          <w:color w:val="auto"/>
          <w:highlight w:val="none"/>
        </w:rPr>
        <w:t>6 系统性能</w:t>
      </w:r>
      <w:bookmarkEnd w:id="307"/>
      <w:bookmarkEnd w:id="308"/>
      <w:bookmarkEnd w:id="309"/>
    </w:p>
    <w:p w14:paraId="5CB18889">
      <w:pPr>
        <w:pStyle w:val="3"/>
        <w:ind w:firstLine="482"/>
        <w:rPr>
          <w:color w:val="auto"/>
          <w:highlight w:val="none"/>
        </w:rPr>
      </w:pPr>
      <w:bookmarkStart w:id="310" w:name="_Toc29164"/>
      <w:bookmarkStart w:id="311" w:name="_Toc18790"/>
      <w:bookmarkStart w:id="312" w:name="_Toc15133"/>
      <w:r>
        <w:rPr>
          <w:color w:val="auto"/>
          <w:highlight w:val="none"/>
        </w:rPr>
        <w:t>6.3 设备性能检测</w:t>
      </w:r>
      <w:bookmarkEnd w:id="310"/>
      <w:bookmarkEnd w:id="311"/>
      <w:bookmarkEnd w:id="312"/>
    </w:p>
    <w:p w14:paraId="0D2B8CC2">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6.3.2 </w:t>
      </w:r>
      <w:r>
        <w:rPr>
          <w:rFonts w:hint="eastAsia" w:ascii="Times New Roman" w:hAnsi="Times New Roman" w:cs="Times New Roman"/>
          <w:color w:val="auto"/>
          <w:sz w:val="24"/>
          <w:highlight w:val="none"/>
        </w:rPr>
        <w:t>信号源</w:t>
      </w:r>
      <w:r>
        <w:rPr>
          <w:rFonts w:ascii="Times New Roman" w:hAnsi="Times New Roman" w:cs="Times New Roman"/>
          <w:color w:val="auto"/>
          <w:sz w:val="24"/>
          <w:highlight w:val="none"/>
        </w:rPr>
        <w:t>等设备的射频输出功率是衡量设备输出信号强度的重要指标。合适的输出功率可以提供良好的信号覆盖范围和传输距离，也需要避免过大或过小的功率输出。在实际应用中，我们需要根据不同场景和需求进行输出功率的调整，以确保适当的信号强度，满足通信质量和节能要求。</w:t>
      </w:r>
    </w:p>
    <w:p w14:paraId="695785BA">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调制矢量误差（EVM）是衡量射频信号传输质量的重要指标。它描述了实际输出信号与理想信号之间的差异程度，即信号失真程度。较低的EVM值代表更准确、更稳定的信号传输，而高EVM值可能导致误码率的增加和通信性能的下降。因此，在无线射频模块设计和调试中，我们需要关注和优化EVM指标，以提供高质量的无线通信。</w:t>
      </w:r>
    </w:p>
    <w:p w14:paraId="7728B5F0">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频率误差和频偏是衡量射频信号频率准确度和稳定性的指标。频率误差是实际信号频率与期望频率之间的差异，而频偏则是实际信号频率在时间上的变化。较大的频率误差和频偏可能导致信号与其他设备不同步，产生干扰或无法正常接收。为了解决这个问题，我们需要采取合适的校正措施，使信号频率保持准确和稳定，以确保可靠的无线通信。</w:t>
      </w:r>
    </w:p>
    <w:p w14:paraId="22A7FFE1">
      <w:pPr>
        <w:spacing w:line="360" w:lineRule="auto"/>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信号源</w:t>
      </w:r>
      <w:r>
        <w:rPr>
          <w:rFonts w:ascii="Times New Roman" w:hAnsi="Times New Roman" w:cs="Times New Roman"/>
          <w:color w:val="auto"/>
          <w:sz w:val="24"/>
          <w:highlight w:val="none"/>
        </w:rPr>
        <w:t>等设备的射频输出功率、调制矢量误差（EVM）、频率误差和频偏是评估系统性能的关键指标，因此本标准中对以上几个关键指标进行测试，为系统提供更稳定、更可靠的无线通信服务。</w:t>
      </w:r>
    </w:p>
    <w:p w14:paraId="5D944DB3">
      <w:pPr>
        <w:spacing w:line="360" w:lineRule="auto"/>
        <w:ind w:firstLine="480"/>
        <w:rPr>
          <w:rFonts w:ascii="Times New Roman" w:hAnsi="Times New Roman" w:cs="Times New Roman"/>
          <w:color w:val="auto"/>
          <w:sz w:val="24"/>
          <w:highlight w:val="none"/>
        </w:rPr>
      </w:pPr>
    </w:p>
    <w:p w14:paraId="243A3145">
      <w:pPr>
        <w:pStyle w:val="3"/>
        <w:ind w:firstLine="482"/>
        <w:rPr>
          <w:color w:val="auto"/>
          <w:highlight w:val="none"/>
        </w:rPr>
      </w:pPr>
      <w:bookmarkStart w:id="313" w:name="_Toc22970"/>
      <w:bookmarkStart w:id="314" w:name="_Toc20249"/>
      <w:bookmarkStart w:id="315" w:name="_Toc8166"/>
      <w:r>
        <w:rPr>
          <w:color w:val="auto"/>
          <w:highlight w:val="none"/>
        </w:rPr>
        <w:t>6.4 网络性能检测</w:t>
      </w:r>
      <w:bookmarkEnd w:id="313"/>
      <w:bookmarkEnd w:id="314"/>
      <w:bookmarkEnd w:id="315"/>
    </w:p>
    <w:p w14:paraId="549764D8">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6.4.2 系统覆盖信号场强测试分为信号开通前和信号开通后的测试，可根据现场验收要求选择测试方式。信号开通前可采用</w:t>
      </w:r>
      <w:r>
        <w:rPr>
          <w:rFonts w:hint="eastAsia" w:ascii="Times New Roman" w:hAnsi="Times New Roman" w:cs="Times New Roman"/>
          <w:color w:val="auto"/>
          <w:sz w:val="24"/>
          <w:highlight w:val="none"/>
        </w:rPr>
        <w:t>测试</w:t>
      </w:r>
      <w:r>
        <w:rPr>
          <w:rFonts w:ascii="Times New Roman" w:hAnsi="Times New Roman" w:cs="Times New Roman"/>
          <w:color w:val="auto"/>
          <w:sz w:val="24"/>
          <w:highlight w:val="none"/>
        </w:rPr>
        <w:t>信号源模拟基站的信号</w:t>
      </w:r>
      <w:r>
        <w:rPr>
          <w:rFonts w:hint="eastAsia" w:ascii="Times New Roman" w:hAnsi="Times New Roman" w:cs="Times New Roman"/>
          <w:color w:val="auto"/>
          <w:sz w:val="24"/>
          <w:highlight w:val="none"/>
        </w:rPr>
        <w:t>输出</w:t>
      </w:r>
      <w:r>
        <w:rPr>
          <w:rFonts w:ascii="Times New Roman" w:hAnsi="Times New Roman" w:cs="Times New Roman"/>
          <w:color w:val="auto"/>
          <w:sz w:val="24"/>
          <w:highlight w:val="none"/>
        </w:rPr>
        <w:t>功率后通过路测仪进行测试，信号开通后的测试可直接采用路测仪进行测试。</w:t>
      </w:r>
      <w:r>
        <w:rPr>
          <w:rFonts w:hint="eastAsia" w:ascii="Times New Roman" w:hAnsi="Times New Roman" w:cs="Times New Roman"/>
          <w:color w:val="auto"/>
          <w:sz w:val="24"/>
          <w:highlight w:val="none"/>
        </w:rPr>
        <w:t>为保证信号的有效覆盖，</w:t>
      </w:r>
      <w:r>
        <w:rPr>
          <w:rFonts w:ascii="Times New Roman" w:hAnsi="Times New Roman" w:cs="Times New Roman"/>
          <w:color w:val="auto"/>
          <w:sz w:val="24"/>
          <w:highlight w:val="none"/>
        </w:rPr>
        <w:t>测试系统覆盖信号场强检测应不低于95%设计覆盖区域，</w:t>
      </w:r>
      <w:r>
        <w:rPr>
          <w:rFonts w:hint="eastAsia" w:ascii="Times New Roman" w:hAnsi="Times New Roman" w:cs="Times New Roman"/>
          <w:color w:val="auto"/>
          <w:sz w:val="24"/>
          <w:highlight w:val="none"/>
        </w:rPr>
        <w:t>在测试中应根据系统设计平面图、覆盖范围合理选择测试点位，</w:t>
      </w:r>
      <w:r>
        <w:rPr>
          <w:rFonts w:ascii="Times New Roman" w:hAnsi="Times New Roman" w:cs="Times New Roman"/>
          <w:color w:val="auto"/>
          <w:sz w:val="24"/>
          <w:highlight w:val="none"/>
        </w:rPr>
        <w:t>应尽可能覆盖系统各重要区域如站台、站厅、电梯、出入口、通道、隧道、列车车厢、工作区、设备区等，测试前将系统平面图或测试图导入测试设备中，规划好测试路线。</w:t>
      </w:r>
    </w:p>
    <w:p w14:paraId="5D5DA926">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6.4.3</w:t>
      </w:r>
      <w:r>
        <w:rPr>
          <w:rFonts w:hint="eastAsia" w:ascii="Times New Roman" w:hAnsi="Times New Roman" w:cs="Times New Roman"/>
          <w:color w:val="auto"/>
          <w:sz w:val="24"/>
          <w:highlight w:val="none"/>
        </w:rPr>
        <w:t xml:space="preserve"> </w:t>
      </w:r>
      <w:r>
        <w:rPr>
          <w:rFonts w:ascii="Times New Roman" w:hAnsi="Times New Roman" w:cs="Times New Roman"/>
          <w:color w:val="auto"/>
          <w:sz w:val="24"/>
          <w:highlight w:val="none"/>
        </w:rPr>
        <w:t>使用</w:t>
      </w:r>
      <w:r>
        <w:rPr>
          <w:rFonts w:hint="eastAsia" w:ascii="Times New Roman" w:hAnsi="Times New Roman" w:cs="Times New Roman"/>
          <w:color w:val="auto"/>
          <w:sz w:val="24"/>
          <w:highlight w:val="none"/>
        </w:rPr>
        <w:t>测试</w:t>
      </w:r>
      <w:r>
        <w:rPr>
          <w:rFonts w:ascii="Times New Roman" w:hAnsi="Times New Roman" w:cs="Times New Roman"/>
          <w:color w:val="auto"/>
          <w:sz w:val="24"/>
          <w:highlight w:val="none"/>
        </w:rPr>
        <w:t>信号源、频谱分析仪等设备对天线口功率进行测试，</w:t>
      </w:r>
      <w:r>
        <w:rPr>
          <w:rFonts w:hint="eastAsia" w:ascii="Times New Roman" w:hAnsi="Times New Roman" w:cs="Times New Roman"/>
          <w:color w:val="auto"/>
          <w:sz w:val="24"/>
          <w:highlight w:val="none"/>
        </w:rPr>
        <w:t>信号源连接室内分布系统输入端，信号源需模拟基站送入的信号输出功率和不同频率，频谱分析仪连接选取的测试天线端口。根据测试需要，需配备相应测试跳线、转接头、衰减器等辅助测试工具，跳线的衰减值应计入最终测试结果。</w:t>
      </w:r>
    </w:p>
    <w:p w14:paraId="642F7250">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6.4.5</w:t>
      </w:r>
      <w:r>
        <w:rPr>
          <w:rFonts w:hint="eastAsia" w:ascii="Times New Roman" w:hAnsi="Times New Roman" w:cs="Times New Roman"/>
          <w:color w:val="auto"/>
          <w:sz w:val="24"/>
          <w:highlight w:val="none"/>
          <w:lang w:val="en-US" w:eastAsia="zh-CN"/>
        </w:rPr>
        <w:t xml:space="preserve"> </w:t>
      </w:r>
      <w:r>
        <w:rPr>
          <w:rFonts w:ascii="Times New Roman" w:hAnsi="Times New Roman" w:cs="Times New Roman"/>
          <w:color w:val="auto"/>
          <w:sz w:val="24"/>
          <w:highlight w:val="none"/>
        </w:rPr>
        <w:t>系统互调干扰检测分为反射互调和传输互调测试模式，目前市面上测试设备主要为反射互调测试为主，反射式互调测试更适合于工程现场测试，本节中系统互调的测试主要测试从POI输出端测试系统链路的互调干扰</w:t>
      </w:r>
      <w:r>
        <w:rPr>
          <w:rFonts w:hint="eastAsia" w:ascii="Times New Roman" w:hAnsi="Times New Roman" w:cs="Times New Roman"/>
          <w:color w:val="auto"/>
          <w:sz w:val="24"/>
          <w:highlight w:val="none"/>
          <w:lang w:eastAsia="zh-CN"/>
        </w:rPr>
        <w:t>，</w:t>
      </w:r>
      <w:r>
        <w:rPr>
          <w:rFonts w:ascii="Times New Roman" w:hAnsi="Times New Roman" w:cs="Times New Roman"/>
          <w:color w:val="auto"/>
          <w:sz w:val="24"/>
          <w:highlight w:val="none"/>
        </w:rPr>
        <w:t>测试结果一般包括三阶互调、五阶互调</w:t>
      </w:r>
      <w:r>
        <w:rPr>
          <w:rFonts w:hint="eastAsia" w:ascii="Times New Roman" w:hAnsi="Times New Roman" w:cs="Times New Roman"/>
          <w:color w:val="auto"/>
          <w:sz w:val="24"/>
          <w:highlight w:val="none"/>
          <w:lang w:val="en-US" w:eastAsia="zh-CN"/>
        </w:rPr>
        <w:t>和</w:t>
      </w:r>
      <w:r>
        <w:rPr>
          <w:rFonts w:ascii="Times New Roman" w:hAnsi="Times New Roman" w:cs="Times New Roman"/>
          <w:color w:val="auto"/>
          <w:sz w:val="24"/>
          <w:highlight w:val="none"/>
        </w:rPr>
        <w:t>七阶互调等，</w:t>
      </w:r>
      <w:r>
        <w:rPr>
          <w:rFonts w:hint="eastAsia" w:ascii="Times New Roman" w:hAnsi="Times New Roman" w:cs="Times New Roman"/>
          <w:color w:val="auto"/>
          <w:sz w:val="24"/>
          <w:highlight w:val="none"/>
          <w:lang w:val="en-US" w:eastAsia="zh-CN"/>
        </w:rPr>
        <w:t>互调干扰主要以</w:t>
      </w:r>
      <w:r>
        <w:rPr>
          <w:rFonts w:ascii="Times New Roman" w:hAnsi="Times New Roman" w:cs="Times New Roman"/>
          <w:color w:val="auto"/>
          <w:sz w:val="24"/>
          <w:highlight w:val="none"/>
        </w:rPr>
        <w:t>三阶互调干扰为主，一般测试以三阶互调作为检测结果</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测试</w:t>
      </w:r>
      <w:r>
        <w:rPr>
          <w:rFonts w:ascii="Times New Roman" w:hAnsi="Times New Roman" w:cs="Times New Roman"/>
          <w:color w:val="auto"/>
          <w:sz w:val="24"/>
          <w:highlight w:val="none"/>
        </w:rPr>
        <w:t>链路的</w:t>
      </w:r>
      <w:r>
        <w:rPr>
          <w:rFonts w:hint="eastAsia" w:ascii="宋体" w:hAnsi="宋体" w:cs="宋体"/>
          <w:color w:val="auto"/>
          <w:sz w:val="24"/>
          <w:szCs w:val="24"/>
          <w:highlight w:val="none"/>
          <w:lang w:val="en-US" w:eastAsia="zh-CN"/>
        </w:rPr>
        <w:t>互调指标一般要求不大于-130dBc（2×27dBm）</w:t>
      </w:r>
      <w:r>
        <w:rPr>
          <w:rFonts w:ascii="Times New Roman" w:hAnsi="Times New Roman" w:cs="Times New Roman"/>
          <w:color w:val="auto"/>
          <w:sz w:val="24"/>
          <w:highlight w:val="none"/>
        </w:rPr>
        <w:t>。根据验收要求可选择测试单频段或多频段组合互调的测试。</w:t>
      </w:r>
    </w:p>
    <w:p w14:paraId="389985C6">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6.4.7</w:t>
      </w:r>
      <w:r>
        <w:rPr>
          <w:rFonts w:hint="eastAsia" w:ascii="Times New Roman" w:hAnsi="Times New Roman" w:cs="Times New Roman"/>
          <w:color w:val="auto"/>
          <w:sz w:val="24"/>
          <w:highlight w:val="none"/>
          <w:lang w:val="en-US" w:eastAsia="zh-CN"/>
        </w:rPr>
        <w:t xml:space="preserve"> </w:t>
      </w:r>
      <w:r>
        <w:rPr>
          <w:rFonts w:hint="eastAsia" w:ascii="Times New Roman" w:hAnsi="Times New Roman" w:cs="Times New Roman"/>
          <w:color w:val="auto"/>
          <w:sz w:val="24"/>
          <w:highlight w:val="none"/>
        </w:rPr>
        <w:t>系统呼叫</w:t>
      </w:r>
      <w:r>
        <w:rPr>
          <w:rFonts w:ascii="Times New Roman" w:hAnsi="Times New Roman" w:cs="Times New Roman"/>
          <w:color w:val="auto"/>
          <w:sz w:val="24"/>
          <w:highlight w:val="none"/>
        </w:rPr>
        <w:t>语音质量测试</w:t>
      </w:r>
      <w:r>
        <w:rPr>
          <w:rFonts w:hint="eastAsia" w:ascii="Times New Roman" w:hAnsi="Times New Roman" w:cs="Times New Roman"/>
          <w:color w:val="auto"/>
          <w:sz w:val="24"/>
          <w:highlight w:val="none"/>
        </w:rPr>
        <w:t>通常采用</w:t>
      </w:r>
      <w:r>
        <w:rPr>
          <w:rFonts w:ascii="Times New Roman" w:hAnsi="Times New Roman" w:cs="Times New Roman"/>
          <w:color w:val="auto"/>
          <w:sz w:val="24"/>
          <w:highlight w:val="none"/>
        </w:rPr>
        <w:t>语音质量MOS值或误码率</w:t>
      </w:r>
      <w:r>
        <w:rPr>
          <w:rFonts w:hint="eastAsia" w:ascii="Times New Roman" w:hAnsi="Times New Roman" w:cs="Times New Roman"/>
          <w:color w:val="auto"/>
          <w:sz w:val="24"/>
          <w:highlight w:val="none"/>
        </w:rPr>
        <w:t>指标来衡量</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语音质量一般采用主观评价法和客观测试法。</w:t>
      </w:r>
      <w:r>
        <w:rPr>
          <w:rFonts w:ascii="Times New Roman" w:hAnsi="Times New Roman" w:cs="Times New Roman"/>
          <w:color w:val="auto"/>
          <w:sz w:val="24"/>
          <w:highlight w:val="none"/>
        </w:rPr>
        <w:t>客观测试方法主要有：PSQM、MNB、PSQM+、PAMS99、PESQ等。主观评估即采用人耳来感受评估，具体方法为测试人员通过测试电话、手机等来现场感受话音质量。通信网络是个实时的监控系统，采用主观评估方法不仅费时费力，而且往往受测试条件的限制和测试人员主观因素的影响，测试结果的可靠性受到各方面的质疑。客观语音评估方法一般可分为时域、频域和听觉域的评估方法。时域和频域评估方法是利用网络中的一些客观参量来反映语音质量，如信噪比、误码率、接收质量等等。但是这些客观参量不能准确反映人们的主观感受，因此，听觉域的评估方法更受关注。</w:t>
      </w:r>
      <w:r>
        <w:rPr>
          <w:rFonts w:hint="eastAsia" w:ascii="Times New Roman" w:hAnsi="Times New Roman" w:cs="Times New Roman"/>
          <w:color w:val="auto"/>
          <w:sz w:val="24"/>
          <w:highlight w:val="none"/>
        </w:rPr>
        <w:t>本标准可结合主观评价和客观测试法进行判定。</w:t>
      </w:r>
    </w:p>
    <w:p w14:paraId="0F190C12">
      <w:pPr>
        <w:widowControl/>
        <w:ind w:firstLine="480"/>
        <w:jc w:val="left"/>
        <w:rPr>
          <w:rFonts w:cs="Times New Roman"/>
          <w:b/>
          <w:color w:val="auto"/>
          <w:kern w:val="44"/>
          <w:sz w:val="30"/>
          <w:szCs w:val="30"/>
          <w:highlight w:val="none"/>
        </w:rPr>
      </w:pPr>
      <w:r>
        <w:rPr>
          <w:color w:val="auto"/>
          <w:highlight w:val="none"/>
        </w:rPr>
        <w:br w:type="page"/>
      </w:r>
    </w:p>
    <w:p w14:paraId="2EDD2C78">
      <w:pPr>
        <w:pStyle w:val="2"/>
        <w:rPr>
          <w:bCs/>
          <w:color w:val="auto"/>
          <w:highlight w:val="none"/>
        </w:rPr>
      </w:pPr>
      <w:bookmarkStart w:id="316" w:name="_Toc6320"/>
      <w:bookmarkStart w:id="317" w:name="_Toc15218"/>
      <w:bookmarkStart w:id="318" w:name="_Toc30417"/>
      <w:r>
        <w:rPr>
          <w:color w:val="auto"/>
          <w:highlight w:val="none"/>
        </w:rPr>
        <w:t>8 系统安全</w:t>
      </w:r>
      <w:bookmarkEnd w:id="316"/>
      <w:bookmarkEnd w:id="317"/>
      <w:bookmarkEnd w:id="318"/>
    </w:p>
    <w:p w14:paraId="6CA78901">
      <w:pPr>
        <w:pStyle w:val="3"/>
        <w:ind w:firstLine="482"/>
        <w:rPr>
          <w:color w:val="auto"/>
          <w:highlight w:val="none"/>
        </w:rPr>
      </w:pPr>
      <w:bookmarkStart w:id="319" w:name="_Toc25510"/>
      <w:bookmarkStart w:id="320" w:name="_Toc135"/>
      <w:bookmarkStart w:id="321" w:name="_Toc21756"/>
      <w:r>
        <w:rPr>
          <w:color w:val="auto"/>
          <w:highlight w:val="none"/>
        </w:rPr>
        <w:t>8.3 系统网络安全检测</w:t>
      </w:r>
      <w:bookmarkEnd w:id="319"/>
      <w:bookmarkEnd w:id="320"/>
      <w:bookmarkEnd w:id="321"/>
    </w:p>
    <w:p w14:paraId="617479CE">
      <w:pPr>
        <w:spacing w:line="360" w:lineRule="auto"/>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 xml:space="preserve">8.3.3 </w:t>
      </w:r>
      <w:r>
        <w:rPr>
          <w:rFonts w:ascii="Times New Roman" w:hAnsi="Times New Roman" w:cs="Times New Roman"/>
          <w:color w:val="auto"/>
          <w:sz w:val="24"/>
          <w:highlight w:val="none"/>
        </w:rPr>
        <w:t>安全通信网络及安全区域边界检查</w:t>
      </w:r>
      <w:r>
        <w:rPr>
          <w:rFonts w:hint="eastAsia" w:ascii="Times New Roman" w:hAnsi="Times New Roman" w:cs="Times New Roman"/>
          <w:color w:val="auto"/>
          <w:sz w:val="24"/>
          <w:highlight w:val="none"/>
        </w:rPr>
        <w:t>应符合</w:t>
      </w:r>
      <w:r>
        <w:rPr>
          <w:rFonts w:hint="eastAsia" w:ascii="Times New Roman" w:hAnsi="Times New Roman" w:cs="Times New Roman"/>
          <w:color w:val="auto"/>
          <w:sz w:val="24"/>
          <w:highlight w:val="none"/>
          <w:lang w:val="en-US" w:eastAsia="zh-CN"/>
        </w:rPr>
        <w:t>下列规定</w:t>
      </w:r>
      <w:r>
        <w:rPr>
          <w:rFonts w:hint="eastAsia" w:ascii="Times New Roman" w:hAnsi="Times New Roman" w:cs="Times New Roman"/>
          <w:color w:val="auto"/>
          <w:sz w:val="24"/>
          <w:highlight w:val="none"/>
        </w:rPr>
        <w:t>：</w:t>
      </w:r>
    </w:p>
    <w:p w14:paraId="29F5FB58">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rPr>
        <w:t>2 通过网络扫描工具或</w:t>
      </w:r>
      <w:r>
        <w:rPr>
          <w:rFonts w:hint="eastAsia" w:ascii="Times New Roman" w:hAnsi="Times New Roman" w:cs="Times New Roman"/>
          <w:color w:val="auto"/>
          <w:sz w:val="24"/>
          <w:highlight w:val="none"/>
          <w:lang w:eastAsia="zh-CN"/>
        </w:rPr>
        <w:t>检查</w:t>
      </w:r>
      <w:r>
        <w:rPr>
          <w:rFonts w:hint="eastAsia" w:ascii="Times New Roman" w:hAnsi="Times New Roman" w:cs="Times New Roman"/>
          <w:color w:val="auto"/>
          <w:sz w:val="24"/>
          <w:highlight w:val="none"/>
        </w:rPr>
        <w:t>局域网上下链路的路由路径，</w:t>
      </w:r>
      <w:r>
        <w:rPr>
          <w:rFonts w:hint="eastAsia" w:ascii="Times New Roman" w:hAnsi="Times New Roman" w:cs="Times New Roman"/>
          <w:color w:val="auto"/>
          <w:sz w:val="24"/>
          <w:highlight w:val="none"/>
          <w:lang w:eastAsia="zh-CN"/>
        </w:rPr>
        <w:t>检查</w:t>
      </w:r>
      <w:r>
        <w:rPr>
          <w:rFonts w:hint="eastAsia" w:ascii="Times New Roman" w:hAnsi="Times New Roman" w:cs="Times New Roman"/>
          <w:color w:val="auto"/>
          <w:sz w:val="24"/>
          <w:highlight w:val="none"/>
        </w:rPr>
        <w:t>现场网络拓扑结构是否与设计的网络拓扑结构图一致</w:t>
      </w:r>
      <w:r>
        <w:rPr>
          <w:rFonts w:hint="eastAsia" w:ascii="Times New Roman" w:hAnsi="Times New Roman" w:cs="Times New Roman"/>
          <w:color w:val="auto"/>
          <w:sz w:val="24"/>
          <w:highlight w:val="none"/>
          <w:lang w:eastAsia="zh-CN"/>
        </w:rPr>
        <w:t>；</w:t>
      </w:r>
    </w:p>
    <w:p w14:paraId="6C7C59EA">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rPr>
        <w:t>3 CPU、内存占用情况，应不存在长期高于70%或短期达到100%的情况</w:t>
      </w:r>
      <w:r>
        <w:rPr>
          <w:rFonts w:hint="eastAsia" w:ascii="Times New Roman" w:hAnsi="Times New Roman" w:cs="Times New Roman"/>
          <w:color w:val="auto"/>
          <w:sz w:val="24"/>
          <w:highlight w:val="none"/>
          <w:lang w:eastAsia="zh-CN"/>
        </w:rPr>
        <w:t>；</w:t>
      </w:r>
    </w:p>
    <w:p w14:paraId="3D1FF5F4">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rPr>
        <w:t xml:space="preserve">4 </w:t>
      </w:r>
      <w:r>
        <w:rPr>
          <w:rFonts w:hint="eastAsia" w:ascii="Times New Roman" w:hAnsi="Times New Roman" w:cs="Times New Roman"/>
          <w:color w:val="auto"/>
          <w:sz w:val="24"/>
          <w:highlight w:val="none"/>
          <w:lang w:eastAsia="zh-CN"/>
        </w:rPr>
        <w:t>检查</w:t>
      </w:r>
      <w:r>
        <w:rPr>
          <w:rFonts w:hint="eastAsia" w:ascii="Times New Roman" w:hAnsi="Times New Roman" w:cs="Times New Roman"/>
          <w:color w:val="auto"/>
          <w:sz w:val="24"/>
          <w:highlight w:val="none"/>
        </w:rPr>
        <w:t>现场是否部署了具备入侵防护功能的设备，登录入侵防范平台，查看是否开启了端口扫描、强力攻击、木马后门攻击、拒绝服务攻击、缓冲区溢出攻击、IP碎片攻击和网络蠕虫攻击等的功能</w:t>
      </w:r>
      <w:r>
        <w:rPr>
          <w:rFonts w:hint="eastAsia" w:ascii="Times New Roman" w:hAnsi="Times New Roman" w:cs="Times New Roman"/>
          <w:color w:val="auto"/>
          <w:sz w:val="24"/>
          <w:highlight w:val="none"/>
          <w:lang w:eastAsia="zh-CN"/>
        </w:rPr>
        <w:t>；</w:t>
      </w:r>
    </w:p>
    <w:p w14:paraId="3267B230">
      <w:pPr>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5 登录安全审计平台，查看审计系统能否记录网络设备运行状况、网络流量、用户行为等时间，是否包括有事件的日期和时间、用户、事件类型、事件是否成功及其他与审计相关的信息。</w:t>
      </w:r>
    </w:p>
    <w:p w14:paraId="3D67C9D5">
      <w:pPr>
        <w:spacing w:line="360" w:lineRule="auto"/>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8.3.4 主机安全检查应符合下列</w:t>
      </w:r>
      <w:r>
        <w:rPr>
          <w:rFonts w:hint="eastAsia" w:ascii="Times New Roman" w:hAnsi="Times New Roman" w:cs="Times New Roman"/>
          <w:color w:val="auto"/>
          <w:sz w:val="24"/>
          <w:highlight w:val="none"/>
          <w:lang w:eastAsia="zh-CN"/>
        </w:rPr>
        <w:t>要求</w:t>
      </w:r>
      <w:r>
        <w:rPr>
          <w:rFonts w:hint="eastAsia" w:ascii="Times New Roman" w:hAnsi="Times New Roman" w:cs="Times New Roman"/>
          <w:color w:val="auto"/>
          <w:sz w:val="24"/>
          <w:highlight w:val="none"/>
        </w:rPr>
        <w:t>：</w:t>
      </w:r>
    </w:p>
    <w:p w14:paraId="09CB4E0E">
      <w:pPr>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1 主机安全检查安全扫描工具一般包括成熟的商业安全扫描工具和开源安全扫描工具。</w:t>
      </w:r>
    </w:p>
    <w:p w14:paraId="48FD4030">
      <w:pPr>
        <w:ind w:firstLine="560"/>
        <w:rPr>
          <w:rFonts w:ascii="Times New Roman" w:hAnsi="Times New Roman" w:cs="Times New Roman"/>
          <w:color w:val="auto"/>
          <w:kern w:val="0"/>
          <w:sz w:val="28"/>
          <w:szCs w:val="28"/>
          <w:highlight w:val="none"/>
        </w:rPr>
      </w:pPr>
    </w:p>
    <w:p w14:paraId="1E7116B3">
      <w:pPr>
        <w:ind w:firstLine="560"/>
        <w:rPr>
          <w:rFonts w:ascii="Times New Roman" w:hAnsi="Times New Roman" w:cs="Times New Roman"/>
          <w:color w:val="auto"/>
          <w:kern w:val="0"/>
          <w:sz w:val="28"/>
          <w:szCs w:val="28"/>
          <w:highlight w:val="none"/>
        </w:rPr>
      </w:pPr>
    </w:p>
    <w:sectPr>
      <w:footerReference r:id="rId8"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ArialMT">
    <w:altName w:val="Times New Roman"/>
    <w:panose1 w:val="00000000000000000000"/>
    <w:charset w:val="00"/>
    <w:family w:val="auto"/>
    <w:pitch w:val="default"/>
    <w:sig w:usb0="00000000" w:usb1="00000000" w:usb2="00000000" w:usb3="00000000" w:csb0="00040001" w:csb1="00000000"/>
  </w:font>
  <w:font w:name="黑体-简">
    <w:altName w:val="黑体"/>
    <w:panose1 w:val="00000000000000000000"/>
    <w:charset w:val="00"/>
    <w:family w:val="auto"/>
    <w:pitch w:val="default"/>
    <w:sig w:usb0="00000000" w:usb1="00000000" w:usb2="00000000" w:usb3="00000000" w:csb0="203E0000" w:csb1="00000000"/>
  </w:font>
  <w:font w:name="Times New Roman (正文 CS 字体)">
    <w:altName w:val="Times New Roman"/>
    <w:panose1 w:val="00000000000000000000"/>
    <w:charset w:val="00"/>
    <w:family w:val="auto"/>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9A607">
    <w:pPr>
      <w:pStyle w:val="20"/>
      <w:jc w:val="right"/>
    </w:pPr>
  </w:p>
  <w:p w14:paraId="3C22E60E">
    <w:pPr>
      <w:pStyle w:val="2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6DAE1">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EDF7D">
    <w:pPr>
      <w:pStyle w:val="20"/>
      <w:jc w:val="right"/>
    </w:pPr>
  </w:p>
  <w:p w14:paraId="17B1D3B1">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85355">
    <w:pPr>
      <w:pStyle w:val="20"/>
      <w:jc w:val="right"/>
    </w:pPr>
  </w:p>
  <w:p w14:paraId="146A059D">
    <w:pPr>
      <w:pStyle w:val="2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62B92">
    <w:pPr>
      <w:pStyle w:val="20"/>
      <w:ind w:firstLine="360"/>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8420" cy="139700"/>
              <wp:effectExtent l="0" t="1270" r="635" b="1905"/>
              <wp:wrapNone/>
              <wp:docPr id="907454373" name="Text Box 7"/>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4265FBD3">
                          <w:pPr>
                            <w:pStyle w:val="20"/>
                            <w:ind w:firstLine="360"/>
                            <w:jc w:val="right"/>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Text Box 7" o:spid="_x0000_s1026" o:spt="202" type="#_x0000_t202" style="position:absolute;left:0pt;margin-top:0pt;height:11pt;width:4.6pt;mso-position-horizontal:center;mso-position-horizontal-relative:margin;mso-wrap-style:none;z-index:251661312;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tbuXfQAAAAAgEAAA8AAAAAAAAAAQAgAAAAIgAAAGRycy9kb3ducmV2Lnht&#10;bFBLAQIUABQAAAAIAIdO4kBp7nNMAQIAAAgEAAAOAAAAAAAAAAEAIAAAAB8BAABkcnMvZTJvRG9j&#10;LnhtbFBLBQYAAAAABgAGAFkBAACSBQAAAAA=&#10;">
              <v:fill on="f" focussize="0,0"/>
              <v:stroke on="f"/>
              <v:imagedata o:title=""/>
              <o:lock v:ext="edit" aspectratio="f"/>
              <v:textbox inset="0mm,0mm,0mm,0mm" style="mso-fit-shape-to-text:t;">
                <w:txbxContent>
                  <w:p w14:paraId="4265FBD3">
                    <w:pPr>
                      <w:pStyle w:val="20"/>
                      <w:ind w:firstLine="360"/>
                      <w:jc w:val="right"/>
                    </w:pPr>
                    <w:r>
                      <w:fldChar w:fldCharType="begin"/>
                    </w:r>
                    <w:r>
                      <w:instrText xml:space="preserve"> PAGE  \* MERGEFORMAT </w:instrText>
                    </w:r>
                    <w:r>
                      <w:fldChar w:fldCharType="separate"/>
                    </w:r>
                    <w:r>
                      <w:t>2</w:t>
                    </w:r>
                    <w:r>
                      <w:fldChar w:fldCharType="end"/>
                    </w:r>
                  </w:p>
                </w:txbxContent>
              </v:textbox>
            </v:shape>
          </w:pict>
        </mc:Fallback>
      </mc:AlternateContent>
    </w:r>
  </w:p>
  <w:p w14:paraId="2528DFF3">
    <w:pPr>
      <w:pStyle w:val="2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79D4A">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984631"/>
    <w:multiLevelType w:val="singleLevel"/>
    <w:tmpl w:val="A2984631"/>
    <w:lvl w:ilvl="0" w:tentative="0">
      <w:start w:val="1"/>
      <w:numFmt w:val="decimal"/>
      <w:suff w:val="nothing"/>
      <w:lvlText w:val="%1）"/>
      <w:lvlJc w:val="left"/>
    </w:lvl>
  </w:abstractNum>
  <w:abstractNum w:abstractNumId="1">
    <w:nsid w:val="DB602F2A"/>
    <w:multiLevelType w:val="singleLevel"/>
    <w:tmpl w:val="DB602F2A"/>
    <w:lvl w:ilvl="0" w:tentative="0">
      <w:start w:val="1"/>
      <w:numFmt w:val="decimal"/>
      <w:suff w:val="nothing"/>
      <w:lvlText w:val="%1）"/>
      <w:lvlJc w:val="left"/>
    </w:lvl>
  </w:abstractNum>
  <w:abstractNum w:abstractNumId="2">
    <w:nsid w:val="069D2B2D"/>
    <w:multiLevelType w:val="singleLevel"/>
    <w:tmpl w:val="069D2B2D"/>
    <w:lvl w:ilvl="0" w:tentative="0">
      <w:start w:val="1"/>
      <w:numFmt w:val="decimal"/>
      <w:suff w:val="nothing"/>
      <w:lvlText w:val="%1）"/>
      <w:lvlJc w:val="left"/>
    </w:lvl>
  </w:abstractNum>
  <w:abstractNum w:abstractNumId="3">
    <w:nsid w:val="1E8CEF27"/>
    <w:multiLevelType w:val="singleLevel"/>
    <w:tmpl w:val="1E8CEF27"/>
    <w:lvl w:ilvl="0" w:tentative="0">
      <w:start w:val="1"/>
      <w:numFmt w:val="decimal"/>
      <w:suff w:val="nothing"/>
      <w:lvlText w:val="%1）"/>
      <w:lvlJc w:val="left"/>
    </w:lvl>
  </w:abstractNum>
  <w:abstractNum w:abstractNumId="4">
    <w:nsid w:val="475E22AB"/>
    <w:multiLevelType w:val="singleLevel"/>
    <w:tmpl w:val="475E22AB"/>
    <w:lvl w:ilvl="0" w:tentative="0">
      <w:start w:val="1"/>
      <w:numFmt w:val="decimal"/>
      <w:suff w:val="nothing"/>
      <w:lvlText w:val="%1）"/>
      <w:lvlJc w:val="left"/>
    </w:lvl>
  </w:abstractNum>
  <w:abstractNum w:abstractNumId="5">
    <w:nsid w:val="478FD7DA"/>
    <w:multiLevelType w:val="singleLevel"/>
    <w:tmpl w:val="478FD7DA"/>
    <w:lvl w:ilvl="0" w:tentative="0">
      <w:start w:val="1"/>
      <w:numFmt w:val="decimal"/>
      <w:lvlText w:val="%1."/>
      <w:lvlJc w:val="left"/>
      <w:pPr>
        <w:tabs>
          <w:tab w:val="left" w:pos="312"/>
        </w:tabs>
      </w:pPr>
    </w:lvl>
  </w:abstractNum>
  <w:abstractNum w:abstractNumId="6">
    <w:nsid w:val="64AB444F"/>
    <w:multiLevelType w:val="multilevel"/>
    <w:tmpl w:val="64AB444F"/>
    <w:lvl w:ilvl="0" w:tentative="0">
      <w:start w:val="1"/>
      <w:numFmt w:val="chineseCountingThousand"/>
      <w:pStyle w:val="28"/>
      <w:lvlText w:val="第%1部分"/>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4"/>
  </w:num>
  <w:num w:numId="3">
    <w:abstractNumId w:val="3"/>
  </w:num>
  <w:num w:numId="4">
    <w:abstractNumId w:val="1"/>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A1MzAxYzIxYzFlOGJiNmM3MzY4M2Q0ZWEyM2Q1ODUifQ=="/>
  </w:docVars>
  <w:rsids>
    <w:rsidRoot w:val="00336357"/>
    <w:rsid w:val="00000956"/>
    <w:rsid w:val="00000C0B"/>
    <w:rsid w:val="00003436"/>
    <w:rsid w:val="0000364E"/>
    <w:rsid w:val="00003DE6"/>
    <w:rsid w:val="00004050"/>
    <w:rsid w:val="000069F0"/>
    <w:rsid w:val="00006D25"/>
    <w:rsid w:val="0001232D"/>
    <w:rsid w:val="00024A9E"/>
    <w:rsid w:val="00024B9D"/>
    <w:rsid w:val="0002671A"/>
    <w:rsid w:val="000269C6"/>
    <w:rsid w:val="0003066A"/>
    <w:rsid w:val="000315CA"/>
    <w:rsid w:val="00032162"/>
    <w:rsid w:val="00032BB8"/>
    <w:rsid w:val="000344CA"/>
    <w:rsid w:val="0003596A"/>
    <w:rsid w:val="000378BB"/>
    <w:rsid w:val="00061F7A"/>
    <w:rsid w:val="000660B5"/>
    <w:rsid w:val="00066D3E"/>
    <w:rsid w:val="00067F05"/>
    <w:rsid w:val="00070086"/>
    <w:rsid w:val="000706A9"/>
    <w:rsid w:val="00070B68"/>
    <w:rsid w:val="00070EB4"/>
    <w:rsid w:val="00071663"/>
    <w:rsid w:val="00073445"/>
    <w:rsid w:val="00080C25"/>
    <w:rsid w:val="00085E1A"/>
    <w:rsid w:val="00086A98"/>
    <w:rsid w:val="00086BD0"/>
    <w:rsid w:val="00090195"/>
    <w:rsid w:val="00090FDD"/>
    <w:rsid w:val="00092811"/>
    <w:rsid w:val="0009383F"/>
    <w:rsid w:val="000A0054"/>
    <w:rsid w:val="000A05BD"/>
    <w:rsid w:val="000A0EF8"/>
    <w:rsid w:val="000A13D4"/>
    <w:rsid w:val="000A1444"/>
    <w:rsid w:val="000A24BC"/>
    <w:rsid w:val="000A43E0"/>
    <w:rsid w:val="000A6DA5"/>
    <w:rsid w:val="000A7200"/>
    <w:rsid w:val="000B0661"/>
    <w:rsid w:val="000B143C"/>
    <w:rsid w:val="000B26C8"/>
    <w:rsid w:val="000B3FC3"/>
    <w:rsid w:val="000C0579"/>
    <w:rsid w:val="000C1359"/>
    <w:rsid w:val="000C2459"/>
    <w:rsid w:val="000C289B"/>
    <w:rsid w:val="000C3544"/>
    <w:rsid w:val="000C438B"/>
    <w:rsid w:val="000D380B"/>
    <w:rsid w:val="000D3BA6"/>
    <w:rsid w:val="000D541B"/>
    <w:rsid w:val="000D6CC3"/>
    <w:rsid w:val="000D709D"/>
    <w:rsid w:val="000E0C73"/>
    <w:rsid w:val="000E1A3A"/>
    <w:rsid w:val="000E3EC0"/>
    <w:rsid w:val="000E488F"/>
    <w:rsid w:val="000E49E5"/>
    <w:rsid w:val="000E4A19"/>
    <w:rsid w:val="000E6F25"/>
    <w:rsid w:val="000F53AE"/>
    <w:rsid w:val="000F62C4"/>
    <w:rsid w:val="000F6747"/>
    <w:rsid w:val="000F677E"/>
    <w:rsid w:val="000F7FA3"/>
    <w:rsid w:val="00102814"/>
    <w:rsid w:val="00102E13"/>
    <w:rsid w:val="001047A7"/>
    <w:rsid w:val="00105536"/>
    <w:rsid w:val="0010579F"/>
    <w:rsid w:val="00106720"/>
    <w:rsid w:val="00110EDA"/>
    <w:rsid w:val="0011436E"/>
    <w:rsid w:val="00116DDF"/>
    <w:rsid w:val="0012029C"/>
    <w:rsid w:val="0012192E"/>
    <w:rsid w:val="001260C9"/>
    <w:rsid w:val="0012669F"/>
    <w:rsid w:val="00126834"/>
    <w:rsid w:val="001275C5"/>
    <w:rsid w:val="0013056C"/>
    <w:rsid w:val="001316BA"/>
    <w:rsid w:val="001322F7"/>
    <w:rsid w:val="00135624"/>
    <w:rsid w:val="0013737D"/>
    <w:rsid w:val="00140606"/>
    <w:rsid w:val="00141C79"/>
    <w:rsid w:val="001420D0"/>
    <w:rsid w:val="00145E32"/>
    <w:rsid w:val="00146937"/>
    <w:rsid w:val="00147593"/>
    <w:rsid w:val="00151944"/>
    <w:rsid w:val="001536F7"/>
    <w:rsid w:val="001541B3"/>
    <w:rsid w:val="00154423"/>
    <w:rsid w:val="001548BC"/>
    <w:rsid w:val="00154FE1"/>
    <w:rsid w:val="001616E6"/>
    <w:rsid w:val="001622D4"/>
    <w:rsid w:val="001649D1"/>
    <w:rsid w:val="00165059"/>
    <w:rsid w:val="001657C9"/>
    <w:rsid w:val="00165A96"/>
    <w:rsid w:val="0016611B"/>
    <w:rsid w:val="00166539"/>
    <w:rsid w:val="0017132C"/>
    <w:rsid w:val="001733EA"/>
    <w:rsid w:val="001764A4"/>
    <w:rsid w:val="00177C48"/>
    <w:rsid w:val="00180A45"/>
    <w:rsid w:val="001822FF"/>
    <w:rsid w:val="00183F11"/>
    <w:rsid w:val="0018458F"/>
    <w:rsid w:val="0018599F"/>
    <w:rsid w:val="00191A29"/>
    <w:rsid w:val="001924D1"/>
    <w:rsid w:val="00195981"/>
    <w:rsid w:val="001A4F7F"/>
    <w:rsid w:val="001A74BF"/>
    <w:rsid w:val="001B1DF4"/>
    <w:rsid w:val="001B29FA"/>
    <w:rsid w:val="001B4202"/>
    <w:rsid w:val="001B5245"/>
    <w:rsid w:val="001B60AB"/>
    <w:rsid w:val="001B7680"/>
    <w:rsid w:val="001C6336"/>
    <w:rsid w:val="001D1819"/>
    <w:rsid w:val="001D58BE"/>
    <w:rsid w:val="001D5A46"/>
    <w:rsid w:val="001E0587"/>
    <w:rsid w:val="001E0B93"/>
    <w:rsid w:val="001E1351"/>
    <w:rsid w:val="001E2764"/>
    <w:rsid w:val="001E4672"/>
    <w:rsid w:val="001E67A4"/>
    <w:rsid w:val="001E725F"/>
    <w:rsid w:val="001F26CB"/>
    <w:rsid w:val="001F3E14"/>
    <w:rsid w:val="001F3EEC"/>
    <w:rsid w:val="001F573B"/>
    <w:rsid w:val="001F6319"/>
    <w:rsid w:val="001F68A2"/>
    <w:rsid w:val="001F6CD5"/>
    <w:rsid w:val="0020244B"/>
    <w:rsid w:val="00203EC5"/>
    <w:rsid w:val="0020449A"/>
    <w:rsid w:val="0020774E"/>
    <w:rsid w:val="002100B3"/>
    <w:rsid w:val="002118F2"/>
    <w:rsid w:val="002123A7"/>
    <w:rsid w:val="00212F5E"/>
    <w:rsid w:val="00217010"/>
    <w:rsid w:val="002200AA"/>
    <w:rsid w:val="00220210"/>
    <w:rsid w:val="0022054D"/>
    <w:rsid w:val="00224A1E"/>
    <w:rsid w:val="00226878"/>
    <w:rsid w:val="00230B1D"/>
    <w:rsid w:val="00233573"/>
    <w:rsid w:val="002400E8"/>
    <w:rsid w:val="00240A66"/>
    <w:rsid w:val="00240FA0"/>
    <w:rsid w:val="002441D0"/>
    <w:rsid w:val="002465B9"/>
    <w:rsid w:val="00247042"/>
    <w:rsid w:val="0025052E"/>
    <w:rsid w:val="00250FF6"/>
    <w:rsid w:val="002547C8"/>
    <w:rsid w:val="00255F46"/>
    <w:rsid w:val="00256AFC"/>
    <w:rsid w:val="00256FF5"/>
    <w:rsid w:val="00257A84"/>
    <w:rsid w:val="00260E6C"/>
    <w:rsid w:val="00266B0A"/>
    <w:rsid w:val="00270111"/>
    <w:rsid w:val="00270C25"/>
    <w:rsid w:val="00270CE2"/>
    <w:rsid w:val="002725F2"/>
    <w:rsid w:val="00280C92"/>
    <w:rsid w:val="002817AF"/>
    <w:rsid w:val="00282423"/>
    <w:rsid w:val="002877AA"/>
    <w:rsid w:val="00292F7F"/>
    <w:rsid w:val="00294BFA"/>
    <w:rsid w:val="00295FD6"/>
    <w:rsid w:val="002969A7"/>
    <w:rsid w:val="002A1754"/>
    <w:rsid w:val="002A3B98"/>
    <w:rsid w:val="002A3BF9"/>
    <w:rsid w:val="002B0573"/>
    <w:rsid w:val="002B4422"/>
    <w:rsid w:val="002B670A"/>
    <w:rsid w:val="002C1038"/>
    <w:rsid w:val="002C1E6E"/>
    <w:rsid w:val="002C6ACD"/>
    <w:rsid w:val="002C7C5F"/>
    <w:rsid w:val="002D4E31"/>
    <w:rsid w:val="002D4E94"/>
    <w:rsid w:val="002D5EE3"/>
    <w:rsid w:val="002D6640"/>
    <w:rsid w:val="002D7D4B"/>
    <w:rsid w:val="002E03D2"/>
    <w:rsid w:val="002E08DB"/>
    <w:rsid w:val="002E0A3A"/>
    <w:rsid w:val="002E10C6"/>
    <w:rsid w:val="002E12E5"/>
    <w:rsid w:val="002E5351"/>
    <w:rsid w:val="002E5728"/>
    <w:rsid w:val="002E635F"/>
    <w:rsid w:val="002E68B1"/>
    <w:rsid w:val="002F0632"/>
    <w:rsid w:val="002F0AAE"/>
    <w:rsid w:val="002F1DC9"/>
    <w:rsid w:val="002F5CD2"/>
    <w:rsid w:val="002F6BB0"/>
    <w:rsid w:val="00300009"/>
    <w:rsid w:val="00307490"/>
    <w:rsid w:val="00307693"/>
    <w:rsid w:val="0031103D"/>
    <w:rsid w:val="003119B4"/>
    <w:rsid w:val="00311A21"/>
    <w:rsid w:val="0031236C"/>
    <w:rsid w:val="00312387"/>
    <w:rsid w:val="00314602"/>
    <w:rsid w:val="00315195"/>
    <w:rsid w:val="00315F8F"/>
    <w:rsid w:val="0031766E"/>
    <w:rsid w:val="00320927"/>
    <w:rsid w:val="00320DCD"/>
    <w:rsid w:val="003215CE"/>
    <w:rsid w:val="003225EF"/>
    <w:rsid w:val="00323B4E"/>
    <w:rsid w:val="00331BFC"/>
    <w:rsid w:val="0033273F"/>
    <w:rsid w:val="00332948"/>
    <w:rsid w:val="00334066"/>
    <w:rsid w:val="00334100"/>
    <w:rsid w:val="003357FE"/>
    <w:rsid w:val="00336357"/>
    <w:rsid w:val="00342191"/>
    <w:rsid w:val="00344556"/>
    <w:rsid w:val="00344A46"/>
    <w:rsid w:val="003451DE"/>
    <w:rsid w:val="00345DD3"/>
    <w:rsid w:val="00350BA3"/>
    <w:rsid w:val="00351CCF"/>
    <w:rsid w:val="003544C7"/>
    <w:rsid w:val="003553BB"/>
    <w:rsid w:val="00356E9A"/>
    <w:rsid w:val="003608A8"/>
    <w:rsid w:val="00366975"/>
    <w:rsid w:val="00366C2C"/>
    <w:rsid w:val="00367767"/>
    <w:rsid w:val="0037556F"/>
    <w:rsid w:val="00376EB9"/>
    <w:rsid w:val="00377684"/>
    <w:rsid w:val="00381EDF"/>
    <w:rsid w:val="003827B3"/>
    <w:rsid w:val="00383E85"/>
    <w:rsid w:val="0038730B"/>
    <w:rsid w:val="00387B3D"/>
    <w:rsid w:val="00390ADC"/>
    <w:rsid w:val="00393226"/>
    <w:rsid w:val="003938DA"/>
    <w:rsid w:val="003958F0"/>
    <w:rsid w:val="00396C09"/>
    <w:rsid w:val="003973A5"/>
    <w:rsid w:val="00397B1C"/>
    <w:rsid w:val="003A265D"/>
    <w:rsid w:val="003A2733"/>
    <w:rsid w:val="003A38F7"/>
    <w:rsid w:val="003A3B1D"/>
    <w:rsid w:val="003A3C67"/>
    <w:rsid w:val="003A4BB3"/>
    <w:rsid w:val="003A7DD6"/>
    <w:rsid w:val="003B0CD4"/>
    <w:rsid w:val="003B3448"/>
    <w:rsid w:val="003B3513"/>
    <w:rsid w:val="003B4997"/>
    <w:rsid w:val="003B6CA8"/>
    <w:rsid w:val="003C152C"/>
    <w:rsid w:val="003C1E5A"/>
    <w:rsid w:val="003C3655"/>
    <w:rsid w:val="003D2732"/>
    <w:rsid w:val="003D3891"/>
    <w:rsid w:val="003E09F1"/>
    <w:rsid w:val="003E3AA5"/>
    <w:rsid w:val="003E486C"/>
    <w:rsid w:val="003E5048"/>
    <w:rsid w:val="003E7A31"/>
    <w:rsid w:val="003E7B32"/>
    <w:rsid w:val="003F05FC"/>
    <w:rsid w:val="003F07A2"/>
    <w:rsid w:val="003F10A8"/>
    <w:rsid w:val="0040288B"/>
    <w:rsid w:val="00404DE7"/>
    <w:rsid w:val="0040646E"/>
    <w:rsid w:val="00406E47"/>
    <w:rsid w:val="0041082F"/>
    <w:rsid w:val="004111A0"/>
    <w:rsid w:val="0041158F"/>
    <w:rsid w:val="004136E0"/>
    <w:rsid w:val="00413F4C"/>
    <w:rsid w:val="00416118"/>
    <w:rsid w:val="00417803"/>
    <w:rsid w:val="00424769"/>
    <w:rsid w:val="004247EF"/>
    <w:rsid w:val="00432525"/>
    <w:rsid w:val="00432E85"/>
    <w:rsid w:val="00433273"/>
    <w:rsid w:val="004341A0"/>
    <w:rsid w:val="0043514C"/>
    <w:rsid w:val="00436647"/>
    <w:rsid w:val="00436EAB"/>
    <w:rsid w:val="00441121"/>
    <w:rsid w:val="004425B1"/>
    <w:rsid w:val="00445117"/>
    <w:rsid w:val="00446419"/>
    <w:rsid w:val="00446FE7"/>
    <w:rsid w:val="00450114"/>
    <w:rsid w:val="0045017D"/>
    <w:rsid w:val="004501F0"/>
    <w:rsid w:val="004514ED"/>
    <w:rsid w:val="00451AEC"/>
    <w:rsid w:val="004522C6"/>
    <w:rsid w:val="00452999"/>
    <w:rsid w:val="00456721"/>
    <w:rsid w:val="00457AFF"/>
    <w:rsid w:val="00460F1B"/>
    <w:rsid w:val="004613D2"/>
    <w:rsid w:val="00461F7A"/>
    <w:rsid w:val="00462093"/>
    <w:rsid w:val="00462DCD"/>
    <w:rsid w:val="00463390"/>
    <w:rsid w:val="00463699"/>
    <w:rsid w:val="00467F2A"/>
    <w:rsid w:val="0047041E"/>
    <w:rsid w:val="00470CCF"/>
    <w:rsid w:val="00471E6F"/>
    <w:rsid w:val="00474A06"/>
    <w:rsid w:val="0047502D"/>
    <w:rsid w:val="00477A59"/>
    <w:rsid w:val="0048096F"/>
    <w:rsid w:val="004871F4"/>
    <w:rsid w:val="004875BC"/>
    <w:rsid w:val="0049189D"/>
    <w:rsid w:val="00492CEF"/>
    <w:rsid w:val="00495A09"/>
    <w:rsid w:val="00495DF2"/>
    <w:rsid w:val="004A7E66"/>
    <w:rsid w:val="004B06A4"/>
    <w:rsid w:val="004B1EDC"/>
    <w:rsid w:val="004B1FB7"/>
    <w:rsid w:val="004B37AD"/>
    <w:rsid w:val="004B5717"/>
    <w:rsid w:val="004C27A8"/>
    <w:rsid w:val="004C42ED"/>
    <w:rsid w:val="004C5CF4"/>
    <w:rsid w:val="004C7132"/>
    <w:rsid w:val="004C721A"/>
    <w:rsid w:val="004C739B"/>
    <w:rsid w:val="004D2EA7"/>
    <w:rsid w:val="004D3403"/>
    <w:rsid w:val="004D3EA5"/>
    <w:rsid w:val="004D5DC9"/>
    <w:rsid w:val="004D7AEB"/>
    <w:rsid w:val="004E08B6"/>
    <w:rsid w:val="004E27AA"/>
    <w:rsid w:val="004E2AE0"/>
    <w:rsid w:val="004E45B0"/>
    <w:rsid w:val="004E4FDD"/>
    <w:rsid w:val="004E514F"/>
    <w:rsid w:val="004E5A78"/>
    <w:rsid w:val="004E6864"/>
    <w:rsid w:val="004E6C37"/>
    <w:rsid w:val="004F200E"/>
    <w:rsid w:val="004F7026"/>
    <w:rsid w:val="004F720C"/>
    <w:rsid w:val="00500BFA"/>
    <w:rsid w:val="00501B71"/>
    <w:rsid w:val="00501B91"/>
    <w:rsid w:val="00505924"/>
    <w:rsid w:val="00505D47"/>
    <w:rsid w:val="005068C7"/>
    <w:rsid w:val="00506C2E"/>
    <w:rsid w:val="00507BAE"/>
    <w:rsid w:val="00511096"/>
    <w:rsid w:val="00511CFD"/>
    <w:rsid w:val="00513287"/>
    <w:rsid w:val="00513651"/>
    <w:rsid w:val="00514831"/>
    <w:rsid w:val="0052014B"/>
    <w:rsid w:val="00520DA0"/>
    <w:rsid w:val="0052204A"/>
    <w:rsid w:val="005227DF"/>
    <w:rsid w:val="00522D5C"/>
    <w:rsid w:val="005245B5"/>
    <w:rsid w:val="00525B46"/>
    <w:rsid w:val="00526675"/>
    <w:rsid w:val="005301DB"/>
    <w:rsid w:val="00532FA1"/>
    <w:rsid w:val="00533609"/>
    <w:rsid w:val="005340F1"/>
    <w:rsid w:val="0053432E"/>
    <w:rsid w:val="00537156"/>
    <w:rsid w:val="005374B2"/>
    <w:rsid w:val="00537578"/>
    <w:rsid w:val="00540FDC"/>
    <w:rsid w:val="00541F47"/>
    <w:rsid w:val="00542122"/>
    <w:rsid w:val="00542200"/>
    <w:rsid w:val="00542389"/>
    <w:rsid w:val="00545F13"/>
    <w:rsid w:val="0055218D"/>
    <w:rsid w:val="00552E44"/>
    <w:rsid w:val="00553C18"/>
    <w:rsid w:val="00555CF2"/>
    <w:rsid w:val="00556CBE"/>
    <w:rsid w:val="005578FD"/>
    <w:rsid w:val="0056323D"/>
    <w:rsid w:val="00563680"/>
    <w:rsid w:val="005666E5"/>
    <w:rsid w:val="00566899"/>
    <w:rsid w:val="005669DC"/>
    <w:rsid w:val="00572343"/>
    <w:rsid w:val="00576A0F"/>
    <w:rsid w:val="005770F0"/>
    <w:rsid w:val="005857E7"/>
    <w:rsid w:val="0058668B"/>
    <w:rsid w:val="00590EB2"/>
    <w:rsid w:val="0059381C"/>
    <w:rsid w:val="00594A33"/>
    <w:rsid w:val="00596A3C"/>
    <w:rsid w:val="005A029E"/>
    <w:rsid w:val="005A4D1F"/>
    <w:rsid w:val="005A74AF"/>
    <w:rsid w:val="005A7B63"/>
    <w:rsid w:val="005B1112"/>
    <w:rsid w:val="005B3341"/>
    <w:rsid w:val="005B3B31"/>
    <w:rsid w:val="005B4060"/>
    <w:rsid w:val="005B4149"/>
    <w:rsid w:val="005B493F"/>
    <w:rsid w:val="005B6FDC"/>
    <w:rsid w:val="005C0A42"/>
    <w:rsid w:val="005C0F19"/>
    <w:rsid w:val="005C1F98"/>
    <w:rsid w:val="005C24E6"/>
    <w:rsid w:val="005C3ACC"/>
    <w:rsid w:val="005C3E6E"/>
    <w:rsid w:val="005D084D"/>
    <w:rsid w:val="005D3D08"/>
    <w:rsid w:val="005D7703"/>
    <w:rsid w:val="005E0D32"/>
    <w:rsid w:val="005E0D9B"/>
    <w:rsid w:val="005E2E2E"/>
    <w:rsid w:val="005E4BF7"/>
    <w:rsid w:val="005E5A2A"/>
    <w:rsid w:val="005E5E6F"/>
    <w:rsid w:val="005E69A3"/>
    <w:rsid w:val="005F1604"/>
    <w:rsid w:val="005F4A23"/>
    <w:rsid w:val="00601645"/>
    <w:rsid w:val="00601722"/>
    <w:rsid w:val="006036A0"/>
    <w:rsid w:val="00603F6E"/>
    <w:rsid w:val="0060413A"/>
    <w:rsid w:val="006049D2"/>
    <w:rsid w:val="00605F35"/>
    <w:rsid w:val="00610439"/>
    <w:rsid w:val="006112AF"/>
    <w:rsid w:val="00612341"/>
    <w:rsid w:val="006126E9"/>
    <w:rsid w:val="00612F63"/>
    <w:rsid w:val="0061388A"/>
    <w:rsid w:val="00616A69"/>
    <w:rsid w:val="00616C28"/>
    <w:rsid w:val="00625150"/>
    <w:rsid w:val="00625935"/>
    <w:rsid w:val="006262DA"/>
    <w:rsid w:val="006307F6"/>
    <w:rsid w:val="00630A7D"/>
    <w:rsid w:val="00633600"/>
    <w:rsid w:val="00634454"/>
    <w:rsid w:val="00634E07"/>
    <w:rsid w:val="00637ED9"/>
    <w:rsid w:val="0064175C"/>
    <w:rsid w:val="00643B31"/>
    <w:rsid w:val="006449FC"/>
    <w:rsid w:val="00647C4A"/>
    <w:rsid w:val="0065033D"/>
    <w:rsid w:val="00653128"/>
    <w:rsid w:val="006552B2"/>
    <w:rsid w:val="00655CBD"/>
    <w:rsid w:val="00656D98"/>
    <w:rsid w:val="006615C5"/>
    <w:rsid w:val="0066329F"/>
    <w:rsid w:val="006633F5"/>
    <w:rsid w:val="00666298"/>
    <w:rsid w:val="006665FA"/>
    <w:rsid w:val="00666D5B"/>
    <w:rsid w:val="00667ED0"/>
    <w:rsid w:val="00671E8B"/>
    <w:rsid w:val="00672A0B"/>
    <w:rsid w:val="00673658"/>
    <w:rsid w:val="006743F6"/>
    <w:rsid w:val="00676173"/>
    <w:rsid w:val="0068042E"/>
    <w:rsid w:val="0068066A"/>
    <w:rsid w:val="00680B73"/>
    <w:rsid w:val="0068412B"/>
    <w:rsid w:val="006867DB"/>
    <w:rsid w:val="006914A2"/>
    <w:rsid w:val="006915A4"/>
    <w:rsid w:val="006923FF"/>
    <w:rsid w:val="00694AA1"/>
    <w:rsid w:val="00696DB3"/>
    <w:rsid w:val="00697794"/>
    <w:rsid w:val="006A046C"/>
    <w:rsid w:val="006A1D9B"/>
    <w:rsid w:val="006A2EAA"/>
    <w:rsid w:val="006A393F"/>
    <w:rsid w:val="006A3E4F"/>
    <w:rsid w:val="006A3F25"/>
    <w:rsid w:val="006A70A1"/>
    <w:rsid w:val="006B0286"/>
    <w:rsid w:val="006B38B7"/>
    <w:rsid w:val="006B4269"/>
    <w:rsid w:val="006C22B2"/>
    <w:rsid w:val="006C761A"/>
    <w:rsid w:val="006D07A6"/>
    <w:rsid w:val="006D149F"/>
    <w:rsid w:val="006D4FAF"/>
    <w:rsid w:val="006D6619"/>
    <w:rsid w:val="006E416B"/>
    <w:rsid w:val="006E6590"/>
    <w:rsid w:val="006E687F"/>
    <w:rsid w:val="006E6C82"/>
    <w:rsid w:val="006F1F93"/>
    <w:rsid w:val="006F4499"/>
    <w:rsid w:val="006F6518"/>
    <w:rsid w:val="006F6B2A"/>
    <w:rsid w:val="006F749F"/>
    <w:rsid w:val="006F7C1C"/>
    <w:rsid w:val="00702F11"/>
    <w:rsid w:val="007030A1"/>
    <w:rsid w:val="00712762"/>
    <w:rsid w:val="00712D49"/>
    <w:rsid w:val="00714FEE"/>
    <w:rsid w:val="007205E1"/>
    <w:rsid w:val="00721017"/>
    <w:rsid w:val="00721076"/>
    <w:rsid w:val="00723051"/>
    <w:rsid w:val="00725081"/>
    <w:rsid w:val="00727745"/>
    <w:rsid w:val="00730E0A"/>
    <w:rsid w:val="00731BB3"/>
    <w:rsid w:val="00736783"/>
    <w:rsid w:val="00741B12"/>
    <w:rsid w:val="00743249"/>
    <w:rsid w:val="00743782"/>
    <w:rsid w:val="00743CBD"/>
    <w:rsid w:val="00745E6F"/>
    <w:rsid w:val="00747CF3"/>
    <w:rsid w:val="00750C3B"/>
    <w:rsid w:val="007537FF"/>
    <w:rsid w:val="00756C36"/>
    <w:rsid w:val="00766C5D"/>
    <w:rsid w:val="007703B8"/>
    <w:rsid w:val="007843CC"/>
    <w:rsid w:val="0078464E"/>
    <w:rsid w:val="007857CA"/>
    <w:rsid w:val="00785984"/>
    <w:rsid w:val="00787477"/>
    <w:rsid w:val="00787FC9"/>
    <w:rsid w:val="00790060"/>
    <w:rsid w:val="00790805"/>
    <w:rsid w:val="0079261A"/>
    <w:rsid w:val="00792C4F"/>
    <w:rsid w:val="00793F1F"/>
    <w:rsid w:val="007943A4"/>
    <w:rsid w:val="0079520C"/>
    <w:rsid w:val="007A0DC5"/>
    <w:rsid w:val="007A1315"/>
    <w:rsid w:val="007A2A83"/>
    <w:rsid w:val="007A3F8E"/>
    <w:rsid w:val="007A5A1F"/>
    <w:rsid w:val="007B0FBD"/>
    <w:rsid w:val="007B2674"/>
    <w:rsid w:val="007B740A"/>
    <w:rsid w:val="007C3A55"/>
    <w:rsid w:val="007C48AC"/>
    <w:rsid w:val="007C7387"/>
    <w:rsid w:val="007C7500"/>
    <w:rsid w:val="007D30B0"/>
    <w:rsid w:val="007D3153"/>
    <w:rsid w:val="007E0ABC"/>
    <w:rsid w:val="007E1239"/>
    <w:rsid w:val="007E1B4A"/>
    <w:rsid w:val="007E1C50"/>
    <w:rsid w:val="007E5F46"/>
    <w:rsid w:val="007E7AB9"/>
    <w:rsid w:val="007F00A4"/>
    <w:rsid w:val="007F1CB3"/>
    <w:rsid w:val="007F1E3C"/>
    <w:rsid w:val="007F4F95"/>
    <w:rsid w:val="00805E5E"/>
    <w:rsid w:val="0080755F"/>
    <w:rsid w:val="0081112B"/>
    <w:rsid w:val="008138CF"/>
    <w:rsid w:val="00815FA5"/>
    <w:rsid w:val="00822B2C"/>
    <w:rsid w:val="008239D4"/>
    <w:rsid w:val="00823D33"/>
    <w:rsid w:val="00827D8D"/>
    <w:rsid w:val="00830422"/>
    <w:rsid w:val="00832A44"/>
    <w:rsid w:val="00832FAF"/>
    <w:rsid w:val="00832FF1"/>
    <w:rsid w:val="0083700B"/>
    <w:rsid w:val="008413EE"/>
    <w:rsid w:val="00841B64"/>
    <w:rsid w:val="0084344E"/>
    <w:rsid w:val="00846EED"/>
    <w:rsid w:val="0085211B"/>
    <w:rsid w:val="0085533A"/>
    <w:rsid w:val="00857397"/>
    <w:rsid w:val="00857ED5"/>
    <w:rsid w:val="008614CF"/>
    <w:rsid w:val="008628A3"/>
    <w:rsid w:val="00864B62"/>
    <w:rsid w:val="00870D93"/>
    <w:rsid w:val="008717CC"/>
    <w:rsid w:val="0087330F"/>
    <w:rsid w:val="00873371"/>
    <w:rsid w:val="00874BDD"/>
    <w:rsid w:val="00875AC2"/>
    <w:rsid w:val="0087643E"/>
    <w:rsid w:val="00880870"/>
    <w:rsid w:val="008819D5"/>
    <w:rsid w:val="0088522F"/>
    <w:rsid w:val="008874D2"/>
    <w:rsid w:val="00891635"/>
    <w:rsid w:val="0089377D"/>
    <w:rsid w:val="00893942"/>
    <w:rsid w:val="00894597"/>
    <w:rsid w:val="0089601C"/>
    <w:rsid w:val="008962AE"/>
    <w:rsid w:val="008964EF"/>
    <w:rsid w:val="008A052B"/>
    <w:rsid w:val="008A39B6"/>
    <w:rsid w:val="008A6457"/>
    <w:rsid w:val="008B23F3"/>
    <w:rsid w:val="008B2825"/>
    <w:rsid w:val="008B5716"/>
    <w:rsid w:val="008B5F93"/>
    <w:rsid w:val="008B69C7"/>
    <w:rsid w:val="008B6E2A"/>
    <w:rsid w:val="008C01A5"/>
    <w:rsid w:val="008C025D"/>
    <w:rsid w:val="008C0BF0"/>
    <w:rsid w:val="008C1EE5"/>
    <w:rsid w:val="008C28B8"/>
    <w:rsid w:val="008C4FD3"/>
    <w:rsid w:val="008C5ADF"/>
    <w:rsid w:val="008D02BA"/>
    <w:rsid w:val="008D03B4"/>
    <w:rsid w:val="008D1172"/>
    <w:rsid w:val="008D14F1"/>
    <w:rsid w:val="008D1529"/>
    <w:rsid w:val="008D1BD1"/>
    <w:rsid w:val="008D66C6"/>
    <w:rsid w:val="008D6AE1"/>
    <w:rsid w:val="008E18CE"/>
    <w:rsid w:val="008E1F1A"/>
    <w:rsid w:val="008E38FB"/>
    <w:rsid w:val="008E7FBD"/>
    <w:rsid w:val="008F0B01"/>
    <w:rsid w:val="008F1D60"/>
    <w:rsid w:val="008F4BBE"/>
    <w:rsid w:val="008F53C5"/>
    <w:rsid w:val="008F5649"/>
    <w:rsid w:val="008F58B2"/>
    <w:rsid w:val="008F7E29"/>
    <w:rsid w:val="00901875"/>
    <w:rsid w:val="00904F61"/>
    <w:rsid w:val="0090735A"/>
    <w:rsid w:val="00907E1B"/>
    <w:rsid w:val="00910C5F"/>
    <w:rsid w:val="00912141"/>
    <w:rsid w:val="00921C88"/>
    <w:rsid w:val="009239C7"/>
    <w:rsid w:val="00926F02"/>
    <w:rsid w:val="00927A63"/>
    <w:rsid w:val="00932F12"/>
    <w:rsid w:val="009366DD"/>
    <w:rsid w:val="00936AFA"/>
    <w:rsid w:val="0093752B"/>
    <w:rsid w:val="00937AB4"/>
    <w:rsid w:val="00937B6A"/>
    <w:rsid w:val="0094170D"/>
    <w:rsid w:val="00944318"/>
    <w:rsid w:val="009463FD"/>
    <w:rsid w:val="0094680C"/>
    <w:rsid w:val="009471DE"/>
    <w:rsid w:val="0095233D"/>
    <w:rsid w:val="009532D9"/>
    <w:rsid w:val="00955CB7"/>
    <w:rsid w:val="0095612C"/>
    <w:rsid w:val="0096014A"/>
    <w:rsid w:val="00961501"/>
    <w:rsid w:val="009623C2"/>
    <w:rsid w:val="00963769"/>
    <w:rsid w:val="009650CE"/>
    <w:rsid w:val="00965210"/>
    <w:rsid w:val="0096637F"/>
    <w:rsid w:val="00967135"/>
    <w:rsid w:val="00971DDD"/>
    <w:rsid w:val="00974163"/>
    <w:rsid w:val="0097438F"/>
    <w:rsid w:val="00974432"/>
    <w:rsid w:val="00974790"/>
    <w:rsid w:val="00977E9C"/>
    <w:rsid w:val="00980F5F"/>
    <w:rsid w:val="00981F82"/>
    <w:rsid w:val="009824D2"/>
    <w:rsid w:val="00984D6F"/>
    <w:rsid w:val="00986CE6"/>
    <w:rsid w:val="00987E8A"/>
    <w:rsid w:val="009910B2"/>
    <w:rsid w:val="009939BA"/>
    <w:rsid w:val="00996AC7"/>
    <w:rsid w:val="009A4255"/>
    <w:rsid w:val="009A5D7F"/>
    <w:rsid w:val="009A7A38"/>
    <w:rsid w:val="009C2582"/>
    <w:rsid w:val="009C2832"/>
    <w:rsid w:val="009C2D30"/>
    <w:rsid w:val="009C374F"/>
    <w:rsid w:val="009C4D36"/>
    <w:rsid w:val="009C5321"/>
    <w:rsid w:val="009C571E"/>
    <w:rsid w:val="009C710F"/>
    <w:rsid w:val="009C72F5"/>
    <w:rsid w:val="009C749A"/>
    <w:rsid w:val="009D1444"/>
    <w:rsid w:val="009D2B88"/>
    <w:rsid w:val="009D4E36"/>
    <w:rsid w:val="009E0E8F"/>
    <w:rsid w:val="009E38DB"/>
    <w:rsid w:val="009F05B9"/>
    <w:rsid w:val="009F06C0"/>
    <w:rsid w:val="009F1EA2"/>
    <w:rsid w:val="009F31CF"/>
    <w:rsid w:val="009F52B5"/>
    <w:rsid w:val="009F53D9"/>
    <w:rsid w:val="009F5744"/>
    <w:rsid w:val="009F776F"/>
    <w:rsid w:val="00A04CE1"/>
    <w:rsid w:val="00A13ACA"/>
    <w:rsid w:val="00A13E8B"/>
    <w:rsid w:val="00A14B9A"/>
    <w:rsid w:val="00A1611B"/>
    <w:rsid w:val="00A205A9"/>
    <w:rsid w:val="00A20D05"/>
    <w:rsid w:val="00A231CA"/>
    <w:rsid w:val="00A237F7"/>
    <w:rsid w:val="00A25ADF"/>
    <w:rsid w:val="00A25F0C"/>
    <w:rsid w:val="00A30D92"/>
    <w:rsid w:val="00A3135E"/>
    <w:rsid w:val="00A321FE"/>
    <w:rsid w:val="00A35F92"/>
    <w:rsid w:val="00A36194"/>
    <w:rsid w:val="00A36737"/>
    <w:rsid w:val="00A36CAD"/>
    <w:rsid w:val="00A37698"/>
    <w:rsid w:val="00A37FB5"/>
    <w:rsid w:val="00A41A9F"/>
    <w:rsid w:val="00A41CDD"/>
    <w:rsid w:val="00A42003"/>
    <w:rsid w:val="00A438CB"/>
    <w:rsid w:val="00A43D01"/>
    <w:rsid w:val="00A44E9C"/>
    <w:rsid w:val="00A4642D"/>
    <w:rsid w:val="00A46D4C"/>
    <w:rsid w:val="00A47D9A"/>
    <w:rsid w:val="00A507ED"/>
    <w:rsid w:val="00A522D6"/>
    <w:rsid w:val="00A527B5"/>
    <w:rsid w:val="00A53630"/>
    <w:rsid w:val="00A54BDE"/>
    <w:rsid w:val="00A54EF7"/>
    <w:rsid w:val="00A55864"/>
    <w:rsid w:val="00A55EFB"/>
    <w:rsid w:val="00A569F2"/>
    <w:rsid w:val="00A56B73"/>
    <w:rsid w:val="00A56FC6"/>
    <w:rsid w:val="00A572DB"/>
    <w:rsid w:val="00A61041"/>
    <w:rsid w:val="00A67346"/>
    <w:rsid w:val="00A678B8"/>
    <w:rsid w:val="00A71944"/>
    <w:rsid w:val="00A73FA3"/>
    <w:rsid w:val="00A77A37"/>
    <w:rsid w:val="00A800F8"/>
    <w:rsid w:val="00A806C1"/>
    <w:rsid w:val="00A81020"/>
    <w:rsid w:val="00A81109"/>
    <w:rsid w:val="00A82DB7"/>
    <w:rsid w:val="00A8411C"/>
    <w:rsid w:val="00A84E1A"/>
    <w:rsid w:val="00A86714"/>
    <w:rsid w:val="00A91BFD"/>
    <w:rsid w:val="00A93652"/>
    <w:rsid w:val="00A9595D"/>
    <w:rsid w:val="00A96CE4"/>
    <w:rsid w:val="00A96E17"/>
    <w:rsid w:val="00A97C45"/>
    <w:rsid w:val="00AA0E8D"/>
    <w:rsid w:val="00AA5695"/>
    <w:rsid w:val="00AA6CCB"/>
    <w:rsid w:val="00AA6CD7"/>
    <w:rsid w:val="00AA7AC0"/>
    <w:rsid w:val="00AB078B"/>
    <w:rsid w:val="00AB2B3A"/>
    <w:rsid w:val="00AB5E49"/>
    <w:rsid w:val="00AB6BF9"/>
    <w:rsid w:val="00AB6D6A"/>
    <w:rsid w:val="00AB7CDF"/>
    <w:rsid w:val="00AC04CF"/>
    <w:rsid w:val="00AC056B"/>
    <w:rsid w:val="00AC15C4"/>
    <w:rsid w:val="00AC3ADC"/>
    <w:rsid w:val="00AC4D0D"/>
    <w:rsid w:val="00AC6690"/>
    <w:rsid w:val="00AC7611"/>
    <w:rsid w:val="00AD0AA8"/>
    <w:rsid w:val="00AD14EF"/>
    <w:rsid w:val="00AD4D9C"/>
    <w:rsid w:val="00AD6708"/>
    <w:rsid w:val="00AD6D63"/>
    <w:rsid w:val="00AE0B01"/>
    <w:rsid w:val="00AE15DE"/>
    <w:rsid w:val="00AE2FF1"/>
    <w:rsid w:val="00AE6CD0"/>
    <w:rsid w:val="00AE794C"/>
    <w:rsid w:val="00AF013C"/>
    <w:rsid w:val="00AF1B91"/>
    <w:rsid w:val="00AF3948"/>
    <w:rsid w:val="00AF3B7A"/>
    <w:rsid w:val="00AF3E51"/>
    <w:rsid w:val="00AF3FA5"/>
    <w:rsid w:val="00AF5CF1"/>
    <w:rsid w:val="00B00C97"/>
    <w:rsid w:val="00B0205B"/>
    <w:rsid w:val="00B02075"/>
    <w:rsid w:val="00B020D5"/>
    <w:rsid w:val="00B03653"/>
    <w:rsid w:val="00B04D29"/>
    <w:rsid w:val="00B053BF"/>
    <w:rsid w:val="00B05870"/>
    <w:rsid w:val="00B07818"/>
    <w:rsid w:val="00B078F6"/>
    <w:rsid w:val="00B11D58"/>
    <w:rsid w:val="00B12087"/>
    <w:rsid w:val="00B13E46"/>
    <w:rsid w:val="00B141F0"/>
    <w:rsid w:val="00B159D0"/>
    <w:rsid w:val="00B208BB"/>
    <w:rsid w:val="00B20AC4"/>
    <w:rsid w:val="00B20FF5"/>
    <w:rsid w:val="00B22D58"/>
    <w:rsid w:val="00B2394F"/>
    <w:rsid w:val="00B25612"/>
    <w:rsid w:val="00B2683F"/>
    <w:rsid w:val="00B27B7F"/>
    <w:rsid w:val="00B31904"/>
    <w:rsid w:val="00B31C48"/>
    <w:rsid w:val="00B362B0"/>
    <w:rsid w:val="00B37B68"/>
    <w:rsid w:val="00B41474"/>
    <w:rsid w:val="00B46186"/>
    <w:rsid w:val="00B4674F"/>
    <w:rsid w:val="00B47577"/>
    <w:rsid w:val="00B47685"/>
    <w:rsid w:val="00B507C4"/>
    <w:rsid w:val="00B52584"/>
    <w:rsid w:val="00B53AC6"/>
    <w:rsid w:val="00B53AFF"/>
    <w:rsid w:val="00B544CB"/>
    <w:rsid w:val="00B55094"/>
    <w:rsid w:val="00B60401"/>
    <w:rsid w:val="00B60A51"/>
    <w:rsid w:val="00B61463"/>
    <w:rsid w:val="00B6338A"/>
    <w:rsid w:val="00B63E9C"/>
    <w:rsid w:val="00B63F24"/>
    <w:rsid w:val="00B64FEB"/>
    <w:rsid w:val="00B6764C"/>
    <w:rsid w:val="00B67B1A"/>
    <w:rsid w:val="00B7058D"/>
    <w:rsid w:val="00B70A4D"/>
    <w:rsid w:val="00B71291"/>
    <w:rsid w:val="00B727ED"/>
    <w:rsid w:val="00B73012"/>
    <w:rsid w:val="00B74AED"/>
    <w:rsid w:val="00B74C8F"/>
    <w:rsid w:val="00B77E8E"/>
    <w:rsid w:val="00B820BD"/>
    <w:rsid w:val="00B83DF7"/>
    <w:rsid w:val="00B86ADA"/>
    <w:rsid w:val="00B904C3"/>
    <w:rsid w:val="00B9064D"/>
    <w:rsid w:val="00B9409F"/>
    <w:rsid w:val="00B94D7B"/>
    <w:rsid w:val="00B96C26"/>
    <w:rsid w:val="00B97630"/>
    <w:rsid w:val="00BA0FC7"/>
    <w:rsid w:val="00BA4112"/>
    <w:rsid w:val="00BA43F1"/>
    <w:rsid w:val="00BB2E69"/>
    <w:rsid w:val="00BB2EFE"/>
    <w:rsid w:val="00BB3D63"/>
    <w:rsid w:val="00BB6A0A"/>
    <w:rsid w:val="00BC025A"/>
    <w:rsid w:val="00BC0990"/>
    <w:rsid w:val="00BC0E4F"/>
    <w:rsid w:val="00BC1F52"/>
    <w:rsid w:val="00BC4853"/>
    <w:rsid w:val="00BC6528"/>
    <w:rsid w:val="00BC7425"/>
    <w:rsid w:val="00BD1B2A"/>
    <w:rsid w:val="00BD1C14"/>
    <w:rsid w:val="00BD1E82"/>
    <w:rsid w:val="00BD213F"/>
    <w:rsid w:val="00BD4A3E"/>
    <w:rsid w:val="00BD5F8E"/>
    <w:rsid w:val="00BE0818"/>
    <w:rsid w:val="00BE105F"/>
    <w:rsid w:val="00BE188E"/>
    <w:rsid w:val="00BE33FE"/>
    <w:rsid w:val="00BE3B1D"/>
    <w:rsid w:val="00BE496E"/>
    <w:rsid w:val="00BE736E"/>
    <w:rsid w:val="00BE7513"/>
    <w:rsid w:val="00BF01F5"/>
    <w:rsid w:val="00BF1E7C"/>
    <w:rsid w:val="00BF42F9"/>
    <w:rsid w:val="00BF5520"/>
    <w:rsid w:val="00BF56BA"/>
    <w:rsid w:val="00BF5EBB"/>
    <w:rsid w:val="00BF5FE9"/>
    <w:rsid w:val="00BF67FB"/>
    <w:rsid w:val="00C024AE"/>
    <w:rsid w:val="00C02C71"/>
    <w:rsid w:val="00C04E7E"/>
    <w:rsid w:val="00C05888"/>
    <w:rsid w:val="00C06DC5"/>
    <w:rsid w:val="00C074B2"/>
    <w:rsid w:val="00C07D0D"/>
    <w:rsid w:val="00C10FD0"/>
    <w:rsid w:val="00C1206A"/>
    <w:rsid w:val="00C128E1"/>
    <w:rsid w:val="00C12E1C"/>
    <w:rsid w:val="00C17C20"/>
    <w:rsid w:val="00C20C5D"/>
    <w:rsid w:val="00C21338"/>
    <w:rsid w:val="00C23E18"/>
    <w:rsid w:val="00C243EB"/>
    <w:rsid w:val="00C24830"/>
    <w:rsid w:val="00C24880"/>
    <w:rsid w:val="00C24AFD"/>
    <w:rsid w:val="00C24B05"/>
    <w:rsid w:val="00C24FB0"/>
    <w:rsid w:val="00C26840"/>
    <w:rsid w:val="00C26B82"/>
    <w:rsid w:val="00C27175"/>
    <w:rsid w:val="00C31272"/>
    <w:rsid w:val="00C31C6B"/>
    <w:rsid w:val="00C31E77"/>
    <w:rsid w:val="00C32983"/>
    <w:rsid w:val="00C32A83"/>
    <w:rsid w:val="00C35757"/>
    <w:rsid w:val="00C37AAB"/>
    <w:rsid w:val="00C44846"/>
    <w:rsid w:val="00C44B66"/>
    <w:rsid w:val="00C4628F"/>
    <w:rsid w:val="00C50045"/>
    <w:rsid w:val="00C50E26"/>
    <w:rsid w:val="00C5404C"/>
    <w:rsid w:val="00C55433"/>
    <w:rsid w:val="00C55C32"/>
    <w:rsid w:val="00C64F57"/>
    <w:rsid w:val="00C65A65"/>
    <w:rsid w:val="00C67819"/>
    <w:rsid w:val="00C67CFA"/>
    <w:rsid w:val="00C67DAA"/>
    <w:rsid w:val="00C718CC"/>
    <w:rsid w:val="00C7464D"/>
    <w:rsid w:val="00C7543A"/>
    <w:rsid w:val="00C7701F"/>
    <w:rsid w:val="00C8045D"/>
    <w:rsid w:val="00C81886"/>
    <w:rsid w:val="00C83118"/>
    <w:rsid w:val="00C83EF5"/>
    <w:rsid w:val="00C84AA7"/>
    <w:rsid w:val="00C905AE"/>
    <w:rsid w:val="00C955F9"/>
    <w:rsid w:val="00C95766"/>
    <w:rsid w:val="00CA030D"/>
    <w:rsid w:val="00CA0CAA"/>
    <w:rsid w:val="00CA22E9"/>
    <w:rsid w:val="00CA34B0"/>
    <w:rsid w:val="00CA56D5"/>
    <w:rsid w:val="00CB06DA"/>
    <w:rsid w:val="00CB13AC"/>
    <w:rsid w:val="00CB1766"/>
    <w:rsid w:val="00CB493A"/>
    <w:rsid w:val="00CB4A07"/>
    <w:rsid w:val="00CB6554"/>
    <w:rsid w:val="00CB6910"/>
    <w:rsid w:val="00CC0F5F"/>
    <w:rsid w:val="00CC20DB"/>
    <w:rsid w:val="00CC4565"/>
    <w:rsid w:val="00CD0461"/>
    <w:rsid w:val="00CD25CB"/>
    <w:rsid w:val="00CD4CDA"/>
    <w:rsid w:val="00CD5074"/>
    <w:rsid w:val="00CD50F6"/>
    <w:rsid w:val="00CD5290"/>
    <w:rsid w:val="00CD5C9A"/>
    <w:rsid w:val="00CE1D5F"/>
    <w:rsid w:val="00CE44E1"/>
    <w:rsid w:val="00CE55AB"/>
    <w:rsid w:val="00CF0842"/>
    <w:rsid w:val="00CF3324"/>
    <w:rsid w:val="00CF3E6B"/>
    <w:rsid w:val="00CF536E"/>
    <w:rsid w:val="00CF57BA"/>
    <w:rsid w:val="00D054F0"/>
    <w:rsid w:val="00D05957"/>
    <w:rsid w:val="00D060CC"/>
    <w:rsid w:val="00D110E0"/>
    <w:rsid w:val="00D11B6E"/>
    <w:rsid w:val="00D1719D"/>
    <w:rsid w:val="00D203D5"/>
    <w:rsid w:val="00D2048D"/>
    <w:rsid w:val="00D20510"/>
    <w:rsid w:val="00D2181A"/>
    <w:rsid w:val="00D2200E"/>
    <w:rsid w:val="00D24F61"/>
    <w:rsid w:val="00D30F31"/>
    <w:rsid w:val="00D33087"/>
    <w:rsid w:val="00D3356D"/>
    <w:rsid w:val="00D34735"/>
    <w:rsid w:val="00D35AA3"/>
    <w:rsid w:val="00D36513"/>
    <w:rsid w:val="00D36C85"/>
    <w:rsid w:val="00D41D5B"/>
    <w:rsid w:val="00D43E9F"/>
    <w:rsid w:val="00D456DE"/>
    <w:rsid w:val="00D51416"/>
    <w:rsid w:val="00D515FA"/>
    <w:rsid w:val="00D52AD5"/>
    <w:rsid w:val="00D558A2"/>
    <w:rsid w:val="00D56007"/>
    <w:rsid w:val="00D56962"/>
    <w:rsid w:val="00D612F9"/>
    <w:rsid w:val="00D61ECF"/>
    <w:rsid w:val="00D64161"/>
    <w:rsid w:val="00D6662E"/>
    <w:rsid w:val="00D673B6"/>
    <w:rsid w:val="00D70E07"/>
    <w:rsid w:val="00D72837"/>
    <w:rsid w:val="00D81737"/>
    <w:rsid w:val="00D81A8D"/>
    <w:rsid w:val="00D8459A"/>
    <w:rsid w:val="00D86B4B"/>
    <w:rsid w:val="00D86F09"/>
    <w:rsid w:val="00D90A30"/>
    <w:rsid w:val="00D93CF9"/>
    <w:rsid w:val="00DA0395"/>
    <w:rsid w:val="00DA03D9"/>
    <w:rsid w:val="00DA0B9C"/>
    <w:rsid w:val="00DA0ED5"/>
    <w:rsid w:val="00DA1865"/>
    <w:rsid w:val="00DA3B7A"/>
    <w:rsid w:val="00DA48F3"/>
    <w:rsid w:val="00DA64BE"/>
    <w:rsid w:val="00DA7182"/>
    <w:rsid w:val="00DB0091"/>
    <w:rsid w:val="00DB00FF"/>
    <w:rsid w:val="00DB1527"/>
    <w:rsid w:val="00DB46C3"/>
    <w:rsid w:val="00DB52E3"/>
    <w:rsid w:val="00DB6C3C"/>
    <w:rsid w:val="00DC1A20"/>
    <w:rsid w:val="00DC1F64"/>
    <w:rsid w:val="00DC5BFD"/>
    <w:rsid w:val="00DC7139"/>
    <w:rsid w:val="00DD1100"/>
    <w:rsid w:val="00DD11A1"/>
    <w:rsid w:val="00DD12F7"/>
    <w:rsid w:val="00DD2AE0"/>
    <w:rsid w:val="00DD2C09"/>
    <w:rsid w:val="00DD33B5"/>
    <w:rsid w:val="00DD377F"/>
    <w:rsid w:val="00DD6180"/>
    <w:rsid w:val="00DD6582"/>
    <w:rsid w:val="00DE1C60"/>
    <w:rsid w:val="00DE6048"/>
    <w:rsid w:val="00DE71BB"/>
    <w:rsid w:val="00DE75CE"/>
    <w:rsid w:val="00DF2EFC"/>
    <w:rsid w:val="00DF37D0"/>
    <w:rsid w:val="00DF3A0A"/>
    <w:rsid w:val="00DF5812"/>
    <w:rsid w:val="00E01D3B"/>
    <w:rsid w:val="00E020A4"/>
    <w:rsid w:val="00E02625"/>
    <w:rsid w:val="00E02F8C"/>
    <w:rsid w:val="00E03DC9"/>
    <w:rsid w:val="00E0478F"/>
    <w:rsid w:val="00E061CF"/>
    <w:rsid w:val="00E13AF3"/>
    <w:rsid w:val="00E14D83"/>
    <w:rsid w:val="00E1508D"/>
    <w:rsid w:val="00E153A5"/>
    <w:rsid w:val="00E17418"/>
    <w:rsid w:val="00E203AE"/>
    <w:rsid w:val="00E22624"/>
    <w:rsid w:val="00E22CD2"/>
    <w:rsid w:val="00E2356E"/>
    <w:rsid w:val="00E24BB8"/>
    <w:rsid w:val="00E268F5"/>
    <w:rsid w:val="00E31A51"/>
    <w:rsid w:val="00E34CDD"/>
    <w:rsid w:val="00E35012"/>
    <w:rsid w:val="00E36994"/>
    <w:rsid w:val="00E37D4D"/>
    <w:rsid w:val="00E4248C"/>
    <w:rsid w:val="00E43A0E"/>
    <w:rsid w:val="00E5029B"/>
    <w:rsid w:val="00E506D1"/>
    <w:rsid w:val="00E51959"/>
    <w:rsid w:val="00E52981"/>
    <w:rsid w:val="00E5329F"/>
    <w:rsid w:val="00E544C3"/>
    <w:rsid w:val="00E57736"/>
    <w:rsid w:val="00E654D1"/>
    <w:rsid w:val="00E71031"/>
    <w:rsid w:val="00E7209D"/>
    <w:rsid w:val="00E72AB4"/>
    <w:rsid w:val="00E764C5"/>
    <w:rsid w:val="00E828E7"/>
    <w:rsid w:val="00E82C83"/>
    <w:rsid w:val="00E84A7C"/>
    <w:rsid w:val="00E85C43"/>
    <w:rsid w:val="00E9086B"/>
    <w:rsid w:val="00E92438"/>
    <w:rsid w:val="00E9439C"/>
    <w:rsid w:val="00E94485"/>
    <w:rsid w:val="00E947CA"/>
    <w:rsid w:val="00E95060"/>
    <w:rsid w:val="00E95603"/>
    <w:rsid w:val="00E9590A"/>
    <w:rsid w:val="00E97878"/>
    <w:rsid w:val="00EA4511"/>
    <w:rsid w:val="00EA4979"/>
    <w:rsid w:val="00EA52A7"/>
    <w:rsid w:val="00EA6439"/>
    <w:rsid w:val="00EA7399"/>
    <w:rsid w:val="00EB0E89"/>
    <w:rsid w:val="00EB1569"/>
    <w:rsid w:val="00EB163A"/>
    <w:rsid w:val="00EB3271"/>
    <w:rsid w:val="00EB43D8"/>
    <w:rsid w:val="00EB4A8F"/>
    <w:rsid w:val="00EB4D92"/>
    <w:rsid w:val="00EB760C"/>
    <w:rsid w:val="00EB780B"/>
    <w:rsid w:val="00EC0111"/>
    <w:rsid w:val="00EC32F0"/>
    <w:rsid w:val="00EC3F52"/>
    <w:rsid w:val="00EC7327"/>
    <w:rsid w:val="00EC77E6"/>
    <w:rsid w:val="00ED00F7"/>
    <w:rsid w:val="00ED0512"/>
    <w:rsid w:val="00ED149E"/>
    <w:rsid w:val="00ED1AF5"/>
    <w:rsid w:val="00EE1461"/>
    <w:rsid w:val="00EE3CC2"/>
    <w:rsid w:val="00EE4603"/>
    <w:rsid w:val="00EE65E9"/>
    <w:rsid w:val="00EE69B5"/>
    <w:rsid w:val="00EF0BF9"/>
    <w:rsid w:val="00EF1C1E"/>
    <w:rsid w:val="00EF4B88"/>
    <w:rsid w:val="00EF5E14"/>
    <w:rsid w:val="00EF746C"/>
    <w:rsid w:val="00F0172B"/>
    <w:rsid w:val="00F044A8"/>
    <w:rsid w:val="00F0621D"/>
    <w:rsid w:val="00F0663D"/>
    <w:rsid w:val="00F16A9E"/>
    <w:rsid w:val="00F17A7F"/>
    <w:rsid w:val="00F20107"/>
    <w:rsid w:val="00F2234E"/>
    <w:rsid w:val="00F2273B"/>
    <w:rsid w:val="00F2773C"/>
    <w:rsid w:val="00F27EC0"/>
    <w:rsid w:val="00F32098"/>
    <w:rsid w:val="00F33526"/>
    <w:rsid w:val="00F345AE"/>
    <w:rsid w:val="00F369A2"/>
    <w:rsid w:val="00F404AB"/>
    <w:rsid w:val="00F40D43"/>
    <w:rsid w:val="00F43475"/>
    <w:rsid w:val="00F47FA1"/>
    <w:rsid w:val="00F533C9"/>
    <w:rsid w:val="00F534E0"/>
    <w:rsid w:val="00F535E3"/>
    <w:rsid w:val="00F53DF2"/>
    <w:rsid w:val="00F54EF3"/>
    <w:rsid w:val="00F553C6"/>
    <w:rsid w:val="00F55EA7"/>
    <w:rsid w:val="00F5657B"/>
    <w:rsid w:val="00F56702"/>
    <w:rsid w:val="00F60D27"/>
    <w:rsid w:val="00F6227C"/>
    <w:rsid w:val="00F6310A"/>
    <w:rsid w:val="00F63940"/>
    <w:rsid w:val="00F63EB3"/>
    <w:rsid w:val="00F6484C"/>
    <w:rsid w:val="00F64BB8"/>
    <w:rsid w:val="00F672C3"/>
    <w:rsid w:val="00F710BE"/>
    <w:rsid w:val="00F73624"/>
    <w:rsid w:val="00F73A8E"/>
    <w:rsid w:val="00F750F6"/>
    <w:rsid w:val="00F763F5"/>
    <w:rsid w:val="00F765CB"/>
    <w:rsid w:val="00F768F8"/>
    <w:rsid w:val="00F76C82"/>
    <w:rsid w:val="00F808B3"/>
    <w:rsid w:val="00F80A15"/>
    <w:rsid w:val="00F827BB"/>
    <w:rsid w:val="00F87529"/>
    <w:rsid w:val="00F92DDF"/>
    <w:rsid w:val="00F947D8"/>
    <w:rsid w:val="00F948B1"/>
    <w:rsid w:val="00F97EE3"/>
    <w:rsid w:val="00FA2023"/>
    <w:rsid w:val="00FA43DD"/>
    <w:rsid w:val="00FA694A"/>
    <w:rsid w:val="00FA7133"/>
    <w:rsid w:val="00FB11F8"/>
    <w:rsid w:val="00FB3B82"/>
    <w:rsid w:val="00FB5E52"/>
    <w:rsid w:val="00FC0073"/>
    <w:rsid w:val="00FC01FE"/>
    <w:rsid w:val="00FC1F07"/>
    <w:rsid w:val="00FC2C1E"/>
    <w:rsid w:val="00FC3080"/>
    <w:rsid w:val="00FC3E57"/>
    <w:rsid w:val="00FC7874"/>
    <w:rsid w:val="00FD09F8"/>
    <w:rsid w:val="00FD40AD"/>
    <w:rsid w:val="00FD69E6"/>
    <w:rsid w:val="00FD757B"/>
    <w:rsid w:val="00FD79B6"/>
    <w:rsid w:val="00FE485A"/>
    <w:rsid w:val="00FF188A"/>
    <w:rsid w:val="00FF536F"/>
    <w:rsid w:val="00FF6E1F"/>
    <w:rsid w:val="021E3759"/>
    <w:rsid w:val="02512428"/>
    <w:rsid w:val="028E3384"/>
    <w:rsid w:val="02DB6384"/>
    <w:rsid w:val="02E14396"/>
    <w:rsid w:val="035422AF"/>
    <w:rsid w:val="0391484D"/>
    <w:rsid w:val="03B15391"/>
    <w:rsid w:val="040F46DE"/>
    <w:rsid w:val="044B1C17"/>
    <w:rsid w:val="046047AB"/>
    <w:rsid w:val="046454DD"/>
    <w:rsid w:val="046B2521"/>
    <w:rsid w:val="04FE068F"/>
    <w:rsid w:val="052A5C2F"/>
    <w:rsid w:val="05E81406"/>
    <w:rsid w:val="0623511B"/>
    <w:rsid w:val="06293BDE"/>
    <w:rsid w:val="06517F03"/>
    <w:rsid w:val="0677368D"/>
    <w:rsid w:val="06850BE6"/>
    <w:rsid w:val="068A49F0"/>
    <w:rsid w:val="06A32964"/>
    <w:rsid w:val="06B62955"/>
    <w:rsid w:val="06BC03CC"/>
    <w:rsid w:val="071454AF"/>
    <w:rsid w:val="073D5562"/>
    <w:rsid w:val="07473AD1"/>
    <w:rsid w:val="07C07D27"/>
    <w:rsid w:val="07CB1392"/>
    <w:rsid w:val="07E766D5"/>
    <w:rsid w:val="07F506E9"/>
    <w:rsid w:val="07FA5322"/>
    <w:rsid w:val="08123DFB"/>
    <w:rsid w:val="082D149F"/>
    <w:rsid w:val="08363327"/>
    <w:rsid w:val="089E297A"/>
    <w:rsid w:val="08EEC009"/>
    <w:rsid w:val="09C42ADE"/>
    <w:rsid w:val="09EF4EAE"/>
    <w:rsid w:val="0A16019A"/>
    <w:rsid w:val="0A7E781A"/>
    <w:rsid w:val="0AA645FD"/>
    <w:rsid w:val="0B3D1C08"/>
    <w:rsid w:val="0B8748A9"/>
    <w:rsid w:val="0BC3713B"/>
    <w:rsid w:val="0BE95231"/>
    <w:rsid w:val="0C1F0386"/>
    <w:rsid w:val="0C551A55"/>
    <w:rsid w:val="0C5A52DC"/>
    <w:rsid w:val="0CAA09F4"/>
    <w:rsid w:val="0CBD4CD6"/>
    <w:rsid w:val="0CC14E76"/>
    <w:rsid w:val="0CEF7B7E"/>
    <w:rsid w:val="0CFC1DE2"/>
    <w:rsid w:val="0D050B1C"/>
    <w:rsid w:val="0D0F7F72"/>
    <w:rsid w:val="0DA62484"/>
    <w:rsid w:val="0DB50F39"/>
    <w:rsid w:val="0DDF40D4"/>
    <w:rsid w:val="0E646606"/>
    <w:rsid w:val="0EF64731"/>
    <w:rsid w:val="0EF7EFAC"/>
    <w:rsid w:val="0F5B07C3"/>
    <w:rsid w:val="0F7B3F18"/>
    <w:rsid w:val="0FEE41D2"/>
    <w:rsid w:val="10175E6B"/>
    <w:rsid w:val="101B1635"/>
    <w:rsid w:val="106821A8"/>
    <w:rsid w:val="10CD7956"/>
    <w:rsid w:val="10E80C5E"/>
    <w:rsid w:val="11055EFB"/>
    <w:rsid w:val="11721BDA"/>
    <w:rsid w:val="11752991"/>
    <w:rsid w:val="118C020B"/>
    <w:rsid w:val="11FD6D70"/>
    <w:rsid w:val="11FE4BC9"/>
    <w:rsid w:val="11FF5931"/>
    <w:rsid w:val="120E1FC3"/>
    <w:rsid w:val="123F3F0C"/>
    <w:rsid w:val="128331F0"/>
    <w:rsid w:val="12936608"/>
    <w:rsid w:val="12951710"/>
    <w:rsid w:val="129C1894"/>
    <w:rsid w:val="12E20EB2"/>
    <w:rsid w:val="132F7C2B"/>
    <w:rsid w:val="134E31AC"/>
    <w:rsid w:val="13721CB8"/>
    <w:rsid w:val="137870F7"/>
    <w:rsid w:val="138B4317"/>
    <w:rsid w:val="139663C9"/>
    <w:rsid w:val="14064E1E"/>
    <w:rsid w:val="14187EC6"/>
    <w:rsid w:val="14655235"/>
    <w:rsid w:val="14795CF8"/>
    <w:rsid w:val="14D2115B"/>
    <w:rsid w:val="154658DF"/>
    <w:rsid w:val="155F5D15"/>
    <w:rsid w:val="15831FE2"/>
    <w:rsid w:val="15C81FFC"/>
    <w:rsid w:val="169D74FD"/>
    <w:rsid w:val="16E90980"/>
    <w:rsid w:val="17844DB5"/>
    <w:rsid w:val="17B469AD"/>
    <w:rsid w:val="17D210EC"/>
    <w:rsid w:val="185A4F1F"/>
    <w:rsid w:val="18A00424"/>
    <w:rsid w:val="18C01EE5"/>
    <w:rsid w:val="191B0EB7"/>
    <w:rsid w:val="193557D8"/>
    <w:rsid w:val="193B46CE"/>
    <w:rsid w:val="19C46280"/>
    <w:rsid w:val="1A0D3CD0"/>
    <w:rsid w:val="1A8F7AB7"/>
    <w:rsid w:val="1AF16953"/>
    <w:rsid w:val="1AFF2B7F"/>
    <w:rsid w:val="1B10655B"/>
    <w:rsid w:val="1B187AF8"/>
    <w:rsid w:val="1B270FF1"/>
    <w:rsid w:val="1B62669E"/>
    <w:rsid w:val="1B6326BF"/>
    <w:rsid w:val="1B933DD7"/>
    <w:rsid w:val="1B9D2314"/>
    <w:rsid w:val="1BB55AB4"/>
    <w:rsid w:val="1C167C46"/>
    <w:rsid w:val="1C6D35B8"/>
    <w:rsid w:val="1C9D1E63"/>
    <w:rsid w:val="1C9E3B20"/>
    <w:rsid w:val="1D341495"/>
    <w:rsid w:val="1D615B84"/>
    <w:rsid w:val="1D6B7688"/>
    <w:rsid w:val="1DA00D05"/>
    <w:rsid w:val="1DF2460A"/>
    <w:rsid w:val="1DF76D9E"/>
    <w:rsid w:val="1E181A99"/>
    <w:rsid w:val="1E1C7389"/>
    <w:rsid w:val="1EC93959"/>
    <w:rsid w:val="1EF072F3"/>
    <w:rsid w:val="1F3773C8"/>
    <w:rsid w:val="1F607BCD"/>
    <w:rsid w:val="1F744B80"/>
    <w:rsid w:val="1F763BF9"/>
    <w:rsid w:val="1F966126"/>
    <w:rsid w:val="1FB32C3D"/>
    <w:rsid w:val="1FF74219"/>
    <w:rsid w:val="1FFB4DC9"/>
    <w:rsid w:val="1FFBE7D2"/>
    <w:rsid w:val="20036EF9"/>
    <w:rsid w:val="203518E3"/>
    <w:rsid w:val="206F5F60"/>
    <w:rsid w:val="207A47D1"/>
    <w:rsid w:val="20A346B9"/>
    <w:rsid w:val="20C6728A"/>
    <w:rsid w:val="20F77295"/>
    <w:rsid w:val="21605946"/>
    <w:rsid w:val="21A62549"/>
    <w:rsid w:val="21B10D2A"/>
    <w:rsid w:val="22193A88"/>
    <w:rsid w:val="227F44A7"/>
    <w:rsid w:val="229217F2"/>
    <w:rsid w:val="22F40102"/>
    <w:rsid w:val="23121094"/>
    <w:rsid w:val="23786BAA"/>
    <w:rsid w:val="238B04E5"/>
    <w:rsid w:val="24537BBD"/>
    <w:rsid w:val="24646731"/>
    <w:rsid w:val="247B8F22"/>
    <w:rsid w:val="24984DF1"/>
    <w:rsid w:val="25593A9F"/>
    <w:rsid w:val="256971B8"/>
    <w:rsid w:val="258A2D93"/>
    <w:rsid w:val="25A14A6D"/>
    <w:rsid w:val="25F30B13"/>
    <w:rsid w:val="260415C5"/>
    <w:rsid w:val="26342330"/>
    <w:rsid w:val="26702A9A"/>
    <w:rsid w:val="27117578"/>
    <w:rsid w:val="275D13B9"/>
    <w:rsid w:val="278D5E71"/>
    <w:rsid w:val="27E73F3B"/>
    <w:rsid w:val="285326A7"/>
    <w:rsid w:val="28B45823"/>
    <w:rsid w:val="28BA4D38"/>
    <w:rsid w:val="28CF3F5F"/>
    <w:rsid w:val="28E72FEE"/>
    <w:rsid w:val="291B7125"/>
    <w:rsid w:val="29637D56"/>
    <w:rsid w:val="29E72339"/>
    <w:rsid w:val="29FA5CF8"/>
    <w:rsid w:val="2A217CF5"/>
    <w:rsid w:val="2A560FD4"/>
    <w:rsid w:val="2A9F51A7"/>
    <w:rsid w:val="2AF657E4"/>
    <w:rsid w:val="2BA466BF"/>
    <w:rsid w:val="2BAD1E00"/>
    <w:rsid w:val="2BAE022C"/>
    <w:rsid w:val="2BE11A33"/>
    <w:rsid w:val="2BE7026E"/>
    <w:rsid w:val="2C0C5094"/>
    <w:rsid w:val="2C3553D5"/>
    <w:rsid w:val="2C8E4070"/>
    <w:rsid w:val="2CB467AC"/>
    <w:rsid w:val="2CF35F40"/>
    <w:rsid w:val="2D642F79"/>
    <w:rsid w:val="2DBE32EB"/>
    <w:rsid w:val="2E812E14"/>
    <w:rsid w:val="2EDF326C"/>
    <w:rsid w:val="2F037648"/>
    <w:rsid w:val="2F0B24D9"/>
    <w:rsid w:val="2F2C62D8"/>
    <w:rsid w:val="2F835B61"/>
    <w:rsid w:val="2F8E7E19"/>
    <w:rsid w:val="2FBB2F70"/>
    <w:rsid w:val="2FBD56B7"/>
    <w:rsid w:val="2FBE4797"/>
    <w:rsid w:val="2FCB229F"/>
    <w:rsid w:val="2FD65D95"/>
    <w:rsid w:val="2FFFB26F"/>
    <w:rsid w:val="3069469C"/>
    <w:rsid w:val="30BC5A0A"/>
    <w:rsid w:val="30E043C4"/>
    <w:rsid w:val="30F63FD0"/>
    <w:rsid w:val="30FF132E"/>
    <w:rsid w:val="31122EE9"/>
    <w:rsid w:val="311C5B6C"/>
    <w:rsid w:val="31676CD6"/>
    <w:rsid w:val="317F00EF"/>
    <w:rsid w:val="319603E0"/>
    <w:rsid w:val="32083C37"/>
    <w:rsid w:val="321A39F4"/>
    <w:rsid w:val="32705150"/>
    <w:rsid w:val="32AD344C"/>
    <w:rsid w:val="32D174E9"/>
    <w:rsid w:val="33042F26"/>
    <w:rsid w:val="332D740A"/>
    <w:rsid w:val="33527722"/>
    <w:rsid w:val="33565E21"/>
    <w:rsid w:val="335B58B0"/>
    <w:rsid w:val="33723684"/>
    <w:rsid w:val="337905E1"/>
    <w:rsid w:val="344C720E"/>
    <w:rsid w:val="348E4983"/>
    <w:rsid w:val="34945B3E"/>
    <w:rsid w:val="3499447B"/>
    <w:rsid w:val="349E0008"/>
    <w:rsid w:val="34A2010C"/>
    <w:rsid w:val="34DC4D58"/>
    <w:rsid w:val="34E1702C"/>
    <w:rsid w:val="34E81DE6"/>
    <w:rsid w:val="34FA1A14"/>
    <w:rsid w:val="354C2D65"/>
    <w:rsid w:val="35B44752"/>
    <w:rsid w:val="35BC0DF3"/>
    <w:rsid w:val="35BC2FE0"/>
    <w:rsid w:val="35BF86E6"/>
    <w:rsid w:val="35CE6EB8"/>
    <w:rsid w:val="35F80D80"/>
    <w:rsid w:val="36C352A5"/>
    <w:rsid w:val="36CF7B97"/>
    <w:rsid w:val="372D15AD"/>
    <w:rsid w:val="3732067B"/>
    <w:rsid w:val="376A3D1A"/>
    <w:rsid w:val="38E054E2"/>
    <w:rsid w:val="391E1077"/>
    <w:rsid w:val="39CB029A"/>
    <w:rsid w:val="39DB3349"/>
    <w:rsid w:val="39EC69E1"/>
    <w:rsid w:val="3A51114E"/>
    <w:rsid w:val="3A6F1259"/>
    <w:rsid w:val="3A8609A3"/>
    <w:rsid w:val="3AB70E39"/>
    <w:rsid w:val="3AC921BB"/>
    <w:rsid w:val="3B7E57C2"/>
    <w:rsid w:val="3BE6220B"/>
    <w:rsid w:val="3BFF9F8B"/>
    <w:rsid w:val="3C3C29ED"/>
    <w:rsid w:val="3CA9740F"/>
    <w:rsid w:val="3CDC0FAD"/>
    <w:rsid w:val="3D15361D"/>
    <w:rsid w:val="3D331376"/>
    <w:rsid w:val="3D3D4BE7"/>
    <w:rsid w:val="3D48267D"/>
    <w:rsid w:val="3D570AE5"/>
    <w:rsid w:val="3D6E1529"/>
    <w:rsid w:val="3DA71E20"/>
    <w:rsid w:val="3DA92E97"/>
    <w:rsid w:val="3DDE6490"/>
    <w:rsid w:val="3DF65776"/>
    <w:rsid w:val="3DFF17F3"/>
    <w:rsid w:val="3E051517"/>
    <w:rsid w:val="3E1B4331"/>
    <w:rsid w:val="3E1C6B92"/>
    <w:rsid w:val="3E2118AB"/>
    <w:rsid w:val="3E36ED5C"/>
    <w:rsid w:val="3E517D63"/>
    <w:rsid w:val="3E5205B8"/>
    <w:rsid w:val="3EB2693E"/>
    <w:rsid w:val="3EC74DA8"/>
    <w:rsid w:val="3FAD168C"/>
    <w:rsid w:val="3FBF5322"/>
    <w:rsid w:val="3FDA45C4"/>
    <w:rsid w:val="401466EB"/>
    <w:rsid w:val="40424F9B"/>
    <w:rsid w:val="40875055"/>
    <w:rsid w:val="41047591"/>
    <w:rsid w:val="41202AB2"/>
    <w:rsid w:val="41514512"/>
    <w:rsid w:val="41AF7DAE"/>
    <w:rsid w:val="41DB376F"/>
    <w:rsid w:val="42027BC1"/>
    <w:rsid w:val="422C5607"/>
    <w:rsid w:val="42636F36"/>
    <w:rsid w:val="42BC4BDD"/>
    <w:rsid w:val="42E6157E"/>
    <w:rsid w:val="42F85BE6"/>
    <w:rsid w:val="431C1E99"/>
    <w:rsid w:val="4329354E"/>
    <w:rsid w:val="434B2BA7"/>
    <w:rsid w:val="43BA2DC7"/>
    <w:rsid w:val="43CF5CD1"/>
    <w:rsid w:val="43D35323"/>
    <w:rsid w:val="43FF1D5E"/>
    <w:rsid w:val="44267F4F"/>
    <w:rsid w:val="44AE475B"/>
    <w:rsid w:val="44BA510D"/>
    <w:rsid w:val="44C4076D"/>
    <w:rsid w:val="44EF0257"/>
    <w:rsid w:val="45307B80"/>
    <w:rsid w:val="453C2728"/>
    <w:rsid w:val="453C7170"/>
    <w:rsid w:val="45541FF5"/>
    <w:rsid w:val="455A2F18"/>
    <w:rsid w:val="462F7263"/>
    <w:rsid w:val="466B60EE"/>
    <w:rsid w:val="477956BD"/>
    <w:rsid w:val="47C740A0"/>
    <w:rsid w:val="47EC0A48"/>
    <w:rsid w:val="48BB49EE"/>
    <w:rsid w:val="48C26527"/>
    <w:rsid w:val="494B3AFD"/>
    <w:rsid w:val="496C6C55"/>
    <w:rsid w:val="497A0C16"/>
    <w:rsid w:val="499C3CC7"/>
    <w:rsid w:val="49CE6B89"/>
    <w:rsid w:val="4A0158DF"/>
    <w:rsid w:val="4A225CD6"/>
    <w:rsid w:val="4A2F0EE4"/>
    <w:rsid w:val="4AC52FD8"/>
    <w:rsid w:val="4AFC2963"/>
    <w:rsid w:val="4B15570C"/>
    <w:rsid w:val="4B50309F"/>
    <w:rsid w:val="4B984699"/>
    <w:rsid w:val="4C2247B9"/>
    <w:rsid w:val="4C3F03D2"/>
    <w:rsid w:val="4C8B3FF6"/>
    <w:rsid w:val="4CB73001"/>
    <w:rsid w:val="4CC6076B"/>
    <w:rsid w:val="4D330192"/>
    <w:rsid w:val="4E6E1834"/>
    <w:rsid w:val="4E8F15DF"/>
    <w:rsid w:val="4EDB4FEB"/>
    <w:rsid w:val="4EE26A7A"/>
    <w:rsid w:val="4F832800"/>
    <w:rsid w:val="4FB71984"/>
    <w:rsid w:val="4FEA34D8"/>
    <w:rsid w:val="502C0F25"/>
    <w:rsid w:val="50434059"/>
    <w:rsid w:val="50460EDA"/>
    <w:rsid w:val="50531387"/>
    <w:rsid w:val="50816377"/>
    <w:rsid w:val="50A26A23"/>
    <w:rsid w:val="50AF4931"/>
    <w:rsid w:val="50D75779"/>
    <w:rsid w:val="50F129AE"/>
    <w:rsid w:val="50F35A17"/>
    <w:rsid w:val="5103466A"/>
    <w:rsid w:val="51255AC9"/>
    <w:rsid w:val="51662AFE"/>
    <w:rsid w:val="51F90B48"/>
    <w:rsid w:val="51F95A57"/>
    <w:rsid w:val="523837BE"/>
    <w:rsid w:val="52471F0C"/>
    <w:rsid w:val="52515B6E"/>
    <w:rsid w:val="52963C4D"/>
    <w:rsid w:val="52C5453E"/>
    <w:rsid w:val="531B20C3"/>
    <w:rsid w:val="531F4D18"/>
    <w:rsid w:val="53840561"/>
    <w:rsid w:val="53A146AF"/>
    <w:rsid w:val="53AA235F"/>
    <w:rsid w:val="53DF0CD6"/>
    <w:rsid w:val="543A4BD0"/>
    <w:rsid w:val="545C2CDD"/>
    <w:rsid w:val="5482675A"/>
    <w:rsid w:val="549F23C2"/>
    <w:rsid w:val="54A1688F"/>
    <w:rsid w:val="55231AE7"/>
    <w:rsid w:val="55606940"/>
    <w:rsid w:val="556FEA57"/>
    <w:rsid w:val="557FDA03"/>
    <w:rsid w:val="5597382F"/>
    <w:rsid w:val="55B47954"/>
    <w:rsid w:val="55D38FFC"/>
    <w:rsid w:val="56041E6A"/>
    <w:rsid w:val="56A62982"/>
    <w:rsid w:val="56CD357F"/>
    <w:rsid w:val="57125CBD"/>
    <w:rsid w:val="575C2D4B"/>
    <w:rsid w:val="57AD3889"/>
    <w:rsid w:val="58094D4A"/>
    <w:rsid w:val="583132DF"/>
    <w:rsid w:val="586E6E13"/>
    <w:rsid w:val="58851B49"/>
    <w:rsid w:val="58991356"/>
    <w:rsid w:val="58AA5AA3"/>
    <w:rsid w:val="58C151AC"/>
    <w:rsid w:val="59294DEA"/>
    <w:rsid w:val="592A48EE"/>
    <w:rsid w:val="5956660F"/>
    <w:rsid w:val="59707019"/>
    <w:rsid w:val="59A30618"/>
    <w:rsid w:val="59DE54D0"/>
    <w:rsid w:val="5A071B2C"/>
    <w:rsid w:val="5A087F5F"/>
    <w:rsid w:val="5A2A1D6C"/>
    <w:rsid w:val="5A2B2037"/>
    <w:rsid w:val="5AA45125"/>
    <w:rsid w:val="5AF7FD51"/>
    <w:rsid w:val="5B1F453B"/>
    <w:rsid w:val="5B525DA8"/>
    <w:rsid w:val="5B5C36D4"/>
    <w:rsid w:val="5B6D1723"/>
    <w:rsid w:val="5B8934A3"/>
    <w:rsid w:val="5BB97B3F"/>
    <w:rsid w:val="5C522BB6"/>
    <w:rsid w:val="5C906F92"/>
    <w:rsid w:val="5C9F4618"/>
    <w:rsid w:val="5CB13FD7"/>
    <w:rsid w:val="5D206085"/>
    <w:rsid w:val="5D441E49"/>
    <w:rsid w:val="5D874423"/>
    <w:rsid w:val="5D8F0D5C"/>
    <w:rsid w:val="5D9B6440"/>
    <w:rsid w:val="5DB2150C"/>
    <w:rsid w:val="5DBA58E4"/>
    <w:rsid w:val="5DC87310"/>
    <w:rsid w:val="5DF33F7A"/>
    <w:rsid w:val="5DFF246E"/>
    <w:rsid w:val="5E1E54A8"/>
    <w:rsid w:val="5E3351C0"/>
    <w:rsid w:val="5E4B4928"/>
    <w:rsid w:val="5E79484A"/>
    <w:rsid w:val="5E802153"/>
    <w:rsid w:val="5EF05F30"/>
    <w:rsid w:val="5F3C195A"/>
    <w:rsid w:val="5F510F82"/>
    <w:rsid w:val="5FA05A5C"/>
    <w:rsid w:val="5FA93E69"/>
    <w:rsid w:val="5FDF8124"/>
    <w:rsid w:val="5FEC0765"/>
    <w:rsid w:val="5FF745F4"/>
    <w:rsid w:val="5FFB20CC"/>
    <w:rsid w:val="5FFF590A"/>
    <w:rsid w:val="60086DE4"/>
    <w:rsid w:val="606F6733"/>
    <w:rsid w:val="60E04657"/>
    <w:rsid w:val="612927A2"/>
    <w:rsid w:val="61434883"/>
    <w:rsid w:val="61557D64"/>
    <w:rsid w:val="61784DD5"/>
    <w:rsid w:val="61A01E9C"/>
    <w:rsid w:val="61D95C53"/>
    <w:rsid w:val="61F017BB"/>
    <w:rsid w:val="62050A82"/>
    <w:rsid w:val="62731D94"/>
    <w:rsid w:val="627D69DA"/>
    <w:rsid w:val="629B2E3B"/>
    <w:rsid w:val="62E10D5B"/>
    <w:rsid w:val="631A3887"/>
    <w:rsid w:val="63993B4A"/>
    <w:rsid w:val="64304824"/>
    <w:rsid w:val="645B7176"/>
    <w:rsid w:val="647A11D8"/>
    <w:rsid w:val="64887C20"/>
    <w:rsid w:val="65214E76"/>
    <w:rsid w:val="656556E1"/>
    <w:rsid w:val="6573101A"/>
    <w:rsid w:val="65903BF8"/>
    <w:rsid w:val="66143DC5"/>
    <w:rsid w:val="66211D0D"/>
    <w:rsid w:val="66314261"/>
    <w:rsid w:val="667A94A5"/>
    <w:rsid w:val="668B0564"/>
    <w:rsid w:val="66DA726B"/>
    <w:rsid w:val="66DE2BBF"/>
    <w:rsid w:val="66E922DB"/>
    <w:rsid w:val="66F0466C"/>
    <w:rsid w:val="670E3062"/>
    <w:rsid w:val="67685250"/>
    <w:rsid w:val="67771BAF"/>
    <w:rsid w:val="6779D9A1"/>
    <w:rsid w:val="67975E24"/>
    <w:rsid w:val="67F020EB"/>
    <w:rsid w:val="67FD14EA"/>
    <w:rsid w:val="683D6ACB"/>
    <w:rsid w:val="68421885"/>
    <w:rsid w:val="68492ADE"/>
    <w:rsid w:val="686D394C"/>
    <w:rsid w:val="687C5404"/>
    <w:rsid w:val="687E240D"/>
    <w:rsid w:val="68B2511A"/>
    <w:rsid w:val="6902089F"/>
    <w:rsid w:val="693636FA"/>
    <w:rsid w:val="695F2CE3"/>
    <w:rsid w:val="69826EA2"/>
    <w:rsid w:val="69986EBF"/>
    <w:rsid w:val="699B7DBF"/>
    <w:rsid w:val="69B85CA1"/>
    <w:rsid w:val="69C461A8"/>
    <w:rsid w:val="69EA3951"/>
    <w:rsid w:val="6A406528"/>
    <w:rsid w:val="6A8A0261"/>
    <w:rsid w:val="6B280981"/>
    <w:rsid w:val="6B637CB8"/>
    <w:rsid w:val="6B647F0C"/>
    <w:rsid w:val="6BBB6817"/>
    <w:rsid w:val="6BE13B20"/>
    <w:rsid w:val="6BE73F9A"/>
    <w:rsid w:val="6C510C35"/>
    <w:rsid w:val="6D370842"/>
    <w:rsid w:val="6D495810"/>
    <w:rsid w:val="6DFE0EB5"/>
    <w:rsid w:val="6DFFE53B"/>
    <w:rsid w:val="6EAE4A5D"/>
    <w:rsid w:val="6F5541B7"/>
    <w:rsid w:val="6F752C3D"/>
    <w:rsid w:val="6F9D04EA"/>
    <w:rsid w:val="6FE9E447"/>
    <w:rsid w:val="70013FEB"/>
    <w:rsid w:val="70CD1EA4"/>
    <w:rsid w:val="70D9570F"/>
    <w:rsid w:val="70DB6CE9"/>
    <w:rsid w:val="70F7117C"/>
    <w:rsid w:val="71320A7A"/>
    <w:rsid w:val="717877C9"/>
    <w:rsid w:val="71A6135C"/>
    <w:rsid w:val="71CB2E81"/>
    <w:rsid w:val="71F734FF"/>
    <w:rsid w:val="721239DF"/>
    <w:rsid w:val="724A7AB5"/>
    <w:rsid w:val="728D7D4F"/>
    <w:rsid w:val="73752179"/>
    <w:rsid w:val="73B632A3"/>
    <w:rsid w:val="73DE00A8"/>
    <w:rsid w:val="73EEE6AB"/>
    <w:rsid w:val="744325A3"/>
    <w:rsid w:val="74685940"/>
    <w:rsid w:val="74877120"/>
    <w:rsid w:val="74E27555"/>
    <w:rsid w:val="754F4E3B"/>
    <w:rsid w:val="755D3FFB"/>
    <w:rsid w:val="757D5E95"/>
    <w:rsid w:val="75A12AD9"/>
    <w:rsid w:val="76316F04"/>
    <w:rsid w:val="765B56EB"/>
    <w:rsid w:val="766D2E41"/>
    <w:rsid w:val="76945E92"/>
    <w:rsid w:val="76FC17FC"/>
    <w:rsid w:val="777AC5C5"/>
    <w:rsid w:val="77954E08"/>
    <w:rsid w:val="779FC21D"/>
    <w:rsid w:val="77A93F5E"/>
    <w:rsid w:val="77D54C90"/>
    <w:rsid w:val="785217AA"/>
    <w:rsid w:val="78EC0CC6"/>
    <w:rsid w:val="793D5A28"/>
    <w:rsid w:val="796854EF"/>
    <w:rsid w:val="797B0FAE"/>
    <w:rsid w:val="79A37057"/>
    <w:rsid w:val="79E922B0"/>
    <w:rsid w:val="79EBA1D5"/>
    <w:rsid w:val="79EBE916"/>
    <w:rsid w:val="7A521334"/>
    <w:rsid w:val="7A5333B7"/>
    <w:rsid w:val="7A6B5102"/>
    <w:rsid w:val="7A7321AC"/>
    <w:rsid w:val="7A8F1E1B"/>
    <w:rsid w:val="7AC36D72"/>
    <w:rsid w:val="7AFEED64"/>
    <w:rsid w:val="7B9270D7"/>
    <w:rsid w:val="7BB71962"/>
    <w:rsid w:val="7BC450DC"/>
    <w:rsid w:val="7BDA040F"/>
    <w:rsid w:val="7C117812"/>
    <w:rsid w:val="7C301890"/>
    <w:rsid w:val="7CAF3C2D"/>
    <w:rsid w:val="7CC515CF"/>
    <w:rsid w:val="7CEF4626"/>
    <w:rsid w:val="7D3FCC95"/>
    <w:rsid w:val="7D7651C7"/>
    <w:rsid w:val="7D8C0A98"/>
    <w:rsid w:val="7D90559E"/>
    <w:rsid w:val="7DA47FE9"/>
    <w:rsid w:val="7DB3215D"/>
    <w:rsid w:val="7DB661AE"/>
    <w:rsid w:val="7DBB588B"/>
    <w:rsid w:val="7DC278F9"/>
    <w:rsid w:val="7E7CAC6E"/>
    <w:rsid w:val="7E7FCAE2"/>
    <w:rsid w:val="7E8104AE"/>
    <w:rsid w:val="7EABC48C"/>
    <w:rsid w:val="7ED1E4AA"/>
    <w:rsid w:val="7ED8388C"/>
    <w:rsid w:val="7EE9434C"/>
    <w:rsid w:val="7F595852"/>
    <w:rsid w:val="7F75F7A8"/>
    <w:rsid w:val="7FAE247C"/>
    <w:rsid w:val="7FB07A78"/>
    <w:rsid w:val="7FBF8920"/>
    <w:rsid w:val="7FBFF764"/>
    <w:rsid w:val="7FC81A2F"/>
    <w:rsid w:val="7FCF35BA"/>
    <w:rsid w:val="7FDEBFB9"/>
    <w:rsid w:val="7FE71DD9"/>
    <w:rsid w:val="7FEDEA53"/>
    <w:rsid w:val="7FEF1FC5"/>
    <w:rsid w:val="85EFFFCC"/>
    <w:rsid w:val="979F1100"/>
    <w:rsid w:val="9F6B000C"/>
    <w:rsid w:val="A3ED1E8E"/>
    <w:rsid w:val="A7BF2518"/>
    <w:rsid w:val="ADD40DCE"/>
    <w:rsid w:val="ADF30E13"/>
    <w:rsid w:val="AFEECD07"/>
    <w:rsid w:val="AFFF80E7"/>
    <w:rsid w:val="B3BF701B"/>
    <w:rsid w:val="B7B7DB48"/>
    <w:rsid w:val="B7BD1043"/>
    <w:rsid w:val="BACF2CE5"/>
    <w:rsid w:val="BDBF3201"/>
    <w:rsid w:val="BEBB2013"/>
    <w:rsid w:val="BF7B8A39"/>
    <w:rsid w:val="BF7FEC0B"/>
    <w:rsid w:val="BFFDF595"/>
    <w:rsid w:val="CC4FB8F8"/>
    <w:rsid w:val="D2BF9AE0"/>
    <w:rsid w:val="D5AFA0B7"/>
    <w:rsid w:val="D79C1B8A"/>
    <w:rsid w:val="D7FEECD4"/>
    <w:rsid w:val="D8DDAAFD"/>
    <w:rsid w:val="DBFD097A"/>
    <w:rsid w:val="DDFF853A"/>
    <w:rsid w:val="DEFF9E1B"/>
    <w:rsid w:val="DFBDBCFF"/>
    <w:rsid w:val="E7A7C6FC"/>
    <w:rsid w:val="E8DE263B"/>
    <w:rsid w:val="ECBF820D"/>
    <w:rsid w:val="EFDF08C4"/>
    <w:rsid w:val="EFFFAA36"/>
    <w:rsid w:val="F17A94B4"/>
    <w:rsid w:val="F1F9DE40"/>
    <w:rsid w:val="F30F77D7"/>
    <w:rsid w:val="F3BD95B6"/>
    <w:rsid w:val="F3CF4624"/>
    <w:rsid w:val="F53BF809"/>
    <w:rsid w:val="F6162BF8"/>
    <w:rsid w:val="F69C178B"/>
    <w:rsid w:val="F752C8EF"/>
    <w:rsid w:val="F7EE95C8"/>
    <w:rsid w:val="FAC75991"/>
    <w:rsid w:val="FBF5939F"/>
    <w:rsid w:val="FBFF4D1C"/>
    <w:rsid w:val="FDBDBE37"/>
    <w:rsid w:val="FDDD8926"/>
    <w:rsid w:val="FDEAAF4E"/>
    <w:rsid w:val="FECFCFBA"/>
    <w:rsid w:val="FEFF2A3E"/>
    <w:rsid w:val="FEFFB49C"/>
    <w:rsid w:val="FF47FD68"/>
    <w:rsid w:val="FF7A3BBF"/>
    <w:rsid w:val="FF7C8ADD"/>
    <w:rsid w:val="FF7F27C1"/>
    <w:rsid w:val="FF7FF93E"/>
    <w:rsid w:val="FFB22836"/>
    <w:rsid w:val="FFBBAE6D"/>
    <w:rsid w:val="FFBFEB11"/>
    <w:rsid w:val="FFCF2CFE"/>
    <w:rsid w:val="FFE7819E"/>
    <w:rsid w:val="FFF18B9C"/>
    <w:rsid w:val="FFF6C2EF"/>
    <w:rsid w:val="FFFF5D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4"/>
      <w:lang w:val="en-US" w:eastAsia="zh-CN" w:bidi="ar-SA"/>
    </w:rPr>
  </w:style>
  <w:style w:type="paragraph" w:styleId="2">
    <w:name w:val="heading 1"/>
    <w:basedOn w:val="1"/>
    <w:next w:val="1"/>
    <w:link w:val="39"/>
    <w:autoRedefine/>
    <w:qFormat/>
    <w:uiPriority w:val="0"/>
    <w:pPr>
      <w:keepNext/>
      <w:keepLines/>
      <w:spacing w:before="312" w:after="312" w:line="415" w:lineRule="auto"/>
      <w:ind w:firstLine="601"/>
      <w:jc w:val="center"/>
      <w:outlineLvl w:val="0"/>
    </w:pPr>
    <w:rPr>
      <w:rFonts w:cs="Times New Roman"/>
      <w:b/>
      <w:kern w:val="44"/>
      <w:sz w:val="30"/>
      <w:szCs w:val="30"/>
    </w:rPr>
  </w:style>
  <w:style w:type="paragraph" w:styleId="3">
    <w:name w:val="heading 2"/>
    <w:basedOn w:val="1"/>
    <w:next w:val="1"/>
    <w:link w:val="40"/>
    <w:autoRedefine/>
    <w:qFormat/>
    <w:uiPriority w:val="0"/>
    <w:pPr>
      <w:keepNext/>
      <w:keepLines/>
      <w:spacing w:line="360" w:lineRule="auto"/>
      <w:jc w:val="center"/>
      <w:outlineLvl w:val="1"/>
    </w:pPr>
    <w:rPr>
      <w:rFonts w:ascii="Cambria" w:hAnsi="Cambria" w:cs="Times New Roman"/>
      <w:b/>
      <w:bCs/>
      <w:sz w:val="24"/>
    </w:rPr>
  </w:style>
  <w:style w:type="paragraph" w:styleId="4">
    <w:name w:val="heading 3"/>
    <w:basedOn w:val="1"/>
    <w:next w:val="1"/>
    <w:link w:val="41"/>
    <w:autoRedefine/>
    <w:qFormat/>
    <w:uiPriority w:val="99"/>
    <w:pPr>
      <w:keepNext/>
      <w:keepLines/>
      <w:tabs>
        <w:tab w:val="left" w:pos="630"/>
      </w:tabs>
      <w:adjustRightInd w:val="0"/>
      <w:snapToGrid w:val="0"/>
      <w:spacing w:before="240" w:after="100" w:afterLines="100" w:line="288" w:lineRule="auto"/>
      <w:outlineLvl w:val="2"/>
    </w:pPr>
    <w:rPr>
      <w:rFonts w:cs="Times New Roman"/>
      <w:b/>
      <w:sz w:val="24"/>
      <w:szCs w:val="32"/>
    </w:rPr>
  </w:style>
  <w:style w:type="paragraph" w:styleId="5">
    <w:name w:val="heading 4"/>
    <w:basedOn w:val="1"/>
    <w:next w:val="1"/>
    <w:link w:val="42"/>
    <w:autoRedefine/>
    <w:qFormat/>
    <w:uiPriority w:val="0"/>
    <w:pPr>
      <w:keepNext/>
      <w:keepLines/>
      <w:spacing w:before="280" w:after="290" w:line="376" w:lineRule="auto"/>
      <w:outlineLvl w:val="3"/>
    </w:pPr>
    <w:rPr>
      <w:rFonts w:ascii="Cambria" w:hAnsi="Cambria" w:cs="Times New Roman"/>
      <w:b/>
      <w:bCs/>
      <w:sz w:val="28"/>
      <w:szCs w:val="28"/>
    </w:rPr>
  </w:style>
  <w:style w:type="paragraph" w:styleId="6">
    <w:name w:val="heading 5"/>
    <w:basedOn w:val="1"/>
    <w:next w:val="1"/>
    <w:link w:val="43"/>
    <w:autoRedefine/>
    <w:qFormat/>
    <w:uiPriority w:val="0"/>
    <w:pPr>
      <w:keepNext/>
      <w:keepLines/>
      <w:spacing w:before="280" w:after="290" w:line="376" w:lineRule="auto"/>
      <w:outlineLvl w:val="4"/>
    </w:pPr>
    <w:rPr>
      <w:rFonts w:ascii="Times New Roman" w:hAnsi="Times New Roman" w:eastAsia="仿宋" w:cs="Times New Roman"/>
      <w:b/>
      <w:kern w:val="0"/>
      <w:sz w:val="30"/>
      <w:szCs w:val="28"/>
    </w:rPr>
  </w:style>
  <w:style w:type="paragraph" w:styleId="7">
    <w:name w:val="heading 6"/>
    <w:basedOn w:val="1"/>
    <w:next w:val="1"/>
    <w:link w:val="44"/>
    <w:autoRedefine/>
    <w:qFormat/>
    <w:uiPriority w:val="0"/>
    <w:pPr>
      <w:keepNext/>
      <w:keepLines/>
      <w:spacing w:before="240" w:after="64" w:line="320" w:lineRule="auto"/>
      <w:ind w:left="1152" w:hanging="1152"/>
      <w:outlineLvl w:val="5"/>
    </w:pPr>
    <w:rPr>
      <w:rFonts w:hint="eastAsia" w:ascii="等线 Light" w:hAnsi="等线 Light" w:eastAsia="等线 Light" w:cs="Times New Roman"/>
      <w:b/>
      <w:kern w:val="0"/>
      <w:sz w:val="24"/>
    </w:rPr>
  </w:style>
  <w:style w:type="paragraph" w:styleId="8">
    <w:name w:val="heading 7"/>
    <w:basedOn w:val="1"/>
    <w:next w:val="1"/>
    <w:link w:val="45"/>
    <w:autoRedefine/>
    <w:qFormat/>
    <w:uiPriority w:val="0"/>
    <w:pPr>
      <w:keepNext/>
      <w:keepLines/>
      <w:spacing w:before="240" w:after="64" w:line="320" w:lineRule="auto"/>
      <w:outlineLvl w:val="6"/>
    </w:pPr>
    <w:rPr>
      <w:rFonts w:cs="Times New Roman"/>
      <w:b/>
      <w:bCs/>
      <w:sz w:val="24"/>
    </w:rPr>
  </w:style>
  <w:style w:type="paragraph" w:styleId="9">
    <w:name w:val="heading 8"/>
    <w:basedOn w:val="1"/>
    <w:next w:val="1"/>
    <w:link w:val="46"/>
    <w:autoRedefine/>
    <w:qFormat/>
    <w:uiPriority w:val="0"/>
    <w:pPr>
      <w:keepNext/>
      <w:keepLines/>
      <w:spacing w:before="240" w:after="64" w:line="320" w:lineRule="auto"/>
      <w:ind w:left="1440" w:hanging="1440"/>
      <w:outlineLvl w:val="7"/>
    </w:pPr>
    <w:rPr>
      <w:rFonts w:ascii="等线 Light" w:hAnsi="等线 Light" w:eastAsia="等线 Light" w:cs="Times New Roman"/>
      <w:sz w:val="24"/>
    </w:rPr>
  </w:style>
  <w:style w:type="paragraph" w:styleId="10">
    <w:name w:val="heading 9"/>
    <w:basedOn w:val="1"/>
    <w:next w:val="1"/>
    <w:link w:val="47"/>
    <w:autoRedefine/>
    <w:qFormat/>
    <w:uiPriority w:val="0"/>
    <w:pPr>
      <w:keepNext/>
      <w:keepLines/>
      <w:spacing w:before="240" w:after="64" w:line="320" w:lineRule="auto"/>
      <w:ind w:left="1584" w:hanging="1584"/>
      <w:outlineLvl w:val="8"/>
    </w:pPr>
    <w:rPr>
      <w:rFonts w:hint="eastAsia" w:ascii="等线 Light" w:hAnsi="等线 Light" w:eastAsia="等线 Light" w:cs="Times New Roman"/>
      <w:kern w:val="0"/>
      <w:sz w:val="24"/>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autoRedefine/>
    <w:qFormat/>
    <w:uiPriority w:val="0"/>
    <w:pPr>
      <w:spacing w:line="360" w:lineRule="auto"/>
      <w:ind w:left="210" w:leftChars="100" w:right="210" w:rightChars="100" w:firstLine="420" w:firstLineChars="200"/>
      <w:jc w:val="left"/>
    </w:pPr>
  </w:style>
  <w:style w:type="paragraph" w:styleId="12">
    <w:name w:val="Document Map"/>
    <w:basedOn w:val="1"/>
    <w:link w:val="48"/>
    <w:autoRedefine/>
    <w:qFormat/>
    <w:uiPriority w:val="0"/>
    <w:rPr>
      <w:rFonts w:ascii="宋体" w:cs="Times New Roman"/>
      <w:sz w:val="18"/>
      <w:szCs w:val="18"/>
    </w:rPr>
  </w:style>
  <w:style w:type="paragraph" w:styleId="13">
    <w:name w:val="annotation text"/>
    <w:basedOn w:val="1"/>
    <w:link w:val="49"/>
    <w:autoRedefine/>
    <w:qFormat/>
    <w:uiPriority w:val="0"/>
    <w:pPr>
      <w:jc w:val="left"/>
    </w:pPr>
    <w:rPr>
      <w:rFonts w:cs="Times New Roman"/>
    </w:rPr>
  </w:style>
  <w:style w:type="paragraph" w:styleId="14">
    <w:name w:val="Body Text"/>
    <w:basedOn w:val="1"/>
    <w:link w:val="50"/>
    <w:autoRedefine/>
    <w:qFormat/>
    <w:uiPriority w:val="0"/>
    <w:pPr>
      <w:spacing w:after="120"/>
    </w:pPr>
    <w:rPr>
      <w:rFonts w:cs="Times New Roman"/>
    </w:rPr>
  </w:style>
  <w:style w:type="paragraph" w:styleId="15">
    <w:name w:val="Body Text Indent"/>
    <w:basedOn w:val="1"/>
    <w:link w:val="101"/>
    <w:qFormat/>
    <w:uiPriority w:val="0"/>
    <w:pPr>
      <w:spacing w:after="120"/>
      <w:ind w:left="420" w:leftChars="200"/>
    </w:pPr>
  </w:style>
  <w:style w:type="paragraph" w:styleId="16">
    <w:name w:val="toc 3"/>
    <w:basedOn w:val="1"/>
    <w:next w:val="1"/>
    <w:autoRedefine/>
    <w:qFormat/>
    <w:uiPriority w:val="39"/>
    <w:pPr>
      <w:ind w:left="840" w:leftChars="400"/>
    </w:pPr>
  </w:style>
  <w:style w:type="paragraph" w:styleId="17">
    <w:name w:val="Plain Text"/>
    <w:basedOn w:val="1"/>
    <w:autoRedefine/>
    <w:qFormat/>
    <w:uiPriority w:val="0"/>
    <w:rPr>
      <w:rFonts w:ascii="宋体" w:hAnsi="Courier New" w:cs="Courier New"/>
      <w:szCs w:val="21"/>
    </w:rPr>
  </w:style>
  <w:style w:type="paragraph" w:styleId="18">
    <w:name w:val="Date"/>
    <w:basedOn w:val="1"/>
    <w:next w:val="1"/>
    <w:autoRedefine/>
    <w:qFormat/>
    <w:uiPriority w:val="0"/>
    <w:pPr>
      <w:ind w:left="100" w:leftChars="2500"/>
    </w:pPr>
    <w:rPr>
      <w:sz w:val="28"/>
    </w:rPr>
  </w:style>
  <w:style w:type="paragraph" w:styleId="19">
    <w:name w:val="Balloon Text"/>
    <w:basedOn w:val="1"/>
    <w:link w:val="51"/>
    <w:autoRedefine/>
    <w:qFormat/>
    <w:uiPriority w:val="0"/>
    <w:rPr>
      <w:rFonts w:cs="Times New Roman"/>
      <w:sz w:val="18"/>
      <w:szCs w:val="18"/>
    </w:rPr>
  </w:style>
  <w:style w:type="paragraph" w:styleId="20">
    <w:name w:val="footer"/>
    <w:basedOn w:val="1"/>
    <w:link w:val="52"/>
    <w:autoRedefine/>
    <w:qFormat/>
    <w:uiPriority w:val="99"/>
    <w:pPr>
      <w:tabs>
        <w:tab w:val="center" w:pos="4153"/>
        <w:tab w:val="right" w:pos="8306"/>
      </w:tabs>
      <w:snapToGrid w:val="0"/>
      <w:jc w:val="left"/>
    </w:pPr>
    <w:rPr>
      <w:rFonts w:cs="Times New Roman"/>
      <w:sz w:val="18"/>
      <w:szCs w:val="18"/>
    </w:rPr>
  </w:style>
  <w:style w:type="paragraph" w:styleId="21">
    <w:name w:val="header"/>
    <w:basedOn w:val="1"/>
    <w:link w:val="53"/>
    <w:autoRedefine/>
    <w:qFormat/>
    <w:uiPriority w:val="0"/>
    <w:pPr>
      <w:pBdr>
        <w:bottom w:val="single" w:color="auto" w:sz="6" w:space="1"/>
      </w:pBdr>
      <w:tabs>
        <w:tab w:val="center" w:pos="4153"/>
        <w:tab w:val="right" w:pos="8306"/>
      </w:tabs>
      <w:snapToGrid w:val="0"/>
      <w:jc w:val="center"/>
    </w:pPr>
    <w:rPr>
      <w:rFonts w:cs="Times New Roman"/>
      <w:sz w:val="18"/>
      <w:szCs w:val="18"/>
    </w:rPr>
  </w:style>
  <w:style w:type="paragraph" w:styleId="22">
    <w:name w:val="toc 1"/>
    <w:basedOn w:val="1"/>
    <w:next w:val="1"/>
    <w:autoRedefine/>
    <w:qFormat/>
    <w:uiPriority w:val="39"/>
    <w:pPr>
      <w:tabs>
        <w:tab w:val="right" w:leader="dot" w:pos="8296"/>
      </w:tabs>
    </w:pPr>
    <w:rPr>
      <w:rFonts w:ascii="Times New Roman" w:hAnsi="Times New Roman" w:cs="Times New Roman"/>
      <w:kern w:val="44"/>
    </w:rPr>
  </w:style>
  <w:style w:type="paragraph" w:styleId="23">
    <w:name w:val="Subtitle"/>
    <w:next w:val="1"/>
    <w:autoRedefine/>
    <w:qFormat/>
    <w:uiPriority w:val="0"/>
    <w:pPr>
      <w:ind w:firstLine="480"/>
      <w:jc w:val="center"/>
    </w:pPr>
    <w:rPr>
      <w:rFonts w:ascii="Tahoma" w:hAnsi="Tahoma" w:eastAsia="黑体" w:cs="Calibri"/>
      <w:kern w:val="2"/>
      <w:sz w:val="18"/>
      <w:szCs w:val="22"/>
      <w:lang w:val="en-US" w:eastAsia="zh-CN" w:bidi="ar-SA"/>
    </w:rPr>
  </w:style>
  <w:style w:type="paragraph" w:styleId="24">
    <w:name w:val="footnote text"/>
    <w:basedOn w:val="1"/>
    <w:link w:val="54"/>
    <w:autoRedefine/>
    <w:qFormat/>
    <w:uiPriority w:val="0"/>
    <w:pPr>
      <w:snapToGrid w:val="0"/>
      <w:jc w:val="left"/>
    </w:pPr>
    <w:rPr>
      <w:rFonts w:hint="eastAsia" w:ascii="宋体" w:hAnsi="宋体" w:cs="Times New Roman"/>
      <w:kern w:val="0"/>
      <w:sz w:val="18"/>
      <w:szCs w:val="18"/>
    </w:rPr>
  </w:style>
  <w:style w:type="paragraph" w:styleId="25">
    <w:name w:val="toc 2"/>
    <w:basedOn w:val="1"/>
    <w:next w:val="1"/>
    <w:autoRedefine/>
    <w:qFormat/>
    <w:uiPriority w:val="39"/>
    <w:pPr>
      <w:ind w:left="420" w:leftChars="200"/>
    </w:pPr>
  </w:style>
  <w:style w:type="paragraph" w:styleId="26">
    <w:name w:val="Body Text 2"/>
    <w:basedOn w:val="1"/>
    <w:autoRedefine/>
    <w:qFormat/>
    <w:uiPriority w:val="0"/>
    <w:rPr>
      <w:rFonts w:ascii="宋体" w:hAnsi="宋体"/>
      <w:color w:val="FF0000"/>
      <w:sz w:val="28"/>
    </w:rPr>
  </w:style>
  <w:style w:type="paragraph" w:styleId="2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8">
    <w:name w:val="Title"/>
    <w:basedOn w:val="1"/>
    <w:next w:val="1"/>
    <w:link w:val="55"/>
    <w:autoRedefine/>
    <w:qFormat/>
    <w:uiPriority w:val="0"/>
    <w:pPr>
      <w:numPr>
        <w:ilvl w:val="0"/>
        <w:numId w:val="1"/>
      </w:numPr>
      <w:spacing w:before="240" w:after="60" w:line="360" w:lineRule="auto"/>
      <w:jc w:val="center"/>
      <w:outlineLvl w:val="0"/>
    </w:pPr>
    <w:rPr>
      <w:rFonts w:ascii="等线 Light" w:hAnsi="等线 Light" w:eastAsia="等线 Light" w:cs="Times New Roman"/>
      <w:b/>
      <w:kern w:val="0"/>
      <w:sz w:val="32"/>
      <w:szCs w:val="32"/>
    </w:rPr>
  </w:style>
  <w:style w:type="paragraph" w:styleId="29">
    <w:name w:val="annotation subject"/>
    <w:basedOn w:val="13"/>
    <w:next w:val="13"/>
    <w:link w:val="56"/>
    <w:autoRedefine/>
    <w:qFormat/>
    <w:uiPriority w:val="0"/>
    <w:rPr>
      <w:b/>
      <w:bCs/>
    </w:rPr>
  </w:style>
  <w:style w:type="table" w:styleId="31">
    <w:name w:val="Table Grid"/>
    <w:basedOn w:val="3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page number"/>
    <w:basedOn w:val="32"/>
    <w:autoRedefine/>
    <w:qFormat/>
    <w:uiPriority w:val="0"/>
  </w:style>
  <w:style w:type="character" w:styleId="35">
    <w:name w:val="FollowedHyperlink"/>
    <w:autoRedefine/>
    <w:unhideWhenUsed/>
    <w:qFormat/>
    <w:uiPriority w:val="99"/>
    <w:rPr>
      <w:color w:val="954F72"/>
      <w:u w:val="single"/>
    </w:rPr>
  </w:style>
  <w:style w:type="character" w:styleId="36">
    <w:name w:val="Emphasis"/>
    <w:autoRedefine/>
    <w:qFormat/>
    <w:uiPriority w:val="0"/>
    <w:rPr>
      <w:rFonts w:eastAsia="宋体"/>
      <w:iCs/>
      <w:color w:val="auto"/>
      <w:sz w:val="15"/>
    </w:rPr>
  </w:style>
  <w:style w:type="character" w:styleId="37">
    <w:name w:val="Hyperlink"/>
    <w:autoRedefine/>
    <w:unhideWhenUsed/>
    <w:qFormat/>
    <w:uiPriority w:val="99"/>
    <w:rPr>
      <w:color w:val="0563C1"/>
      <w:u w:val="single"/>
    </w:rPr>
  </w:style>
  <w:style w:type="character" w:styleId="38">
    <w:name w:val="annotation reference"/>
    <w:autoRedefine/>
    <w:qFormat/>
    <w:uiPriority w:val="0"/>
    <w:rPr>
      <w:sz w:val="21"/>
      <w:szCs w:val="21"/>
    </w:rPr>
  </w:style>
  <w:style w:type="character" w:customStyle="1" w:styleId="39">
    <w:name w:val="标题 1 字符"/>
    <w:link w:val="2"/>
    <w:autoRedefine/>
    <w:qFormat/>
    <w:uiPriority w:val="0"/>
    <w:rPr>
      <w:rFonts w:ascii="Calibri" w:hAnsi="Calibri"/>
      <w:b/>
      <w:kern w:val="44"/>
      <w:sz w:val="30"/>
      <w:szCs w:val="30"/>
    </w:rPr>
  </w:style>
  <w:style w:type="character" w:customStyle="1" w:styleId="40">
    <w:name w:val="标题 2 字符"/>
    <w:link w:val="3"/>
    <w:autoRedefine/>
    <w:qFormat/>
    <w:uiPriority w:val="0"/>
    <w:rPr>
      <w:rFonts w:ascii="Cambria" w:hAnsi="Cambria"/>
      <w:b/>
      <w:bCs/>
      <w:kern w:val="2"/>
      <w:sz w:val="24"/>
      <w:szCs w:val="24"/>
    </w:rPr>
  </w:style>
  <w:style w:type="character" w:customStyle="1" w:styleId="41">
    <w:name w:val="标题 3 字符1"/>
    <w:link w:val="4"/>
    <w:autoRedefine/>
    <w:qFormat/>
    <w:uiPriority w:val="99"/>
    <w:rPr>
      <w:b/>
      <w:kern w:val="2"/>
      <w:sz w:val="24"/>
      <w:szCs w:val="32"/>
    </w:rPr>
  </w:style>
  <w:style w:type="character" w:customStyle="1" w:styleId="42">
    <w:name w:val="标题 4 字符1"/>
    <w:link w:val="5"/>
    <w:autoRedefine/>
    <w:qFormat/>
    <w:uiPriority w:val="0"/>
    <w:rPr>
      <w:rFonts w:ascii="Cambria" w:hAnsi="Cambria" w:eastAsia="宋体" w:cs="Times New Roman"/>
      <w:b/>
      <w:bCs/>
      <w:kern w:val="2"/>
      <w:sz w:val="28"/>
      <w:szCs w:val="28"/>
    </w:rPr>
  </w:style>
  <w:style w:type="character" w:customStyle="1" w:styleId="43">
    <w:name w:val="标题 5 字符"/>
    <w:link w:val="6"/>
    <w:autoRedefine/>
    <w:qFormat/>
    <w:uiPriority w:val="0"/>
    <w:rPr>
      <w:rFonts w:hint="default" w:ascii="Times New Roman" w:hAnsi="Times New Roman" w:eastAsia="仿宋" w:cs="Times New Roman"/>
      <w:b/>
      <w:sz w:val="30"/>
      <w:szCs w:val="28"/>
    </w:rPr>
  </w:style>
  <w:style w:type="character" w:customStyle="1" w:styleId="44">
    <w:name w:val="标题 6 字符"/>
    <w:link w:val="7"/>
    <w:autoRedefine/>
    <w:qFormat/>
    <w:uiPriority w:val="0"/>
    <w:rPr>
      <w:rFonts w:hint="eastAsia" w:ascii="等线 Light" w:hAnsi="等线 Light" w:eastAsia="等线 Light" w:cs="Times New Roman"/>
      <w:b/>
      <w:sz w:val="24"/>
      <w:szCs w:val="24"/>
    </w:rPr>
  </w:style>
  <w:style w:type="character" w:customStyle="1" w:styleId="45">
    <w:name w:val="标题 7 字符1"/>
    <w:link w:val="8"/>
    <w:autoRedefine/>
    <w:qFormat/>
    <w:uiPriority w:val="0"/>
    <w:rPr>
      <w:b/>
      <w:bCs/>
      <w:kern w:val="2"/>
      <w:sz w:val="24"/>
      <w:szCs w:val="24"/>
    </w:rPr>
  </w:style>
  <w:style w:type="character" w:customStyle="1" w:styleId="46">
    <w:name w:val="标题 8 字符1"/>
    <w:link w:val="9"/>
    <w:autoRedefine/>
    <w:qFormat/>
    <w:uiPriority w:val="0"/>
    <w:rPr>
      <w:rFonts w:ascii="等线 Light" w:hAnsi="等线 Light" w:eastAsia="等线 Light"/>
      <w:kern w:val="2"/>
      <w:sz w:val="24"/>
      <w:szCs w:val="24"/>
    </w:rPr>
  </w:style>
  <w:style w:type="character" w:customStyle="1" w:styleId="47">
    <w:name w:val="标题 9 字符"/>
    <w:link w:val="10"/>
    <w:autoRedefine/>
    <w:qFormat/>
    <w:uiPriority w:val="0"/>
    <w:rPr>
      <w:rFonts w:hint="eastAsia" w:ascii="等线 Light" w:hAnsi="等线 Light" w:eastAsia="等线 Light" w:cs="Times New Roman"/>
      <w:sz w:val="24"/>
      <w:szCs w:val="21"/>
    </w:rPr>
  </w:style>
  <w:style w:type="character" w:customStyle="1" w:styleId="48">
    <w:name w:val="文档结构图 字符"/>
    <w:link w:val="12"/>
    <w:autoRedefine/>
    <w:qFormat/>
    <w:uiPriority w:val="0"/>
    <w:rPr>
      <w:rFonts w:ascii="宋体"/>
      <w:kern w:val="2"/>
      <w:sz w:val="18"/>
      <w:szCs w:val="18"/>
    </w:rPr>
  </w:style>
  <w:style w:type="character" w:customStyle="1" w:styleId="49">
    <w:name w:val="批注文字 字符"/>
    <w:link w:val="13"/>
    <w:autoRedefine/>
    <w:qFormat/>
    <w:uiPriority w:val="0"/>
    <w:rPr>
      <w:kern w:val="2"/>
      <w:sz w:val="21"/>
      <w:szCs w:val="24"/>
    </w:rPr>
  </w:style>
  <w:style w:type="character" w:customStyle="1" w:styleId="50">
    <w:name w:val="正文文本 字符"/>
    <w:link w:val="14"/>
    <w:autoRedefine/>
    <w:qFormat/>
    <w:uiPriority w:val="0"/>
    <w:rPr>
      <w:kern w:val="2"/>
      <w:sz w:val="21"/>
      <w:szCs w:val="24"/>
    </w:rPr>
  </w:style>
  <w:style w:type="character" w:customStyle="1" w:styleId="51">
    <w:name w:val="批注框文本 字符"/>
    <w:link w:val="19"/>
    <w:autoRedefine/>
    <w:qFormat/>
    <w:uiPriority w:val="0"/>
    <w:rPr>
      <w:kern w:val="2"/>
      <w:sz w:val="18"/>
      <w:szCs w:val="18"/>
    </w:rPr>
  </w:style>
  <w:style w:type="character" w:customStyle="1" w:styleId="52">
    <w:name w:val="页脚 字符"/>
    <w:link w:val="20"/>
    <w:autoRedefine/>
    <w:qFormat/>
    <w:uiPriority w:val="99"/>
    <w:rPr>
      <w:kern w:val="2"/>
      <w:sz w:val="18"/>
      <w:szCs w:val="18"/>
    </w:rPr>
  </w:style>
  <w:style w:type="character" w:customStyle="1" w:styleId="53">
    <w:name w:val="页眉 字符"/>
    <w:link w:val="21"/>
    <w:autoRedefine/>
    <w:qFormat/>
    <w:uiPriority w:val="0"/>
    <w:rPr>
      <w:kern w:val="2"/>
      <w:sz w:val="18"/>
      <w:szCs w:val="18"/>
    </w:rPr>
  </w:style>
  <w:style w:type="character" w:customStyle="1" w:styleId="54">
    <w:name w:val="脚注文本 字符"/>
    <w:link w:val="24"/>
    <w:autoRedefine/>
    <w:qFormat/>
    <w:uiPriority w:val="0"/>
    <w:rPr>
      <w:rFonts w:hint="eastAsia" w:ascii="宋体" w:hAnsi="宋体" w:eastAsia="宋体" w:cs="宋体"/>
      <w:kern w:val="0"/>
      <w:sz w:val="18"/>
      <w:szCs w:val="18"/>
    </w:rPr>
  </w:style>
  <w:style w:type="character" w:customStyle="1" w:styleId="55">
    <w:name w:val="标题 字符"/>
    <w:link w:val="28"/>
    <w:autoRedefine/>
    <w:qFormat/>
    <w:uiPriority w:val="0"/>
    <w:rPr>
      <w:rFonts w:ascii="等线 Light" w:hAnsi="等线 Light" w:eastAsia="等线 Light" w:cs="Times New Roman"/>
      <w:b/>
      <w:sz w:val="32"/>
      <w:szCs w:val="32"/>
    </w:rPr>
  </w:style>
  <w:style w:type="character" w:customStyle="1" w:styleId="56">
    <w:name w:val="批注主题 字符1"/>
    <w:link w:val="29"/>
    <w:autoRedefine/>
    <w:qFormat/>
    <w:uiPriority w:val="0"/>
    <w:rPr>
      <w:b/>
      <w:bCs/>
      <w:kern w:val="2"/>
      <w:sz w:val="21"/>
      <w:szCs w:val="24"/>
    </w:rPr>
  </w:style>
  <w:style w:type="character" w:customStyle="1" w:styleId="57">
    <w:name w:val="首行缩进:  2 字符 Char"/>
    <w:link w:val="58"/>
    <w:autoRedefine/>
    <w:qFormat/>
    <w:uiPriority w:val="0"/>
    <w:rPr>
      <w:rFonts w:ascii="宋体" w:hAnsi="Calibri"/>
      <w:color w:val="FF0000"/>
      <w:kern w:val="2"/>
      <w:sz w:val="24"/>
    </w:rPr>
  </w:style>
  <w:style w:type="paragraph" w:customStyle="1" w:styleId="58">
    <w:name w:val="首行缩进:  2 字符"/>
    <w:basedOn w:val="1"/>
    <w:link w:val="57"/>
    <w:autoRedefine/>
    <w:qFormat/>
    <w:uiPriority w:val="0"/>
    <w:pPr>
      <w:spacing w:line="360" w:lineRule="auto"/>
      <w:ind w:firstLine="200" w:firstLineChars="200"/>
    </w:pPr>
    <w:rPr>
      <w:rFonts w:ascii="宋体" w:cs="Times New Roman"/>
      <w:color w:val="FF0000"/>
      <w:sz w:val="24"/>
      <w:szCs w:val="20"/>
    </w:rPr>
  </w:style>
  <w:style w:type="character" w:customStyle="1" w:styleId="59">
    <w:name w:val="标题 4 字符"/>
    <w:autoRedefine/>
    <w:qFormat/>
    <w:uiPriority w:val="0"/>
    <w:rPr>
      <w:rFonts w:hint="eastAsia" w:ascii="宋体" w:hAnsi="宋体" w:eastAsia="仿宋" w:cs="宋体"/>
      <w:b/>
      <w:kern w:val="0"/>
      <w:sz w:val="30"/>
      <w:szCs w:val="28"/>
    </w:rPr>
  </w:style>
  <w:style w:type="character" w:customStyle="1" w:styleId="60">
    <w:name w:val="标题 Char"/>
    <w:autoRedefine/>
    <w:qFormat/>
    <w:uiPriority w:val="0"/>
    <w:rPr>
      <w:rFonts w:ascii="Cambria" w:hAnsi="Cambria" w:eastAsia="黑体"/>
      <w:bCs/>
      <w:kern w:val="2"/>
      <w:sz w:val="36"/>
      <w:szCs w:val="32"/>
    </w:rPr>
  </w:style>
  <w:style w:type="character" w:customStyle="1" w:styleId="61">
    <w:name w:val="fontstyle21"/>
    <w:autoRedefine/>
    <w:qFormat/>
    <w:uiPriority w:val="0"/>
    <w:rPr>
      <w:rFonts w:ascii="ArialMT" w:hAnsi="ArialMT" w:eastAsia="ArialMT" w:cs="ArialMT"/>
      <w:color w:val="000000"/>
      <w:sz w:val="24"/>
      <w:szCs w:val="24"/>
    </w:rPr>
  </w:style>
  <w:style w:type="character" w:customStyle="1" w:styleId="62">
    <w:name w:val="标题 7 字符"/>
    <w:autoRedefine/>
    <w:qFormat/>
    <w:uiPriority w:val="0"/>
    <w:rPr>
      <w:b/>
      <w:sz w:val="24"/>
      <w:szCs w:val="24"/>
    </w:rPr>
  </w:style>
  <w:style w:type="character" w:customStyle="1" w:styleId="63">
    <w:name w:val="页眉 Char"/>
    <w:autoRedefine/>
    <w:qFormat/>
    <w:uiPriority w:val="0"/>
    <w:rPr>
      <w:rFonts w:ascii="Calibri" w:hAnsi="Calibri" w:eastAsia="宋体" w:cs="Times New Roman"/>
      <w:kern w:val="2"/>
      <w:sz w:val="18"/>
      <w:szCs w:val="18"/>
    </w:rPr>
  </w:style>
  <w:style w:type="character" w:customStyle="1" w:styleId="64">
    <w:name w:val="fontstyle31"/>
    <w:autoRedefine/>
    <w:qFormat/>
    <w:uiPriority w:val="0"/>
    <w:rPr>
      <w:rFonts w:ascii="宋体" w:hAnsi="宋体" w:eastAsia="宋体" w:cs="宋体"/>
      <w:color w:val="000000"/>
      <w:sz w:val="24"/>
      <w:szCs w:val="24"/>
    </w:rPr>
  </w:style>
  <w:style w:type="character" w:customStyle="1" w:styleId="65">
    <w:name w:val="页脚 Char"/>
    <w:autoRedefine/>
    <w:qFormat/>
    <w:uiPriority w:val="0"/>
    <w:rPr>
      <w:rFonts w:ascii="Calibri" w:hAnsi="Calibri" w:eastAsia="宋体" w:cs="Times New Roman"/>
      <w:kern w:val="2"/>
      <w:sz w:val="18"/>
      <w:szCs w:val="18"/>
    </w:rPr>
  </w:style>
  <w:style w:type="character" w:customStyle="1" w:styleId="66">
    <w:name w:val="标题 2 Char"/>
    <w:autoRedefine/>
    <w:qFormat/>
    <w:uiPriority w:val="0"/>
    <w:rPr>
      <w:rFonts w:ascii="Arial" w:hAnsi="Arial"/>
      <w:b/>
      <w:bCs/>
      <w:kern w:val="2"/>
      <w:sz w:val="24"/>
      <w:szCs w:val="32"/>
    </w:rPr>
  </w:style>
  <w:style w:type="character" w:customStyle="1" w:styleId="67">
    <w:name w:val="标题 8 字符"/>
    <w:autoRedefine/>
    <w:qFormat/>
    <w:uiPriority w:val="0"/>
    <w:rPr>
      <w:rFonts w:ascii="等线 Light" w:hAnsi="等线 Light" w:eastAsia="等线 Light" w:cs="Times New Roman"/>
      <w:sz w:val="24"/>
      <w:szCs w:val="24"/>
    </w:rPr>
  </w:style>
  <w:style w:type="character" w:customStyle="1" w:styleId="68">
    <w:name w:val="正文文本 字符1"/>
    <w:autoRedefine/>
    <w:qFormat/>
    <w:uiPriority w:val="0"/>
    <w:rPr>
      <w:kern w:val="2"/>
      <w:sz w:val="21"/>
      <w:szCs w:val="24"/>
    </w:rPr>
  </w:style>
  <w:style w:type="character" w:customStyle="1" w:styleId="69">
    <w:name w:val="标题 1 Char"/>
    <w:autoRedefine/>
    <w:qFormat/>
    <w:uiPriority w:val="0"/>
    <w:rPr>
      <w:b/>
      <w:bCs/>
      <w:kern w:val="44"/>
      <w:sz w:val="32"/>
      <w:szCs w:val="44"/>
    </w:rPr>
  </w:style>
  <w:style w:type="character" w:customStyle="1" w:styleId="70">
    <w:name w:val="批注文字 Char"/>
    <w:autoRedefine/>
    <w:qFormat/>
    <w:uiPriority w:val="0"/>
    <w:rPr>
      <w:kern w:val="2"/>
      <w:sz w:val="21"/>
      <w:szCs w:val="24"/>
    </w:rPr>
  </w:style>
  <w:style w:type="character" w:customStyle="1" w:styleId="71">
    <w:name w:val="标题 6 Char"/>
    <w:autoRedefine/>
    <w:qFormat/>
    <w:uiPriority w:val="0"/>
    <w:rPr>
      <w:rFonts w:ascii="等线 Light" w:hAnsi="等线 Light" w:eastAsia="等线 Light"/>
      <w:b/>
      <w:bCs/>
      <w:kern w:val="2"/>
      <w:sz w:val="24"/>
      <w:szCs w:val="24"/>
    </w:rPr>
  </w:style>
  <w:style w:type="character" w:customStyle="1" w:styleId="72">
    <w:name w:val="fontstyle11"/>
    <w:autoRedefine/>
    <w:qFormat/>
    <w:uiPriority w:val="0"/>
    <w:rPr>
      <w:rFonts w:ascii="黑体" w:hAnsi="宋体" w:eastAsia="黑体" w:cs="黑体"/>
      <w:color w:val="000000"/>
      <w:sz w:val="28"/>
      <w:szCs w:val="28"/>
    </w:rPr>
  </w:style>
  <w:style w:type="character" w:customStyle="1" w:styleId="73">
    <w:name w:val="批注主题 字符"/>
    <w:autoRedefine/>
    <w:qFormat/>
    <w:uiPriority w:val="0"/>
    <w:rPr>
      <w:b/>
      <w:bCs/>
      <w:kern w:val="2"/>
      <w:sz w:val="21"/>
      <w:szCs w:val="24"/>
    </w:rPr>
  </w:style>
  <w:style w:type="character" w:customStyle="1" w:styleId="74">
    <w:name w:val="标题 5 Char"/>
    <w:autoRedefine/>
    <w:qFormat/>
    <w:uiPriority w:val="0"/>
    <w:rPr>
      <w:b/>
      <w:bCs/>
      <w:kern w:val="2"/>
      <w:sz w:val="28"/>
      <w:szCs w:val="28"/>
    </w:rPr>
  </w:style>
  <w:style w:type="character" w:customStyle="1" w:styleId="75">
    <w:name w:val="段 Char"/>
    <w:link w:val="76"/>
    <w:autoRedefine/>
    <w:qFormat/>
    <w:uiPriority w:val="0"/>
    <w:rPr>
      <w:rFonts w:hint="default" w:ascii="Times New Roman" w:hAnsi="Times New Roman" w:eastAsia="宋体" w:cs="Times New Roman"/>
      <w:kern w:val="0"/>
      <w:szCs w:val="20"/>
    </w:rPr>
  </w:style>
  <w:style w:type="paragraph" w:customStyle="1" w:styleId="76">
    <w:name w:val="段"/>
    <w:basedOn w:val="1"/>
    <w:link w:val="75"/>
    <w:autoRedefine/>
    <w:qFormat/>
    <w:uiPriority w:val="0"/>
    <w:pPr>
      <w:widowControl/>
      <w:tabs>
        <w:tab w:val="center" w:pos="4201"/>
        <w:tab w:val="right" w:leader="dot" w:pos="9298"/>
      </w:tabs>
      <w:autoSpaceDE w:val="0"/>
      <w:autoSpaceDN w:val="0"/>
      <w:ind w:firstLine="420" w:firstLineChars="200"/>
    </w:pPr>
    <w:rPr>
      <w:rFonts w:ascii="Times New Roman" w:hAnsi="Times New Roman" w:cs="Times New Roman"/>
      <w:kern w:val="0"/>
      <w:sz w:val="20"/>
      <w:szCs w:val="20"/>
    </w:rPr>
  </w:style>
  <w:style w:type="character" w:customStyle="1" w:styleId="77">
    <w:name w:val="标题 3 字符"/>
    <w:autoRedefine/>
    <w:qFormat/>
    <w:uiPriority w:val="0"/>
    <w:rPr>
      <w:rFonts w:hint="eastAsia" w:ascii="宋体" w:hAnsi="宋体" w:eastAsia="黑体-简" w:cs="Times New Roman (正文 CS 字体)"/>
      <w:bCs/>
      <w:kern w:val="0"/>
      <w:szCs w:val="30"/>
    </w:rPr>
  </w:style>
  <w:style w:type="character" w:customStyle="1" w:styleId="78">
    <w:name w:val="fontstyle01"/>
    <w:autoRedefine/>
    <w:qFormat/>
    <w:uiPriority w:val="0"/>
    <w:rPr>
      <w:rFonts w:ascii="ArialMT" w:hAnsi="ArialMT" w:eastAsia="ArialMT" w:cs="ArialMT"/>
      <w:color w:val="000000"/>
      <w:sz w:val="28"/>
      <w:szCs w:val="28"/>
    </w:rPr>
  </w:style>
  <w:style w:type="character" w:customStyle="1" w:styleId="79">
    <w:name w:val="条款编号 Char"/>
    <w:link w:val="80"/>
    <w:autoRedefine/>
    <w:qFormat/>
    <w:uiPriority w:val="0"/>
    <w:rPr>
      <w:rFonts w:ascii="黑体" w:hAnsi="黑体" w:eastAsia="黑体"/>
      <w:kern w:val="2"/>
      <w:sz w:val="21"/>
      <w:szCs w:val="21"/>
    </w:rPr>
  </w:style>
  <w:style w:type="paragraph" w:customStyle="1" w:styleId="80">
    <w:name w:val="条款编号"/>
    <w:basedOn w:val="1"/>
    <w:link w:val="79"/>
    <w:autoRedefine/>
    <w:qFormat/>
    <w:uiPriority w:val="0"/>
    <w:pPr>
      <w:spacing w:line="360" w:lineRule="auto"/>
      <w:ind w:left="210" w:leftChars="100" w:right="210" w:rightChars="100"/>
      <w:jc w:val="left"/>
    </w:pPr>
    <w:rPr>
      <w:rFonts w:ascii="黑体" w:hAnsi="黑体" w:eastAsia="黑体" w:cs="Times New Roman"/>
      <w:szCs w:val="21"/>
    </w:rPr>
  </w:style>
  <w:style w:type="character" w:customStyle="1" w:styleId="81">
    <w:name w:val="标题 9 字符1"/>
    <w:autoRedefine/>
    <w:qFormat/>
    <w:uiPriority w:val="0"/>
    <w:rPr>
      <w:rFonts w:ascii="等线 Light" w:hAnsi="等线 Light" w:eastAsia="等线 Light"/>
      <w:kern w:val="2"/>
      <w:sz w:val="24"/>
      <w:szCs w:val="21"/>
    </w:rPr>
  </w:style>
  <w:style w:type="character" w:customStyle="1" w:styleId="82">
    <w:name w:val="批注文字 字符1"/>
    <w:autoRedefine/>
    <w:qFormat/>
    <w:uiPriority w:val="0"/>
    <w:rPr>
      <w:kern w:val="2"/>
      <w:sz w:val="21"/>
      <w:szCs w:val="24"/>
    </w:rPr>
  </w:style>
  <w:style w:type="paragraph" w:customStyle="1" w:styleId="83">
    <w:name w:val="表格字体"/>
    <w:basedOn w:val="1"/>
    <w:autoRedefine/>
    <w:qFormat/>
    <w:uiPriority w:val="0"/>
    <w:pPr>
      <w:widowControl/>
      <w:spacing w:line="360" w:lineRule="auto"/>
      <w:jc w:val="center"/>
    </w:pPr>
    <w:rPr>
      <w:rFonts w:ascii="Times New Roman" w:hAnsi="Times New Roman" w:cs="Times New Roman"/>
      <w:kern w:val="0"/>
      <w:sz w:val="18"/>
    </w:rPr>
  </w:style>
  <w:style w:type="paragraph" w:customStyle="1" w:styleId="84">
    <w:name w:val="_Style 5"/>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5">
    <w:name w:val="msolistparagraph"/>
    <w:basedOn w:val="1"/>
    <w:autoRedefine/>
    <w:qFormat/>
    <w:uiPriority w:val="0"/>
    <w:pPr>
      <w:ind w:firstLine="420" w:firstLineChars="200"/>
    </w:pPr>
    <w:rPr>
      <w:rFonts w:hint="eastAsia" w:ascii="等线" w:hAnsi="等线" w:eastAsia="等线" w:cs="Times New Roman"/>
      <w:szCs w:val="22"/>
    </w:rPr>
  </w:style>
  <w:style w:type="paragraph" w:styleId="86">
    <w:name w:val="List Paragraph"/>
    <w:basedOn w:val="1"/>
    <w:autoRedefine/>
    <w:qFormat/>
    <w:uiPriority w:val="34"/>
    <w:pPr>
      <w:jc w:val="left"/>
    </w:pPr>
    <w:rPr>
      <w:sz w:val="15"/>
      <w:szCs w:val="22"/>
    </w:rPr>
  </w:style>
  <w:style w:type="paragraph" w:customStyle="1" w:styleId="87">
    <w:name w:val="_Style 84"/>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8">
    <w:name w:val="Middle Text"/>
    <w:basedOn w:val="1"/>
    <w:autoRedefine/>
    <w:qFormat/>
    <w:uiPriority w:val="0"/>
    <w:pPr>
      <w:widowControl/>
      <w:tabs>
        <w:tab w:val="left" w:pos="607"/>
      </w:tabs>
      <w:spacing w:before="60" w:after="60"/>
      <w:jc w:val="center"/>
    </w:pPr>
    <w:rPr>
      <w:rFonts w:ascii="Arial" w:hAnsi="Arial"/>
      <w:kern w:val="0"/>
      <w:sz w:val="20"/>
      <w:szCs w:val="20"/>
      <w:lang w:val="en-GB"/>
    </w:rPr>
  </w:style>
  <w:style w:type="paragraph" w:customStyle="1" w:styleId="89">
    <w:name w:val="列出段落1"/>
    <w:basedOn w:val="1"/>
    <w:autoRedefine/>
    <w:qFormat/>
    <w:uiPriority w:val="34"/>
    <w:pPr>
      <w:ind w:firstLine="420" w:firstLineChars="200"/>
    </w:pPr>
    <w:rPr>
      <w:rFonts w:cs="Times New Roman"/>
      <w:szCs w:val="22"/>
    </w:rPr>
  </w:style>
  <w:style w:type="paragraph" w:customStyle="1" w:styleId="90">
    <w:name w:val="注"/>
    <w:autoRedefine/>
    <w:qFormat/>
    <w:uiPriority w:val="0"/>
    <w:pPr>
      <w:ind w:firstLine="400" w:firstLineChars="400"/>
    </w:pPr>
    <w:rPr>
      <w:rFonts w:ascii="Calibri" w:hAnsi="Calibri" w:eastAsia="宋体" w:cs="Calibri"/>
      <w:kern w:val="2"/>
      <w:sz w:val="15"/>
      <w:szCs w:val="28"/>
      <w:lang w:val="en-US" w:eastAsia="zh-CN" w:bidi="ar-SA"/>
    </w:rPr>
  </w:style>
  <w:style w:type="paragraph" w:customStyle="1" w:styleId="91">
    <w:name w:val="首行缩进:  2 字符 + 加粗"/>
    <w:basedOn w:val="58"/>
    <w:autoRedefine/>
    <w:qFormat/>
    <w:uiPriority w:val="0"/>
    <w:rPr>
      <w:b/>
      <w:bCs/>
    </w:rPr>
  </w:style>
  <w:style w:type="paragraph" w:customStyle="1" w:styleId="92">
    <w:name w:val="四号顶头"/>
    <w:basedOn w:val="1"/>
    <w:autoRedefine/>
    <w:qFormat/>
    <w:uiPriority w:val="0"/>
    <w:pPr>
      <w:spacing w:line="360" w:lineRule="auto"/>
    </w:pPr>
    <w:rPr>
      <w:rFonts w:ascii="等线" w:hAnsi="等线" w:eastAsia="等线" w:cs="Times New Roman"/>
      <w:sz w:val="28"/>
      <w:szCs w:val="28"/>
    </w:rPr>
  </w:style>
  <w:style w:type="paragraph" w:customStyle="1" w:styleId="93">
    <w:name w:val="表格文字图表文字-居左  ctrl+r"/>
    <w:basedOn w:val="94"/>
    <w:next w:val="1"/>
    <w:autoRedefine/>
    <w:qFormat/>
    <w:uiPriority w:val="0"/>
    <w:pPr>
      <w:jc w:val="left"/>
    </w:pPr>
  </w:style>
  <w:style w:type="paragraph" w:customStyle="1" w:styleId="94">
    <w:name w:val="表格文字图表文字-居中  ctrl+q"/>
    <w:basedOn w:val="1"/>
    <w:autoRedefine/>
    <w:qFormat/>
    <w:uiPriority w:val="0"/>
    <w:pPr>
      <w:snapToGrid w:val="0"/>
      <w:spacing w:before="20" w:after="20"/>
      <w:jc w:val="center"/>
    </w:pPr>
    <w:rPr>
      <w:rFonts w:ascii="宋体" w:cs="宋体"/>
      <w:color w:val="ED7D31"/>
      <w:szCs w:val="20"/>
    </w:rPr>
  </w:style>
  <w:style w:type="table" w:customStyle="1" w:styleId="95">
    <w:name w:val="Table Normal"/>
    <w:autoRedefine/>
    <w:unhideWhenUsed/>
    <w:qFormat/>
    <w:uiPriority w:val="2"/>
    <w:pPr>
      <w:widowControl w:val="0"/>
    </w:pPr>
    <w:rPr>
      <w:sz w:val="22"/>
      <w:szCs w:val="22"/>
      <w:lang w:eastAsia="en-US"/>
    </w:rPr>
    <w:tblPr>
      <w:tblCellMar>
        <w:top w:w="0" w:type="dxa"/>
        <w:left w:w="0" w:type="dxa"/>
        <w:bottom w:w="0" w:type="dxa"/>
        <w:right w:w="0" w:type="dxa"/>
      </w:tblCellMar>
    </w:tblPr>
  </w:style>
  <w:style w:type="paragraph" w:customStyle="1" w:styleId="96">
    <w:name w:val="Table Paragraph"/>
    <w:basedOn w:val="1"/>
    <w:autoRedefine/>
    <w:qFormat/>
    <w:uiPriority w:val="1"/>
    <w:pPr>
      <w:ind w:right="17"/>
      <w:jc w:val="left"/>
    </w:pPr>
    <w:rPr>
      <w:rFonts w:ascii="Times New Roman" w:hAnsi="Times New Roman" w:cs="Times New Roman"/>
      <w:sz w:val="24"/>
    </w:rPr>
  </w:style>
  <w:style w:type="paragraph" w:customStyle="1" w:styleId="97">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98">
    <w:name w:val="cf01"/>
    <w:basedOn w:val="32"/>
    <w:qFormat/>
    <w:uiPriority w:val="0"/>
    <w:rPr>
      <w:rFonts w:hint="eastAsia" w:ascii="Microsoft YaHei UI" w:hAnsi="Microsoft YaHei UI" w:eastAsia="Microsoft YaHei UI"/>
      <w:b/>
      <w:bCs/>
      <w:color w:val="FF0000"/>
      <w:sz w:val="18"/>
      <w:szCs w:val="18"/>
    </w:rPr>
  </w:style>
  <w:style w:type="character" w:customStyle="1" w:styleId="99">
    <w:name w:val="cf21"/>
    <w:basedOn w:val="32"/>
    <w:qFormat/>
    <w:uiPriority w:val="0"/>
    <w:rPr>
      <w:rFonts w:hint="eastAsia" w:ascii="Microsoft YaHei UI" w:hAnsi="Microsoft YaHei UI" w:eastAsia="Microsoft YaHei UI"/>
      <w:color w:val="FF0000"/>
      <w:sz w:val="18"/>
      <w:szCs w:val="18"/>
    </w:rPr>
  </w:style>
  <w:style w:type="character" w:customStyle="1" w:styleId="100">
    <w:name w:val="未处理的提及1"/>
    <w:basedOn w:val="32"/>
    <w:semiHidden/>
    <w:unhideWhenUsed/>
    <w:qFormat/>
    <w:uiPriority w:val="99"/>
    <w:rPr>
      <w:color w:val="605E5C"/>
      <w:shd w:val="clear" w:color="auto" w:fill="E1DFDD"/>
    </w:rPr>
  </w:style>
  <w:style w:type="character" w:customStyle="1" w:styleId="101">
    <w:name w:val="正文文本缩进 字符"/>
    <w:basedOn w:val="32"/>
    <w:link w:val="15"/>
    <w:qFormat/>
    <w:uiPriority w:val="0"/>
    <w:rPr>
      <w:rFonts w:ascii="Calibri" w:hAnsi="Calibri" w:cs="Calibri"/>
      <w:kern w:val="2"/>
      <w:sz w:val="21"/>
      <w:szCs w:val="24"/>
    </w:rPr>
  </w:style>
  <w:style w:type="paragraph" w:customStyle="1" w:styleId="102">
    <w:name w:val="修订1"/>
    <w:hidden/>
    <w:unhideWhenUsed/>
    <w:qFormat/>
    <w:uiPriority w:val="99"/>
    <w:rPr>
      <w:rFonts w:ascii="Calibri" w:hAnsi="Calibri" w:eastAsia="宋体" w:cs="Calibri"/>
      <w:kern w:val="2"/>
      <w:sz w:val="21"/>
      <w:szCs w:val="24"/>
      <w:lang w:val="en-US" w:eastAsia="zh-CN" w:bidi="ar-SA"/>
    </w:rPr>
  </w:style>
  <w:style w:type="character" w:customStyle="1" w:styleId="103">
    <w:name w:val="未处理的提及2"/>
    <w:basedOn w:val="3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50</Pages>
  <Words>5084</Words>
  <Characters>6944</Characters>
  <Lines>201</Lines>
  <Paragraphs>56</Paragraphs>
  <TotalTime>1</TotalTime>
  <ScaleCrop>false</ScaleCrop>
  <LinksUpToDate>false</LinksUpToDate>
  <CharactersWithSpaces>7626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2024-09-26T01:18:00Z</dcterms:created>
  <dc:creator>fz</dc:creator>
  <cp:lastModifiedBy>瑞</cp:lastModifiedBy>
  <cp:lastPrinted>2020-01-11T17:14:00Z</cp:lastPrinted>
  <dcterms:modified xsi:type="dcterms:W3CDTF">2025-03-03T02:39:53Z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woTemplateTypoMode">
    <vt:lpwstr/>
  </property>
  <property fmtid="{D5CDD505-2E9C-101B-9397-08002B2CF9AE}" pid="4" name="woTemplate">
    <vt:r8>0</vt:r8>
  </property>
  <property fmtid="{D5CDD505-2E9C-101B-9397-08002B2CF9AE}" pid="5" name="ICV">
    <vt:lpwstr>13AEB481A7E34A4E89986FBA76D59A2B_13</vt:lpwstr>
  </property>
  <property fmtid="{D5CDD505-2E9C-101B-9397-08002B2CF9AE}" pid="6" name="KSOTemplateDocerSaveRecord">
    <vt:lpwstr>eyJoZGlkIjoiMzkxYjFjZTlmZWZhY2Y1OWFkNTAyZTIyMjFkZjYyNTEiLCJ1c2VySWQiOiI1NzUxMjM0ODUifQ==</vt:lpwstr>
  </property>
</Properties>
</file>