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CE13E">
      <w:pPr>
        <w:jc w:val="both"/>
        <w:rPr>
          <w:rFonts w:hint="eastAsia" w:eastAsia="黑体"/>
          <w:sz w:val="32"/>
          <w:szCs w:val="32"/>
          <w:lang w:val="en-US" w:eastAsia="zh-CN"/>
        </w:rPr>
      </w:pPr>
      <w:bookmarkStart w:id="0" w:name="_Toc32652949"/>
      <w:bookmarkStart w:id="1" w:name="_Toc33659847"/>
      <w:bookmarkStart w:id="2" w:name="_Toc33537580"/>
      <w:bookmarkStart w:id="3" w:name="_Toc444010143"/>
      <w:bookmarkStart w:id="4" w:name="_Toc32501021"/>
      <w:bookmarkStart w:id="5" w:name="_Toc9758"/>
      <w:bookmarkStart w:id="6" w:name="_Toc22958"/>
      <w:bookmarkStart w:id="7" w:name="_Toc1408"/>
      <w:bookmarkStart w:id="8" w:name="_Toc25592928"/>
      <w:bookmarkStart w:id="9" w:name="_Toc32485509"/>
      <w:bookmarkStart w:id="10" w:name="_Toc444872378"/>
      <w:bookmarkStart w:id="11" w:name="_Toc33655899"/>
      <w:r>
        <w:rPr>
          <w:rFonts w:cs="Microsoft JhengHei"/>
          <w:sz w:val="44"/>
          <w:szCs w:val="44"/>
        </w:rPr>
        <w:drawing>
          <wp:anchor distT="0" distB="0" distL="114300" distR="114300" simplePos="0" relativeHeight="251662336" behindDoc="0" locked="0" layoutInCell="1" allowOverlap="1">
            <wp:simplePos x="0" y="0"/>
            <wp:positionH relativeFrom="page">
              <wp:posOffset>4733925</wp:posOffset>
            </wp:positionH>
            <wp:positionV relativeFrom="page">
              <wp:posOffset>968375</wp:posOffset>
            </wp:positionV>
            <wp:extent cx="1720215" cy="800100"/>
            <wp:effectExtent l="0" t="0" r="13335" b="0"/>
            <wp:wrapNone/>
            <wp:docPr id="5"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说明: GD"/>
                    <pic:cNvPicPr>
                      <a:picLocks noChangeAspect="1"/>
                    </pic:cNvPicPr>
                  </pic:nvPicPr>
                  <pic:blipFill>
                    <a:blip r:embed="rId11"/>
                    <a:stretch>
                      <a:fillRect/>
                    </a:stretch>
                  </pic:blipFill>
                  <pic:spPr>
                    <a:xfrm>
                      <a:off x="0" y="0"/>
                      <a:ext cx="1720215" cy="800100"/>
                    </a:xfrm>
                    <a:prstGeom prst="rect">
                      <a:avLst/>
                    </a:prstGeom>
                    <a:noFill/>
                    <a:ln>
                      <a:noFill/>
                    </a:ln>
                  </pic:spPr>
                </pic:pic>
              </a:graphicData>
            </a:graphic>
          </wp:anchor>
        </w:drawing>
      </w:r>
      <w:r>
        <w:rPr>
          <w:rFonts w:hint="eastAsia" w:eastAsia="黑体"/>
          <w:sz w:val="32"/>
          <w:szCs w:val="32"/>
          <w:lang w:val="en-US" w:eastAsia="zh-CN"/>
        </w:rPr>
        <w:t xml:space="preserve">         </w:t>
      </w:r>
    </w:p>
    <w:p w14:paraId="5A55ED8A">
      <w:pPr>
        <w:jc w:val="both"/>
        <w:rPr>
          <w:rFonts w:eastAsia="MS Gothic"/>
          <w:b/>
          <w:sz w:val="84"/>
          <w:szCs w:val="84"/>
        </w:rPr>
      </w:pPr>
      <w:r>
        <w:rPr>
          <w:rFonts w:hint="eastAsia" w:eastAsia="黑体"/>
          <w:sz w:val="32"/>
          <w:szCs w:val="32"/>
          <w:lang w:val="en-US" w:eastAsia="zh-CN"/>
        </w:rPr>
        <w:t xml:space="preserve">         </w:t>
      </w:r>
      <w:r>
        <w:rPr>
          <w:rFonts w:eastAsia="黑体"/>
          <w:spacing w:val="28"/>
          <w:sz w:val="48"/>
          <w:szCs w:val="48"/>
        </w:rPr>
        <w:t>广东省标准</w:t>
      </w:r>
      <w:r>
        <w:rPr>
          <w:rFonts w:eastAsia="黑体"/>
          <w:sz w:val="32"/>
          <w:szCs w:val="32"/>
        </w:rPr>
        <w:t xml:space="preserve">            </w:t>
      </w:r>
      <w:r>
        <w:rPr>
          <w:rFonts w:hint="eastAsia"/>
          <w:color w:val="000000"/>
          <w:sz w:val="52"/>
        </w:rPr>
        <w:t xml:space="preserve">   </w:t>
      </w:r>
    </w:p>
    <w:p w14:paraId="55A6C6BF">
      <w:pPr>
        <w:rPr>
          <w:rFonts w:hint="eastAsia"/>
        </w:rPr>
      </w:pPr>
      <w:r>
        <w:t xml:space="preserve">                              </w:t>
      </w:r>
      <w:bookmarkStart w:id="12" w:name="_Toc337542810"/>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14:paraId="555A4B4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eastAsia="宋体"/>
          <w:spacing w:val="17"/>
          <w:sz w:val="30"/>
          <w:szCs w:val="30"/>
          <w:lang w:val="en-US" w:eastAsia="zh-CN"/>
        </w:rPr>
      </w:pPr>
      <w:r>
        <w:rPr>
          <w:rFonts w:hint="eastAsia"/>
          <w:lang w:val="en-US" w:eastAsia="zh-CN"/>
        </w:rPr>
        <w:t xml:space="preserve">                                                      </w:t>
      </w:r>
      <w:r>
        <w:rPr>
          <w:rFonts w:hint="eastAsia"/>
        </w:rPr>
        <w:t xml:space="preserve"> </w:t>
      </w:r>
      <w:r>
        <w:rPr>
          <w:spacing w:val="23"/>
          <w:sz w:val="30"/>
          <w:szCs w:val="30"/>
        </w:rPr>
        <w:t>DBJ</w:t>
      </w:r>
      <w:r>
        <w:rPr>
          <w:rFonts w:hint="eastAsia"/>
          <w:spacing w:val="23"/>
          <w:sz w:val="30"/>
          <w:szCs w:val="30"/>
          <w:lang w:val="en-US" w:eastAsia="zh-CN"/>
        </w:rPr>
        <w:t>/T 15</w:t>
      </w:r>
      <w:r>
        <w:rPr>
          <w:spacing w:val="23"/>
          <w:sz w:val="30"/>
          <w:szCs w:val="30"/>
        </w:rPr>
        <w:t>-</w:t>
      </w:r>
      <w:r>
        <w:rPr>
          <w:rFonts w:hint="eastAsia" w:ascii="黑体" w:hAnsi="黑体" w:eastAsia="黑体"/>
          <w:sz w:val="28"/>
          <w:szCs w:val="28"/>
          <w:lang w:val="en-US" w:eastAsia="zh-CN"/>
        </w:rPr>
        <w:t>XX</w:t>
      </w:r>
      <w:r>
        <w:rPr>
          <w:spacing w:val="23"/>
          <w:sz w:val="30"/>
          <w:szCs w:val="30"/>
        </w:rPr>
        <w:t>-</w:t>
      </w:r>
      <w:bookmarkEnd w:id="12"/>
      <w:r>
        <w:rPr>
          <w:spacing w:val="0"/>
          <w:sz w:val="30"/>
          <w:szCs w:val="30"/>
        </w:rPr>
        <w:t>20</w:t>
      </w:r>
      <w:r>
        <w:rPr>
          <w:rFonts w:hint="eastAsia" w:ascii="黑体" w:hAnsi="黑体" w:eastAsia="黑体"/>
          <w:sz w:val="28"/>
          <w:szCs w:val="28"/>
          <w:lang w:val="en-US" w:eastAsia="zh-CN"/>
        </w:rPr>
        <w:t>2X</w:t>
      </w:r>
    </w:p>
    <w:p w14:paraId="1F35CE4E">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1" name="直接连接符 1"/>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05pt;margin-top:28.3pt;height:3.3pt;width:432pt;z-index:251660288;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bFpJ1AAAAAcBAAAPAAAAAAAAAAEAIAAAACIAAABkcnMvZG93bnJl&#10;di54bWxQSwECFAAUAAAACACHTuJA9Oc6wAECAADyAwAADgAAAAAAAAABACAAAAAjAQAAZHJzL2Uy&#10;b0RvYy54bWxQSwUGAAAAAAYABgBZAQAAlgUAAAAA&#10;">
                <v:fill on="f" focussize="0,0"/>
                <v:stroke color="#000000" joinstyle="round"/>
                <v:imagedata o:title=""/>
                <o:lock v:ext="edit" aspectratio="f"/>
              </v:line>
            </w:pict>
          </mc:Fallback>
        </mc:AlternateContent>
      </w:r>
      <w:r>
        <w:rPr>
          <w:rFonts w:hint="eastAsia"/>
          <w:sz w:val="28"/>
          <w:szCs w:val="28"/>
          <w:lang w:val="en-US" w:eastAsia="zh-CN"/>
        </w:rPr>
        <w:t xml:space="preserve">                                        </w:t>
      </w:r>
      <w:r>
        <w:rPr>
          <w:rFonts w:hint="eastAsia" w:ascii="黑体" w:hAnsi="黑体" w:eastAsia="黑体"/>
          <w:sz w:val="28"/>
          <w:szCs w:val="28"/>
        </w:rPr>
        <w:t xml:space="preserve">备案号 J </w:t>
      </w:r>
      <w:r>
        <w:rPr>
          <w:rFonts w:hint="eastAsia" w:ascii="黑体" w:hAnsi="黑体" w:eastAsia="黑体"/>
          <w:sz w:val="28"/>
          <w:szCs w:val="28"/>
          <w:lang w:val="en-US" w:eastAsia="zh-CN"/>
        </w:rPr>
        <w:t>XXXXX</w:t>
      </w:r>
      <w:r>
        <w:rPr>
          <w:rFonts w:hint="eastAsia" w:ascii="黑体" w:hAnsi="黑体" w:eastAsia="黑体"/>
          <w:sz w:val="28"/>
          <w:szCs w:val="28"/>
        </w:rPr>
        <w:t>-20</w:t>
      </w:r>
      <w:r>
        <w:rPr>
          <w:rFonts w:hint="eastAsia" w:ascii="黑体" w:hAnsi="黑体" w:eastAsia="黑体"/>
          <w:sz w:val="28"/>
          <w:szCs w:val="28"/>
          <w:lang w:val="en-US" w:eastAsia="zh-CN"/>
        </w:rPr>
        <w:t>2X</w:t>
      </w:r>
    </w:p>
    <w:p w14:paraId="1805EB45">
      <w:pPr>
        <w:jc w:val="center"/>
        <w:rPr>
          <w:rFonts w:ascii="宋体" w:hAnsi="宋体"/>
          <w:b/>
          <w:sz w:val="48"/>
          <w:szCs w:val="48"/>
        </w:rPr>
      </w:pPr>
    </w:p>
    <w:p w14:paraId="0220AED1">
      <w:pPr>
        <w:jc w:val="center"/>
        <w:outlineLvl w:val="0"/>
        <w:rPr>
          <w:rFonts w:hint="eastAsia" w:ascii="宋体" w:hAnsi="宋体"/>
          <w:b/>
          <w:sz w:val="48"/>
          <w:szCs w:val="48"/>
        </w:rPr>
      </w:pPr>
      <w:bookmarkStart w:id="13" w:name="_Toc375640674"/>
    </w:p>
    <w:bookmarkEnd w:id="13"/>
    <w:p w14:paraId="251DD3AE">
      <w:pPr>
        <w:jc w:val="center"/>
        <w:outlineLvl w:val="0"/>
        <w:rPr>
          <w:rFonts w:ascii="宋体" w:hAnsi="宋体"/>
          <w:b/>
          <w:sz w:val="48"/>
          <w:szCs w:val="48"/>
        </w:rPr>
      </w:pPr>
      <w:bookmarkStart w:id="14" w:name="_Toc17664"/>
      <w:bookmarkStart w:id="15" w:name="_Toc3113"/>
      <w:bookmarkStart w:id="16" w:name="_Toc2923"/>
      <w:bookmarkStart w:id="17" w:name="_Toc21704"/>
      <w:bookmarkStart w:id="18" w:name="_Toc15394"/>
      <w:bookmarkStart w:id="19" w:name="_Toc11889"/>
      <w:bookmarkStart w:id="20" w:name="_Toc27653"/>
      <w:r>
        <w:rPr>
          <w:rFonts w:hint="eastAsia" w:ascii="Times New Roman" w:hAnsi="Times New Roman" w:eastAsia="宋体" w:cs="宋体"/>
          <w:b/>
          <w:bCs/>
          <w:kern w:val="0"/>
          <w:sz w:val="48"/>
          <w:szCs w:val="48"/>
          <w:highlight w:val="none"/>
        </w:rPr>
        <w:t>城镇内涝风险评估与治理技术标准</w:t>
      </w:r>
      <w:bookmarkEnd w:id="14"/>
      <w:bookmarkEnd w:id="15"/>
      <w:bookmarkEnd w:id="16"/>
      <w:bookmarkEnd w:id="17"/>
      <w:bookmarkEnd w:id="18"/>
      <w:bookmarkEnd w:id="19"/>
      <w:bookmarkEnd w:id="20"/>
    </w:p>
    <w:p w14:paraId="1BF68508"/>
    <w:p w14:paraId="5B4624D8">
      <w:pPr>
        <w:jc w:val="center"/>
        <w:rPr>
          <w:rFonts w:hint="default" w:ascii="Times New Roman" w:hAnsi="Times New Roman" w:cs="Times New Roman"/>
          <w:b/>
          <w:sz w:val="28"/>
          <w:szCs w:val="28"/>
        </w:rPr>
      </w:pPr>
      <w:bookmarkStart w:id="21" w:name="_Toc337542811"/>
      <w:r>
        <w:rPr>
          <w:rFonts w:hint="default" w:ascii="Times New Roman" w:hAnsi="Times New Roman" w:cs="Times New Roman"/>
          <w:b/>
          <w:sz w:val="28"/>
          <w:szCs w:val="28"/>
        </w:rPr>
        <w:t>Technical standard for risk assessment and treatment</w:t>
      </w:r>
    </w:p>
    <w:p w14:paraId="682042C5">
      <w:pPr>
        <w:jc w:val="center"/>
        <w:rPr>
          <w:rFonts w:hint="eastAsia"/>
          <w:b/>
          <w:sz w:val="28"/>
          <w:szCs w:val="28"/>
        </w:rPr>
      </w:pPr>
      <w:r>
        <w:rPr>
          <w:rFonts w:hint="default" w:ascii="Times New Roman" w:hAnsi="Times New Roman" w:cs="Times New Roman"/>
          <w:b/>
          <w:sz w:val="28"/>
          <w:szCs w:val="28"/>
        </w:rPr>
        <w:t>of urban flooding</w:t>
      </w:r>
      <w:bookmarkEnd w:id="21"/>
    </w:p>
    <w:p w14:paraId="1337D26F">
      <w:pPr>
        <w:jc w:val="center"/>
        <w:rPr>
          <w:rFonts w:hint="eastAsia"/>
          <w:b/>
          <w:sz w:val="28"/>
          <w:szCs w:val="28"/>
        </w:rPr>
      </w:pPr>
    </w:p>
    <w:p w14:paraId="25596A2A">
      <w:pPr>
        <w:jc w:val="center"/>
        <w:rPr>
          <w:b/>
          <w:color w:val="000000"/>
          <w:sz w:val="30"/>
          <w:szCs w:val="30"/>
        </w:rPr>
      </w:pPr>
      <w:r>
        <w:rPr>
          <w:rFonts w:hint="eastAsia"/>
          <w:b/>
          <w:color w:val="000000"/>
          <w:sz w:val="30"/>
          <w:szCs w:val="30"/>
          <w:lang w:eastAsia="zh-CN"/>
        </w:rPr>
        <w:t>（</w:t>
      </w:r>
      <w:r>
        <w:rPr>
          <w:rFonts w:hint="eastAsia"/>
          <w:b/>
          <w:color w:val="000000"/>
          <w:sz w:val="30"/>
          <w:szCs w:val="30"/>
          <w:lang w:val="en-US" w:eastAsia="zh-CN"/>
        </w:rPr>
        <w:t>送审稿</w:t>
      </w:r>
      <w:r>
        <w:rPr>
          <w:rFonts w:hint="eastAsia"/>
          <w:b/>
          <w:color w:val="000000"/>
          <w:sz w:val="30"/>
          <w:szCs w:val="30"/>
          <w:lang w:eastAsia="zh-CN"/>
        </w:rPr>
        <w:t>）</w:t>
      </w:r>
    </w:p>
    <w:p w14:paraId="11BEA82A"/>
    <w:p w14:paraId="4D09150F">
      <w:pPr>
        <w:jc w:val="center"/>
        <w:rPr>
          <w:rFonts w:hint="default" w:eastAsiaTheme="minorEastAsia"/>
          <w:highlight w:val="none"/>
          <w:lang w:val="en-US" w:eastAsia="zh-CN"/>
        </w:rPr>
      </w:pPr>
    </w:p>
    <w:p w14:paraId="230983CE"/>
    <w:p w14:paraId="76D4BCC1"/>
    <w:p w14:paraId="39A2CF2D"/>
    <w:p w14:paraId="6BF6CBBD"/>
    <w:p w14:paraId="491684BD"/>
    <w:p w14:paraId="68D04F05"/>
    <w:p w14:paraId="5440C3B1"/>
    <w:p w14:paraId="781FAA56"/>
    <w:p w14:paraId="675FA6FA"/>
    <w:p w14:paraId="15FDD85D">
      <w:pPr>
        <w:rPr>
          <w:rFonts w:hint="default" w:ascii="Times New Roman" w:hAnsi="Times New Roman" w:eastAsia="黑体" w:cs="Times New Roman"/>
          <w:sz w:val="28"/>
          <w:szCs w:val="28"/>
        </w:rPr>
      </w:pPr>
      <w:r>
        <w:rPr>
          <w:rFonts w:hint="default" w:ascii="Times New Roman" w:hAnsi="Times New Roman" w:cs="Times New Roman"/>
          <w:b/>
          <w:bCs/>
          <w:sz w:val="32"/>
        </w:rPr>
        <w:t xml:space="preserve">  </w:t>
      </w:r>
      <w:r>
        <w:rPr>
          <w:rFonts w:hint="default" w:ascii="Times New Roman" w:hAnsi="Times New Roman" w:eastAsia="黑体" w:cs="Times New Roman"/>
          <w:sz w:val="28"/>
          <w:szCs w:val="28"/>
        </w:rPr>
        <w:t>20</w:t>
      </w:r>
      <w:r>
        <w:rPr>
          <w:rFonts w:hint="eastAsia" w:ascii="Times New Roman" w:hAnsi="Times New Roman" w:eastAsia="黑体" w:cs="Times New Roman"/>
          <w:sz w:val="28"/>
          <w:szCs w:val="28"/>
          <w:lang w:val="en-US" w:eastAsia="zh-CN"/>
        </w:rPr>
        <w:t>24</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XX</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XX</w:t>
      </w:r>
      <w:r>
        <w:rPr>
          <w:rFonts w:hint="default" w:ascii="Times New Roman" w:hAnsi="Times New Roman" w:eastAsia="黑体" w:cs="Times New Roman"/>
          <w:sz w:val="28"/>
          <w:szCs w:val="28"/>
        </w:rPr>
        <w:t xml:space="preserve">  发布                   20</w:t>
      </w:r>
      <w:r>
        <w:rPr>
          <w:rFonts w:hint="eastAsia" w:ascii="Times New Roman" w:hAnsi="Times New Roman" w:eastAsia="黑体" w:cs="Times New Roman"/>
          <w:sz w:val="28"/>
          <w:szCs w:val="28"/>
          <w:lang w:val="en-US" w:eastAsia="zh-CN"/>
        </w:rPr>
        <w:t>2X</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XX</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XX</w:t>
      </w:r>
      <w:r>
        <w:rPr>
          <w:rFonts w:hint="default" w:ascii="Times New Roman" w:hAnsi="Times New Roman" w:eastAsia="黑体" w:cs="Times New Roman"/>
          <w:sz w:val="28"/>
          <w:szCs w:val="28"/>
        </w:rPr>
        <w:t xml:space="preserve">  实施</w:t>
      </w:r>
    </w:p>
    <w:p w14:paraId="02652216">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7" name="直接连接符 7"/>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4pt;height:2.1pt;width:441pt;z-index:251661312;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TSiq+0gAAAAUBAAAPAAAAAAAAAAEAIAAAACIAAABkcnMvZG93bnJldi54bWxQSwEC&#10;FAAUAAAACACHTuJAzX0Ad/oBAADoAwAADgAAAAAAAAABACAAAAAhAQAAZHJzL2Uyb0RvYy54bWxQ&#10;SwUGAAAAAAYABgBZAQAAjQUAAAAA&#10;">
                <v:fill on="f" focussize="0,0"/>
                <v:stroke color="#000000" joinstyle="round"/>
                <v:imagedata o:title=""/>
                <o:lock v:ext="edit" aspectratio="f"/>
              </v:line>
            </w:pict>
          </mc:Fallback>
        </mc:AlternateContent>
      </w:r>
      <w:r>
        <w:rPr>
          <w:rFonts w:eastAsia="黑体"/>
          <w:b/>
          <w:sz w:val="28"/>
          <w:szCs w:val="28"/>
        </w:rPr>
        <w:tab/>
      </w:r>
    </w:p>
    <w:p w14:paraId="57148D1D">
      <w:pPr>
        <w:jc w:val="cente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p w14:paraId="5739CFCF">
      <w:pPr>
        <w:jc w:val="right"/>
        <w:rPr>
          <w:rFonts w:hint="eastAsia" w:eastAsia="宋体"/>
          <w:lang w:eastAsia="zh-CN"/>
        </w:rPr>
      </w:pPr>
      <w:r>
        <w:rPr>
          <w:rFonts w:hint="eastAsia"/>
          <w:lang w:eastAsia="zh-CN"/>
        </w:rPr>
        <w:t>本标准不涉及专利</w:t>
      </w:r>
    </w:p>
    <w:p w14:paraId="15652348">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07C338BA">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EB24869">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bookmarkStart w:id="22" w:name="_Toc26236"/>
      <w:bookmarkStart w:id="23" w:name="_Toc3102"/>
      <w:bookmarkStart w:id="24" w:name="_Toc10270"/>
      <w:bookmarkStart w:id="25" w:name="_Toc5141"/>
      <w:bookmarkStart w:id="26" w:name="_Toc1801"/>
      <w:bookmarkStart w:id="27" w:name="_Toc11927"/>
      <w:bookmarkStart w:id="28" w:name="_Toc25911"/>
      <w:bookmarkStart w:id="29" w:name="_Toc31093"/>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广东省住房和城乡建设厅关于发布广东省标准</w:t>
      </w:r>
      <w:bookmarkEnd w:id="22"/>
    </w:p>
    <w:p w14:paraId="165DFADC">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bookmarkStart w:id="30" w:name="_Toc15038"/>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《城镇内涝风险评估与治理技术标准》的公告</w:t>
      </w:r>
      <w:bookmarkEnd w:id="30"/>
    </w:p>
    <w:p w14:paraId="603B50FF">
      <w:pPr>
        <w:jc w:val="center"/>
        <w:rPr>
          <w:rFonts w:hint="default"/>
          <w:sz w:val="28"/>
          <w:szCs w:val="28"/>
          <w:lang w:val="en-US" w:eastAsia="zh-CN"/>
        </w:rPr>
      </w:pP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粤建公告〔202X〕X号</w:t>
      </w:r>
    </w:p>
    <w:p w14:paraId="19C233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经组织专家委员会审查，现批准《城镇内涝风险评估与治理技术标准》为广东省地方标准，编号为DBJ/T XX-XX-202X。本标准自202X年X月X日起实施。</w:t>
      </w:r>
    </w:p>
    <w:p w14:paraId="53D642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本标准由广东省住房和城乡建设厅负责管理，由主编单位负责具体内容的解释，在广东省住房和城乡建设厅门户网站（http://zfcxjst.gd.gov.cn）公开标准全文。</w:t>
      </w:r>
    </w:p>
    <w:p w14:paraId="7988812B">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103EA677">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616A61AB">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7ED3FBA4">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2E2AA3A9">
      <w:pPr>
        <w:jc w:val="right"/>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广东省住房和城乡建设厅</w:t>
      </w:r>
    </w:p>
    <w:p w14:paraId="6FA6E2BB">
      <w:pPr>
        <w:jc w:val="right"/>
        <w:rPr>
          <w:rFonts w:hint="default" w:ascii="Times New Roman" w:hAnsi="Times New Roman" w:eastAsia="宋体" w:cs="宋体"/>
          <w:color w:val="000000" w:themeColor="text1"/>
          <w:sz w:val="32"/>
          <w:szCs w:val="32"/>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202X年X月X日</w:t>
      </w:r>
    </w:p>
    <w:p w14:paraId="366155FA">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23C6F759">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274FDAC8">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1765C812">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202E1FBC">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001111C4">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15D1AD90">
      <w:pPr>
        <w:rPr>
          <w:rFonts w:hint="eastAsia"/>
          <w:lang w:val="en-US" w:eastAsia="zh-CN"/>
        </w:rPr>
      </w:pPr>
    </w:p>
    <w:p w14:paraId="5E501552">
      <w:pPr>
        <w:rPr>
          <w:rFonts w:hint="eastAsia"/>
          <w:lang w:val="en-US" w:eastAsia="zh-CN"/>
        </w:rPr>
      </w:pPr>
    </w:p>
    <w:p w14:paraId="73BCECE9">
      <w:pPr>
        <w:rPr>
          <w:rFonts w:hint="eastAsia"/>
          <w:lang w:val="en-US" w:eastAsia="zh-CN"/>
        </w:rPr>
      </w:pPr>
    </w:p>
    <w:p w14:paraId="57DF7A24">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bookmarkStart w:id="31" w:name="_Toc16260"/>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前    言</w:t>
      </w:r>
      <w:bookmarkEnd w:id="23"/>
      <w:bookmarkEnd w:id="24"/>
      <w:bookmarkEnd w:id="25"/>
      <w:bookmarkEnd w:id="26"/>
      <w:bookmarkEnd w:id="27"/>
      <w:bookmarkEnd w:id="28"/>
      <w:bookmarkEnd w:id="29"/>
      <w:bookmarkEnd w:id="31"/>
    </w:p>
    <w:p w14:paraId="4730B5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本标准是根据《广东省市场监督管理局关于批准下达2023年第一批广东省地方标准制修订计划的通知》（粤市监标准〔2023〕211号）的要求，由广东省建筑科学研究院集团股份有限公司、广州市市政工程设计研究总院有限公司会同有关单位共同编制。标准编制组进行了广泛调查研究，认真总结实践经验，根据我国现行的相关法规和制度，参考有关国内标准和国外先进标准，在充分征求意见的基础上，形成本标准。</w:t>
      </w:r>
    </w:p>
    <w:p w14:paraId="1E304F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本标准共分为6章，主要技术内容包括：总则、术语、基本规定、内涝风险评估、内涝治理、运行维护及管理等。</w:t>
      </w:r>
    </w:p>
    <w:p w14:paraId="3E8681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本标准中以黑体字标志的条文为强制性条文，必须严格执行。</w:t>
      </w:r>
    </w:p>
    <w:p w14:paraId="57411C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本标准由广东省住房和城乡建设厅负责管理，由广东省建筑科学研究院集团股份有限公司负责具体技术内容的解释。执行过程中如有意见和建议，请反馈至主编单位（地址：广州市天河区先烈东路121号，邮政编码：510500，电子邮箱：caiwenhao_neu@163.com）。</w:t>
      </w:r>
    </w:p>
    <w:p w14:paraId="78160F8A">
      <w:pPr>
        <w:shd w:val="clear"/>
        <w:spacing w:line="360" w:lineRule="auto"/>
        <w:rPr>
          <w:rFonts w:hint="eastAsia" w:ascii="Times New Roman" w:hAnsi="Times New Roman" w:eastAsia="宋体" w:cs="宋体"/>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主编单位：</w:t>
      </w:r>
      <w:r>
        <w:rPr>
          <w:rFonts w:hint="eastAsia" w:ascii="Times New Roman" w:hAnsi="Times New Roman" w:eastAsia="宋体" w:cs="宋体"/>
          <w:b w:val="0"/>
          <w:bCs w:val="0"/>
          <w:color w:val="000000" w:themeColor="text1"/>
          <w:sz w:val="24"/>
          <w:highlight w:val="none"/>
          <w:lang w:val="en-US" w:eastAsia="zh-CN"/>
          <w14:textFill>
            <w14:solidFill>
              <w14:schemeClr w14:val="tx1"/>
            </w14:solidFill>
          </w14:textFill>
        </w:rPr>
        <w:t>广东省建筑科学研究院集团股份有限公司</w:t>
      </w:r>
    </w:p>
    <w:p w14:paraId="568E4866">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广州市市政工程设计研究总院有限公司</w:t>
      </w:r>
    </w:p>
    <w:p w14:paraId="256511A3">
      <w:pPr>
        <w:keepNext w:val="0"/>
        <w:keepLines w:val="0"/>
        <w:pageBreakBefore w:val="0"/>
        <w:widowControl w:val="0"/>
        <w:shd w:val="clear"/>
        <w:kinsoku/>
        <w:wordWrap/>
        <w:overflowPunct/>
        <w:topLinePunct w:val="0"/>
        <w:autoSpaceDE/>
        <w:autoSpaceDN/>
        <w:bidi w:val="0"/>
        <w:adjustRightInd/>
        <w:snapToGrid/>
        <w:spacing w:line="360" w:lineRule="auto"/>
        <w:ind w:left="1260" w:leftChars="600"/>
        <w:textAlignment w:val="auto"/>
        <w:rPr>
          <w:rFonts w:hint="default" w:ascii="Times New Roman" w:hAnsi="Times New Roman" w:eastAsia="宋体" w:cs="宋体"/>
          <w:color w:val="000000" w:themeColor="text1"/>
          <w:sz w:val="24"/>
          <w:highlight w:val="none"/>
          <w:lang w:val="en-US" w:eastAsia="zh-CN"/>
          <w14:textFill>
            <w14:solidFill>
              <w14:schemeClr w14:val="tx1"/>
            </w14:solidFill>
          </w14:textFill>
        </w:rPr>
      </w:pPr>
    </w:p>
    <w:p w14:paraId="026A361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参编单位：</w:t>
      </w: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广东省建设工程质量安全检测总站有限公司</w:t>
      </w:r>
    </w:p>
    <w:p w14:paraId="7D83D94F">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广东省水利水电科学研究院</w:t>
      </w:r>
    </w:p>
    <w:p w14:paraId="086F7981">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广州市设计院集团有限公司</w:t>
      </w:r>
    </w:p>
    <w:p w14:paraId="5B653CF3">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横琴粤澳深度合作区城市规划和建设局</w:t>
      </w:r>
    </w:p>
    <w:p w14:paraId="308A7CCB">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广州地铁集团有限公司</w:t>
      </w:r>
    </w:p>
    <w:p w14:paraId="203E8714">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佛山大学</w:t>
      </w:r>
    </w:p>
    <w:p w14:paraId="5205C1A7">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广州迪安工程技术咨询有限公司</w:t>
      </w:r>
    </w:p>
    <w:p w14:paraId="1CF03363">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珠海供排水管网有限公司</w:t>
      </w:r>
    </w:p>
    <w:p w14:paraId="413F2AEF">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中山公用工程有限公司</w:t>
      </w:r>
    </w:p>
    <w:p w14:paraId="5B8698A6">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广州市南沙区建设工程质量安全监督站</w:t>
      </w:r>
    </w:p>
    <w:p w14:paraId="0F76EE5F">
      <w:pPr>
        <w:shd w:val="clear"/>
        <w:spacing w:line="360" w:lineRule="auto"/>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14:paraId="452D2BC0">
      <w:pPr>
        <w:shd w:val="clear"/>
        <w:spacing w:line="360" w:lineRule="auto"/>
        <w:ind w:firstLine="1446" w:firstLineChars="6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14:paraId="4DC4EBBA">
      <w:pPr>
        <w:shd w:val="clear"/>
        <w:spacing w:line="360" w:lineRule="auto"/>
        <w:ind w:firstLine="1446" w:firstLineChars="6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14:paraId="67AEF998">
      <w:pPr>
        <w:shd w:val="clear"/>
        <w:spacing w:line="360" w:lineRule="auto"/>
        <w:ind w:firstLine="1446" w:firstLineChars="6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主要起草人：杨仕超  孙书航  邱  维  孙  晖</w:t>
      </w:r>
    </w:p>
    <w:p w14:paraId="0DB6A14E">
      <w:pPr>
        <w:shd w:val="clear"/>
        <w:spacing w:line="360" w:lineRule="auto"/>
        <w:ind w:firstLine="2891" w:firstLineChars="12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蔡文豪  赵璧奎  赖海灵  梅  晓</w:t>
      </w:r>
    </w:p>
    <w:p w14:paraId="068808C4">
      <w:pPr>
        <w:shd w:val="clear"/>
        <w:spacing w:line="360" w:lineRule="auto"/>
        <w:ind w:firstLine="2891" w:firstLineChars="12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仇培云  袁尚红  邹秋云  朱振华</w:t>
      </w:r>
    </w:p>
    <w:p w14:paraId="365FE3DA">
      <w:pPr>
        <w:shd w:val="clear"/>
        <w:spacing w:line="360" w:lineRule="auto"/>
        <w:ind w:firstLine="2891" w:firstLineChars="12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温铭伟  李冠军  周  密  彭超恒</w:t>
      </w:r>
    </w:p>
    <w:p w14:paraId="41F5E9B7">
      <w:pPr>
        <w:shd w:val="clear"/>
        <w:spacing w:line="360" w:lineRule="auto"/>
        <w:ind w:firstLine="2891" w:firstLineChars="1200"/>
        <w:rPr>
          <w:rFonts w:hint="default"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李文涛  程  涛  丰汉军  贺宇飞</w:t>
      </w:r>
    </w:p>
    <w:p w14:paraId="088536BF">
      <w:pPr>
        <w:shd w:val="clear"/>
        <w:spacing w:line="360" w:lineRule="auto"/>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14:paraId="58CB7AFD">
      <w:pPr>
        <w:shd w:val="clear"/>
        <w:spacing w:line="360" w:lineRule="auto"/>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14:paraId="6204F49F">
      <w:pPr>
        <w:shd w:val="clear"/>
        <w:spacing w:line="360" w:lineRule="auto"/>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14:paraId="6F99B945">
      <w:pPr>
        <w:shd w:val="clear"/>
        <w:spacing w:line="360" w:lineRule="auto"/>
        <w:ind w:firstLine="1446" w:firstLineChars="6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 xml:space="preserve">主要审查人员：赫俊国  黎  洁  聂锦旭  安延涛 </w:t>
      </w:r>
    </w:p>
    <w:p w14:paraId="6BCD33C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3132" w:firstLineChars="1300"/>
        <w:textAlignment w:val="auto"/>
        <w:rPr>
          <w:rFonts w:hint="default"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周小清  邹水明  陈钟卫</w:t>
      </w:r>
    </w:p>
    <w:p w14:paraId="3D9722D5">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color w:val="000000" w:themeColor="text1"/>
          <w:sz w:val="24"/>
          <w14:textFill>
            <w14:solidFill>
              <w14:schemeClr w14:val="tx1"/>
            </w14:solidFill>
          </w14:textFill>
        </w:rPr>
      </w:pPr>
    </w:p>
    <w:p w14:paraId="289AC9A3">
      <w:pPr>
        <w:spacing w:line="360" w:lineRule="auto"/>
        <w:rPr>
          <w:rFonts w:hint="eastAsia" w:ascii="Times New Roman" w:hAnsi="Times New Roman" w:eastAsia="宋体" w:cs="宋体"/>
          <w:color w:val="000000" w:themeColor="text1"/>
          <w:sz w:val="24"/>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3"/>
          <w:cols w:space="425" w:num="1"/>
          <w:docGrid w:type="lines" w:linePitch="312" w:charSpace="0"/>
        </w:sectPr>
      </w:pPr>
    </w:p>
    <w:bookmarkEnd w:id="0"/>
    <w:bookmarkEnd w:id="1"/>
    <w:bookmarkEnd w:id="2"/>
    <w:bookmarkEnd w:id="3"/>
    <w:bookmarkEnd w:id="4"/>
    <w:bookmarkEnd w:id="5"/>
    <w:bookmarkEnd w:id="6"/>
    <w:bookmarkEnd w:id="7"/>
    <w:bookmarkEnd w:id="8"/>
    <w:bookmarkEnd w:id="9"/>
    <w:bookmarkEnd w:id="10"/>
    <w:bookmarkEnd w:id="11"/>
    <w:p w14:paraId="4BCDFDD7">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宋体"/>
          <w:color w:val="000000" w:themeColor="text1"/>
          <w:sz w:val="32"/>
          <w:szCs w:val="32"/>
          <w:highlight w:val="none"/>
          <w:lang w:val="en-US" w:eastAsia="zh-CN"/>
          <w14:textFill>
            <w14:solidFill>
              <w14:schemeClr w14:val="tx1"/>
            </w14:solidFill>
          </w14:textFill>
        </w:rPr>
      </w:pPr>
      <w:bookmarkStart w:id="32" w:name="_Toc7655"/>
      <w:bookmarkStart w:id="33" w:name="_Toc15304"/>
      <w:bookmarkStart w:id="34" w:name="_Toc3680"/>
      <w:bookmarkStart w:id="35" w:name="_Toc6958"/>
      <w:bookmarkStart w:id="36" w:name="_Toc51678212"/>
      <w:bookmarkStart w:id="37" w:name="_Toc38448123"/>
      <w:bookmarkStart w:id="38" w:name="_Toc25360"/>
      <w:bookmarkStart w:id="39" w:name="_Toc14334"/>
      <w:bookmarkStart w:id="40" w:name="_Toc7273"/>
      <w:bookmarkStart w:id="41" w:name="_Toc12294"/>
      <w:bookmarkStart w:id="42" w:name="_Toc24852"/>
      <w:bookmarkStart w:id="43" w:name="_Toc29182"/>
      <w:bookmarkStart w:id="44" w:name="_Toc38448009"/>
      <w:bookmarkStart w:id="45" w:name="_Toc31649"/>
      <w:bookmarkStart w:id="46" w:name="_Toc31009"/>
      <w:bookmarkStart w:id="47" w:name="_Toc25470"/>
      <w:bookmarkStart w:id="48" w:name="_Toc57819215"/>
      <w:bookmarkStart w:id="49" w:name="_Toc15894"/>
      <w:bookmarkStart w:id="50" w:name="_Toc18783"/>
      <w:bookmarkStart w:id="51" w:name="_Toc17459"/>
      <w:bookmarkStart w:id="52" w:name="_Toc30719"/>
      <w:bookmarkStart w:id="53" w:name="_Toc27011"/>
      <w:bookmarkStart w:id="54" w:name="_Toc16546"/>
      <w:bookmarkStart w:id="55" w:name="_Toc613"/>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目</w:t>
      </w:r>
      <w:bookmarkStart w:id="56" w:name="BKML"/>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6"/>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次</w:t>
      </w:r>
      <w:bookmarkEnd w:id="52"/>
      <w:bookmarkEnd w:id="53"/>
    </w:p>
    <w:p w14:paraId="5A32AE36">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TOC \o "1-3" \h \z \u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_Toc19396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1 总  则</w:t>
      </w:r>
      <w:r>
        <w:rPr>
          <w:sz w:val="28"/>
          <w:szCs w:val="28"/>
        </w:rPr>
        <w:tab/>
      </w:r>
      <w:r>
        <w:rPr>
          <w:sz w:val="28"/>
          <w:szCs w:val="28"/>
        </w:rPr>
        <w:fldChar w:fldCharType="begin"/>
      </w:r>
      <w:r>
        <w:rPr>
          <w:sz w:val="28"/>
          <w:szCs w:val="28"/>
        </w:rPr>
        <w:instrText xml:space="preserve"> PAGEREF _Toc19396 \h </w:instrText>
      </w:r>
      <w:r>
        <w:rPr>
          <w:sz w:val="28"/>
          <w:szCs w:val="28"/>
        </w:rPr>
        <w:fldChar w:fldCharType="separate"/>
      </w:r>
      <w:r>
        <w:rPr>
          <w:sz w:val="28"/>
          <w:szCs w:val="28"/>
        </w:rPr>
        <w:t>1</w:t>
      </w:r>
      <w:r>
        <w:rPr>
          <w:sz w:val="28"/>
          <w:szCs w:val="28"/>
        </w:rPr>
        <w:fldChar w:fldCharType="end"/>
      </w:r>
      <w:r>
        <w:rPr>
          <w:rFonts w:hint="default" w:ascii="Times New Roman" w:hAnsi="Times New Roman" w:eastAsia="宋体" w:cs="Times New Roman"/>
          <w:sz w:val="28"/>
          <w:szCs w:val="28"/>
        </w:rPr>
        <w:fldChar w:fldCharType="end"/>
      </w:r>
    </w:p>
    <w:p w14:paraId="242415DE">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_Toc10420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rPr>
        <w:t>2</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术</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语</w:t>
      </w:r>
      <w:r>
        <w:rPr>
          <w:sz w:val="28"/>
          <w:szCs w:val="28"/>
        </w:rPr>
        <w:tab/>
      </w:r>
      <w:r>
        <w:rPr>
          <w:sz w:val="28"/>
          <w:szCs w:val="28"/>
        </w:rPr>
        <w:fldChar w:fldCharType="begin"/>
      </w:r>
      <w:r>
        <w:rPr>
          <w:sz w:val="28"/>
          <w:szCs w:val="28"/>
        </w:rPr>
        <w:instrText xml:space="preserve"> PAGEREF _Toc10420 \h </w:instrText>
      </w:r>
      <w:r>
        <w:rPr>
          <w:sz w:val="28"/>
          <w:szCs w:val="28"/>
        </w:rPr>
        <w:fldChar w:fldCharType="separate"/>
      </w:r>
      <w:r>
        <w:rPr>
          <w:sz w:val="28"/>
          <w:szCs w:val="28"/>
        </w:rPr>
        <w:t>2</w:t>
      </w:r>
      <w:r>
        <w:rPr>
          <w:sz w:val="28"/>
          <w:szCs w:val="28"/>
        </w:rPr>
        <w:fldChar w:fldCharType="end"/>
      </w:r>
      <w:r>
        <w:rPr>
          <w:rFonts w:hint="default" w:ascii="Times New Roman" w:hAnsi="Times New Roman" w:eastAsia="宋体" w:cs="Times New Roman"/>
          <w:sz w:val="28"/>
          <w:szCs w:val="28"/>
        </w:rPr>
        <w:fldChar w:fldCharType="end"/>
      </w:r>
    </w:p>
    <w:p w14:paraId="5D762257">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_Toc22902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rPr>
        <w:t>3 基本规定</w:t>
      </w:r>
      <w:r>
        <w:rPr>
          <w:sz w:val="28"/>
          <w:szCs w:val="28"/>
        </w:rPr>
        <w:tab/>
      </w:r>
      <w:r>
        <w:rPr>
          <w:sz w:val="28"/>
          <w:szCs w:val="28"/>
        </w:rPr>
        <w:fldChar w:fldCharType="begin"/>
      </w:r>
      <w:r>
        <w:rPr>
          <w:sz w:val="28"/>
          <w:szCs w:val="28"/>
        </w:rPr>
        <w:instrText xml:space="preserve"> PAGEREF _Toc22902 \h </w:instrText>
      </w:r>
      <w:r>
        <w:rPr>
          <w:sz w:val="28"/>
          <w:szCs w:val="28"/>
        </w:rPr>
        <w:fldChar w:fldCharType="separate"/>
      </w:r>
      <w:r>
        <w:rPr>
          <w:sz w:val="28"/>
          <w:szCs w:val="28"/>
        </w:rPr>
        <w:t>4</w:t>
      </w:r>
      <w:r>
        <w:rPr>
          <w:sz w:val="28"/>
          <w:szCs w:val="28"/>
        </w:rPr>
        <w:fldChar w:fldCharType="end"/>
      </w:r>
      <w:r>
        <w:rPr>
          <w:rFonts w:hint="default" w:ascii="Times New Roman" w:hAnsi="Times New Roman" w:eastAsia="宋体" w:cs="Times New Roman"/>
          <w:sz w:val="28"/>
          <w:szCs w:val="28"/>
        </w:rPr>
        <w:fldChar w:fldCharType="end"/>
      </w:r>
    </w:p>
    <w:p w14:paraId="727A322E">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_Toc14445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3</w:t>
      </w:r>
      <w:r>
        <w:rPr>
          <w:rFonts w:hint="eastAsia" w:ascii="Times New Roman" w:hAnsi="Times New Roman" w:eastAsia="宋体" w:cs="宋体"/>
          <w:sz w:val="28"/>
          <w:szCs w:val="28"/>
        </w:rPr>
        <w:t>.1</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一般规定</w:t>
      </w:r>
      <w:r>
        <w:rPr>
          <w:sz w:val="28"/>
          <w:szCs w:val="28"/>
        </w:rPr>
        <w:tab/>
      </w:r>
      <w:r>
        <w:rPr>
          <w:sz w:val="28"/>
          <w:szCs w:val="28"/>
        </w:rPr>
        <w:fldChar w:fldCharType="begin"/>
      </w:r>
      <w:r>
        <w:rPr>
          <w:sz w:val="28"/>
          <w:szCs w:val="28"/>
        </w:rPr>
        <w:instrText xml:space="preserve"> PAGEREF _Toc14445 \h </w:instrText>
      </w:r>
      <w:r>
        <w:rPr>
          <w:sz w:val="28"/>
          <w:szCs w:val="28"/>
        </w:rPr>
        <w:fldChar w:fldCharType="separate"/>
      </w:r>
      <w:r>
        <w:rPr>
          <w:sz w:val="28"/>
          <w:szCs w:val="28"/>
        </w:rPr>
        <w:t>4</w:t>
      </w:r>
      <w:r>
        <w:rPr>
          <w:sz w:val="28"/>
          <w:szCs w:val="28"/>
        </w:rPr>
        <w:fldChar w:fldCharType="end"/>
      </w:r>
      <w:r>
        <w:rPr>
          <w:rFonts w:hint="default" w:ascii="Times New Roman" w:hAnsi="Times New Roman" w:eastAsia="宋体" w:cs="Times New Roman"/>
          <w:sz w:val="28"/>
          <w:szCs w:val="28"/>
        </w:rPr>
        <w:fldChar w:fldCharType="end"/>
      </w:r>
    </w:p>
    <w:p w14:paraId="57C1F15E">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_Toc12290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3</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eastAsia="zh-CN"/>
        </w:rPr>
        <w:t>2 工作程序</w:t>
      </w:r>
      <w:r>
        <w:rPr>
          <w:sz w:val="28"/>
          <w:szCs w:val="28"/>
        </w:rPr>
        <w:tab/>
      </w:r>
      <w:r>
        <w:rPr>
          <w:sz w:val="28"/>
          <w:szCs w:val="28"/>
        </w:rPr>
        <w:fldChar w:fldCharType="begin"/>
      </w:r>
      <w:r>
        <w:rPr>
          <w:sz w:val="28"/>
          <w:szCs w:val="28"/>
        </w:rPr>
        <w:instrText xml:space="preserve"> PAGEREF _Toc12290 \h </w:instrText>
      </w:r>
      <w:r>
        <w:rPr>
          <w:sz w:val="28"/>
          <w:szCs w:val="28"/>
        </w:rPr>
        <w:fldChar w:fldCharType="separate"/>
      </w:r>
      <w:r>
        <w:rPr>
          <w:sz w:val="28"/>
          <w:szCs w:val="28"/>
        </w:rPr>
        <w:t>5</w:t>
      </w:r>
      <w:r>
        <w:rPr>
          <w:sz w:val="28"/>
          <w:szCs w:val="28"/>
        </w:rPr>
        <w:fldChar w:fldCharType="end"/>
      </w:r>
      <w:r>
        <w:rPr>
          <w:rFonts w:hint="default" w:ascii="Times New Roman" w:hAnsi="Times New Roman" w:eastAsia="宋体" w:cs="Times New Roman"/>
          <w:sz w:val="28"/>
          <w:szCs w:val="28"/>
        </w:rPr>
        <w:fldChar w:fldCharType="end"/>
      </w:r>
    </w:p>
    <w:p w14:paraId="253F3095">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_Toc4929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3.3 设计流量计算</w:t>
      </w:r>
      <w:r>
        <w:rPr>
          <w:sz w:val="28"/>
          <w:szCs w:val="28"/>
        </w:rPr>
        <w:tab/>
      </w:r>
      <w:r>
        <w:rPr>
          <w:sz w:val="28"/>
          <w:szCs w:val="28"/>
        </w:rPr>
        <w:fldChar w:fldCharType="begin"/>
      </w:r>
      <w:r>
        <w:rPr>
          <w:sz w:val="28"/>
          <w:szCs w:val="28"/>
        </w:rPr>
        <w:instrText xml:space="preserve"> PAGEREF _Toc4929 \h </w:instrText>
      </w:r>
      <w:r>
        <w:rPr>
          <w:sz w:val="28"/>
          <w:szCs w:val="28"/>
        </w:rPr>
        <w:fldChar w:fldCharType="separate"/>
      </w:r>
      <w:r>
        <w:rPr>
          <w:sz w:val="28"/>
          <w:szCs w:val="28"/>
        </w:rPr>
        <w:t>7</w:t>
      </w:r>
      <w:r>
        <w:rPr>
          <w:sz w:val="28"/>
          <w:szCs w:val="28"/>
        </w:rPr>
        <w:fldChar w:fldCharType="end"/>
      </w:r>
      <w:r>
        <w:rPr>
          <w:rFonts w:hint="default" w:ascii="Times New Roman" w:hAnsi="Times New Roman" w:eastAsia="宋体" w:cs="Times New Roman"/>
          <w:sz w:val="28"/>
          <w:szCs w:val="28"/>
        </w:rPr>
        <w:fldChar w:fldCharType="end"/>
      </w:r>
    </w:p>
    <w:p w14:paraId="1400537A">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_Toc13624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4 内涝风险评估</w:t>
      </w:r>
      <w:r>
        <w:rPr>
          <w:sz w:val="28"/>
          <w:szCs w:val="28"/>
        </w:rPr>
        <w:tab/>
      </w:r>
      <w:r>
        <w:rPr>
          <w:sz w:val="28"/>
          <w:szCs w:val="28"/>
        </w:rPr>
        <w:fldChar w:fldCharType="begin"/>
      </w:r>
      <w:r>
        <w:rPr>
          <w:sz w:val="28"/>
          <w:szCs w:val="28"/>
        </w:rPr>
        <w:instrText xml:space="preserve"> PAGEREF _Toc13624 \h </w:instrText>
      </w:r>
      <w:r>
        <w:rPr>
          <w:sz w:val="28"/>
          <w:szCs w:val="28"/>
        </w:rPr>
        <w:fldChar w:fldCharType="separate"/>
      </w:r>
      <w:r>
        <w:rPr>
          <w:sz w:val="28"/>
          <w:szCs w:val="28"/>
        </w:rPr>
        <w:t>9</w:t>
      </w:r>
      <w:r>
        <w:rPr>
          <w:sz w:val="28"/>
          <w:szCs w:val="28"/>
        </w:rPr>
        <w:fldChar w:fldCharType="end"/>
      </w:r>
      <w:r>
        <w:rPr>
          <w:rFonts w:hint="default" w:ascii="Times New Roman" w:hAnsi="Times New Roman" w:eastAsia="宋体" w:cs="Times New Roman"/>
          <w:sz w:val="28"/>
          <w:szCs w:val="28"/>
        </w:rPr>
        <w:fldChar w:fldCharType="end"/>
      </w:r>
    </w:p>
    <w:p w14:paraId="73A7B3BC">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_Toc12072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.1</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一般规定</w:t>
      </w:r>
      <w:r>
        <w:rPr>
          <w:sz w:val="28"/>
          <w:szCs w:val="28"/>
        </w:rPr>
        <w:tab/>
      </w:r>
      <w:r>
        <w:rPr>
          <w:sz w:val="28"/>
          <w:szCs w:val="28"/>
        </w:rPr>
        <w:fldChar w:fldCharType="begin"/>
      </w:r>
      <w:r>
        <w:rPr>
          <w:sz w:val="28"/>
          <w:szCs w:val="28"/>
        </w:rPr>
        <w:instrText xml:space="preserve"> PAGEREF _Toc12072 \h </w:instrText>
      </w:r>
      <w:r>
        <w:rPr>
          <w:sz w:val="28"/>
          <w:szCs w:val="28"/>
        </w:rPr>
        <w:fldChar w:fldCharType="separate"/>
      </w:r>
      <w:r>
        <w:rPr>
          <w:sz w:val="28"/>
          <w:szCs w:val="28"/>
        </w:rPr>
        <w:t>9</w:t>
      </w:r>
      <w:r>
        <w:rPr>
          <w:sz w:val="28"/>
          <w:szCs w:val="28"/>
        </w:rPr>
        <w:fldChar w:fldCharType="end"/>
      </w:r>
      <w:r>
        <w:rPr>
          <w:rFonts w:hint="default" w:ascii="Times New Roman" w:hAnsi="Times New Roman" w:eastAsia="宋体" w:cs="Times New Roman"/>
          <w:sz w:val="28"/>
          <w:szCs w:val="28"/>
        </w:rPr>
        <w:fldChar w:fldCharType="end"/>
      </w:r>
    </w:p>
    <w:p w14:paraId="159BA9B1">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_Toc6414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eastAsia="zh-CN"/>
        </w:rPr>
        <w:t>2 评估方法</w:t>
      </w:r>
      <w:r>
        <w:rPr>
          <w:sz w:val="28"/>
          <w:szCs w:val="28"/>
        </w:rPr>
        <w:tab/>
      </w:r>
      <w:r>
        <w:rPr>
          <w:sz w:val="28"/>
          <w:szCs w:val="28"/>
        </w:rPr>
        <w:fldChar w:fldCharType="begin"/>
      </w:r>
      <w:r>
        <w:rPr>
          <w:sz w:val="28"/>
          <w:szCs w:val="28"/>
        </w:rPr>
        <w:instrText xml:space="preserve"> PAGEREF _Toc6414 \h </w:instrText>
      </w:r>
      <w:r>
        <w:rPr>
          <w:sz w:val="28"/>
          <w:szCs w:val="28"/>
        </w:rPr>
        <w:fldChar w:fldCharType="separate"/>
      </w:r>
      <w:r>
        <w:rPr>
          <w:sz w:val="28"/>
          <w:szCs w:val="28"/>
        </w:rPr>
        <w:t>9</w:t>
      </w:r>
      <w:r>
        <w:rPr>
          <w:sz w:val="28"/>
          <w:szCs w:val="28"/>
        </w:rPr>
        <w:fldChar w:fldCharType="end"/>
      </w:r>
      <w:r>
        <w:rPr>
          <w:rFonts w:hint="default" w:ascii="Times New Roman" w:hAnsi="Times New Roman" w:eastAsia="宋体" w:cs="Times New Roman"/>
          <w:sz w:val="28"/>
          <w:szCs w:val="28"/>
        </w:rPr>
        <w:fldChar w:fldCharType="end"/>
      </w:r>
    </w:p>
    <w:p w14:paraId="0F2D9F35">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_Toc11952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eastAsia="zh-CN"/>
        </w:rPr>
        <w:t>3 技术状况评定</w:t>
      </w:r>
      <w:r>
        <w:rPr>
          <w:sz w:val="28"/>
          <w:szCs w:val="28"/>
        </w:rPr>
        <w:tab/>
      </w:r>
      <w:r>
        <w:rPr>
          <w:sz w:val="28"/>
          <w:szCs w:val="28"/>
        </w:rPr>
        <w:fldChar w:fldCharType="begin"/>
      </w:r>
      <w:r>
        <w:rPr>
          <w:sz w:val="28"/>
          <w:szCs w:val="28"/>
        </w:rPr>
        <w:instrText xml:space="preserve"> PAGEREF _Toc11952 \h </w:instrText>
      </w:r>
      <w:r>
        <w:rPr>
          <w:sz w:val="28"/>
          <w:szCs w:val="28"/>
        </w:rPr>
        <w:fldChar w:fldCharType="separate"/>
      </w:r>
      <w:r>
        <w:rPr>
          <w:sz w:val="28"/>
          <w:szCs w:val="28"/>
        </w:rPr>
        <w:t>10</w:t>
      </w:r>
      <w:r>
        <w:rPr>
          <w:sz w:val="28"/>
          <w:szCs w:val="28"/>
        </w:rPr>
        <w:fldChar w:fldCharType="end"/>
      </w:r>
      <w:r>
        <w:rPr>
          <w:rFonts w:hint="default" w:ascii="Times New Roman" w:hAnsi="Times New Roman" w:eastAsia="宋体" w:cs="Times New Roman"/>
          <w:sz w:val="28"/>
          <w:szCs w:val="28"/>
        </w:rPr>
        <w:fldChar w:fldCharType="end"/>
      </w:r>
    </w:p>
    <w:p w14:paraId="1AD7C94F">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_Toc9340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eastAsia="zh-CN"/>
        </w:rPr>
        <w:t>4 风险等级评定</w:t>
      </w:r>
      <w:r>
        <w:rPr>
          <w:sz w:val="28"/>
          <w:szCs w:val="28"/>
        </w:rPr>
        <w:tab/>
      </w:r>
      <w:r>
        <w:rPr>
          <w:sz w:val="28"/>
          <w:szCs w:val="28"/>
        </w:rPr>
        <w:fldChar w:fldCharType="begin"/>
      </w:r>
      <w:r>
        <w:rPr>
          <w:sz w:val="28"/>
          <w:szCs w:val="28"/>
        </w:rPr>
        <w:instrText xml:space="preserve"> PAGEREF _Toc9340 \h </w:instrText>
      </w:r>
      <w:r>
        <w:rPr>
          <w:sz w:val="28"/>
          <w:szCs w:val="28"/>
        </w:rPr>
        <w:fldChar w:fldCharType="separate"/>
      </w:r>
      <w:r>
        <w:rPr>
          <w:sz w:val="28"/>
          <w:szCs w:val="28"/>
        </w:rPr>
        <w:t>11</w:t>
      </w:r>
      <w:r>
        <w:rPr>
          <w:sz w:val="28"/>
          <w:szCs w:val="28"/>
        </w:rPr>
        <w:fldChar w:fldCharType="end"/>
      </w:r>
      <w:r>
        <w:rPr>
          <w:rFonts w:hint="default" w:ascii="Times New Roman" w:hAnsi="Times New Roman" w:eastAsia="宋体" w:cs="Times New Roman"/>
          <w:sz w:val="28"/>
          <w:szCs w:val="28"/>
        </w:rPr>
        <w:fldChar w:fldCharType="end"/>
      </w:r>
    </w:p>
    <w:p w14:paraId="23A82B77">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_Toc19696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 xml:space="preserve">5 </w:t>
      </w:r>
      <w:r>
        <w:rPr>
          <w:rFonts w:hint="eastAsia" w:ascii="Times New Roman" w:hAnsi="Times New Roman" w:eastAsia="宋体" w:cs="宋体"/>
          <w:sz w:val="28"/>
          <w:szCs w:val="28"/>
          <w:highlight w:val="none"/>
        </w:rPr>
        <w:t>内涝</w:t>
      </w:r>
      <w:r>
        <w:rPr>
          <w:rFonts w:hint="eastAsia" w:ascii="Times New Roman" w:hAnsi="Times New Roman" w:eastAsia="宋体" w:cs="宋体"/>
          <w:sz w:val="28"/>
          <w:szCs w:val="28"/>
          <w:highlight w:val="none"/>
          <w:lang w:val="en-US" w:eastAsia="zh-CN"/>
        </w:rPr>
        <w:t>治理</w:t>
      </w:r>
      <w:r>
        <w:rPr>
          <w:sz w:val="28"/>
          <w:szCs w:val="28"/>
        </w:rPr>
        <w:tab/>
      </w:r>
      <w:r>
        <w:rPr>
          <w:sz w:val="28"/>
          <w:szCs w:val="28"/>
        </w:rPr>
        <w:fldChar w:fldCharType="begin"/>
      </w:r>
      <w:r>
        <w:rPr>
          <w:sz w:val="28"/>
          <w:szCs w:val="28"/>
        </w:rPr>
        <w:instrText xml:space="preserve"> PAGEREF _Toc19696 \h </w:instrText>
      </w:r>
      <w:r>
        <w:rPr>
          <w:sz w:val="28"/>
          <w:szCs w:val="28"/>
        </w:rPr>
        <w:fldChar w:fldCharType="separate"/>
      </w:r>
      <w:r>
        <w:rPr>
          <w:sz w:val="28"/>
          <w:szCs w:val="28"/>
        </w:rPr>
        <w:t>13</w:t>
      </w:r>
      <w:r>
        <w:rPr>
          <w:sz w:val="28"/>
          <w:szCs w:val="28"/>
        </w:rPr>
        <w:fldChar w:fldCharType="end"/>
      </w:r>
      <w:r>
        <w:rPr>
          <w:rFonts w:hint="default" w:ascii="Times New Roman" w:hAnsi="Times New Roman" w:eastAsia="宋体" w:cs="Times New Roman"/>
          <w:sz w:val="28"/>
          <w:szCs w:val="28"/>
        </w:rPr>
        <w:fldChar w:fldCharType="end"/>
      </w:r>
    </w:p>
    <w:p w14:paraId="00766BED">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_Toc27710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5</w:t>
      </w:r>
      <w:r>
        <w:rPr>
          <w:rFonts w:hint="eastAsia" w:ascii="Times New Roman" w:hAnsi="Times New Roman" w:eastAsia="宋体" w:cs="宋体"/>
          <w:sz w:val="28"/>
          <w:szCs w:val="28"/>
          <w:highlight w:val="none"/>
        </w:rPr>
        <w:t>.1</w:t>
      </w:r>
      <w:r>
        <w:rPr>
          <w:rFonts w:hint="eastAsia" w:ascii="Times New Roman" w:hAnsi="Times New Roman" w:eastAsia="宋体" w:cs="宋体"/>
          <w:sz w:val="28"/>
          <w:szCs w:val="28"/>
          <w:highlight w:val="none"/>
          <w:lang w:val="en-US" w:eastAsia="zh-CN"/>
        </w:rPr>
        <w:t xml:space="preserve"> </w:t>
      </w:r>
      <w:r>
        <w:rPr>
          <w:rFonts w:hint="eastAsia" w:ascii="Times New Roman" w:hAnsi="Times New Roman" w:eastAsia="宋体" w:cs="宋体"/>
          <w:sz w:val="28"/>
          <w:szCs w:val="28"/>
          <w:highlight w:val="none"/>
        </w:rPr>
        <w:t>一般规定</w:t>
      </w:r>
      <w:r>
        <w:rPr>
          <w:sz w:val="28"/>
          <w:szCs w:val="28"/>
        </w:rPr>
        <w:tab/>
      </w:r>
      <w:r>
        <w:rPr>
          <w:sz w:val="28"/>
          <w:szCs w:val="28"/>
        </w:rPr>
        <w:fldChar w:fldCharType="begin"/>
      </w:r>
      <w:r>
        <w:rPr>
          <w:sz w:val="28"/>
          <w:szCs w:val="28"/>
        </w:rPr>
        <w:instrText xml:space="preserve"> PAGEREF _Toc27710 \h </w:instrText>
      </w:r>
      <w:r>
        <w:rPr>
          <w:sz w:val="28"/>
          <w:szCs w:val="28"/>
        </w:rPr>
        <w:fldChar w:fldCharType="separate"/>
      </w:r>
      <w:r>
        <w:rPr>
          <w:sz w:val="28"/>
          <w:szCs w:val="28"/>
        </w:rPr>
        <w:t>13</w:t>
      </w:r>
      <w:r>
        <w:rPr>
          <w:sz w:val="28"/>
          <w:szCs w:val="28"/>
        </w:rPr>
        <w:fldChar w:fldCharType="end"/>
      </w:r>
      <w:r>
        <w:rPr>
          <w:rFonts w:hint="default" w:ascii="Times New Roman" w:hAnsi="Times New Roman" w:eastAsia="宋体" w:cs="Times New Roman"/>
          <w:sz w:val="28"/>
          <w:szCs w:val="28"/>
        </w:rPr>
        <w:fldChar w:fldCharType="end"/>
      </w:r>
    </w:p>
    <w:p w14:paraId="307CE410">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_Toc25033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5.2 源头减排</w:t>
      </w:r>
      <w:r>
        <w:rPr>
          <w:sz w:val="28"/>
          <w:szCs w:val="28"/>
        </w:rPr>
        <w:tab/>
      </w:r>
      <w:r>
        <w:rPr>
          <w:sz w:val="28"/>
          <w:szCs w:val="28"/>
        </w:rPr>
        <w:fldChar w:fldCharType="begin"/>
      </w:r>
      <w:r>
        <w:rPr>
          <w:sz w:val="28"/>
          <w:szCs w:val="28"/>
        </w:rPr>
        <w:instrText xml:space="preserve"> PAGEREF _Toc25033 \h </w:instrText>
      </w:r>
      <w:r>
        <w:rPr>
          <w:sz w:val="28"/>
          <w:szCs w:val="28"/>
        </w:rPr>
        <w:fldChar w:fldCharType="separate"/>
      </w:r>
      <w:r>
        <w:rPr>
          <w:sz w:val="28"/>
          <w:szCs w:val="28"/>
        </w:rPr>
        <w:t>13</w:t>
      </w:r>
      <w:r>
        <w:rPr>
          <w:sz w:val="28"/>
          <w:szCs w:val="28"/>
        </w:rPr>
        <w:fldChar w:fldCharType="end"/>
      </w:r>
      <w:r>
        <w:rPr>
          <w:rFonts w:hint="default" w:ascii="Times New Roman" w:hAnsi="Times New Roman" w:eastAsia="宋体" w:cs="Times New Roman"/>
          <w:sz w:val="28"/>
          <w:szCs w:val="28"/>
        </w:rPr>
        <w:fldChar w:fldCharType="end"/>
      </w:r>
    </w:p>
    <w:p w14:paraId="527CD296">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_Toc28276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5.3 排水管渠</w:t>
      </w:r>
      <w:r>
        <w:rPr>
          <w:sz w:val="28"/>
          <w:szCs w:val="28"/>
        </w:rPr>
        <w:tab/>
      </w:r>
      <w:r>
        <w:rPr>
          <w:sz w:val="28"/>
          <w:szCs w:val="28"/>
        </w:rPr>
        <w:fldChar w:fldCharType="begin"/>
      </w:r>
      <w:r>
        <w:rPr>
          <w:sz w:val="28"/>
          <w:szCs w:val="28"/>
        </w:rPr>
        <w:instrText xml:space="preserve"> PAGEREF _Toc28276 \h </w:instrText>
      </w:r>
      <w:r>
        <w:rPr>
          <w:sz w:val="28"/>
          <w:szCs w:val="28"/>
        </w:rPr>
        <w:fldChar w:fldCharType="separate"/>
      </w:r>
      <w:r>
        <w:rPr>
          <w:sz w:val="28"/>
          <w:szCs w:val="28"/>
        </w:rPr>
        <w:t>14</w:t>
      </w:r>
      <w:r>
        <w:rPr>
          <w:sz w:val="28"/>
          <w:szCs w:val="28"/>
        </w:rPr>
        <w:fldChar w:fldCharType="end"/>
      </w:r>
      <w:r>
        <w:rPr>
          <w:rFonts w:hint="default" w:ascii="Times New Roman" w:hAnsi="Times New Roman" w:eastAsia="宋体" w:cs="Times New Roman"/>
          <w:sz w:val="28"/>
          <w:szCs w:val="28"/>
        </w:rPr>
        <w:fldChar w:fldCharType="end"/>
      </w:r>
    </w:p>
    <w:p w14:paraId="12A5D763">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_Toc2428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5.4 排涝除险</w:t>
      </w:r>
      <w:r>
        <w:rPr>
          <w:sz w:val="28"/>
          <w:szCs w:val="28"/>
        </w:rPr>
        <w:tab/>
      </w:r>
      <w:r>
        <w:rPr>
          <w:sz w:val="28"/>
          <w:szCs w:val="28"/>
        </w:rPr>
        <w:fldChar w:fldCharType="begin"/>
      </w:r>
      <w:r>
        <w:rPr>
          <w:sz w:val="28"/>
          <w:szCs w:val="28"/>
        </w:rPr>
        <w:instrText xml:space="preserve"> PAGEREF _Toc2428 \h </w:instrText>
      </w:r>
      <w:r>
        <w:rPr>
          <w:sz w:val="28"/>
          <w:szCs w:val="28"/>
        </w:rPr>
        <w:fldChar w:fldCharType="separate"/>
      </w:r>
      <w:r>
        <w:rPr>
          <w:sz w:val="28"/>
          <w:szCs w:val="28"/>
        </w:rPr>
        <w:t>14</w:t>
      </w:r>
      <w:r>
        <w:rPr>
          <w:sz w:val="28"/>
          <w:szCs w:val="28"/>
        </w:rPr>
        <w:fldChar w:fldCharType="end"/>
      </w:r>
      <w:r>
        <w:rPr>
          <w:rFonts w:hint="default" w:ascii="Times New Roman" w:hAnsi="Times New Roman" w:eastAsia="宋体" w:cs="Times New Roman"/>
          <w:sz w:val="28"/>
          <w:szCs w:val="28"/>
        </w:rPr>
        <w:fldChar w:fldCharType="end"/>
      </w:r>
    </w:p>
    <w:p w14:paraId="1CEFA520">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_Toc6782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5.5 地下空间防淹</w:t>
      </w:r>
      <w:r>
        <w:rPr>
          <w:sz w:val="28"/>
          <w:szCs w:val="28"/>
        </w:rPr>
        <w:tab/>
      </w:r>
      <w:r>
        <w:rPr>
          <w:sz w:val="28"/>
          <w:szCs w:val="28"/>
        </w:rPr>
        <w:fldChar w:fldCharType="begin"/>
      </w:r>
      <w:r>
        <w:rPr>
          <w:sz w:val="28"/>
          <w:szCs w:val="28"/>
        </w:rPr>
        <w:instrText xml:space="preserve"> PAGEREF _Toc6782 \h </w:instrText>
      </w:r>
      <w:r>
        <w:rPr>
          <w:sz w:val="28"/>
          <w:szCs w:val="28"/>
        </w:rPr>
        <w:fldChar w:fldCharType="separate"/>
      </w:r>
      <w:r>
        <w:rPr>
          <w:sz w:val="28"/>
          <w:szCs w:val="28"/>
        </w:rPr>
        <w:t>15</w:t>
      </w:r>
      <w:r>
        <w:rPr>
          <w:sz w:val="28"/>
          <w:szCs w:val="28"/>
        </w:rPr>
        <w:fldChar w:fldCharType="end"/>
      </w:r>
      <w:r>
        <w:rPr>
          <w:rFonts w:hint="default" w:ascii="Times New Roman" w:hAnsi="Times New Roman" w:eastAsia="宋体" w:cs="Times New Roman"/>
          <w:sz w:val="28"/>
          <w:szCs w:val="28"/>
        </w:rPr>
        <w:fldChar w:fldCharType="end"/>
      </w:r>
    </w:p>
    <w:p w14:paraId="45638A25">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_Toc4507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6 运行维</w:t>
      </w:r>
      <w:r>
        <w:rPr>
          <w:rFonts w:hint="eastAsia" w:ascii="Times New Roman" w:hAnsi="Times New Roman" w:eastAsia="宋体" w:cs="宋体"/>
          <w:sz w:val="28"/>
          <w:szCs w:val="28"/>
          <w:highlight w:val="none"/>
          <w:lang w:val="en-US" w:eastAsia="zh-CN"/>
        </w:rPr>
        <w:t>护及管理</w:t>
      </w:r>
      <w:r>
        <w:rPr>
          <w:sz w:val="28"/>
          <w:szCs w:val="28"/>
        </w:rPr>
        <w:tab/>
      </w:r>
      <w:r>
        <w:rPr>
          <w:sz w:val="28"/>
          <w:szCs w:val="28"/>
        </w:rPr>
        <w:fldChar w:fldCharType="begin"/>
      </w:r>
      <w:r>
        <w:rPr>
          <w:sz w:val="28"/>
          <w:szCs w:val="28"/>
        </w:rPr>
        <w:instrText xml:space="preserve"> PAGEREF _Toc4507 \h </w:instrText>
      </w:r>
      <w:r>
        <w:rPr>
          <w:sz w:val="28"/>
          <w:szCs w:val="28"/>
        </w:rPr>
        <w:fldChar w:fldCharType="separate"/>
      </w:r>
      <w:r>
        <w:rPr>
          <w:sz w:val="28"/>
          <w:szCs w:val="28"/>
        </w:rPr>
        <w:t>16</w:t>
      </w:r>
      <w:r>
        <w:rPr>
          <w:sz w:val="28"/>
          <w:szCs w:val="28"/>
        </w:rPr>
        <w:fldChar w:fldCharType="end"/>
      </w:r>
      <w:r>
        <w:rPr>
          <w:rFonts w:hint="default" w:ascii="Times New Roman" w:hAnsi="Times New Roman" w:eastAsia="宋体" w:cs="Times New Roman"/>
          <w:sz w:val="28"/>
          <w:szCs w:val="28"/>
        </w:rPr>
        <w:fldChar w:fldCharType="end"/>
      </w:r>
    </w:p>
    <w:p w14:paraId="5733B8D2">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_Toc31881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6</w:t>
      </w:r>
      <w:r>
        <w:rPr>
          <w:rFonts w:hint="eastAsia" w:ascii="Times New Roman" w:hAnsi="Times New Roman" w:eastAsia="宋体" w:cs="宋体"/>
          <w:sz w:val="28"/>
          <w:szCs w:val="28"/>
        </w:rPr>
        <w:t>.1</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一般规定</w:t>
      </w:r>
      <w:r>
        <w:rPr>
          <w:sz w:val="28"/>
          <w:szCs w:val="28"/>
        </w:rPr>
        <w:tab/>
      </w:r>
      <w:r>
        <w:rPr>
          <w:sz w:val="28"/>
          <w:szCs w:val="28"/>
        </w:rPr>
        <w:fldChar w:fldCharType="begin"/>
      </w:r>
      <w:r>
        <w:rPr>
          <w:sz w:val="28"/>
          <w:szCs w:val="28"/>
        </w:rPr>
        <w:instrText xml:space="preserve"> PAGEREF _Toc31881 \h </w:instrText>
      </w:r>
      <w:r>
        <w:rPr>
          <w:sz w:val="28"/>
          <w:szCs w:val="28"/>
        </w:rPr>
        <w:fldChar w:fldCharType="separate"/>
      </w:r>
      <w:r>
        <w:rPr>
          <w:sz w:val="28"/>
          <w:szCs w:val="28"/>
        </w:rPr>
        <w:t>16</w:t>
      </w:r>
      <w:r>
        <w:rPr>
          <w:sz w:val="28"/>
          <w:szCs w:val="28"/>
        </w:rPr>
        <w:fldChar w:fldCharType="end"/>
      </w:r>
      <w:r>
        <w:rPr>
          <w:rFonts w:hint="default" w:ascii="Times New Roman" w:hAnsi="Times New Roman" w:eastAsia="宋体" w:cs="Times New Roman"/>
          <w:sz w:val="28"/>
          <w:szCs w:val="28"/>
        </w:rPr>
        <w:fldChar w:fldCharType="end"/>
      </w:r>
    </w:p>
    <w:p w14:paraId="188A7B88">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_Toc7904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6</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eastAsia="zh-CN"/>
        </w:rPr>
        <w:t>2 日常维护</w:t>
      </w:r>
      <w:r>
        <w:rPr>
          <w:sz w:val="28"/>
          <w:szCs w:val="28"/>
        </w:rPr>
        <w:tab/>
      </w:r>
      <w:r>
        <w:rPr>
          <w:sz w:val="28"/>
          <w:szCs w:val="28"/>
        </w:rPr>
        <w:fldChar w:fldCharType="begin"/>
      </w:r>
      <w:r>
        <w:rPr>
          <w:sz w:val="28"/>
          <w:szCs w:val="28"/>
        </w:rPr>
        <w:instrText xml:space="preserve"> PAGEREF _Toc7904 \h </w:instrText>
      </w:r>
      <w:r>
        <w:rPr>
          <w:sz w:val="28"/>
          <w:szCs w:val="28"/>
        </w:rPr>
        <w:fldChar w:fldCharType="separate"/>
      </w:r>
      <w:r>
        <w:rPr>
          <w:sz w:val="28"/>
          <w:szCs w:val="28"/>
        </w:rPr>
        <w:t>16</w:t>
      </w:r>
      <w:r>
        <w:rPr>
          <w:sz w:val="28"/>
          <w:szCs w:val="28"/>
        </w:rPr>
        <w:fldChar w:fldCharType="end"/>
      </w:r>
      <w:r>
        <w:rPr>
          <w:rFonts w:hint="default" w:ascii="Times New Roman" w:hAnsi="Times New Roman" w:eastAsia="宋体" w:cs="Times New Roman"/>
          <w:sz w:val="28"/>
          <w:szCs w:val="28"/>
        </w:rPr>
        <w:fldChar w:fldCharType="end"/>
      </w:r>
    </w:p>
    <w:p w14:paraId="50DD3BEC">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_Toc21155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6.3 监测预警</w:t>
      </w:r>
      <w:r>
        <w:rPr>
          <w:sz w:val="28"/>
          <w:szCs w:val="28"/>
        </w:rPr>
        <w:tab/>
      </w:r>
      <w:r>
        <w:rPr>
          <w:sz w:val="28"/>
          <w:szCs w:val="28"/>
        </w:rPr>
        <w:fldChar w:fldCharType="begin"/>
      </w:r>
      <w:r>
        <w:rPr>
          <w:sz w:val="28"/>
          <w:szCs w:val="28"/>
        </w:rPr>
        <w:instrText xml:space="preserve"> PAGEREF _Toc21155 \h </w:instrText>
      </w:r>
      <w:r>
        <w:rPr>
          <w:sz w:val="28"/>
          <w:szCs w:val="28"/>
        </w:rPr>
        <w:fldChar w:fldCharType="separate"/>
      </w:r>
      <w:r>
        <w:rPr>
          <w:sz w:val="28"/>
          <w:szCs w:val="28"/>
        </w:rPr>
        <w:t>18</w:t>
      </w:r>
      <w:r>
        <w:rPr>
          <w:sz w:val="28"/>
          <w:szCs w:val="28"/>
        </w:rPr>
        <w:fldChar w:fldCharType="end"/>
      </w:r>
      <w:r>
        <w:rPr>
          <w:rFonts w:hint="default" w:ascii="Times New Roman" w:hAnsi="Times New Roman" w:eastAsia="宋体" w:cs="Times New Roman"/>
          <w:sz w:val="28"/>
          <w:szCs w:val="28"/>
        </w:rPr>
        <w:fldChar w:fldCharType="end"/>
      </w:r>
    </w:p>
    <w:p w14:paraId="62498BCC">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_Toc23160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6</w:t>
      </w:r>
      <w:r>
        <w:rPr>
          <w:rFonts w:hint="eastAsia" w:ascii="Times New Roman" w:hAnsi="Times New Roman" w:eastAsia="宋体" w:cs="宋体"/>
          <w:sz w:val="28"/>
          <w:szCs w:val="28"/>
          <w:highlight w:val="none"/>
        </w:rPr>
        <w:t>.</w:t>
      </w:r>
      <w:r>
        <w:rPr>
          <w:rFonts w:hint="eastAsia" w:ascii="Times New Roman" w:hAnsi="Times New Roman" w:eastAsia="宋体" w:cs="宋体"/>
          <w:sz w:val="28"/>
          <w:szCs w:val="28"/>
          <w:highlight w:val="none"/>
          <w:lang w:val="en-US" w:eastAsia="zh-CN"/>
        </w:rPr>
        <w:t>4 应急管理</w:t>
      </w:r>
      <w:r>
        <w:rPr>
          <w:sz w:val="28"/>
          <w:szCs w:val="28"/>
        </w:rPr>
        <w:tab/>
      </w:r>
      <w:r>
        <w:rPr>
          <w:sz w:val="28"/>
          <w:szCs w:val="28"/>
        </w:rPr>
        <w:fldChar w:fldCharType="begin"/>
      </w:r>
      <w:r>
        <w:rPr>
          <w:sz w:val="28"/>
          <w:szCs w:val="28"/>
        </w:rPr>
        <w:instrText xml:space="preserve"> PAGEREF _Toc23160 \h </w:instrText>
      </w:r>
      <w:r>
        <w:rPr>
          <w:sz w:val="28"/>
          <w:szCs w:val="28"/>
        </w:rPr>
        <w:fldChar w:fldCharType="separate"/>
      </w:r>
      <w:r>
        <w:rPr>
          <w:sz w:val="28"/>
          <w:szCs w:val="28"/>
        </w:rPr>
        <w:t>19</w:t>
      </w:r>
      <w:r>
        <w:rPr>
          <w:sz w:val="28"/>
          <w:szCs w:val="28"/>
        </w:rPr>
        <w:fldChar w:fldCharType="end"/>
      </w:r>
      <w:r>
        <w:rPr>
          <w:rFonts w:hint="default" w:ascii="Times New Roman" w:hAnsi="Times New Roman" w:eastAsia="宋体" w:cs="Times New Roman"/>
          <w:sz w:val="28"/>
          <w:szCs w:val="28"/>
        </w:rPr>
        <w:fldChar w:fldCharType="end"/>
      </w:r>
    </w:p>
    <w:p w14:paraId="1D8FC688">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_Toc16208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附录A 各地暴雨强度公式</w:t>
      </w:r>
      <w:r>
        <w:rPr>
          <w:sz w:val="28"/>
          <w:szCs w:val="28"/>
        </w:rPr>
        <w:tab/>
      </w:r>
      <w:r>
        <w:rPr>
          <w:sz w:val="28"/>
          <w:szCs w:val="28"/>
        </w:rPr>
        <w:fldChar w:fldCharType="begin"/>
      </w:r>
      <w:r>
        <w:rPr>
          <w:sz w:val="28"/>
          <w:szCs w:val="28"/>
        </w:rPr>
        <w:instrText xml:space="preserve"> PAGEREF _Toc16208 \h </w:instrText>
      </w:r>
      <w:r>
        <w:rPr>
          <w:sz w:val="28"/>
          <w:szCs w:val="28"/>
        </w:rPr>
        <w:fldChar w:fldCharType="separate"/>
      </w:r>
      <w:r>
        <w:rPr>
          <w:sz w:val="28"/>
          <w:szCs w:val="28"/>
        </w:rPr>
        <w:t>21</w:t>
      </w:r>
      <w:r>
        <w:rPr>
          <w:sz w:val="28"/>
          <w:szCs w:val="28"/>
        </w:rPr>
        <w:fldChar w:fldCharType="end"/>
      </w:r>
      <w:r>
        <w:rPr>
          <w:rFonts w:hint="default" w:ascii="Times New Roman" w:hAnsi="Times New Roman" w:eastAsia="宋体" w:cs="Times New Roman"/>
          <w:sz w:val="28"/>
          <w:szCs w:val="28"/>
        </w:rPr>
        <w:fldChar w:fldCharType="end"/>
      </w:r>
    </w:p>
    <w:p w14:paraId="0116A5D7">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_Toc10930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本标准用词说明</w:t>
      </w:r>
      <w:r>
        <w:rPr>
          <w:sz w:val="28"/>
          <w:szCs w:val="28"/>
        </w:rPr>
        <w:tab/>
      </w:r>
      <w:r>
        <w:rPr>
          <w:sz w:val="28"/>
          <w:szCs w:val="28"/>
        </w:rPr>
        <w:fldChar w:fldCharType="begin"/>
      </w:r>
      <w:r>
        <w:rPr>
          <w:sz w:val="28"/>
          <w:szCs w:val="28"/>
        </w:rPr>
        <w:instrText xml:space="preserve"> PAGEREF _Toc10930 \h </w:instrText>
      </w:r>
      <w:r>
        <w:rPr>
          <w:sz w:val="28"/>
          <w:szCs w:val="28"/>
        </w:rPr>
        <w:fldChar w:fldCharType="separate"/>
      </w:r>
      <w:r>
        <w:rPr>
          <w:sz w:val="28"/>
          <w:szCs w:val="28"/>
        </w:rPr>
        <w:t>28</w:t>
      </w:r>
      <w:r>
        <w:rPr>
          <w:sz w:val="28"/>
          <w:szCs w:val="28"/>
        </w:rPr>
        <w:fldChar w:fldCharType="end"/>
      </w:r>
      <w:r>
        <w:rPr>
          <w:rFonts w:hint="default" w:ascii="Times New Roman" w:hAnsi="Times New Roman" w:eastAsia="宋体" w:cs="Times New Roman"/>
          <w:sz w:val="28"/>
          <w:szCs w:val="28"/>
        </w:rPr>
        <w:fldChar w:fldCharType="end"/>
      </w:r>
    </w:p>
    <w:p w14:paraId="2D0CF295">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48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_Toc11772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引用标准名录</w:t>
      </w:r>
      <w:r>
        <w:rPr>
          <w:sz w:val="28"/>
          <w:szCs w:val="28"/>
        </w:rPr>
        <w:tab/>
      </w:r>
      <w:r>
        <w:rPr>
          <w:sz w:val="28"/>
          <w:szCs w:val="28"/>
        </w:rPr>
        <w:fldChar w:fldCharType="begin"/>
      </w:r>
      <w:r>
        <w:rPr>
          <w:sz w:val="28"/>
          <w:szCs w:val="28"/>
        </w:rPr>
        <w:instrText xml:space="preserve"> PAGEREF _Toc11772 \h </w:instrText>
      </w:r>
      <w:r>
        <w:rPr>
          <w:sz w:val="28"/>
          <w:szCs w:val="28"/>
        </w:rPr>
        <w:fldChar w:fldCharType="separate"/>
      </w:r>
      <w:r>
        <w:rPr>
          <w:sz w:val="28"/>
          <w:szCs w:val="28"/>
        </w:rPr>
        <w:t>29</w:t>
      </w:r>
      <w:r>
        <w:rPr>
          <w:sz w:val="28"/>
          <w:szCs w:val="28"/>
        </w:rPr>
        <w:fldChar w:fldCharType="end"/>
      </w:r>
      <w:r>
        <w:rPr>
          <w:rFonts w:hint="default" w:ascii="Times New Roman" w:hAnsi="Times New Roman" w:eastAsia="宋体" w:cs="Times New Roman"/>
          <w:sz w:val="28"/>
          <w:szCs w:val="28"/>
        </w:rPr>
        <w:fldChar w:fldCharType="end"/>
      </w:r>
    </w:p>
    <w:p w14:paraId="10DA5E3B">
      <w:pPr>
        <w:pStyle w:val="11"/>
        <w:tabs>
          <w:tab w:val="right" w:leader="dot" w:pos="8306"/>
          <w:tab w:val="clear" w:pos="9241"/>
        </w:tabs>
        <w:spacing w:line="400" w:lineRule="exact"/>
        <w:jc w:val="center"/>
        <w:rPr>
          <w:rFonts w:hint="eastAsia" w:ascii="Times New Roman" w:cs="宋体"/>
          <w:color w:val="000000" w:themeColor="text1"/>
          <w:sz w:val="32"/>
          <w:szCs w:val="32"/>
          <w:highlight w:val="none"/>
          <w:lang w:val="en-US" w:eastAsia="zh-CN"/>
          <w14:textFill>
            <w14:solidFill>
              <w14:schemeClr w14:val="tx1"/>
            </w14:solidFill>
          </w14:textFill>
        </w:rPr>
      </w:pPr>
      <w:r>
        <w:rPr>
          <w:rFonts w:hint="default" w:ascii="Times New Roman" w:hAnsi="Times New Roman" w:eastAsia="宋体" w:cs="Times New Roman"/>
          <w:szCs w:val="24"/>
        </w:rPr>
        <w:fldChar w:fldCharType="end"/>
      </w:r>
      <w:bookmarkEnd w:id="54"/>
      <w:bookmarkEnd w:id="55"/>
      <w:bookmarkStart w:id="57" w:name="_Toc914"/>
      <w:r>
        <w:rPr>
          <w:rFonts w:hint="eastAsia" w:ascii="Times New Roman" w:cs="宋体"/>
          <w:color w:val="000000" w:themeColor="text1"/>
          <w:sz w:val="32"/>
          <w:szCs w:val="32"/>
          <w:highlight w:val="none"/>
          <w:lang w:val="en-US" w:eastAsia="zh-CN"/>
          <w14:textFill>
            <w14:solidFill>
              <w14:schemeClr w14:val="tx1"/>
            </w14:solidFill>
          </w14:textFill>
        </w:rPr>
        <w:t>Contents</w:t>
      </w:r>
    </w:p>
    <w:p w14:paraId="239049C4">
      <w:pPr>
        <w:pStyle w:val="11"/>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TOC \o "1-3" \h \z \u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_Toc7936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1 </w:t>
      </w:r>
      <w:r>
        <w:rPr>
          <w:rFonts w:hint="eastAsia" w:ascii="Times New Roman" w:cs="Times New Roman"/>
          <w:sz w:val="24"/>
          <w:szCs w:val="24"/>
          <w:lang w:val="en-US" w:eastAsia="zh-CN"/>
        </w:rPr>
        <w:t xml:space="preserve"> General Provisions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p>
    <w:p w14:paraId="17CD81B4">
      <w:pPr>
        <w:pStyle w:val="11"/>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_Toc18736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 xml:space="preserve"> </w:t>
      </w:r>
      <w:r>
        <w:rPr>
          <w:rFonts w:hint="eastAsia" w:ascii="Times New Roman" w:cs="Times New Roman"/>
          <w:sz w:val="24"/>
          <w:szCs w:val="24"/>
          <w:lang w:val="en-US" w:eastAsia="zh-CN"/>
        </w:rPr>
        <w:t xml:space="preserve"> Terms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2</w:t>
      </w:r>
      <w:r>
        <w:rPr>
          <w:rFonts w:hint="default" w:ascii="Times New Roman" w:hAnsi="Times New Roman" w:eastAsia="宋体" w:cs="Times New Roman"/>
          <w:sz w:val="24"/>
          <w:szCs w:val="24"/>
        </w:rPr>
        <w:fldChar w:fldCharType="end"/>
      </w:r>
    </w:p>
    <w:p w14:paraId="5B45C01A">
      <w:pPr>
        <w:pStyle w:val="11"/>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_Toc26296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xml:space="preserve">3 </w:t>
      </w:r>
      <w:r>
        <w:rPr>
          <w:rFonts w:hint="eastAsia" w:ascii="Times New Roman" w:cs="Times New Roman"/>
          <w:sz w:val="24"/>
          <w:szCs w:val="24"/>
          <w:lang w:val="en-US" w:eastAsia="zh-CN"/>
        </w:rPr>
        <w:t xml:space="preserve"> Basic Requirements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4</w:t>
      </w:r>
      <w:r>
        <w:rPr>
          <w:rFonts w:hint="default" w:ascii="Times New Roman" w:hAnsi="Times New Roman" w:eastAsia="宋体" w:cs="Times New Roman"/>
          <w:sz w:val="24"/>
          <w:szCs w:val="24"/>
        </w:rPr>
        <w:fldChar w:fldCharType="end"/>
      </w:r>
    </w:p>
    <w:p w14:paraId="0CBF3B6B">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General</w:t>
      </w:r>
      <w:r>
        <w:rPr>
          <w:rFonts w:hint="eastAsia" w:ascii="Times New Roman" w:cs="Times New Roman"/>
          <w:sz w:val="24"/>
          <w:szCs w:val="24"/>
          <w:lang w:val="en-US" w:eastAsia="zh-CN"/>
        </w:rPr>
        <w:t xml:space="preserve"> Requirements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4</w:t>
      </w:r>
      <w:r>
        <w:rPr>
          <w:rFonts w:hint="default" w:ascii="Times New Roman" w:hAnsi="Times New Roman" w:eastAsia="宋体" w:cs="Times New Roman"/>
          <w:sz w:val="24"/>
          <w:szCs w:val="24"/>
        </w:rPr>
        <w:fldChar w:fldCharType="end"/>
      </w:r>
    </w:p>
    <w:p w14:paraId="75043892">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_Toc26068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2 </w:t>
      </w:r>
      <w:r>
        <w:rPr>
          <w:rFonts w:hint="eastAsia" w:ascii="Times New Roman" w:cs="Times New Roman"/>
          <w:sz w:val="24"/>
          <w:szCs w:val="24"/>
          <w:lang w:val="en-US" w:eastAsia="zh-CN"/>
        </w:rPr>
        <w:t>Work Procedure</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5</w:t>
      </w:r>
      <w:r>
        <w:rPr>
          <w:rFonts w:hint="default" w:ascii="Times New Roman" w:hAnsi="Times New Roman" w:eastAsia="宋体" w:cs="Times New Roman"/>
          <w:sz w:val="24"/>
          <w:szCs w:val="24"/>
        </w:rPr>
        <w:fldChar w:fldCharType="end"/>
      </w:r>
    </w:p>
    <w:p w14:paraId="7396F3FF">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_Toc25461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3 </w:t>
      </w:r>
      <w:r>
        <w:rPr>
          <w:rFonts w:hint="eastAsia" w:ascii="Times New Roman" w:cs="Times New Roman"/>
          <w:sz w:val="24"/>
          <w:szCs w:val="24"/>
          <w:lang w:val="en-US" w:eastAsia="zh-CN"/>
        </w:rPr>
        <w:t>Design Traffic Calculation</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7</w:t>
      </w:r>
      <w:r>
        <w:rPr>
          <w:rFonts w:hint="default" w:ascii="Times New Roman" w:hAnsi="Times New Roman" w:eastAsia="宋体" w:cs="Times New Roman"/>
          <w:sz w:val="24"/>
          <w:szCs w:val="24"/>
        </w:rPr>
        <w:fldChar w:fldCharType="end"/>
      </w:r>
    </w:p>
    <w:p w14:paraId="6F3EB22E">
      <w:pPr>
        <w:pStyle w:val="11"/>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_Toc12580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 </w:t>
      </w:r>
      <w:r>
        <w:rPr>
          <w:rFonts w:hint="eastAsia" w:ascii="Times New Roman" w:cs="宋体"/>
          <w:color w:val="000000" w:themeColor="text1"/>
          <w:sz w:val="24"/>
          <w:szCs w:val="24"/>
          <w:highlight w:val="none"/>
          <w:lang w:val="en-US" w:eastAsia="zh-CN"/>
          <w14:textFill>
            <w14:solidFill>
              <w14:schemeClr w14:val="tx1"/>
            </w14:solidFill>
          </w14:textFill>
        </w:rPr>
        <w:t>R</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isk </w:t>
      </w:r>
      <w:r>
        <w:rPr>
          <w:rFonts w:hint="eastAsia" w:ascii="Times New Roman" w:cs="宋体"/>
          <w:color w:val="000000" w:themeColor="text1"/>
          <w:sz w:val="24"/>
          <w:szCs w:val="24"/>
          <w:highlight w:val="none"/>
          <w:lang w:val="en-US" w:eastAsia="zh-CN"/>
          <w14:textFill>
            <w14:solidFill>
              <w14:schemeClr w14:val="tx1"/>
            </w14:solidFill>
          </w14:textFill>
        </w:rPr>
        <w:t>A</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ssessment of </w:t>
      </w:r>
      <w:r>
        <w:rPr>
          <w:rFonts w:hint="eastAsia" w:ascii="Times New Roman" w:cs="宋体"/>
          <w:color w:val="000000" w:themeColor="text1"/>
          <w:sz w:val="24"/>
          <w:szCs w:val="24"/>
          <w:lang w:val="en-US" w:eastAsia="zh-CN"/>
          <w14:textFill>
            <w14:solidFill>
              <w14:schemeClr w14:val="tx1"/>
            </w14:solidFill>
          </w14:textFill>
        </w:rPr>
        <w:t>U</w:t>
      </w:r>
      <w:r>
        <w:rPr>
          <w:rFonts w:hint="eastAsia" w:ascii="Times New Roman" w:hAnsi="Times New Roman" w:eastAsia="宋体" w:cs="宋体"/>
          <w:color w:val="000000" w:themeColor="text1"/>
          <w:sz w:val="24"/>
          <w:szCs w:val="24"/>
          <w:lang w:eastAsia="zh-CN"/>
          <w14:textFill>
            <w14:solidFill>
              <w14:schemeClr w14:val="tx1"/>
            </w14:solidFill>
          </w14:textFill>
        </w:rPr>
        <w:t xml:space="preserve">rban </w:t>
      </w:r>
      <w:r>
        <w:rPr>
          <w:rFonts w:hint="eastAsia" w:ascii="Times New Roman" w:cs="宋体"/>
          <w:color w:val="000000" w:themeColor="text1"/>
          <w:sz w:val="24"/>
          <w:szCs w:val="24"/>
          <w:lang w:val="en-US" w:eastAsia="zh-CN"/>
          <w14:textFill>
            <w14:solidFill>
              <w14:schemeClr w14:val="tx1"/>
            </w14:solidFill>
          </w14:textFill>
        </w:rPr>
        <w:t>F</w:t>
      </w:r>
      <w:r>
        <w:rPr>
          <w:rFonts w:hint="eastAsia" w:ascii="Times New Roman" w:hAnsi="Times New Roman" w:eastAsia="宋体" w:cs="宋体"/>
          <w:color w:val="000000" w:themeColor="text1"/>
          <w:sz w:val="24"/>
          <w:szCs w:val="24"/>
          <w:lang w:eastAsia="zh-CN"/>
          <w14:textFill>
            <w14:solidFill>
              <w14:schemeClr w14:val="tx1"/>
            </w14:solidFill>
          </w14:textFill>
        </w:rPr>
        <w:t>looding</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9</w:t>
      </w:r>
      <w:r>
        <w:rPr>
          <w:rFonts w:hint="default" w:ascii="Times New Roman" w:hAnsi="Times New Roman" w:eastAsia="宋体" w:cs="Times New Roman"/>
          <w:sz w:val="24"/>
          <w:szCs w:val="24"/>
        </w:rPr>
        <w:fldChar w:fldCharType="end"/>
      </w:r>
    </w:p>
    <w:p w14:paraId="48BBFF70">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_Toc21855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General</w:t>
      </w:r>
      <w:r>
        <w:rPr>
          <w:rFonts w:hint="eastAsia" w:ascii="Times New Roman" w:cs="Times New Roman"/>
          <w:sz w:val="24"/>
          <w:szCs w:val="24"/>
          <w:lang w:val="en-US" w:eastAsia="zh-CN"/>
        </w:rPr>
        <w:t xml:space="preserve"> Requirements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9</w:t>
      </w:r>
      <w:r>
        <w:rPr>
          <w:rFonts w:hint="default" w:ascii="Times New Roman" w:hAnsi="Times New Roman" w:eastAsia="宋体" w:cs="Times New Roman"/>
          <w:sz w:val="24"/>
          <w:szCs w:val="24"/>
        </w:rPr>
        <w:fldChar w:fldCharType="end"/>
      </w:r>
    </w:p>
    <w:p w14:paraId="2EB7C088">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_Toc10463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 Assessment method</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9</w:t>
      </w:r>
      <w:r>
        <w:rPr>
          <w:rFonts w:hint="default" w:ascii="Times New Roman" w:hAnsi="Times New Roman" w:eastAsia="宋体" w:cs="Times New Roman"/>
          <w:sz w:val="24"/>
          <w:szCs w:val="24"/>
        </w:rPr>
        <w:fldChar w:fldCharType="end"/>
      </w:r>
    </w:p>
    <w:p w14:paraId="720F93D6">
      <w:pPr>
        <w:pStyle w:val="7"/>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_Toc1721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3 Technical </w:t>
      </w:r>
      <w:r>
        <w:rPr>
          <w:rFonts w:hint="eastAsia" w:ascii="Times New Roman" w:cs="Times New Roman"/>
          <w:sz w:val="24"/>
          <w:szCs w:val="24"/>
          <w:lang w:val="en-US" w:eastAsia="zh-CN"/>
        </w:rPr>
        <w:t>S</w:t>
      </w:r>
      <w:r>
        <w:rPr>
          <w:rFonts w:hint="default" w:ascii="Times New Roman" w:hAnsi="Times New Roman" w:eastAsia="宋体" w:cs="Times New Roman"/>
          <w:sz w:val="24"/>
          <w:szCs w:val="24"/>
          <w:lang w:val="en-US" w:eastAsia="zh-CN"/>
        </w:rPr>
        <w:t xml:space="preserve">tatus </w:t>
      </w:r>
      <w:r>
        <w:rPr>
          <w:rFonts w:hint="eastAsia" w:ascii="Times New Roman" w:cs="Times New Roman"/>
          <w:sz w:val="24"/>
          <w:szCs w:val="24"/>
          <w:lang w:val="en-US" w:eastAsia="zh-CN"/>
        </w:rPr>
        <w:t>A</w:t>
      </w:r>
      <w:r>
        <w:rPr>
          <w:rFonts w:hint="default" w:ascii="Times New Roman" w:hAnsi="Times New Roman" w:eastAsia="宋体" w:cs="Times New Roman"/>
          <w:sz w:val="24"/>
          <w:szCs w:val="24"/>
          <w:lang w:val="en-US" w:eastAsia="zh-CN"/>
        </w:rPr>
        <w:t>ssessment</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0</w:t>
      </w:r>
    </w:p>
    <w:p w14:paraId="600808D1">
      <w:pPr>
        <w:pStyle w:val="7"/>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_Toc22856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4</w:t>
      </w:r>
      <w:r>
        <w:rPr>
          <w:rFonts w:hint="eastAsia" w:ascii="Times New Roman" w:cs="Times New Roman"/>
          <w:sz w:val="24"/>
          <w:szCs w:val="24"/>
          <w:lang w:val="en-US" w:eastAsia="zh-CN"/>
        </w:rPr>
        <w:t>A</w:t>
      </w:r>
      <w:r>
        <w:rPr>
          <w:rFonts w:hint="default" w:ascii="Times New Roman" w:hAnsi="Times New Roman" w:eastAsia="宋体" w:cs="Times New Roman"/>
          <w:sz w:val="24"/>
          <w:szCs w:val="24"/>
          <w:lang w:val="en-US" w:eastAsia="zh-CN"/>
        </w:rPr>
        <w:t xml:space="preserve">ssessment </w:t>
      </w:r>
      <w:r>
        <w:rPr>
          <w:rFonts w:hint="eastAsia" w:ascii="Times New Roman" w:cs="Times New Roman"/>
          <w:sz w:val="24"/>
          <w:szCs w:val="24"/>
          <w:lang w:val="en-US" w:eastAsia="zh-CN"/>
        </w:rPr>
        <w:t xml:space="preserve">of </w:t>
      </w:r>
      <w:r>
        <w:rPr>
          <w:rFonts w:hint="eastAsia" w:ascii="Times New Roman" w:cs="宋体"/>
          <w:color w:val="000000" w:themeColor="text1"/>
          <w:sz w:val="24"/>
          <w:szCs w:val="24"/>
          <w:highlight w:val="none"/>
          <w:lang w:val="en-US" w:eastAsia="zh-CN"/>
          <w14:textFill>
            <w14:solidFill>
              <w14:schemeClr w14:val="tx1"/>
            </w14:solidFill>
          </w14:textFill>
        </w:rPr>
        <w:t>R</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isk</w:t>
      </w:r>
      <w:r>
        <w:rPr>
          <w:rFonts w:hint="eastAsia" w:ascii="Times New Roman" w:cs="宋体"/>
          <w:color w:val="000000" w:themeColor="text1"/>
          <w:sz w:val="24"/>
          <w:szCs w:val="24"/>
          <w:highlight w:val="none"/>
          <w:lang w:val="en-US" w:eastAsia="zh-CN"/>
          <w14:textFill>
            <w14:solidFill>
              <w14:schemeClr w14:val="tx1"/>
            </w14:solidFill>
          </w14:textFill>
        </w:rPr>
        <w:t>ing</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w:t>
      </w:r>
      <w:r>
        <w:rPr>
          <w:rFonts w:hint="eastAsia" w:ascii="Times New Roman" w:cs="宋体"/>
          <w:color w:val="000000" w:themeColor="text1"/>
          <w:sz w:val="24"/>
          <w:szCs w:val="24"/>
          <w:highlight w:val="none"/>
          <w:lang w:val="en-US" w:eastAsia="zh-CN"/>
          <w14:textFill>
            <w14:solidFill>
              <w14:schemeClr w14:val="tx1"/>
            </w14:solidFill>
          </w14:textFill>
        </w:rPr>
        <w:t>L</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evel</w:t>
      </w:r>
      <w:r>
        <w:rPr>
          <w:rFonts w:hint="eastAsia" w:ascii="Times New Roman" w:cs="宋体"/>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1</w:t>
      </w:r>
    </w:p>
    <w:p w14:paraId="3D670D61">
      <w:pPr>
        <w:pStyle w:val="11"/>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_Toc32180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 </w:t>
      </w:r>
      <w:r>
        <w:rPr>
          <w:rFonts w:hint="eastAsia" w:ascii="Times New Roman" w:cs="Times New Roman"/>
          <w:sz w:val="24"/>
          <w:szCs w:val="24"/>
          <w:highlight w:val="none"/>
          <w:lang w:val="en-US" w:eastAsia="zh-CN"/>
        </w:rPr>
        <w:t xml:space="preserve"> T</w:t>
      </w:r>
      <w:r>
        <w:rPr>
          <w:rFonts w:hint="default" w:ascii="Times New Roman" w:hAnsi="Times New Roman" w:eastAsia="宋体" w:cs="Times New Roman"/>
          <w:sz w:val="24"/>
          <w:szCs w:val="24"/>
          <w:highlight w:val="none"/>
          <w:lang w:val="en-US" w:eastAsia="zh-CN"/>
        </w:rPr>
        <w:t>reatment</w:t>
      </w:r>
      <w:r>
        <w:rPr>
          <w:rFonts w:hint="eastAsia" w:asci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 xml:space="preserve">of </w:t>
      </w:r>
      <w:r>
        <w:rPr>
          <w:rFonts w:hint="eastAsia" w:ascii="Times New Roman" w:cs="Times New Roman"/>
          <w:sz w:val="24"/>
          <w:szCs w:val="24"/>
          <w:highlight w:val="none"/>
          <w:lang w:val="en-US" w:eastAsia="zh-CN"/>
        </w:rPr>
        <w:t>U</w:t>
      </w:r>
      <w:r>
        <w:rPr>
          <w:rFonts w:hint="default" w:ascii="Times New Roman" w:hAnsi="Times New Roman" w:eastAsia="宋体" w:cs="Times New Roman"/>
          <w:sz w:val="24"/>
          <w:szCs w:val="24"/>
          <w:highlight w:val="none"/>
          <w:lang w:val="en-US" w:eastAsia="zh-CN"/>
        </w:rPr>
        <w:t xml:space="preserve">rban </w:t>
      </w:r>
      <w:r>
        <w:rPr>
          <w:rFonts w:hint="eastAsia" w:ascii="Times New Roman" w:cs="Times New Roman"/>
          <w:sz w:val="24"/>
          <w:szCs w:val="24"/>
          <w:highlight w:val="none"/>
          <w:lang w:val="en-US" w:eastAsia="zh-CN"/>
        </w:rPr>
        <w:t>F</w:t>
      </w:r>
      <w:r>
        <w:rPr>
          <w:rFonts w:hint="default" w:ascii="Times New Roman" w:hAnsi="Times New Roman" w:eastAsia="宋体" w:cs="Times New Roman"/>
          <w:sz w:val="24"/>
          <w:szCs w:val="24"/>
          <w:highlight w:val="none"/>
          <w:lang w:val="en-US" w:eastAsia="zh-CN"/>
        </w:rPr>
        <w:t>looding</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3</w:t>
      </w:r>
    </w:p>
    <w:p w14:paraId="73DC4F47">
      <w:pPr>
        <w:pStyle w:val="7"/>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_Toc23255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rPr>
        <w:t>General</w:t>
      </w:r>
      <w:r>
        <w:rPr>
          <w:rFonts w:hint="eastAsia" w:ascii="Times New Roman" w:cs="Times New Roman"/>
          <w:sz w:val="24"/>
          <w:szCs w:val="24"/>
          <w:lang w:val="en-US" w:eastAsia="zh-CN"/>
        </w:rPr>
        <w:t xml:space="preserve"> Requirements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3</w:t>
      </w:r>
    </w:p>
    <w:p w14:paraId="266534D6">
      <w:pPr>
        <w:pStyle w:val="7"/>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_Toc18471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5.2 （runoff） </w:t>
      </w:r>
      <w:r>
        <w:rPr>
          <w:rFonts w:hint="eastAsia" w:ascii="Times New Roman" w:cs="Times New Roman"/>
          <w:sz w:val="24"/>
          <w:szCs w:val="24"/>
          <w:highlight w:val="none"/>
          <w:lang w:val="en-US" w:eastAsia="zh-CN"/>
        </w:rPr>
        <w:t>S</w:t>
      </w:r>
      <w:r>
        <w:rPr>
          <w:rFonts w:hint="default" w:ascii="Times New Roman" w:hAnsi="Times New Roman" w:eastAsia="宋体" w:cs="Times New Roman"/>
          <w:sz w:val="24"/>
          <w:szCs w:val="24"/>
          <w:highlight w:val="none"/>
          <w:lang w:val="en-US" w:eastAsia="zh-CN"/>
        </w:rPr>
        <w:t xml:space="preserve">ource </w:t>
      </w:r>
      <w:r>
        <w:rPr>
          <w:rFonts w:hint="eastAsia" w:ascii="Times New Roman" w:cs="Times New Roman"/>
          <w:sz w:val="24"/>
          <w:szCs w:val="24"/>
          <w:highlight w:val="none"/>
          <w:lang w:val="en-US" w:eastAsia="zh-CN"/>
        </w:rPr>
        <w:t>C</w:t>
      </w:r>
      <w:r>
        <w:rPr>
          <w:rFonts w:hint="default" w:ascii="Times New Roman" w:hAnsi="Times New Roman" w:eastAsia="宋体" w:cs="Times New Roman"/>
          <w:sz w:val="24"/>
          <w:szCs w:val="24"/>
          <w:highlight w:val="none"/>
          <w:lang w:val="en-US" w:eastAsia="zh-CN"/>
        </w:rPr>
        <w:t xml:space="preserve">ontrol </w:t>
      </w:r>
      <w:r>
        <w:rPr>
          <w:rFonts w:hint="eastAsia" w:ascii="Times New Roman" w:cs="Times New Roman"/>
          <w:sz w:val="24"/>
          <w:szCs w:val="24"/>
          <w:highlight w:val="none"/>
          <w:lang w:val="en-US" w:eastAsia="zh-CN"/>
        </w:rPr>
        <w:t>F</w:t>
      </w:r>
      <w:r>
        <w:rPr>
          <w:rFonts w:hint="default" w:ascii="Times New Roman" w:hAnsi="Times New Roman" w:eastAsia="宋体" w:cs="Times New Roman"/>
          <w:sz w:val="24"/>
          <w:szCs w:val="24"/>
          <w:highlight w:val="none"/>
          <w:lang w:val="en-US" w:eastAsia="zh-CN"/>
        </w:rPr>
        <w:t>acilities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3</w:t>
      </w:r>
    </w:p>
    <w:p w14:paraId="782E6EF0">
      <w:pPr>
        <w:pStyle w:val="7"/>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_Toc1600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5.3 </w:t>
      </w:r>
      <w:r>
        <w:rPr>
          <w:rFonts w:hint="eastAsia" w:ascii="Times New Roman" w:cs="宋体"/>
          <w:color w:val="auto"/>
          <w:sz w:val="24"/>
          <w:szCs w:val="24"/>
          <w:highlight w:val="none"/>
          <w:lang w:val="en-US" w:eastAsia="zh-CN"/>
        </w:rPr>
        <w:t>D</w:t>
      </w:r>
      <w:r>
        <w:rPr>
          <w:rFonts w:hint="eastAsia" w:ascii="Times New Roman" w:hAnsi="Times New Roman" w:eastAsia="宋体" w:cs="宋体"/>
          <w:color w:val="auto"/>
          <w:sz w:val="24"/>
          <w:szCs w:val="24"/>
          <w:highlight w:val="none"/>
          <w:lang w:val="en-US" w:eastAsia="zh-CN"/>
        </w:rPr>
        <w:t xml:space="preserve">rainage </w:t>
      </w:r>
      <w:r>
        <w:rPr>
          <w:rFonts w:hint="eastAsia" w:ascii="Times New Roman" w:cs="宋体"/>
          <w:color w:val="auto"/>
          <w:sz w:val="24"/>
          <w:szCs w:val="24"/>
          <w:highlight w:val="none"/>
          <w:lang w:val="en-US" w:eastAsia="zh-CN"/>
        </w:rPr>
        <w:t>P</w:t>
      </w:r>
      <w:r>
        <w:rPr>
          <w:rFonts w:hint="eastAsia" w:ascii="Times New Roman" w:hAnsi="Times New Roman" w:eastAsia="宋体" w:cs="宋体"/>
          <w:color w:val="auto"/>
          <w:sz w:val="24"/>
          <w:szCs w:val="24"/>
          <w:highlight w:val="none"/>
          <w:lang w:val="en-US" w:eastAsia="zh-CN"/>
        </w:rPr>
        <w:t xml:space="preserve">ipe and </w:t>
      </w:r>
      <w:r>
        <w:rPr>
          <w:rFonts w:hint="eastAsia" w:ascii="Times New Roman" w:cs="宋体"/>
          <w:color w:val="auto"/>
          <w:sz w:val="24"/>
          <w:szCs w:val="24"/>
          <w:highlight w:val="none"/>
          <w:lang w:val="en-US" w:eastAsia="zh-CN"/>
        </w:rPr>
        <w:t>C</w:t>
      </w:r>
      <w:r>
        <w:rPr>
          <w:rFonts w:hint="eastAsia" w:ascii="Times New Roman" w:hAnsi="Times New Roman" w:eastAsia="宋体" w:cs="宋体"/>
          <w:color w:val="auto"/>
          <w:sz w:val="24"/>
          <w:szCs w:val="24"/>
          <w:highlight w:val="none"/>
          <w:lang w:val="en-US" w:eastAsia="zh-CN"/>
        </w:rPr>
        <w:t xml:space="preserve">hannel </w:t>
      </w:r>
      <w:r>
        <w:rPr>
          <w:rFonts w:hint="eastAsia" w:ascii="Times New Roman" w:cs="宋体"/>
          <w:color w:val="auto"/>
          <w:sz w:val="24"/>
          <w:szCs w:val="24"/>
          <w:highlight w:val="none"/>
          <w:lang w:val="en-US" w:eastAsia="zh-CN"/>
        </w:rPr>
        <w:t>F</w:t>
      </w:r>
      <w:r>
        <w:rPr>
          <w:rFonts w:hint="eastAsia" w:ascii="Times New Roman" w:hAnsi="Times New Roman" w:eastAsia="宋体" w:cs="宋体"/>
          <w:color w:val="auto"/>
          <w:sz w:val="24"/>
          <w:szCs w:val="24"/>
          <w:highlight w:val="none"/>
          <w:lang w:val="en-US" w:eastAsia="zh-CN"/>
        </w:rPr>
        <w:t>acilities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4</w:t>
      </w:r>
    </w:p>
    <w:p w14:paraId="1D5F4502">
      <w:pPr>
        <w:pStyle w:val="7"/>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_Toc15687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5.4 Drainage and </w:t>
      </w:r>
      <w:r>
        <w:rPr>
          <w:rFonts w:hint="eastAsia" w:ascii="Times New Roman" w:cs="Times New Roman"/>
          <w:sz w:val="24"/>
          <w:szCs w:val="24"/>
          <w:highlight w:val="none"/>
          <w:lang w:val="en-US" w:eastAsia="zh-CN"/>
        </w:rPr>
        <w:t>D</w:t>
      </w:r>
      <w:r>
        <w:rPr>
          <w:rFonts w:hint="default" w:ascii="Times New Roman" w:hAnsi="Times New Roman" w:eastAsia="宋体" w:cs="Times New Roman"/>
          <w:sz w:val="24"/>
          <w:szCs w:val="24"/>
          <w:highlight w:val="none"/>
          <w:lang w:val="en-US" w:eastAsia="zh-CN"/>
        </w:rPr>
        <w:t xml:space="preserve">anger </w:t>
      </w:r>
      <w:r>
        <w:rPr>
          <w:rFonts w:hint="eastAsia" w:ascii="Times New Roman" w:cs="Times New Roman"/>
          <w:sz w:val="24"/>
          <w:szCs w:val="24"/>
          <w:highlight w:val="none"/>
          <w:lang w:val="en-US" w:eastAsia="zh-CN"/>
        </w:rPr>
        <w:t>R</w:t>
      </w:r>
      <w:r>
        <w:rPr>
          <w:rFonts w:hint="default" w:ascii="Times New Roman" w:hAnsi="Times New Roman" w:eastAsia="宋体" w:cs="Times New Roman"/>
          <w:sz w:val="24"/>
          <w:szCs w:val="24"/>
          <w:highlight w:val="none"/>
          <w:lang w:val="en-US" w:eastAsia="zh-CN"/>
        </w:rPr>
        <w:t xml:space="preserve">emoval </w:t>
      </w:r>
      <w:r>
        <w:rPr>
          <w:rFonts w:hint="eastAsia" w:ascii="Times New Roman" w:cs="Times New Roman"/>
          <w:sz w:val="24"/>
          <w:szCs w:val="24"/>
          <w:highlight w:val="none"/>
          <w:lang w:val="en-US" w:eastAsia="zh-CN"/>
        </w:rPr>
        <w:t>F</w:t>
      </w:r>
      <w:r>
        <w:rPr>
          <w:rFonts w:hint="default" w:ascii="Times New Roman" w:hAnsi="Times New Roman" w:eastAsia="宋体" w:cs="Times New Roman"/>
          <w:sz w:val="24"/>
          <w:szCs w:val="24"/>
          <w:highlight w:val="none"/>
          <w:lang w:val="en-US" w:eastAsia="zh-CN"/>
        </w:rPr>
        <w:t>acilities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4</w:t>
      </w:r>
    </w:p>
    <w:p w14:paraId="683C8799">
      <w:pPr>
        <w:pStyle w:val="7"/>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_Toc31213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5.5 </w:t>
      </w:r>
      <w:r>
        <w:rPr>
          <w:rFonts w:hint="eastAsia" w:ascii="Times New Roman" w:cs="宋体"/>
          <w:color w:val="000000" w:themeColor="text1"/>
          <w:sz w:val="24"/>
          <w:szCs w:val="24"/>
          <w:lang w:val="en-US" w:eastAsia="zh-CN"/>
          <w14:textFill>
            <w14:solidFill>
              <w14:schemeClr w14:val="tx1"/>
            </w14:solidFill>
          </w14:textFill>
        </w:rPr>
        <w:t>U</w:t>
      </w:r>
      <w:r>
        <w:rPr>
          <w:rFonts w:hint="eastAsia" w:ascii="Times New Roman" w:hAnsi="Times New Roman" w:eastAsia="宋体" w:cs="宋体"/>
          <w:color w:val="000000" w:themeColor="text1"/>
          <w:sz w:val="24"/>
          <w:szCs w:val="24"/>
          <w:lang w:eastAsia="zh-CN"/>
          <w14:textFill>
            <w14:solidFill>
              <w14:schemeClr w14:val="tx1"/>
            </w14:solidFill>
          </w14:textFill>
        </w:rPr>
        <w:t>rban</w:t>
      </w:r>
      <w:r>
        <w:rPr>
          <w:rFonts w:hint="default" w:ascii="Times New Roman" w:hAnsi="Times New Roman" w:eastAsia="宋体" w:cs="Times New Roman"/>
          <w:sz w:val="24"/>
          <w:szCs w:val="24"/>
          <w:highlight w:val="none"/>
          <w:lang w:val="en-US" w:eastAsia="zh-CN"/>
        </w:rPr>
        <w:t xml:space="preserve"> </w:t>
      </w:r>
      <w:r>
        <w:rPr>
          <w:rFonts w:hint="eastAsia" w:ascii="Times New Roman" w:cs="Times New Roman"/>
          <w:sz w:val="24"/>
          <w:szCs w:val="24"/>
          <w:highlight w:val="none"/>
          <w:lang w:val="en-US" w:eastAsia="zh-CN"/>
        </w:rPr>
        <w:t>F</w:t>
      </w:r>
      <w:r>
        <w:rPr>
          <w:rFonts w:hint="default" w:ascii="Times New Roman" w:hAnsi="Times New Roman" w:eastAsia="宋体" w:cs="Times New Roman"/>
          <w:sz w:val="24"/>
          <w:szCs w:val="24"/>
          <w:highlight w:val="none"/>
          <w:lang w:val="en-US" w:eastAsia="zh-CN"/>
        </w:rPr>
        <w:t xml:space="preserve">looding </w:t>
      </w:r>
      <w:r>
        <w:rPr>
          <w:rFonts w:hint="eastAsia" w:ascii="Times New Roman" w:cs="Times New Roman"/>
          <w:sz w:val="24"/>
          <w:szCs w:val="24"/>
          <w:highlight w:val="none"/>
          <w:lang w:val="en-US" w:eastAsia="zh-CN"/>
        </w:rPr>
        <w:t>R</w:t>
      </w:r>
      <w:r>
        <w:rPr>
          <w:rFonts w:hint="default" w:ascii="Times New Roman" w:hAnsi="Times New Roman" w:eastAsia="宋体" w:cs="Times New Roman"/>
          <w:sz w:val="24"/>
          <w:szCs w:val="24"/>
          <w:highlight w:val="none"/>
          <w:lang w:val="en-US" w:eastAsia="zh-CN"/>
        </w:rPr>
        <w:t>revention</w:t>
      </w:r>
      <w:r>
        <w:rPr>
          <w:rFonts w:hint="eastAsia" w:ascii="Times New Roman" w:cs="Times New Roman"/>
          <w:sz w:val="24"/>
          <w:szCs w:val="24"/>
          <w:highlight w:val="none"/>
          <w:lang w:val="en-US" w:eastAsia="zh-CN"/>
        </w:rPr>
        <w:t xml:space="preserve"> of </w:t>
      </w:r>
      <w:r>
        <w:rPr>
          <w:rFonts w:hint="default" w:ascii="Times New Roman" w:hAnsi="Times New Roman" w:eastAsia="宋体" w:cs="Times New Roman"/>
          <w:sz w:val="24"/>
          <w:szCs w:val="24"/>
          <w:highlight w:val="none"/>
          <w:lang w:val="en-US" w:eastAsia="zh-CN"/>
        </w:rPr>
        <w:t xml:space="preserve">Underground </w:t>
      </w:r>
      <w:r>
        <w:rPr>
          <w:rFonts w:hint="eastAsia" w:ascii="Times New Roman" w:cs="Times New Roman"/>
          <w:sz w:val="24"/>
          <w:szCs w:val="24"/>
          <w:highlight w:val="none"/>
          <w:lang w:val="en-US" w:eastAsia="zh-CN"/>
        </w:rPr>
        <w:t>S</w:t>
      </w:r>
      <w:r>
        <w:rPr>
          <w:rFonts w:hint="default" w:ascii="Times New Roman" w:hAnsi="Times New Roman" w:eastAsia="宋体" w:cs="Times New Roman"/>
          <w:sz w:val="24"/>
          <w:szCs w:val="24"/>
          <w:highlight w:val="none"/>
          <w:lang w:val="en-US" w:eastAsia="zh-CN"/>
        </w:rPr>
        <w:t>pace</w:t>
      </w:r>
      <w:r>
        <w:rPr>
          <w:rFonts w:hint="eastAsia" w:ascii="Times New Roman" w:cs="Times New Roman"/>
          <w:sz w:val="24"/>
          <w:szCs w:val="24"/>
          <w:highlight w:val="none"/>
          <w:lang w:val="en-US" w:eastAsia="zh-CN"/>
        </w:rPr>
        <w:t xml:space="preserve"> </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5</w:t>
      </w:r>
    </w:p>
    <w:p w14:paraId="62455654">
      <w:pPr>
        <w:pStyle w:val="11"/>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_Toc15801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6 </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Operation Maintenance and </w:t>
      </w:r>
      <w:r>
        <w:rPr>
          <w:rFonts w:hint="eastAsia" w:ascii="Times New Roman" w:cs="Times New Roman"/>
          <w:sz w:val="24"/>
          <w:szCs w:val="24"/>
          <w:lang w:val="en-US" w:eastAsia="zh-CN"/>
        </w:rPr>
        <w:t>M</w:t>
      </w:r>
      <w:r>
        <w:rPr>
          <w:rFonts w:hint="default" w:ascii="Times New Roman" w:hAnsi="Times New Roman" w:eastAsia="宋体" w:cs="Times New Roman"/>
          <w:sz w:val="24"/>
          <w:szCs w:val="24"/>
          <w:lang w:val="en-US" w:eastAsia="zh-CN"/>
        </w:rPr>
        <w:t>anagement</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6</w:t>
      </w:r>
    </w:p>
    <w:p w14:paraId="25C19FD4">
      <w:pPr>
        <w:pStyle w:val="7"/>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_Toc26697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General</w:t>
      </w:r>
      <w:r>
        <w:rPr>
          <w:rFonts w:hint="eastAsia" w:ascii="Times New Roman" w:cs="Times New Roman"/>
          <w:sz w:val="24"/>
          <w:szCs w:val="24"/>
          <w:lang w:val="en-US" w:eastAsia="zh-CN"/>
        </w:rPr>
        <w:t xml:space="preserve"> Requirements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6</w:t>
      </w:r>
    </w:p>
    <w:p w14:paraId="262ED9D5">
      <w:pPr>
        <w:pStyle w:val="7"/>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_Toc7473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 Daily Maintenance</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6</w:t>
      </w:r>
    </w:p>
    <w:p w14:paraId="559AFBDA">
      <w:pPr>
        <w:pStyle w:val="7"/>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_Toc23905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6.3 Monitoring and </w:t>
      </w:r>
      <w:r>
        <w:rPr>
          <w:rFonts w:hint="eastAsia" w:ascii="Times New Roman" w:cs="Times New Roman"/>
          <w:sz w:val="24"/>
          <w:szCs w:val="24"/>
          <w:highlight w:val="none"/>
          <w:lang w:val="en-US" w:eastAsia="zh-CN"/>
        </w:rPr>
        <w:t>E</w:t>
      </w:r>
      <w:r>
        <w:rPr>
          <w:rFonts w:hint="default" w:ascii="Times New Roman" w:hAnsi="Times New Roman" w:eastAsia="宋体" w:cs="Times New Roman"/>
          <w:sz w:val="24"/>
          <w:szCs w:val="24"/>
          <w:highlight w:val="none"/>
          <w:lang w:val="en-US" w:eastAsia="zh-CN"/>
        </w:rPr>
        <w:t xml:space="preserve">arly </w:t>
      </w:r>
      <w:r>
        <w:rPr>
          <w:rFonts w:hint="eastAsia" w:ascii="Times New Roman" w:cs="Times New Roman"/>
          <w:sz w:val="24"/>
          <w:szCs w:val="24"/>
          <w:highlight w:val="none"/>
          <w:lang w:val="en-US" w:eastAsia="zh-CN"/>
        </w:rPr>
        <w:t>W</w:t>
      </w:r>
      <w:r>
        <w:rPr>
          <w:rFonts w:hint="default" w:ascii="Times New Roman" w:hAnsi="Times New Roman" w:eastAsia="宋体" w:cs="Times New Roman"/>
          <w:sz w:val="24"/>
          <w:szCs w:val="24"/>
          <w:highlight w:val="none"/>
          <w:lang w:val="en-US" w:eastAsia="zh-CN"/>
        </w:rPr>
        <w:t>arning</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8</w:t>
      </w:r>
    </w:p>
    <w:p w14:paraId="01573376">
      <w:pPr>
        <w:pStyle w:val="7"/>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_Toc18950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4 Emergency Management</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9</w:t>
      </w:r>
    </w:p>
    <w:p w14:paraId="433C2C7B">
      <w:pPr>
        <w:pStyle w:val="11"/>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_Toc24238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Appendix</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A </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Rainstorm </w:t>
      </w:r>
      <w:r>
        <w:rPr>
          <w:rFonts w:hint="eastAsia" w:ascii="Times New Roman" w:cs="Times New Roman"/>
          <w:sz w:val="24"/>
          <w:szCs w:val="24"/>
          <w:lang w:val="en-US" w:eastAsia="zh-CN"/>
        </w:rPr>
        <w:t>I</w:t>
      </w:r>
      <w:r>
        <w:rPr>
          <w:rFonts w:hint="default" w:ascii="Times New Roman" w:hAnsi="Times New Roman" w:eastAsia="宋体" w:cs="Times New Roman"/>
          <w:sz w:val="24"/>
          <w:szCs w:val="24"/>
          <w:lang w:val="en-US" w:eastAsia="zh-CN"/>
        </w:rPr>
        <w:t xml:space="preserve">ntensity </w:t>
      </w:r>
      <w:r>
        <w:rPr>
          <w:rFonts w:hint="eastAsia" w:ascii="Times New Roman" w:cs="Times New Roman"/>
          <w:sz w:val="24"/>
          <w:szCs w:val="24"/>
          <w:lang w:val="en-US" w:eastAsia="zh-CN"/>
        </w:rPr>
        <w:t>F</w:t>
      </w:r>
      <w:r>
        <w:rPr>
          <w:rFonts w:hint="default" w:ascii="Times New Roman" w:hAnsi="Times New Roman" w:eastAsia="宋体" w:cs="Times New Roman"/>
          <w:sz w:val="24"/>
          <w:szCs w:val="24"/>
          <w:lang w:val="en-US" w:eastAsia="zh-CN"/>
        </w:rPr>
        <w:t>ormula</w:t>
      </w:r>
      <w:r>
        <w:rPr>
          <w:rFonts w:hint="eastAsia" w:ascii="Times New Roman" w:cs="Times New Roman"/>
          <w:sz w:val="24"/>
          <w:szCs w:val="24"/>
          <w:lang w:val="en-US" w:eastAsia="zh-CN"/>
        </w:rPr>
        <w:t xml:space="preserve"> of Whole Province</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2</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1</w:t>
      </w:r>
    </w:p>
    <w:p w14:paraId="3DC17529">
      <w:pPr>
        <w:pStyle w:val="11"/>
        <w:tabs>
          <w:tab w:val="right" w:leader="dot" w:pos="8306"/>
          <w:tab w:val="clear" w:pos="9241"/>
        </w:tabs>
        <w:spacing w:line="44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_Toc10847 </w:instrText>
      </w:r>
      <w:r>
        <w:rPr>
          <w:rFonts w:hint="default" w:ascii="Times New Roman" w:hAnsi="Times New Roman" w:eastAsia="宋体" w:cs="Times New Roman"/>
          <w:sz w:val="24"/>
          <w:szCs w:val="24"/>
        </w:rPr>
        <w:fldChar w:fldCharType="separate"/>
      </w:r>
      <w:r>
        <w:rPr>
          <w:rFonts w:hint="eastAsia" w:ascii="Times New Roman" w:cs="Times New Roman"/>
          <w:sz w:val="24"/>
          <w:szCs w:val="24"/>
          <w:lang w:val="en-US" w:eastAsia="zh-CN"/>
        </w:rPr>
        <w:t>Explanation of Wording in This Specification</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2</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8</w:t>
      </w:r>
    </w:p>
    <w:p w14:paraId="095386E0">
      <w:pPr>
        <w:pStyle w:val="11"/>
        <w:tabs>
          <w:tab w:val="right" w:leader="dot" w:pos="8306"/>
          <w:tab w:val="clear" w:pos="9241"/>
        </w:tabs>
        <w:spacing w:line="36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_Toc7681 </w:instrText>
      </w:r>
      <w:r>
        <w:rPr>
          <w:rFonts w:hint="default" w:ascii="Times New Roman" w:hAnsi="Times New Roman" w:eastAsia="宋体" w:cs="Times New Roman"/>
          <w:sz w:val="24"/>
          <w:szCs w:val="24"/>
        </w:rPr>
        <w:fldChar w:fldCharType="separate"/>
      </w:r>
      <w:r>
        <w:rPr>
          <w:rFonts w:hint="eastAsia" w:ascii="Times New Roman" w:cs="Times New Roman"/>
          <w:sz w:val="24"/>
          <w:szCs w:val="24"/>
          <w:lang w:val="en-US" w:eastAsia="zh-CN"/>
        </w:rPr>
        <w:t>List of Quoted Standards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2</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9</w:t>
      </w:r>
    </w:p>
    <w:p w14:paraId="68FF3451">
      <w:pPr>
        <w:pStyle w:val="11"/>
        <w:tabs>
          <w:tab w:val="right" w:leader="dot" w:pos="8306"/>
          <w:tab w:val="clear" w:pos="9241"/>
        </w:tabs>
        <w:spacing w:line="36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_Toc7681 </w:instrText>
      </w:r>
      <w:r>
        <w:rPr>
          <w:rFonts w:hint="default" w:ascii="Times New Roman" w:hAnsi="Times New Roman" w:eastAsia="宋体" w:cs="Times New Roman"/>
          <w:sz w:val="24"/>
          <w:szCs w:val="24"/>
        </w:rPr>
        <w:fldChar w:fldCharType="separate"/>
      </w:r>
      <w:r>
        <w:rPr>
          <w:rFonts w:hint="eastAsia" w:ascii="Times New Roman" w:cs="Times New Roman"/>
          <w:sz w:val="24"/>
          <w:szCs w:val="24"/>
          <w:lang w:val="en-US" w:eastAsia="zh-CN"/>
        </w:rPr>
        <w:t>Addition:Explanation of Provisions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3</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1</w:t>
      </w:r>
    </w:p>
    <w:p w14:paraId="55072698">
      <w:pPr>
        <w:pStyle w:val="2"/>
        <w:jc w:val="center"/>
        <w:rPr>
          <w:rFonts w:hint="default" w:ascii="Times New Roman" w:hAnsi="Times New Roman" w:eastAsia="宋体" w:cs="Times New Roman"/>
          <w:szCs w:val="24"/>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5CE5072">
      <w:pPr>
        <w:pStyle w:val="2"/>
        <w:jc w:val="center"/>
        <w:rPr>
          <w:rFonts w:hint="eastAsia" w:ascii="Times New Roman" w:hAnsi="Times New Roman" w:eastAsia="宋体" w:cs="宋体"/>
          <w:color w:val="000000" w:themeColor="text1"/>
          <w:sz w:val="32"/>
          <w:szCs w:val="32"/>
          <w:lang w:eastAsia="zh-CN"/>
          <w14:textFill>
            <w14:solidFill>
              <w14:schemeClr w14:val="tx1"/>
            </w14:solidFill>
          </w14:textFill>
        </w:rPr>
      </w:pPr>
      <w:bookmarkStart w:id="58" w:name="_Toc19396"/>
      <w:r>
        <w:rPr>
          <w:rFonts w:hint="default" w:ascii="Times New Roman" w:hAnsi="Times New Roman" w:eastAsia="宋体" w:cs="Times New Roman"/>
          <w:szCs w:val="24"/>
        </w:rPr>
        <w:fldChar w:fldCharType="end"/>
      </w:r>
      <w:r>
        <w:rPr>
          <w:rFonts w:hint="eastAsia" w:ascii="Times New Roman" w:hAnsi="Times New Roman" w:eastAsia="宋体" w:cs="宋体"/>
          <w:color w:val="000000" w:themeColor="text1"/>
          <w:sz w:val="32"/>
          <w:szCs w:val="32"/>
          <w:lang w:val="en-US" w:eastAsia="zh-CN"/>
          <w14:textFill>
            <w14:solidFill>
              <w14:schemeClr w14:val="tx1"/>
            </w14:solidFill>
          </w14:textFill>
        </w:rPr>
        <w:t>1 总  则</w:t>
      </w:r>
      <w:bookmarkEnd w:id="57"/>
      <w:bookmarkEnd w:id="58"/>
    </w:p>
    <w:p w14:paraId="0AE06BE5">
      <w:pPr>
        <w:spacing w:line="360" w:lineRule="auto"/>
        <w:jc w:val="left"/>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color w:val="auto"/>
          <w:sz w:val="24"/>
          <w:szCs w:val="24"/>
        </w:rPr>
        <w:t>1.0.1</w:t>
      </w:r>
      <w:r>
        <w:rPr>
          <w:rFonts w:hint="eastAsia" w:ascii="Times New Roman" w:hAnsi="Times New Roman" w:eastAsia="宋体" w:cs="宋体"/>
          <w:b/>
          <w:color w:val="auto"/>
          <w:sz w:val="24"/>
          <w:szCs w:val="24"/>
          <w:lang w:val="en-US" w:eastAsia="zh-CN"/>
        </w:rPr>
        <w:t xml:space="preserve"> </w:t>
      </w:r>
      <w:r>
        <w:rPr>
          <w:rFonts w:hint="eastAsia" w:ascii="Times New Roman" w:hAnsi="Times New Roman" w:eastAsia="宋体" w:cs="宋体"/>
          <w:color w:val="auto"/>
          <w:sz w:val="24"/>
          <w:szCs w:val="24"/>
          <w:lang w:val="en-US" w:eastAsia="zh-CN"/>
        </w:rPr>
        <w:t>为合理评估城镇内涝风险，有效治理城镇内涝，加强城镇内涝防治设施运行维护及管理，保障人民生命、财产安全及城镇正常运行，制定本标准。</w:t>
      </w:r>
    </w:p>
    <w:p w14:paraId="476CD951">
      <w:pPr>
        <w:spacing w:line="360" w:lineRule="auto"/>
        <w:rPr>
          <w:rFonts w:hint="eastAsia" w:ascii="Times New Roman" w:hAnsi="Times New Roman" w:eastAsia="宋体" w:cs="宋体"/>
          <w:b/>
          <w:bCs/>
          <w:color w:val="FF0000"/>
          <w:sz w:val="24"/>
          <w:szCs w:val="24"/>
          <w:highlight w:val="none"/>
          <w:lang w:val="en-US" w:eastAsia="zh-CN"/>
        </w:rPr>
      </w:pPr>
      <w:r>
        <w:rPr>
          <w:rFonts w:hint="eastAsia" w:ascii="Times New Roman" w:hAnsi="Times New Roman" w:eastAsia="宋体" w:cs="宋体"/>
          <w:b/>
          <w:color w:val="auto"/>
          <w:sz w:val="24"/>
          <w:szCs w:val="24"/>
          <w:highlight w:val="none"/>
        </w:rPr>
        <w:t>1.0.2</w:t>
      </w:r>
      <w:r>
        <w:rPr>
          <w:rFonts w:hint="eastAsia" w:ascii="Times New Roman" w:hAnsi="Times New Roman" w:eastAsia="宋体" w:cs="宋体"/>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本标准适用于</w:t>
      </w:r>
      <w:r>
        <w:rPr>
          <w:rFonts w:hint="eastAsia" w:ascii="Times New Roman" w:hAnsi="Times New Roman" w:eastAsia="宋体" w:cs="宋体"/>
          <w:color w:val="auto"/>
          <w:sz w:val="24"/>
          <w:szCs w:val="24"/>
          <w:highlight w:val="none"/>
          <w:lang w:val="en-US" w:eastAsia="zh-CN"/>
        </w:rPr>
        <w:t>广东省城镇内涝的风险评估、治理以及内涝防治设施的运行维护。</w:t>
      </w:r>
    </w:p>
    <w:p w14:paraId="6291FAAC">
      <w:pPr>
        <w:spacing w:line="360" w:lineRule="auto"/>
        <w:rPr>
          <w:rFonts w:hint="eastAsia" w:ascii="Times New Roman" w:hAnsi="Times New Roman" w:eastAsia="宋体" w:cs="宋体"/>
          <w:b/>
          <w:color w:val="000000" w:themeColor="text1"/>
          <w:sz w:val="24"/>
          <w:szCs w:val="24"/>
          <w:highlight w:val="yellow"/>
          <w:lang w:val="en-US"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1.0.3</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城镇内涝风险评估应遵循方法正确、数据准确、结论明确的原则，</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城镇内涝治理</w:t>
      </w:r>
      <w:r>
        <w:rPr>
          <w:rFonts w:hint="eastAsia" w:ascii="Times New Roman" w:hAnsi="Times New Roman" w:eastAsia="宋体" w:cs="宋体"/>
          <w:color w:val="000000" w:themeColor="text1"/>
          <w:sz w:val="24"/>
          <w:szCs w:val="24"/>
          <w:lang w:val="en-US" w:eastAsia="zh-CN"/>
          <w14:textFill>
            <w14:solidFill>
              <w14:schemeClr w14:val="tx1"/>
            </w14:solidFill>
          </w14:textFill>
        </w:rPr>
        <w:t>应遵循近远结合、绿灰结合、标本兼治、因地制宜和综合治理的原则。</w:t>
      </w:r>
    </w:p>
    <w:p w14:paraId="5DEA8FBE">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1.0.4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城镇</w:t>
      </w:r>
      <w:r>
        <w:rPr>
          <w:rFonts w:hint="eastAsia" w:ascii="Times New Roman" w:hAnsi="Times New Roman" w:eastAsia="宋体" w:cs="宋体"/>
          <w:color w:val="auto"/>
          <w:sz w:val="24"/>
          <w:szCs w:val="24"/>
          <w:highlight w:val="none"/>
          <w:lang w:val="en-US" w:eastAsia="zh-CN"/>
        </w:rPr>
        <w:t>内涝的风险评估、治理及内涝防治设施</w:t>
      </w:r>
      <w:r>
        <w:rPr>
          <w:rFonts w:hint="eastAsia" w:ascii="Times New Roman" w:hAnsi="Times New Roman" w:eastAsia="宋体" w:cs="宋体"/>
          <w:color w:val="000000" w:themeColor="text1"/>
          <w:sz w:val="24"/>
          <w:szCs w:val="24"/>
          <w:lang w:val="en-US" w:eastAsia="zh-CN"/>
          <w14:textFill>
            <w14:solidFill>
              <w14:schemeClr w14:val="tx1"/>
            </w14:solidFill>
          </w14:textFill>
        </w:rPr>
        <w:t>的建设与运行维护</w:t>
      </w:r>
      <w:r>
        <w:rPr>
          <w:rFonts w:hint="eastAsia" w:ascii="Times New Roman" w:hAnsi="Times New Roman" w:eastAsia="宋体" w:cs="宋体"/>
          <w:color w:val="000000" w:themeColor="text1"/>
          <w:sz w:val="24"/>
          <w:szCs w:val="24"/>
          <w14:textFill>
            <w14:solidFill>
              <w14:schemeClr w14:val="tx1"/>
            </w14:solidFill>
          </w14:textFill>
        </w:rPr>
        <w:t>除应符合本标准外，尚应符合</w:t>
      </w:r>
      <w:r>
        <w:rPr>
          <w:rFonts w:hint="eastAsia" w:ascii="Times New Roman" w:hAnsi="Times New Roman" w:eastAsia="宋体" w:cs="宋体"/>
          <w:color w:val="000000" w:themeColor="text1"/>
          <w:sz w:val="24"/>
          <w:szCs w:val="24"/>
          <w:lang w:val="en-US" w:eastAsia="zh-CN"/>
          <w14:textFill>
            <w14:solidFill>
              <w14:schemeClr w14:val="tx1"/>
            </w14:solidFill>
          </w14:textFill>
        </w:rPr>
        <w:t>现行</w:t>
      </w:r>
      <w:r>
        <w:rPr>
          <w:rFonts w:hint="eastAsia" w:ascii="Times New Roman" w:hAnsi="Times New Roman" w:eastAsia="宋体" w:cs="宋体"/>
          <w:color w:val="000000" w:themeColor="text1"/>
          <w:sz w:val="24"/>
          <w:szCs w:val="24"/>
          <w14:textFill>
            <w14:solidFill>
              <w14:schemeClr w14:val="tx1"/>
            </w14:solidFill>
          </w14:textFill>
        </w:rPr>
        <w:t>国家、行业</w:t>
      </w:r>
      <w:r>
        <w:rPr>
          <w:rFonts w:hint="eastAsia" w:ascii="Times New Roman" w:hAnsi="Times New Roman" w:eastAsia="宋体" w:cs="宋体"/>
          <w:color w:val="000000" w:themeColor="text1"/>
          <w:sz w:val="24"/>
          <w:szCs w:val="24"/>
          <w:lang w:val="en-US" w:eastAsia="zh-CN"/>
          <w14:textFill>
            <w14:solidFill>
              <w14:schemeClr w14:val="tx1"/>
            </w14:solidFill>
          </w14:textFill>
        </w:rPr>
        <w:t>标准</w:t>
      </w:r>
      <w:r>
        <w:rPr>
          <w:rFonts w:hint="eastAsia" w:ascii="Times New Roman" w:hAnsi="Times New Roman" w:eastAsia="宋体" w:cs="宋体"/>
          <w:color w:val="000000" w:themeColor="text1"/>
          <w:sz w:val="24"/>
          <w:szCs w:val="24"/>
          <w14:textFill>
            <w14:solidFill>
              <w14:schemeClr w14:val="tx1"/>
            </w14:solidFill>
          </w14:textFill>
        </w:rPr>
        <w:t>和</w:t>
      </w:r>
      <w:r>
        <w:rPr>
          <w:rFonts w:hint="eastAsia" w:ascii="Times New Roman" w:hAnsi="Times New Roman" w:eastAsia="宋体" w:cs="宋体"/>
          <w:color w:val="000000" w:themeColor="text1"/>
          <w:sz w:val="24"/>
          <w:szCs w:val="24"/>
          <w:lang w:val="en-US" w:eastAsia="zh-CN"/>
          <w14:textFill>
            <w14:solidFill>
              <w14:schemeClr w14:val="tx1"/>
            </w14:solidFill>
          </w14:textFill>
        </w:rPr>
        <w:t>相关法律法规</w:t>
      </w:r>
      <w:r>
        <w:rPr>
          <w:rFonts w:hint="eastAsia" w:ascii="Times New Roman" w:hAnsi="Times New Roman" w:eastAsia="宋体" w:cs="宋体"/>
          <w:color w:val="000000" w:themeColor="text1"/>
          <w:sz w:val="24"/>
          <w:szCs w:val="24"/>
          <w14:textFill>
            <w14:solidFill>
              <w14:schemeClr w14:val="tx1"/>
            </w14:solidFill>
          </w14:textFill>
        </w:rPr>
        <w:t>的规定。</w:t>
      </w:r>
    </w:p>
    <w:p w14:paraId="17012963">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p>
    <w:p w14:paraId="389D329F">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14:paraId="75F51AC0">
      <w:pPr>
        <w:spacing w:line="360" w:lineRule="auto"/>
        <w:rPr>
          <w:rFonts w:hint="eastAsia" w:ascii="Times New Roman" w:hAnsi="Times New Roman" w:eastAsia="宋体" w:cs="宋体"/>
          <w:color w:val="000000" w:themeColor="text1"/>
          <w:sz w:val="24"/>
          <w:szCs w:val="24"/>
          <w14:textFill>
            <w14:solidFill>
              <w14:schemeClr w14:val="tx1"/>
            </w14:solidFill>
          </w14:textFill>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6A70E98">
      <w:pPr>
        <w:pStyle w:val="2"/>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59" w:name="_Toc10420"/>
      <w:bookmarkStart w:id="60" w:name="_Toc24421"/>
      <w:bookmarkStart w:id="61" w:name="_Toc10870"/>
      <w:bookmarkStart w:id="62" w:name="_Toc57819217"/>
      <w:r>
        <w:rPr>
          <w:rFonts w:hint="eastAsia" w:ascii="Times New Roman" w:hAnsi="Times New Roman" w:eastAsia="宋体" w:cs="宋体"/>
          <w:color w:val="000000" w:themeColor="text1"/>
          <w:sz w:val="32"/>
          <w:szCs w:val="32"/>
          <w14:textFill>
            <w14:solidFill>
              <w14:schemeClr w14:val="tx1"/>
            </w14:solidFill>
          </w14:textFill>
        </w:rPr>
        <w:t>2</w:t>
      </w:r>
      <w:r>
        <w:rPr>
          <w:rFonts w:hint="eastAsia" w:ascii="Times New Roman" w:hAnsi="Times New Roman" w:eastAsia="宋体" w:cs="宋体"/>
          <w:color w:val="000000" w:themeColor="text1"/>
          <w:sz w:val="32"/>
          <w:szCs w:val="32"/>
          <w:lang w:val="en-US" w:eastAsia="zh-CN"/>
          <w14:textFill>
            <w14:solidFill>
              <w14:schemeClr w14:val="tx1"/>
            </w14:solidFill>
          </w14:textFill>
        </w:rPr>
        <w:t xml:space="preserve"> </w:t>
      </w:r>
      <w:r>
        <w:rPr>
          <w:rFonts w:hint="eastAsia" w:ascii="Times New Roman" w:hAnsi="Times New Roman" w:eastAsia="宋体" w:cs="宋体"/>
          <w:color w:val="000000" w:themeColor="text1"/>
          <w:sz w:val="32"/>
          <w:szCs w:val="32"/>
          <w14:textFill>
            <w14:solidFill>
              <w14:schemeClr w14:val="tx1"/>
            </w14:solidFill>
          </w14:textFill>
        </w:rPr>
        <w:t>术</w:t>
      </w:r>
      <w:r>
        <w:rPr>
          <w:rFonts w:hint="eastAsia" w:ascii="Times New Roman" w:hAnsi="Times New Roman" w:eastAsia="宋体" w:cs="宋体"/>
          <w:color w:val="000000" w:themeColor="text1"/>
          <w:sz w:val="32"/>
          <w:szCs w:val="32"/>
          <w:lang w:val="en-US" w:eastAsia="zh-CN"/>
          <w14:textFill>
            <w14:solidFill>
              <w14:schemeClr w14:val="tx1"/>
            </w14:solidFill>
          </w14:textFill>
        </w:rPr>
        <w:t xml:space="preserve">  </w:t>
      </w:r>
      <w:r>
        <w:rPr>
          <w:rFonts w:hint="eastAsia" w:ascii="Times New Roman" w:hAnsi="Times New Roman" w:eastAsia="宋体" w:cs="宋体"/>
          <w:color w:val="000000" w:themeColor="text1"/>
          <w:sz w:val="32"/>
          <w:szCs w:val="32"/>
          <w14:textFill>
            <w14:solidFill>
              <w14:schemeClr w14:val="tx1"/>
            </w14:solidFill>
          </w14:textFill>
        </w:rPr>
        <w:t>语</w:t>
      </w:r>
      <w:bookmarkEnd w:id="59"/>
      <w:bookmarkEnd w:id="60"/>
      <w:bookmarkEnd w:id="61"/>
      <w:bookmarkEnd w:id="62"/>
    </w:p>
    <w:p w14:paraId="50DBB48F">
      <w:pPr>
        <w:spacing w:line="360" w:lineRule="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0</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1 </w:t>
      </w:r>
      <w:r>
        <w:rPr>
          <w:rFonts w:hint="eastAsia" w:ascii="Times New Roman" w:hAnsi="Times New Roman" w:eastAsia="宋体" w:cs="宋体"/>
          <w:color w:val="000000" w:themeColor="text1"/>
          <w:sz w:val="24"/>
          <w:szCs w:val="24"/>
          <w14:textFill>
            <w14:solidFill>
              <w14:schemeClr w14:val="tx1"/>
            </w14:solidFill>
          </w14:textFill>
        </w:rPr>
        <w:t>城镇内涝</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lang w:val="en-US" w:eastAsia="zh-CN"/>
          <w14:textFill>
            <w14:solidFill>
              <w14:schemeClr w14:val="tx1"/>
            </w14:solidFill>
          </w14:textFill>
        </w:rPr>
        <w:t>urban flooding</w:t>
      </w:r>
    </w:p>
    <w:p w14:paraId="172DC8CE">
      <w:pPr>
        <w:spacing w:line="360" w:lineRule="auto"/>
        <w:ind w:firstLine="480"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城镇范围内的强降雨或连续性降雨超过城镇雨水设施消纳能力，导致城镇地面产生积水的现象。</w:t>
      </w:r>
    </w:p>
    <w:p w14:paraId="32B1C1E6">
      <w:pPr>
        <w:spacing w:line="360" w:lineRule="auto"/>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2.0.2</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内涝风险  risk of </w:t>
      </w:r>
      <w:r>
        <w:rPr>
          <w:rFonts w:hint="eastAsia" w:ascii="Times New Roman" w:hAnsi="Times New Roman" w:eastAsia="宋体" w:cs="宋体"/>
          <w:color w:val="000000" w:themeColor="text1"/>
          <w:sz w:val="24"/>
          <w:szCs w:val="24"/>
          <w:lang w:eastAsia="zh-CN"/>
          <w14:textFill>
            <w14:solidFill>
              <w14:schemeClr w14:val="tx1"/>
            </w14:solidFill>
          </w14:textFill>
        </w:rPr>
        <w:t>urban flooding</w:t>
      </w:r>
    </w:p>
    <w:p w14:paraId="2B8BF6AC">
      <w:pPr>
        <w:spacing w:line="360" w:lineRule="auto"/>
        <w:ind w:firstLine="480"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因强降雨或连续降雨超过城镇雨水设施消纳能力致使城镇内产生积水灾害的可能性及引起的危险程度。</w:t>
      </w:r>
    </w:p>
    <w:p w14:paraId="4BBC94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000000" w:themeColor="text1"/>
          <w:sz w:val="24"/>
          <w:szCs w:val="24"/>
          <w:highlight w:val="none"/>
          <w:lang w:val="en-US" w:eastAsia="zh-CN"/>
          <w14:textFill>
            <w14:solidFill>
              <w14:schemeClr w14:val="tx1"/>
            </w14:solidFill>
          </w14:textFill>
        </w:rPr>
        <w:t xml:space="preserve">2.0.3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内涝风险评估 </w:t>
      </w:r>
      <w:r>
        <w:rPr>
          <w:rFonts w:hint="eastAsia" w:ascii="Times New Roman" w:hAnsi="Times New Roman"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risk assessment of </w:t>
      </w:r>
      <w:r>
        <w:rPr>
          <w:rFonts w:hint="eastAsia" w:ascii="Times New Roman" w:hAnsi="Times New Roman" w:eastAsia="宋体" w:cs="宋体"/>
          <w:color w:val="000000" w:themeColor="text1"/>
          <w:sz w:val="24"/>
          <w:szCs w:val="24"/>
          <w:lang w:eastAsia="zh-CN"/>
          <w14:textFill>
            <w14:solidFill>
              <w14:schemeClr w14:val="tx1"/>
            </w14:solidFill>
          </w14:textFill>
        </w:rPr>
        <w:t>urban flooding</w:t>
      </w:r>
    </w:p>
    <w:p w14:paraId="6E23A3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采用统计分析、数学模型或仿真分析等手段分析技术状况值、计算内涝风险值，评价内涝风险等级的全过程。</w:t>
      </w:r>
    </w:p>
    <w:p w14:paraId="68FB62B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000000" w:themeColor="text1"/>
          <w:sz w:val="24"/>
          <w:szCs w:val="24"/>
          <w:highlight w:val="none"/>
          <w:lang w:val="en-US" w:eastAsia="zh-CN"/>
          <w14:textFill>
            <w14:solidFill>
              <w14:schemeClr w14:val="tx1"/>
            </w14:solidFill>
          </w14:textFill>
        </w:rPr>
        <w:t xml:space="preserve">2.0.4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技术状况值 </w:t>
      </w:r>
      <w:r>
        <w:rPr>
          <w:rFonts w:hint="eastAsia" w:ascii="Times New Roman" w:hAnsi="Times New Roman"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lang w:eastAsia="zh-CN"/>
          <w14:textFill>
            <w14:solidFill>
              <w14:schemeClr w14:val="tx1"/>
            </w14:solidFill>
          </w14:textFill>
        </w:rPr>
        <w:t>technical state</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value</w:t>
      </w:r>
    </w:p>
    <w:p w14:paraId="11C0C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auto"/>
          <w:sz w:val="24"/>
          <w:szCs w:val="24"/>
          <w:lang w:val="en-US" w:eastAsia="zh-CN"/>
        </w:rPr>
        <w:t>根据积水深度、积水时间、积水范围、水流速度的区间范围而确定的评定分值。</w:t>
      </w:r>
    </w:p>
    <w:p w14:paraId="3F341E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000000" w:themeColor="text1"/>
          <w:sz w:val="24"/>
          <w:szCs w:val="24"/>
          <w:highlight w:val="none"/>
          <w:lang w:val="en-US" w:eastAsia="zh-CN"/>
          <w14:textFill>
            <w14:solidFill>
              <w14:schemeClr w14:val="tx1"/>
            </w14:solidFill>
          </w14:textFill>
        </w:rPr>
        <w:t xml:space="preserve">2.0.5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内涝风险值 </w:t>
      </w:r>
      <w:r>
        <w:rPr>
          <w:rFonts w:hint="eastAsia" w:ascii="Times New Roman" w:hAnsi="Times New Roman"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risk value of </w:t>
      </w:r>
      <w:r>
        <w:rPr>
          <w:rFonts w:hint="eastAsia" w:ascii="Times New Roman" w:hAnsi="Times New Roman" w:eastAsia="宋体" w:cs="宋体"/>
          <w:color w:val="000000" w:themeColor="text1"/>
          <w:sz w:val="24"/>
          <w:szCs w:val="24"/>
          <w:lang w:eastAsia="zh-CN"/>
          <w14:textFill>
            <w14:solidFill>
              <w14:schemeClr w14:val="tx1"/>
            </w14:solidFill>
          </w14:textFill>
        </w:rPr>
        <w:t>urban flooding</w:t>
      </w:r>
    </w:p>
    <w:p w14:paraId="2D30B5D1">
      <w:pPr>
        <w:spacing w:line="360" w:lineRule="auto"/>
        <w:ind w:firstLine="480" w:firstLineChars="200"/>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根据技术状况值、各影响因素的权重、城区类型影响系数等综合计算得出的用于评估内涝风险大小的定量值。</w:t>
      </w:r>
    </w:p>
    <w:p w14:paraId="21BAAC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000000" w:themeColor="text1"/>
          <w:sz w:val="24"/>
          <w:szCs w:val="24"/>
          <w:highlight w:val="none"/>
          <w:lang w:val="en-US" w:eastAsia="zh-CN"/>
          <w14:textFill>
            <w14:solidFill>
              <w14:schemeClr w14:val="tx1"/>
            </w14:solidFill>
          </w14:textFill>
        </w:rPr>
        <w:t xml:space="preserve">2.0.6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内涝风险等级 </w:t>
      </w:r>
      <w:r>
        <w:rPr>
          <w:rFonts w:hint="eastAsia" w:ascii="Times New Roman" w:hAnsi="Times New Roman"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risk level of </w:t>
      </w:r>
      <w:r>
        <w:rPr>
          <w:rFonts w:hint="eastAsia" w:ascii="Times New Roman" w:hAnsi="Times New Roman" w:eastAsia="宋体" w:cs="宋体"/>
          <w:color w:val="000000" w:themeColor="text1"/>
          <w:sz w:val="24"/>
          <w:szCs w:val="24"/>
          <w:lang w:eastAsia="zh-CN"/>
          <w14:textFill>
            <w14:solidFill>
              <w14:schemeClr w14:val="tx1"/>
            </w14:solidFill>
          </w14:textFill>
        </w:rPr>
        <w:t>urban flooding</w:t>
      </w:r>
    </w:p>
    <w:p w14:paraId="7AB24E82">
      <w:pPr>
        <w:spacing w:line="360" w:lineRule="auto"/>
        <w:ind w:firstLine="480" w:firstLineChars="200"/>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根据内涝风险值的区间范围而划分的用于评估内涝风险程度的定性值。</w:t>
      </w:r>
    </w:p>
    <w:p w14:paraId="46B21F3F">
      <w:pPr>
        <w:spacing w:line="360" w:lineRule="auto"/>
        <w:rPr>
          <w:rFonts w:hint="eastAsia" w:ascii="Times New Roman" w:hAnsi="Times New Roman" w:eastAsia="宋体" w:cs="宋体"/>
          <w:b/>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2.0.7 </w:t>
      </w:r>
      <w:r>
        <w:rPr>
          <w:rFonts w:hint="eastAsia" w:ascii="Times New Roman" w:hAnsi="Times New Roman" w:eastAsia="宋体" w:cs="宋体"/>
          <w:color w:val="000000" w:themeColor="text1"/>
          <w:sz w:val="24"/>
          <w:szCs w:val="24"/>
          <w:lang w:val="en-US" w:eastAsia="zh-CN"/>
          <w14:textFill>
            <w14:solidFill>
              <w14:schemeClr w14:val="tx1"/>
            </w14:solidFill>
          </w14:textFill>
        </w:rPr>
        <w:t>城镇内涝</w:t>
      </w:r>
      <w:r>
        <w:rPr>
          <w:rFonts w:hint="eastAsia" w:ascii="Times New Roman" w:hAnsi="Times New Roman" w:eastAsia="宋体" w:cs="宋体"/>
          <w:color w:val="auto"/>
          <w:sz w:val="24"/>
          <w:szCs w:val="24"/>
          <w:highlight w:val="none"/>
          <w:lang w:val="en-US" w:eastAsia="zh-CN"/>
        </w:rPr>
        <w:t>防治</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系统  </w:t>
      </w:r>
      <w:r>
        <w:rPr>
          <w:rFonts w:hint="eastAsia" w:ascii="Times New Roman" w:hAnsi="Times New Roman" w:eastAsia="宋体" w:cs="宋体"/>
          <w:color w:val="000000" w:themeColor="text1"/>
          <w:sz w:val="24"/>
          <w:szCs w:val="24"/>
          <w:lang w:eastAsia="zh-CN"/>
          <w14:textFill>
            <w14:solidFill>
              <w14:schemeClr w14:val="tx1"/>
            </w14:solidFill>
          </w14:textFill>
        </w:rPr>
        <w:t xml:space="preserve">urban flooding prevention and control system </w:t>
      </w:r>
    </w:p>
    <w:p w14:paraId="5EE4AB16">
      <w:pPr>
        <w:spacing w:line="360" w:lineRule="auto"/>
        <w:ind w:firstLine="480"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用于防止和应对城镇内涝的工程性设施和非工程性措施以一定方式组合成的总体，包括雨水渗透、收集、输送、调蓄、行泄、处理和利用的自然和人工设施以及管理措施等。</w:t>
      </w:r>
    </w:p>
    <w:p w14:paraId="60C6C2EA">
      <w:pPr>
        <w:spacing w:line="360" w:lineRule="auto"/>
        <w:ind w:left="0" w:leftChars="0" w:firstLine="0" w:firstLineChars="0"/>
        <w:rPr>
          <w:rFonts w:hint="eastAsia" w:ascii="Times New Roman" w:hAnsi="Times New Roman" w:eastAsia="宋体" w:cs="宋体"/>
          <w:b w:val="0"/>
          <w:bCs/>
          <w:color w:val="auto"/>
          <w:sz w:val="24"/>
          <w:szCs w:val="24"/>
        </w:rPr>
      </w:pPr>
      <w:r>
        <w:rPr>
          <w:rFonts w:hint="eastAsia" w:ascii="Times New Roman" w:hAnsi="Times New Roman" w:eastAsia="宋体" w:cs="宋体"/>
          <w:b/>
          <w:color w:val="auto"/>
          <w:sz w:val="24"/>
          <w:szCs w:val="24"/>
        </w:rPr>
        <w:t>2.</w:t>
      </w:r>
      <w:r>
        <w:rPr>
          <w:rFonts w:hint="eastAsia" w:ascii="Times New Roman" w:hAnsi="Times New Roman" w:eastAsia="宋体" w:cs="宋体"/>
          <w:b/>
          <w:color w:val="auto"/>
          <w:sz w:val="24"/>
          <w:szCs w:val="24"/>
          <w:lang w:val="en-US" w:eastAsia="zh-CN"/>
        </w:rPr>
        <w:t>0</w:t>
      </w:r>
      <w:r>
        <w:rPr>
          <w:rFonts w:hint="eastAsia" w:ascii="Times New Roman" w:hAnsi="Times New Roman" w:eastAsia="宋体" w:cs="宋体"/>
          <w:b/>
          <w:color w:val="auto"/>
          <w:sz w:val="24"/>
          <w:szCs w:val="24"/>
        </w:rPr>
        <w:t>.</w:t>
      </w:r>
      <w:r>
        <w:rPr>
          <w:rFonts w:hint="eastAsia" w:ascii="Times New Roman" w:hAnsi="Times New Roman" w:eastAsia="宋体" w:cs="宋体"/>
          <w:b/>
          <w:color w:val="auto"/>
          <w:sz w:val="24"/>
          <w:szCs w:val="24"/>
          <w:lang w:val="en-US" w:eastAsia="zh-CN"/>
        </w:rPr>
        <w:t>8</w:t>
      </w:r>
      <w:r>
        <w:rPr>
          <w:rFonts w:hint="eastAsia" w:ascii="Times New Roman" w:hAnsi="Times New Roman" w:eastAsia="宋体" w:cs="宋体"/>
          <w:b/>
          <w:color w:val="auto"/>
          <w:sz w:val="24"/>
          <w:szCs w:val="24"/>
        </w:rPr>
        <w:t xml:space="preserve"> </w:t>
      </w:r>
      <w:r>
        <w:rPr>
          <w:rFonts w:hint="eastAsia" w:ascii="Times New Roman" w:hAnsi="Times New Roman" w:eastAsia="宋体" w:cs="宋体"/>
          <w:b w:val="0"/>
          <w:bCs/>
          <w:color w:val="auto"/>
          <w:sz w:val="24"/>
          <w:szCs w:val="24"/>
        </w:rPr>
        <w:t>设计暴雨</w:t>
      </w:r>
      <w:r>
        <w:rPr>
          <w:rFonts w:hint="eastAsia" w:ascii="Times New Roman" w:hAnsi="Times New Roman" w:eastAsia="宋体" w:cs="宋体"/>
          <w:b w:val="0"/>
          <w:bCs/>
          <w:color w:val="auto"/>
          <w:sz w:val="24"/>
          <w:szCs w:val="24"/>
          <w:lang w:val="en-US" w:eastAsia="zh-CN"/>
        </w:rPr>
        <w:t xml:space="preserve"> </w:t>
      </w:r>
      <w:r>
        <w:rPr>
          <w:rFonts w:hint="eastAsia" w:ascii="Times New Roman" w:hAnsi="Times New Roman" w:eastAsia="宋体" w:cs="宋体"/>
          <w:b w:val="0"/>
          <w:bCs/>
          <w:color w:val="auto"/>
          <w:sz w:val="24"/>
          <w:szCs w:val="24"/>
        </w:rPr>
        <w:t xml:space="preserve"> design storm</w:t>
      </w:r>
    </w:p>
    <w:p w14:paraId="2E6483DD">
      <w:pPr>
        <w:spacing w:line="360" w:lineRule="auto"/>
        <w:ind w:firstLine="480" w:firstLineChars="200"/>
        <w:rPr>
          <w:rFonts w:hint="eastAsia"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内涝防治系统设计依据</w:t>
      </w:r>
      <w:r>
        <w:rPr>
          <w:rFonts w:hint="eastAsia" w:ascii="Times New Roman" w:hAnsi="Times New Roman" w:eastAsia="宋体" w:cs="宋体"/>
          <w:color w:val="auto"/>
          <w:sz w:val="24"/>
          <w:szCs w:val="24"/>
          <w:lang w:val="en-US" w:eastAsia="zh-CN"/>
        </w:rPr>
        <w:t>所</w:t>
      </w:r>
      <w:r>
        <w:rPr>
          <w:rFonts w:hint="eastAsia" w:ascii="Times New Roman" w:hAnsi="Times New Roman" w:eastAsia="宋体" w:cs="宋体"/>
          <w:color w:val="auto"/>
          <w:sz w:val="24"/>
          <w:szCs w:val="24"/>
          <w:lang w:eastAsia="zh-CN"/>
        </w:rPr>
        <w:t>拟定的、符合指定设计标准的、当地可能出现的</w:t>
      </w:r>
      <w:r>
        <w:rPr>
          <w:rFonts w:hint="eastAsia" w:ascii="Times New Roman" w:hAnsi="Times New Roman" w:eastAsia="宋体" w:cs="宋体"/>
          <w:color w:val="auto"/>
          <w:sz w:val="24"/>
          <w:szCs w:val="24"/>
          <w:lang w:val="en-US" w:eastAsia="zh-CN"/>
        </w:rPr>
        <w:t>一次</w:t>
      </w:r>
      <w:r>
        <w:rPr>
          <w:rFonts w:hint="eastAsia" w:ascii="Times New Roman" w:hAnsi="Times New Roman" w:eastAsia="宋体" w:cs="宋体"/>
          <w:color w:val="auto"/>
          <w:sz w:val="24"/>
          <w:szCs w:val="24"/>
          <w:lang w:eastAsia="zh-CN"/>
        </w:rPr>
        <w:t>暴雨，即设计条件。</w:t>
      </w:r>
    </w:p>
    <w:p w14:paraId="7C14FBB5">
      <w:pPr>
        <w:spacing w:line="360" w:lineRule="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0</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9 </w:t>
      </w:r>
      <w:r>
        <w:rPr>
          <w:rFonts w:hint="eastAsia" w:ascii="Times New Roman" w:hAnsi="Times New Roman" w:eastAsia="宋体" w:cs="宋体"/>
          <w:color w:val="000000" w:themeColor="text1"/>
          <w:sz w:val="24"/>
          <w:szCs w:val="24"/>
          <w:lang w:eastAsia="zh-CN"/>
          <w14:textFill>
            <w14:solidFill>
              <w14:schemeClr w14:val="tx1"/>
            </w14:solidFill>
          </w14:textFill>
        </w:rPr>
        <w:t>内涝</w:t>
      </w:r>
      <w:r>
        <w:rPr>
          <w:rFonts w:hint="eastAsia" w:ascii="Times New Roman" w:hAnsi="Times New Roman" w:eastAsia="宋体" w:cs="宋体"/>
          <w:color w:val="000000" w:themeColor="text1"/>
          <w:sz w:val="24"/>
          <w:szCs w:val="24"/>
          <w:lang w:val="en-US" w:eastAsia="zh-CN"/>
          <w14:textFill>
            <w14:solidFill>
              <w14:schemeClr w14:val="tx1"/>
            </w14:solidFill>
          </w14:textFill>
        </w:rPr>
        <w:t>防治</w:t>
      </w:r>
      <w:r>
        <w:rPr>
          <w:rFonts w:hint="eastAsia" w:ascii="Times New Roman" w:hAnsi="Times New Roman" w:eastAsia="宋体" w:cs="宋体"/>
          <w:color w:val="000000" w:themeColor="text1"/>
          <w:sz w:val="24"/>
          <w:szCs w:val="24"/>
          <w:lang w:eastAsia="zh-CN"/>
          <w14:textFill>
            <w14:solidFill>
              <w14:schemeClr w14:val="tx1"/>
            </w14:solidFill>
          </w14:textFill>
        </w:rPr>
        <w:t xml:space="preserve">设计重现期 </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lang w:eastAsia="zh-CN"/>
          <w14:textFill>
            <w14:solidFill>
              <w14:schemeClr w14:val="tx1"/>
            </w14:solidFill>
          </w14:textFill>
        </w:rPr>
        <w:t>recurrence interval for urban</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flooding design</w:t>
      </w:r>
    </w:p>
    <w:p w14:paraId="15430CD0">
      <w:pPr>
        <w:spacing w:line="360" w:lineRule="auto"/>
        <w:ind w:firstLine="480"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用于进行城镇内涝</w:t>
      </w:r>
      <w:r>
        <w:rPr>
          <w:rFonts w:hint="eastAsia" w:ascii="Times New Roman" w:hAnsi="Times New Roman" w:eastAsia="宋体" w:cs="宋体"/>
          <w:color w:val="000000" w:themeColor="text1"/>
          <w:sz w:val="24"/>
          <w:szCs w:val="24"/>
          <w:lang w:val="en-US" w:eastAsia="zh-CN"/>
          <w14:textFill>
            <w14:solidFill>
              <w14:schemeClr w14:val="tx1"/>
            </w14:solidFill>
          </w14:textFill>
        </w:rPr>
        <w:t>防治</w:t>
      </w:r>
      <w:r>
        <w:rPr>
          <w:rFonts w:hint="eastAsia" w:ascii="Times New Roman" w:hAnsi="Times New Roman" w:eastAsia="宋体" w:cs="宋体"/>
          <w:color w:val="000000" w:themeColor="text1"/>
          <w:sz w:val="24"/>
          <w:szCs w:val="24"/>
          <w:lang w:eastAsia="zh-CN"/>
          <w14:textFill>
            <w14:solidFill>
              <w14:schemeClr w14:val="tx1"/>
            </w14:solidFill>
          </w14:textFill>
        </w:rPr>
        <w:t>系统设计的暴雨重现期，使地面、道路等区域的积水深度和退水时间不超过一定的标准。</w:t>
      </w:r>
    </w:p>
    <w:p w14:paraId="029937D8">
      <w:pPr>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2.</w:t>
      </w:r>
      <w:r>
        <w:rPr>
          <w:rFonts w:hint="eastAsia" w:ascii="Times New Roman" w:hAnsi="Times New Roman" w:eastAsia="宋体" w:cs="宋体"/>
          <w:b/>
          <w:color w:val="auto"/>
          <w:sz w:val="24"/>
          <w:szCs w:val="24"/>
          <w:highlight w:val="none"/>
          <w:lang w:val="en-US" w:eastAsia="zh-CN"/>
        </w:rPr>
        <w:t>0</w:t>
      </w:r>
      <w:r>
        <w:rPr>
          <w:rFonts w:hint="eastAsia" w:ascii="Times New Roman" w:hAnsi="Times New Roman" w:eastAsia="宋体" w:cs="宋体"/>
          <w:b/>
          <w:color w:val="auto"/>
          <w:sz w:val="24"/>
          <w:szCs w:val="24"/>
          <w:highlight w:val="none"/>
        </w:rPr>
        <w:t>.</w:t>
      </w:r>
      <w:r>
        <w:rPr>
          <w:rFonts w:hint="eastAsia" w:ascii="Times New Roman" w:hAnsi="Times New Roman" w:eastAsia="宋体" w:cs="宋体"/>
          <w:b/>
          <w:color w:val="auto"/>
          <w:sz w:val="24"/>
          <w:szCs w:val="24"/>
          <w:highlight w:val="none"/>
          <w:lang w:val="en-US" w:eastAsia="zh-CN"/>
        </w:rPr>
        <w:t xml:space="preserve">10 </w:t>
      </w:r>
      <w:r>
        <w:rPr>
          <w:rFonts w:hint="eastAsia" w:ascii="Times New Roman" w:hAnsi="Times New Roman" w:eastAsia="宋体" w:cs="宋体"/>
          <w:b w:val="0"/>
          <w:bCs/>
          <w:color w:val="auto"/>
          <w:sz w:val="24"/>
          <w:szCs w:val="24"/>
          <w:highlight w:val="none"/>
          <w:lang w:val="en-US" w:eastAsia="zh-CN"/>
        </w:rPr>
        <w:t>源头减排设施</w:t>
      </w:r>
      <w:r>
        <w:rPr>
          <w:rFonts w:hint="eastAsia" w:ascii="Times New Roman" w:hAnsi="Times New Roman" w:eastAsia="宋体"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lang w:val="en-US" w:eastAsia="zh-CN"/>
        </w:rPr>
        <w:t>(runoff) source control facilities</w:t>
      </w:r>
    </w:p>
    <w:p w14:paraId="1B72A9E9">
      <w:pPr>
        <w:spacing w:line="360" w:lineRule="auto"/>
        <w:ind w:firstLine="480" w:firstLineChars="200"/>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用于在雨水降落下垫面形成径流，在排入市政管排水管渠系统之前，通过渗透、净化和滞蓄等措施，控制雨水径流产生、减排雨水径流污染、收集利用雨水和削减峰值流量的设施。</w:t>
      </w:r>
    </w:p>
    <w:p w14:paraId="4B6D2DCF">
      <w:pPr>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2.</w:t>
      </w:r>
      <w:r>
        <w:rPr>
          <w:rFonts w:hint="eastAsia" w:ascii="Times New Roman" w:hAnsi="Times New Roman" w:eastAsia="宋体" w:cs="宋体"/>
          <w:b/>
          <w:color w:val="auto"/>
          <w:sz w:val="24"/>
          <w:szCs w:val="24"/>
          <w:highlight w:val="none"/>
          <w:lang w:val="en-US" w:eastAsia="zh-CN"/>
        </w:rPr>
        <w:t>0</w:t>
      </w:r>
      <w:r>
        <w:rPr>
          <w:rFonts w:hint="eastAsia" w:ascii="Times New Roman" w:hAnsi="Times New Roman" w:eastAsia="宋体" w:cs="宋体"/>
          <w:b/>
          <w:color w:val="auto"/>
          <w:sz w:val="24"/>
          <w:szCs w:val="24"/>
          <w:highlight w:val="none"/>
        </w:rPr>
        <w:t>.</w:t>
      </w:r>
      <w:r>
        <w:rPr>
          <w:rFonts w:hint="eastAsia" w:ascii="Times New Roman" w:hAnsi="Times New Roman" w:eastAsia="宋体" w:cs="宋体"/>
          <w:b/>
          <w:color w:val="auto"/>
          <w:sz w:val="24"/>
          <w:szCs w:val="24"/>
          <w:highlight w:val="none"/>
          <w:lang w:val="en-US" w:eastAsia="zh-CN"/>
        </w:rPr>
        <w:t xml:space="preserve">11 </w:t>
      </w:r>
      <w:r>
        <w:rPr>
          <w:rFonts w:hint="eastAsia" w:ascii="Times New Roman" w:hAnsi="Times New Roman" w:eastAsia="宋体" w:cs="宋体"/>
          <w:b w:val="0"/>
          <w:bCs/>
          <w:color w:val="auto"/>
          <w:sz w:val="24"/>
          <w:szCs w:val="24"/>
          <w:highlight w:val="none"/>
          <w:lang w:val="en-US" w:eastAsia="zh-CN"/>
        </w:rPr>
        <w:t>排水管渠设施</w:t>
      </w:r>
      <w:r>
        <w:rPr>
          <w:rFonts w:hint="eastAsia" w:ascii="Times New Roman" w:hAnsi="Times New Roman" w:eastAsia="宋体"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lang w:val="en-US" w:eastAsia="zh-CN"/>
        </w:rPr>
        <w:t>drainage pipe and channel facilities</w:t>
      </w:r>
    </w:p>
    <w:p w14:paraId="5FBDAAF4">
      <w:pPr>
        <w:spacing w:line="360" w:lineRule="auto"/>
        <w:ind w:firstLine="480"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用来进行雨水的收集、转输、调蓄和排放的各类设施</w:t>
      </w:r>
      <w:r>
        <w:rPr>
          <w:rFonts w:hint="eastAsia" w:ascii="Times New Roman" w:hAnsi="Times New Roman" w:eastAsia="宋体" w:cs="宋体"/>
          <w:color w:val="000000" w:themeColor="text1"/>
          <w:sz w:val="24"/>
          <w:szCs w:val="24"/>
          <w:lang w:eastAsia="zh-CN"/>
          <w14:textFill>
            <w14:solidFill>
              <w14:schemeClr w14:val="tx1"/>
            </w14:solidFill>
          </w14:textFill>
        </w:rPr>
        <w:t>。</w:t>
      </w:r>
    </w:p>
    <w:p w14:paraId="0C39ED61">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2.0.12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排涝除险设施  local flooding control facilities</w:t>
      </w:r>
    </w:p>
    <w:p w14:paraId="553DA66F">
      <w:pPr>
        <w:spacing w:line="360" w:lineRule="auto"/>
        <w:ind w:firstLine="480" w:firstLineChars="200"/>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用于控制内涝防治设计重现期下超出源头减排设施和排水管渠承载能力的雨水径流设施。</w:t>
      </w:r>
    </w:p>
    <w:p w14:paraId="031F9E09">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14:paraId="48F4A6FB">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14:paraId="0386C9A6">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14:paraId="2B484577">
      <w:pPr>
        <w:spacing w:line="360" w:lineRule="auto"/>
        <w:ind w:firstLine="480" w:firstLineChars="200"/>
        <w:rPr>
          <w:rFonts w:hint="eastAsia" w:ascii="Times New Roman" w:hAnsi="Times New Roman" w:eastAsia="宋体" w:cs="宋体"/>
          <w:color w:val="000000" w:themeColor="text1"/>
          <w:sz w:val="24"/>
          <w:szCs w:val="24"/>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1BA6AD6">
      <w:pPr>
        <w:pStyle w:val="2"/>
        <w:keepNext/>
        <w:keepLines/>
        <w:pageBreakBefore w:val="0"/>
        <w:widowControl w:val="0"/>
        <w:kinsoku/>
        <w:wordWrap/>
        <w:overflowPunct/>
        <w:topLinePunct w:val="0"/>
        <w:autoSpaceDE/>
        <w:autoSpaceDN/>
        <w:bidi w:val="0"/>
        <w:adjustRightInd/>
        <w:snapToGrid/>
        <w:spacing w:before="120" w:after="120" w:line="579" w:lineRule="auto"/>
        <w:jc w:val="center"/>
        <w:textAlignment w:val="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bookmarkStart w:id="63" w:name="_Toc3864"/>
      <w:bookmarkStart w:id="64" w:name="_Toc22902"/>
      <w:bookmarkStart w:id="65" w:name="_Toc57819220"/>
      <w:bookmarkStart w:id="66" w:name="_Toc31604"/>
      <w:r>
        <w:rPr>
          <w:rFonts w:hint="eastAsia" w:ascii="Times New Roman" w:hAnsi="Times New Roman" w:eastAsia="宋体" w:cs="宋体"/>
          <w:color w:val="000000" w:themeColor="text1"/>
          <w:sz w:val="32"/>
          <w:szCs w:val="32"/>
          <w14:textFill>
            <w14:solidFill>
              <w14:schemeClr w14:val="tx1"/>
            </w14:solidFill>
          </w14:textFill>
        </w:rPr>
        <w:t>3 基本规定</w:t>
      </w:r>
      <w:bookmarkEnd w:id="63"/>
      <w:bookmarkEnd w:id="64"/>
      <w:bookmarkEnd w:id="65"/>
      <w:bookmarkEnd w:id="66"/>
    </w:p>
    <w:p w14:paraId="618A280F">
      <w:pPr>
        <w:pStyle w:val="4"/>
        <w:keepNext/>
        <w:keepLines/>
        <w:pageBreakBefore w:val="0"/>
        <w:widowControl w:val="0"/>
        <w:kinsoku/>
        <w:wordWrap/>
        <w:overflowPunct/>
        <w:topLinePunct w:val="0"/>
        <w:autoSpaceDE/>
        <w:autoSpaceDN/>
        <w:bidi w:val="0"/>
        <w:adjustRightInd/>
        <w:snapToGrid/>
        <w:spacing w:beforeLines="0"/>
        <w:jc w:val="center"/>
        <w:textAlignment w:val="auto"/>
        <w:rPr>
          <w:rFonts w:hint="eastAsia" w:ascii="Times New Roman" w:hAnsi="Times New Roman" w:eastAsia="宋体" w:cs="宋体"/>
          <w:color w:val="000000" w:themeColor="text1"/>
          <w:sz w:val="28"/>
          <w:szCs w:val="28"/>
          <w14:textFill>
            <w14:solidFill>
              <w14:schemeClr w14:val="tx1"/>
            </w14:solidFill>
          </w14:textFill>
        </w:rPr>
      </w:pPr>
      <w:bookmarkStart w:id="67" w:name="_Toc14445"/>
      <w:bookmarkStart w:id="68" w:name="_Toc29802"/>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67"/>
      <w:bookmarkEnd w:id="68"/>
    </w:p>
    <w:p w14:paraId="721575EB">
      <w:pPr>
        <w:spacing w:line="360" w:lineRule="auto"/>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3.1.1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城镇排水系统应开展内涝风险评估和治理。</w:t>
      </w:r>
    </w:p>
    <w:p w14:paraId="4E6CB2AF">
      <w:pPr>
        <w:spacing w:line="360" w:lineRule="auto"/>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3.1.2 </w:t>
      </w:r>
      <w:r>
        <w:rPr>
          <w:rFonts w:hint="eastAsia" w:ascii="Times New Roman" w:hAnsi="Times New Roman" w:eastAsia="宋体" w:cs="宋体"/>
          <w:b/>
          <w:bCs w:val="0"/>
          <w:color w:val="auto"/>
          <w:sz w:val="24"/>
          <w:szCs w:val="24"/>
          <w:highlight w:val="none"/>
          <w:lang w:val="en-US" w:eastAsia="zh-CN"/>
        </w:rPr>
        <w:t>下列情况时应立即开展内涝风险评估</w:t>
      </w: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w:t>
      </w:r>
    </w:p>
    <w:p w14:paraId="61F2DA7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宋体"/>
          <w:b/>
          <w:bCs w:val="0"/>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lang w:val="en-US" w:eastAsia="zh-CN"/>
          <w14:textFill>
            <w14:solidFill>
              <w14:schemeClr w14:val="tx1"/>
            </w14:solidFill>
          </w14:textFill>
        </w:rPr>
        <w:t>1 未开展过内涝风险评估的中心城区重要地区；</w:t>
      </w:r>
    </w:p>
    <w:p w14:paraId="61732D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宋体"/>
          <w:b/>
          <w:bCs w:val="0"/>
          <w:color w:val="auto"/>
          <w:sz w:val="24"/>
          <w:szCs w:val="24"/>
          <w:highlight w:val="green"/>
          <w:lang w:val="en-US" w:eastAsia="zh-CN"/>
        </w:rPr>
      </w:pPr>
      <w:r>
        <w:rPr>
          <w:rFonts w:hint="eastAsia" w:ascii="Times New Roman" w:hAnsi="Times New Roman" w:eastAsia="宋体" w:cs="宋体"/>
          <w:b/>
          <w:bCs w:val="0"/>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评估单元排水防涝设施发生重大变化；</w:t>
      </w:r>
    </w:p>
    <w:p w14:paraId="1A8C6F2B">
      <w:pPr>
        <w:spacing w:line="360" w:lineRule="auto"/>
        <w:ind w:firstLine="482" w:firstLineChars="200"/>
        <w:rPr>
          <w:rFonts w:hint="eastAsia" w:ascii="Times New Roman" w:hAnsi="Times New Roman" w:eastAsia="宋体" w:cs="宋体"/>
          <w:b/>
          <w:bCs w:val="0"/>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lang w:val="en-US" w:eastAsia="zh-CN"/>
          <w14:textFill>
            <w14:solidFill>
              <w14:schemeClr w14:val="tx1"/>
            </w14:solidFill>
          </w14:textFill>
        </w:rPr>
        <w:t>3 区域设计暴雨强度或内涝防治设计重现期标准发生变化；</w:t>
      </w:r>
    </w:p>
    <w:p w14:paraId="1F61C8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lang w:val="en-US" w:eastAsia="zh-CN"/>
          <w14:textFill>
            <w14:solidFill>
              <w14:schemeClr w14:val="tx1"/>
            </w14:solidFill>
          </w14:textFill>
        </w:rPr>
        <w:t xml:space="preserve">4 </w:t>
      </w: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编制城镇法定规划、排水防涝专项规划和城镇内涝治理方案；</w:t>
      </w:r>
    </w:p>
    <w:p w14:paraId="17F0B425">
      <w:pPr>
        <w:spacing w:line="360" w:lineRule="auto"/>
        <w:ind w:firstLine="482" w:firstLineChars="200"/>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5 实施重大工程建设、重要基础设施周边开发建设及重要区域排水工程改造前。</w:t>
      </w:r>
    </w:p>
    <w:p w14:paraId="4457E7C9">
      <w:pPr>
        <w:spacing w:line="360" w:lineRule="auto"/>
        <w:ind w:firstLine="0" w:firstLineChars="0"/>
        <w:rPr>
          <w:rFonts w:hint="eastAsia" w:ascii="Times New Roman" w:hAnsi="Times New Roman" w:eastAsia="宋体" w:cs="宋体"/>
          <w:b/>
          <w:color w:val="auto"/>
          <w:sz w:val="24"/>
          <w:szCs w:val="24"/>
          <w:lang w:val="en-US" w:eastAsia="zh-CN"/>
        </w:rPr>
      </w:pPr>
      <w:r>
        <w:rPr>
          <w:rFonts w:hint="eastAsia" w:ascii="Times New Roman" w:hAnsi="Times New Roman" w:eastAsia="宋体" w:cs="宋体"/>
          <w:b/>
          <w:color w:val="auto"/>
          <w:sz w:val="24"/>
          <w:szCs w:val="24"/>
          <w:lang w:val="en-US" w:eastAsia="zh-CN"/>
        </w:rPr>
        <w:t>3.1.3 中心城区重要地区、重要市政基础设施或生命线工程内涝风险等级为高风险时，应立即开展内涝治理。</w:t>
      </w:r>
    </w:p>
    <w:p w14:paraId="7DEA9B66">
      <w:pPr>
        <w:keepNext w:val="0"/>
        <w:keepLines w:val="0"/>
        <w:pageBreakBefore w:val="0"/>
        <w:widowControl w:val="0"/>
        <w:kinsoku/>
        <w:wordWrap/>
        <w:overflowPunct/>
        <w:topLinePunct w:val="0"/>
        <w:autoSpaceDE/>
        <w:autoSpaceDN/>
        <w:bidi w:val="0"/>
        <w:adjustRightInd w:val="0"/>
        <w:snapToGrid w:val="0"/>
        <w:spacing w:line="360" w:lineRule="auto"/>
        <w:ind w:left="630" w:leftChars="100" w:hanging="420" w:hangingChars="200"/>
        <w:textAlignment w:val="auto"/>
        <w:rPr>
          <w:rFonts w:hint="eastAsia" w:ascii="Times New Roman" w:hAnsi="Times New Roman" w:eastAsia="宋体" w:cs="宋体"/>
          <w:b/>
          <w:color w:val="auto"/>
          <w:sz w:val="24"/>
          <w:szCs w:val="24"/>
          <w:lang w:val="en-US" w:eastAsia="zh-CN"/>
        </w:rPr>
      </w:pPr>
      <w:r>
        <w:rPr>
          <w:rFonts w:hint="eastAsia" w:ascii="Times New Roman" w:hAnsi="Times New Roman" w:eastAsia="宋体" w:cs="宋体"/>
          <w:color w:val="auto"/>
          <w:sz w:val="21"/>
          <w:szCs w:val="21"/>
          <w:highlight w:val="none"/>
          <w:lang w:val="en-US" w:eastAsia="zh-CN"/>
        </w:rPr>
        <w:t>注：中心城区重要地区主要指行政中心、交通枢纽、学校、医院、商业聚集区及重要市政基础设施。</w:t>
      </w:r>
    </w:p>
    <w:p w14:paraId="60D97ED2">
      <w:pPr>
        <w:spacing w:line="360" w:lineRule="auto"/>
        <w:rPr>
          <w:rFonts w:hint="eastAsia" w:ascii="Times New Roman" w:hAnsi="Times New Roman" w:eastAsia="宋体" w:cs="宋体"/>
          <w:b/>
          <w:bCs w:val="0"/>
          <w:color w:val="auto"/>
          <w:sz w:val="21"/>
          <w:szCs w:val="21"/>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3.1.4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根据城区类型的不同，城镇内涝风险评估周期应按表3.1.4的规定进行。</w:t>
      </w:r>
    </w:p>
    <w:p w14:paraId="54551362">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 xml:space="preserve">3.1.4 </w:t>
      </w:r>
      <w:r>
        <w:rPr>
          <w:rFonts w:hint="eastAsia" w:ascii="Times New Roman" w:hAnsi="Times New Roman" w:eastAsia="宋体" w:cs="宋体"/>
          <w:b/>
          <w:bCs w:val="0"/>
          <w:color w:val="auto"/>
          <w:sz w:val="21"/>
          <w:szCs w:val="21"/>
          <w:highlight w:val="none"/>
          <w:lang w:val="en-US" w:eastAsia="zh-CN"/>
        </w:rPr>
        <w:t>城镇内涝风险评估周期（年）</w:t>
      </w:r>
    </w:p>
    <w:tbl>
      <w:tblPr>
        <w:tblStyle w:val="17"/>
        <w:tblW w:w="85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83"/>
        <w:gridCol w:w="1712"/>
        <w:gridCol w:w="1712"/>
        <w:gridCol w:w="1712"/>
      </w:tblGrid>
      <w:tr w14:paraId="01A26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83" w:type="dxa"/>
            <w:vAlign w:val="center"/>
          </w:tcPr>
          <w:p w14:paraId="23A77F2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城区类型</w:t>
            </w:r>
          </w:p>
        </w:tc>
        <w:tc>
          <w:tcPr>
            <w:tcW w:w="1712" w:type="dxa"/>
            <w:vAlign w:val="center"/>
          </w:tcPr>
          <w:p w14:paraId="181F57F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高风险</w:t>
            </w:r>
          </w:p>
        </w:tc>
        <w:tc>
          <w:tcPr>
            <w:tcW w:w="1712" w:type="dxa"/>
            <w:vAlign w:val="center"/>
          </w:tcPr>
          <w:p w14:paraId="548532C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中风险</w:t>
            </w:r>
          </w:p>
        </w:tc>
        <w:tc>
          <w:tcPr>
            <w:tcW w:w="1712" w:type="dxa"/>
            <w:vAlign w:val="center"/>
          </w:tcPr>
          <w:p w14:paraId="7AD2934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低风险</w:t>
            </w:r>
          </w:p>
        </w:tc>
      </w:tr>
      <w:tr w14:paraId="69FBB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83" w:type="dxa"/>
            <w:vAlign w:val="center"/>
          </w:tcPr>
          <w:p w14:paraId="10EA4D65">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lang w:val="en-US" w:eastAsia="zh-CN"/>
              </w:rPr>
              <w:t>中心城区重要地区</w:t>
            </w:r>
          </w:p>
        </w:tc>
        <w:tc>
          <w:tcPr>
            <w:tcW w:w="1712" w:type="dxa"/>
            <w:vAlign w:val="center"/>
          </w:tcPr>
          <w:p w14:paraId="4265DF38">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1</w:t>
            </w:r>
          </w:p>
        </w:tc>
        <w:tc>
          <w:tcPr>
            <w:tcW w:w="1712" w:type="dxa"/>
            <w:vAlign w:val="center"/>
          </w:tcPr>
          <w:p w14:paraId="38697DA0">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w:t>
            </w:r>
          </w:p>
        </w:tc>
        <w:tc>
          <w:tcPr>
            <w:tcW w:w="1712" w:type="dxa"/>
            <w:vAlign w:val="center"/>
          </w:tcPr>
          <w:p w14:paraId="152189E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w:t>
            </w:r>
          </w:p>
        </w:tc>
      </w:tr>
      <w:tr w14:paraId="37380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83" w:type="dxa"/>
            <w:vAlign w:val="center"/>
          </w:tcPr>
          <w:p w14:paraId="617DD94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中心城区</w:t>
            </w:r>
          </w:p>
        </w:tc>
        <w:tc>
          <w:tcPr>
            <w:tcW w:w="1712" w:type="dxa"/>
            <w:vAlign w:val="center"/>
          </w:tcPr>
          <w:p w14:paraId="5658422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lang w:val="en-US" w:eastAsia="zh-CN"/>
              </w:rPr>
              <w:t>2</w:t>
            </w:r>
          </w:p>
        </w:tc>
        <w:tc>
          <w:tcPr>
            <w:tcW w:w="1712" w:type="dxa"/>
            <w:vAlign w:val="center"/>
          </w:tcPr>
          <w:p w14:paraId="4E62E5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w:t>
            </w:r>
          </w:p>
        </w:tc>
        <w:tc>
          <w:tcPr>
            <w:tcW w:w="1712" w:type="dxa"/>
            <w:vAlign w:val="center"/>
          </w:tcPr>
          <w:p w14:paraId="5708973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4</w:t>
            </w:r>
          </w:p>
        </w:tc>
      </w:tr>
      <w:tr w14:paraId="4F026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83" w:type="dxa"/>
            <w:vAlign w:val="center"/>
          </w:tcPr>
          <w:p w14:paraId="494C6F7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highlight w:val="none"/>
                <w:lang w:val="en-US" w:eastAsia="zh-CN"/>
              </w:rPr>
              <w:t>非</w:t>
            </w:r>
            <w:r>
              <w:rPr>
                <w:rFonts w:hint="eastAsia" w:ascii="Times New Roman" w:hAnsi="Times New Roman" w:eastAsia="宋体" w:cs="宋体"/>
                <w:sz w:val="21"/>
                <w:szCs w:val="21"/>
                <w:lang w:val="en-US" w:eastAsia="zh-CN"/>
              </w:rPr>
              <w:t>中心城区</w:t>
            </w:r>
          </w:p>
        </w:tc>
        <w:tc>
          <w:tcPr>
            <w:tcW w:w="1712" w:type="dxa"/>
            <w:vAlign w:val="center"/>
          </w:tcPr>
          <w:p w14:paraId="6336C78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highlight w:val="none"/>
                <w:lang w:val="en-US" w:eastAsia="zh-CN"/>
              </w:rPr>
              <w:t>3</w:t>
            </w:r>
          </w:p>
        </w:tc>
        <w:tc>
          <w:tcPr>
            <w:tcW w:w="1712" w:type="dxa"/>
            <w:vAlign w:val="center"/>
          </w:tcPr>
          <w:p w14:paraId="6AD2B53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4</w:t>
            </w:r>
          </w:p>
        </w:tc>
        <w:tc>
          <w:tcPr>
            <w:tcW w:w="1712" w:type="dxa"/>
            <w:vAlign w:val="center"/>
          </w:tcPr>
          <w:p w14:paraId="4C9366D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5</w:t>
            </w:r>
          </w:p>
        </w:tc>
      </w:tr>
    </w:tbl>
    <w:p w14:paraId="1199EA0C">
      <w:pPr>
        <w:keepNext w:val="0"/>
        <w:keepLines w:val="0"/>
        <w:pageBreakBefore w:val="0"/>
        <w:widowControl w:val="0"/>
        <w:kinsoku/>
        <w:wordWrap/>
        <w:overflowPunct/>
        <w:topLinePunct w:val="0"/>
        <w:autoSpaceDE/>
        <w:autoSpaceDN/>
        <w:bidi w:val="0"/>
        <w:adjustRightInd w:val="0"/>
        <w:snapToGrid w:val="0"/>
        <w:spacing w:line="360" w:lineRule="auto"/>
        <w:ind w:left="630" w:leftChars="100" w:hanging="420" w:hangingChars="200"/>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注：按4.4.4风险评定等级确定高风险、中风险、低风险。</w:t>
      </w:r>
    </w:p>
    <w:p w14:paraId="0F15CD1D">
      <w:pPr>
        <w:spacing w:line="360" w:lineRule="auto"/>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3.1.5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城镇内涝风险评估及治理应基于不同的设计重现期开展。设计重现期的选取应符合以下规定：</w:t>
      </w:r>
    </w:p>
    <w:p w14:paraId="5307F175">
      <w:pPr>
        <w:spacing w:line="360" w:lineRule="auto"/>
        <w:ind w:firstLine="482"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1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内涝</w:t>
      </w:r>
      <w:r>
        <w:rPr>
          <w:rFonts w:hint="eastAsia" w:ascii="Times New Roman" w:hAnsi="Times New Roman" w:eastAsia="宋体" w:cs="宋体"/>
          <w:color w:val="000000" w:themeColor="text1"/>
          <w:sz w:val="24"/>
          <w:szCs w:val="24"/>
          <w:lang w:val="en-US" w:eastAsia="zh-CN"/>
          <w14:textFill>
            <w14:solidFill>
              <w14:schemeClr w14:val="tx1"/>
            </w14:solidFill>
          </w14:textFill>
        </w:rPr>
        <w:t>防治设计重现期应根据城镇类型、积水影响程度和内河水位变化等因素，经技术经济比较后按表3.1.5-1的规定取值，明确相应的设计降雨量；</w:t>
      </w:r>
    </w:p>
    <w:p w14:paraId="7C16E884">
      <w:pPr>
        <w:adjustRightInd w:val="0"/>
        <w:snapToGrid w:val="0"/>
        <w:spacing w:line="360" w:lineRule="auto"/>
        <w:jc w:val="center"/>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3.1.5-1</w:t>
      </w:r>
      <w:r>
        <w:rPr>
          <w:rFonts w:hint="eastAsia" w:ascii="Times New Roman" w:hAnsi="Times New Roman" w:eastAsia="宋体" w:cs="宋体"/>
          <w:b/>
          <w:bCs w:val="0"/>
          <w:color w:val="auto"/>
          <w:sz w:val="21"/>
          <w:szCs w:val="21"/>
        </w:rPr>
        <w:t xml:space="preserve"> 内涝防治设计重现期（年）</w:t>
      </w:r>
    </w:p>
    <w:tbl>
      <w:tblPr>
        <w:tblStyle w:val="1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78"/>
        <w:gridCol w:w="2273"/>
        <w:gridCol w:w="2868"/>
      </w:tblGrid>
      <w:tr w14:paraId="225C0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1982" w:type="pct"/>
            <w:vAlign w:val="center"/>
          </w:tcPr>
          <w:p w14:paraId="427D63BF">
            <w:pPr>
              <w:keepNext w:val="0"/>
              <w:keepLines w:val="0"/>
              <w:suppressLineNumbers w:val="0"/>
              <w:adjustRightInd w:val="0"/>
              <w:snapToGrid w:val="0"/>
              <w:spacing w:before="0" w:beforeAutospacing="0" w:after="0" w:afterAutospacing="0" w:line="259" w:lineRule="auto"/>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城镇类型</w:t>
            </w:r>
          </w:p>
        </w:tc>
        <w:tc>
          <w:tcPr>
            <w:tcW w:w="1334" w:type="pct"/>
            <w:vAlign w:val="center"/>
          </w:tcPr>
          <w:p w14:paraId="7D6829C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重现期</w:t>
            </w:r>
          </w:p>
        </w:tc>
        <w:tc>
          <w:tcPr>
            <w:tcW w:w="1683" w:type="pct"/>
            <w:vAlign w:val="center"/>
          </w:tcPr>
          <w:p w14:paraId="616226D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地面积水设计标准</w:t>
            </w:r>
          </w:p>
        </w:tc>
      </w:tr>
      <w:tr w14:paraId="20E65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2" w:type="pct"/>
            <w:vAlign w:val="center"/>
          </w:tcPr>
          <w:p w14:paraId="536DDE9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超大城市</w:t>
            </w:r>
          </w:p>
        </w:tc>
        <w:tc>
          <w:tcPr>
            <w:tcW w:w="1334" w:type="pct"/>
            <w:vAlign w:val="center"/>
          </w:tcPr>
          <w:p w14:paraId="4FA7FEE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100</w:t>
            </w:r>
          </w:p>
        </w:tc>
        <w:tc>
          <w:tcPr>
            <w:tcW w:w="1683" w:type="pct"/>
            <w:vMerge w:val="restart"/>
            <w:vAlign w:val="center"/>
          </w:tcPr>
          <w:p w14:paraId="4CE14F6B">
            <w:pPr>
              <w:keepNext w:val="0"/>
              <w:keepLines w:val="0"/>
              <w:numPr>
                <w:ilvl w:val="0"/>
                <w:numId w:val="1"/>
              </w:numPr>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居民住宅和工商业建筑物的底层不进水；</w:t>
            </w:r>
          </w:p>
          <w:p w14:paraId="18843CCB">
            <w:pPr>
              <w:keepNext w:val="0"/>
              <w:keepLines w:val="0"/>
              <w:numPr>
                <w:ilvl w:val="0"/>
                <w:numId w:val="1"/>
              </w:numPr>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道路中一条车道的积水深度不超过15cm。</w:t>
            </w:r>
          </w:p>
        </w:tc>
      </w:tr>
      <w:tr w14:paraId="33F3B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82" w:type="pct"/>
            <w:vAlign w:val="center"/>
          </w:tcPr>
          <w:p w14:paraId="39C191D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lang w:val="en-US" w:eastAsia="zh-CN"/>
              </w:rPr>
              <w:t>特大城市</w:t>
            </w:r>
          </w:p>
        </w:tc>
        <w:tc>
          <w:tcPr>
            <w:tcW w:w="1334" w:type="pct"/>
            <w:vAlign w:val="center"/>
          </w:tcPr>
          <w:p w14:paraId="0C1F9B0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50～100</w:t>
            </w:r>
          </w:p>
        </w:tc>
        <w:tc>
          <w:tcPr>
            <w:tcW w:w="1683" w:type="pct"/>
            <w:vMerge w:val="continue"/>
            <w:vAlign w:val="center"/>
          </w:tcPr>
          <w:p w14:paraId="2C096C2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lang w:val="en-US" w:eastAsia="zh-CN"/>
              </w:rPr>
            </w:pPr>
          </w:p>
        </w:tc>
      </w:tr>
      <w:tr w14:paraId="535B0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982" w:type="pct"/>
            <w:vAlign w:val="center"/>
          </w:tcPr>
          <w:p w14:paraId="75147BF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lang w:val="en-US" w:eastAsia="zh-CN"/>
              </w:rPr>
              <w:t>大城市</w:t>
            </w:r>
          </w:p>
        </w:tc>
        <w:tc>
          <w:tcPr>
            <w:tcW w:w="1334" w:type="pct"/>
            <w:vAlign w:val="center"/>
          </w:tcPr>
          <w:p w14:paraId="5645403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30～50</w:t>
            </w:r>
          </w:p>
        </w:tc>
        <w:tc>
          <w:tcPr>
            <w:tcW w:w="1683" w:type="pct"/>
            <w:vMerge w:val="continue"/>
            <w:vAlign w:val="center"/>
          </w:tcPr>
          <w:p w14:paraId="2AAD2FC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lang w:val="en-US" w:eastAsia="zh-CN"/>
              </w:rPr>
            </w:pPr>
          </w:p>
        </w:tc>
      </w:tr>
      <w:tr w14:paraId="62E23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2" w:type="pct"/>
            <w:vAlign w:val="center"/>
          </w:tcPr>
          <w:p w14:paraId="735C9AB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lang w:val="en-US" w:eastAsia="zh-CN"/>
              </w:rPr>
              <w:t>中等城市和小城市</w:t>
            </w:r>
          </w:p>
        </w:tc>
        <w:tc>
          <w:tcPr>
            <w:tcW w:w="1334" w:type="pct"/>
            <w:vAlign w:val="center"/>
          </w:tcPr>
          <w:p w14:paraId="7A37D87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20～30</w:t>
            </w:r>
          </w:p>
        </w:tc>
        <w:tc>
          <w:tcPr>
            <w:tcW w:w="1683" w:type="pct"/>
            <w:vMerge w:val="continue"/>
            <w:vAlign w:val="center"/>
          </w:tcPr>
          <w:p w14:paraId="3488870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lang w:val="en-US" w:eastAsia="zh-CN"/>
              </w:rPr>
            </w:pPr>
          </w:p>
        </w:tc>
      </w:tr>
    </w:tbl>
    <w:p w14:paraId="0F0CECE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注：</w:t>
      </w:r>
      <w:r>
        <w:rPr>
          <w:rFonts w:hint="eastAsia" w:ascii="Times New Roman" w:hAnsi="Times New Roman" w:eastAsia="宋体" w:cs="宋体"/>
          <w:b w:val="0"/>
          <w:bCs w:val="0"/>
          <w:color w:val="auto"/>
          <w:sz w:val="21"/>
          <w:szCs w:val="21"/>
          <w:highlight w:val="none"/>
          <w:lang w:val="en-US" w:eastAsia="zh-CN"/>
        </w:rPr>
        <w:t>1</w:t>
      </w:r>
      <w:r>
        <w:rPr>
          <w:rFonts w:hint="eastAsia" w:ascii="Times New Roman" w:hAnsi="Times New Roman" w:eastAsia="宋体" w:cs="宋体"/>
          <w:color w:val="auto"/>
          <w:sz w:val="21"/>
          <w:szCs w:val="21"/>
          <w:highlight w:val="none"/>
          <w:lang w:val="en-US" w:eastAsia="zh-CN"/>
        </w:rPr>
        <w:t xml:space="preserve"> 同一城市的不同城区可采用不同的内涝防治设计重现期，中心城区宜取上限，非中心城区可取下限，不具备条件地区可分期达标；宜增设历史典型暴雨雨型评估内涝风险。</w:t>
      </w:r>
    </w:p>
    <w:p w14:paraId="03FB3245">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2</w:t>
      </w:r>
      <w:r>
        <w:rPr>
          <w:rFonts w:hint="eastAsia" w:ascii="Times New Roman" w:hAnsi="Times New Roman" w:eastAsia="宋体" w:cs="宋体"/>
          <w:color w:val="auto"/>
          <w:sz w:val="21"/>
          <w:szCs w:val="21"/>
          <w:highlight w:val="none"/>
          <w:lang w:val="en-US" w:eastAsia="zh-CN"/>
        </w:rPr>
        <w:t xml:space="preserve"> 特殊地区需要对标准进行适当调整的，应进行专门说明，必要时应进行专题论证。</w:t>
      </w:r>
    </w:p>
    <w:p w14:paraId="7EDABB7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b w:val="0"/>
          <w:bCs w:val="0"/>
          <w:color w:val="auto"/>
          <w:sz w:val="21"/>
          <w:szCs w:val="21"/>
          <w:highlight w:val="none"/>
          <w:lang w:val="en-US" w:eastAsia="zh-CN"/>
        </w:rPr>
        <w:t>3</w:t>
      </w:r>
      <w:r>
        <w:rPr>
          <w:rFonts w:hint="eastAsia" w:ascii="Times New Roman" w:hAnsi="Times New Roman" w:eastAsia="宋体" w:cs="宋体"/>
          <w:color w:val="auto"/>
          <w:sz w:val="21"/>
          <w:szCs w:val="21"/>
          <w:highlight w:val="none"/>
          <w:lang w:val="en-US" w:eastAsia="zh-CN"/>
        </w:rPr>
        <w:t xml:space="preserve"> 超大城市指城区常住人口在1000万人以上的城市；特大城市指城区常住人口在500万人以上1000万人以下的城市；大城市指城区常住人口在100万人以上500万人以下的城市；中等城市指城区常住人口在50万人以上100万人以下的城市；小城市指城区常住人口在50万人以下的城市（以上包括本数，以下不包括本数）。</w:t>
      </w:r>
    </w:p>
    <w:p w14:paraId="31299796">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color w:val="auto"/>
          <w:sz w:val="24"/>
          <w:szCs w:val="24"/>
          <w:lang w:val="en-US" w:eastAsia="zh-CN"/>
        </w:rPr>
        <w:t xml:space="preserve">2 </w:t>
      </w:r>
      <w:r>
        <w:rPr>
          <w:rFonts w:hint="eastAsia" w:ascii="Times New Roman" w:hAnsi="Times New Roman" w:eastAsia="宋体" w:cs="宋体"/>
          <w:color w:val="auto"/>
          <w:sz w:val="24"/>
          <w:szCs w:val="24"/>
          <w:lang w:val="en-US" w:eastAsia="zh-CN"/>
        </w:rPr>
        <w:t>雨水管渠设计重现期应按表3.1.5-2的规定取值。</w:t>
      </w:r>
    </w:p>
    <w:p w14:paraId="14DAEEF2">
      <w:pPr>
        <w:adjustRightInd w:val="0"/>
        <w:snapToGrid w:val="0"/>
        <w:spacing w:line="360" w:lineRule="auto"/>
        <w:jc w:val="center"/>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 xml:space="preserve">3.1.5-2 </w:t>
      </w:r>
      <w:r>
        <w:rPr>
          <w:rFonts w:hint="eastAsia" w:ascii="Times New Roman" w:hAnsi="Times New Roman" w:eastAsia="宋体" w:cs="宋体"/>
          <w:b/>
          <w:bCs w:val="0"/>
          <w:color w:val="auto"/>
          <w:sz w:val="21"/>
          <w:szCs w:val="21"/>
        </w:rPr>
        <w:t>雨水管渠设计重现期（年）</w:t>
      </w:r>
    </w:p>
    <w:tbl>
      <w:tblPr>
        <w:tblStyle w:val="1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1111"/>
        <w:gridCol w:w="1340"/>
        <w:gridCol w:w="1321"/>
        <w:gridCol w:w="2364"/>
      </w:tblGrid>
      <w:tr w14:paraId="15368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99" w:type="pct"/>
            <w:vMerge w:val="restart"/>
            <w:vAlign w:val="center"/>
          </w:tcPr>
          <w:p w14:paraId="50D2DA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城镇类型</w:t>
            </w:r>
          </w:p>
        </w:tc>
        <w:tc>
          <w:tcPr>
            <w:tcW w:w="3600" w:type="pct"/>
            <w:gridSpan w:val="4"/>
            <w:vAlign w:val="center"/>
          </w:tcPr>
          <w:p w14:paraId="490CC9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城区类型</w:t>
            </w:r>
          </w:p>
        </w:tc>
      </w:tr>
      <w:tr w14:paraId="3825C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99" w:type="pct"/>
            <w:vMerge w:val="continue"/>
            <w:vAlign w:val="center"/>
          </w:tcPr>
          <w:p w14:paraId="059EA0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rPr>
            </w:pPr>
          </w:p>
        </w:tc>
        <w:tc>
          <w:tcPr>
            <w:tcW w:w="652" w:type="pct"/>
            <w:vAlign w:val="center"/>
          </w:tcPr>
          <w:p w14:paraId="386836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中心城区</w:t>
            </w:r>
          </w:p>
        </w:tc>
        <w:tc>
          <w:tcPr>
            <w:tcW w:w="786" w:type="pct"/>
            <w:vAlign w:val="center"/>
          </w:tcPr>
          <w:p w14:paraId="3586D5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非中心城区</w:t>
            </w:r>
          </w:p>
        </w:tc>
        <w:tc>
          <w:tcPr>
            <w:tcW w:w="775" w:type="pct"/>
            <w:vAlign w:val="center"/>
          </w:tcPr>
          <w:p w14:paraId="5B937A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中心城区重要地区</w:t>
            </w:r>
          </w:p>
        </w:tc>
        <w:tc>
          <w:tcPr>
            <w:tcW w:w="1386" w:type="pct"/>
            <w:vAlign w:val="center"/>
          </w:tcPr>
          <w:p w14:paraId="670C1A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中心城区地下通道和下沉式广场等</w:t>
            </w:r>
          </w:p>
        </w:tc>
      </w:tr>
      <w:tr w14:paraId="63E02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99" w:type="pct"/>
            <w:vAlign w:val="center"/>
          </w:tcPr>
          <w:p w14:paraId="315D81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超大城市和特大城市</w:t>
            </w:r>
          </w:p>
        </w:tc>
        <w:tc>
          <w:tcPr>
            <w:tcW w:w="652" w:type="pct"/>
            <w:vAlign w:val="center"/>
          </w:tcPr>
          <w:p w14:paraId="4952EE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3～5</w:t>
            </w:r>
          </w:p>
        </w:tc>
        <w:tc>
          <w:tcPr>
            <w:tcW w:w="786" w:type="pct"/>
            <w:vAlign w:val="center"/>
          </w:tcPr>
          <w:p w14:paraId="1AA16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2～3</w:t>
            </w:r>
          </w:p>
        </w:tc>
        <w:tc>
          <w:tcPr>
            <w:tcW w:w="775" w:type="pct"/>
            <w:vAlign w:val="center"/>
          </w:tcPr>
          <w:p w14:paraId="428B27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5～10</w:t>
            </w:r>
          </w:p>
        </w:tc>
        <w:tc>
          <w:tcPr>
            <w:tcW w:w="1386" w:type="pct"/>
            <w:vAlign w:val="center"/>
          </w:tcPr>
          <w:p w14:paraId="2BF5E0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30～50</w:t>
            </w:r>
          </w:p>
        </w:tc>
      </w:tr>
      <w:tr w14:paraId="6DE89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99" w:type="pct"/>
            <w:vAlign w:val="center"/>
          </w:tcPr>
          <w:p w14:paraId="10DF2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大城市</w:t>
            </w:r>
          </w:p>
        </w:tc>
        <w:tc>
          <w:tcPr>
            <w:tcW w:w="652" w:type="pct"/>
            <w:vAlign w:val="center"/>
          </w:tcPr>
          <w:p w14:paraId="1BB7F3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2～5</w:t>
            </w:r>
          </w:p>
        </w:tc>
        <w:tc>
          <w:tcPr>
            <w:tcW w:w="786" w:type="pct"/>
            <w:vAlign w:val="center"/>
          </w:tcPr>
          <w:p w14:paraId="404969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2～3</w:t>
            </w:r>
          </w:p>
        </w:tc>
        <w:tc>
          <w:tcPr>
            <w:tcW w:w="775" w:type="pct"/>
            <w:vAlign w:val="center"/>
          </w:tcPr>
          <w:p w14:paraId="536CFA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5～10</w:t>
            </w:r>
          </w:p>
        </w:tc>
        <w:tc>
          <w:tcPr>
            <w:tcW w:w="1386" w:type="pct"/>
            <w:vAlign w:val="center"/>
          </w:tcPr>
          <w:p w14:paraId="36361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20～30</w:t>
            </w:r>
          </w:p>
        </w:tc>
      </w:tr>
      <w:tr w14:paraId="2984C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99" w:type="pct"/>
            <w:vAlign w:val="center"/>
          </w:tcPr>
          <w:p w14:paraId="30BA3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中等城市和小城市</w:t>
            </w:r>
          </w:p>
        </w:tc>
        <w:tc>
          <w:tcPr>
            <w:tcW w:w="652" w:type="pct"/>
            <w:vAlign w:val="center"/>
          </w:tcPr>
          <w:p w14:paraId="0E4DB0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2～3</w:t>
            </w:r>
          </w:p>
        </w:tc>
        <w:tc>
          <w:tcPr>
            <w:tcW w:w="786" w:type="pct"/>
            <w:vAlign w:val="center"/>
          </w:tcPr>
          <w:p w14:paraId="31F1CB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2～3</w:t>
            </w:r>
          </w:p>
        </w:tc>
        <w:tc>
          <w:tcPr>
            <w:tcW w:w="775" w:type="pct"/>
            <w:vAlign w:val="center"/>
          </w:tcPr>
          <w:p w14:paraId="4EEDE3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3～5</w:t>
            </w:r>
          </w:p>
        </w:tc>
        <w:tc>
          <w:tcPr>
            <w:tcW w:w="1386" w:type="pct"/>
            <w:vAlign w:val="center"/>
          </w:tcPr>
          <w:p w14:paraId="2F0172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10～20</w:t>
            </w:r>
          </w:p>
        </w:tc>
      </w:tr>
    </w:tbl>
    <w:p w14:paraId="64A666FF">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3.1.6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从事城镇</w:t>
      </w:r>
      <w:r>
        <w:rPr>
          <w:rFonts w:hint="eastAsia" w:ascii="Times New Roman" w:hAnsi="Times New Roman" w:eastAsia="宋体" w:cs="宋体"/>
          <w:color w:val="000000" w:themeColor="text1"/>
          <w:sz w:val="24"/>
          <w:szCs w:val="24"/>
          <w:lang w:val="en-US" w:eastAsia="zh-CN"/>
          <w14:textFill>
            <w14:solidFill>
              <w14:schemeClr w14:val="tx1"/>
            </w14:solidFill>
          </w14:textFill>
        </w:rPr>
        <w:t>内涝风险评估及治理的机构应具备相应资质。</w:t>
      </w:r>
    </w:p>
    <w:p w14:paraId="110E2502">
      <w:pPr>
        <w:pStyle w:val="4"/>
        <w:spacing w:beforeLines="0" w:after="156" w:afterLines="50"/>
        <w:jc w:val="center"/>
        <w:rPr>
          <w:rFonts w:hint="default" w:ascii="Times New Roman" w:hAnsi="Times New Roman" w:eastAsia="宋体" w:cs="宋体"/>
          <w:color w:val="000000" w:themeColor="text1"/>
          <w:sz w:val="28"/>
          <w:szCs w:val="28"/>
          <w:lang w:val="en-US"/>
          <w14:textFill>
            <w14:solidFill>
              <w14:schemeClr w14:val="tx1"/>
            </w14:solidFill>
          </w14:textFill>
        </w:rPr>
      </w:pPr>
      <w:bookmarkStart w:id="69" w:name="_Toc20199"/>
      <w:bookmarkStart w:id="70" w:name="_Toc12290"/>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2 </w:t>
      </w:r>
      <w:bookmarkEnd w:id="69"/>
      <w:r>
        <w:rPr>
          <w:rFonts w:hint="eastAsia" w:ascii="Times New Roman" w:hAnsi="Times New Roman" w:eastAsia="宋体" w:cs="宋体"/>
          <w:color w:val="000000" w:themeColor="text1"/>
          <w:sz w:val="28"/>
          <w:szCs w:val="28"/>
          <w:lang w:val="en-US" w:eastAsia="zh-CN"/>
          <w14:textFill>
            <w14:solidFill>
              <w14:schemeClr w14:val="tx1"/>
            </w14:solidFill>
          </w14:textFill>
        </w:rPr>
        <w:t>工作程序</w:t>
      </w:r>
      <w:bookmarkEnd w:id="70"/>
    </w:p>
    <w:p w14:paraId="11E0EB13">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3.2.1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城镇内涝风险评估及治理工作程序宜按图3.2.1进行。</w:t>
      </w:r>
    </w:p>
    <w:p w14:paraId="1D94307B">
      <w:pPr>
        <w:spacing w:line="360" w:lineRule="auto"/>
        <w:jc w:val="cente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drawing>
          <wp:inline distT="0" distB="0" distL="114300" distR="114300">
            <wp:extent cx="1882775" cy="3290570"/>
            <wp:effectExtent l="0" t="0" r="3175" b="5080"/>
            <wp:docPr id="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
                    <pic:cNvPicPr>
                      <a:picLocks noChangeAspect="1"/>
                    </pic:cNvPicPr>
                  </pic:nvPicPr>
                  <pic:blipFill>
                    <a:blip r:embed="rId12"/>
                    <a:stretch>
                      <a:fillRect/>
                    </a:stretch>
                  </pic:blipFill>
                  <pic:spPr>
                    <a:xfrm>
                      <a:off x="0" y="0"/>
                      <a:ext cx="1882775" cy="3290570"/>
                    </a:xfrm>
                    <a:prstGeom prst="rect">
                      <a:avLst/>
                    </a:prstGeom>
                    <a:noFill/>
                    <a:ln>
                      <a:noFill/>
                    </a:ln>
                  </pic:spPr>
                </pic:pic>
              </a:graphicData>
            </a:graphic>
          </wp:inline>
        </w:drawing>
      </w:r>
    </w:p>
    <w:p w14:paraId="17212A36">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Times New Roman" w:hAnsi="Times New Roman" w:eastAsia="宋体" w:cs="宋体"/>
          <w:b/>
          <w:bCs w:val="0"/>
          <w:color w:val="auto"/>
          <w:sz w:val="21"/>
          <w:szCs w:val="21"/>
          <w:highlight w:val="none"/>
          <w:lang w:val="en-US" w:eastAsia="zh-CN"/>
        </w:rPr>
      </w:pPr>
      <w:r>
        <w:rPr>
          <w:rFonts w:hint="eastAsia" w:ascii="Times New Roman" w:hAnsi="Times New Roman" w:eastAsia="宋体" w:cs="宋体"/>
          <w:b/>
          <w:bCs w:val="0"/>
          <w:color w:val="auto"/>
          <w:sz w:val="21"/>
          <w:szCs w:val="21"/>
          <w:lang w:val="en-US" w:eastAsia="zh-CN"/>
        </w:rPr>
        <w:t xml:space="preserve">图3.2.1 </w:t>
      </w:r>
      <w:r>
        <w:rPr>
          <w:rFonts w:hint="eastAsia" w:ascii="Times New Roman" w:hAnsi="Times New Roman" w:eastAsia="宋体" w:cs="宋体"/>
          <w:b/>
          <w:bCs w:val="0"/>
          <w:color w:val="auto"/>
          <w:sz w:val="21"/>
          <w:szCs w:val="21"/>
          <w:highlight w:val="none"/>
          <w:lang w:val="en-US" w:eastAsia="zh-CN"/>
        </w:rPr>
        <w:t>城镇内涝风险评估及治理工作程序</w:t>
      </w:r>
    </w:p>
    <w:p w14:paraId="743AA293">
      <w:pPr>
        <w:spacing w:line="360" w:lineRule="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3.2.2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城镇内涝风险评估对象应为范围和面积相对固定的区域，</w:t>
      </w:r>
      <w:r>
        <w:rPr>
          <w:rFonts w:hint="eastAsia" w:ascii="Times New Roman" w:hAnsi="Times New Roman" w:eastAsia="宋体" w:cs="宋体"/>
          <w:color w:val="auto"/>
          <w:sz w:val="24"/>
          <w:szCs w:val="24"/>
          <w:highlight w:val="none"/>
          <w:lang w:val="en-US" w:eastAsia="zh-CN"/>
        </w:rPr>
        <w:t>宜按照流域特征、结合排水分区合理划分评估单元。评估单元的划分原则宜按表3.2.2的要求进行。</w:t>
      </w:r>
    </w:p>
    <w:p w14:paraId="28EFCC4A">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highlight w:val="none"/>
          <w:lang w:val="en-US"/>
        </w:rPr>
      </w:pPr>
      <w:r>
        <w:rPr>
          <w:rFonts w:hint="eastAsia" w:ascii="Times New Roman" w:hAnsi="Times New Roman" w:eastAsia="宋体" w:cs="宋体"/>
          <w:b/>
          <w:bCs w:val="0"/>
          <w:color w:val="auto"/>
          <w:sz w:val="21"/>
          <w:szCs w:val="21"/>
          <w:highlight w:val="none"/>
        </w:rPr>
        <w:t>表</w:t>
      </w:r>
      <w:r>
        <w:rPr>
          <w:rFonts w:hint="eastAsia" w:ascii="Times New Roman" w:hAnsi="Times New Roman" w:eastAsia="宋体" w:cs="宋体"/>
          <w:b/>
          <w:bCs w:val="0"/>
          <w:color w:val="auto"/>
          <w:sz w:val="21"/>
          <w:szCs w:val="21"/>
          <w:highlight w:val="none"/>
          <w:lang w:val="en-US" w:eastAsia="zh-CN"/>
        </w:rPr>
        <w:t>3.2.2 城镇内涝风险评估单元划分原则</w:t>
      </w:r>
    </w:p>
    <w:tbl>
      <w:tblPr>
        <w:tblStyle w:val="17"/>
        <w:tblW w:w="82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025"/>
        <w:gridCol w:w="5385"/>
      </w:tblGrid>
      <w:tr w14:paraId="1B63E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99" w:type="dxa"/>
            <w:vAlign w:val="center"/>
          </w:tcPr>
          <w:p w14:paraId="6DE681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单元类型</w:t>
            </w:r>
          </w:p>
        </w:tc>
        <w:tc>
          <w:tcPr>
            <w:tcW w:w="2025" w:type="dxa"/>
            <w:vAlign w:val="center"/>
          </w:tcPr>
          <w:p w14:paraId="49D47A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描述</w:t>
            </w:r>
          </w:p>
        </w:tc>
        <w:tc>
          <w:tcPr>
            <w:tcW w:w="5385" w:type="dxa"/>
            <w:vAlign w:val="center"/>
          </w:tcPr>
          <w:p w14:paraId="36B305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适用范围</w:t>
            </w:r>
          </w:p>
        </w:tc>
      </w:tr>
      <w:tr w14:paraId="42DD5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99" w:type="dxa"/>
            <w:vAlign w:val="center"/>
          </w:tcPr>
          <w:p w14:paraId="41CE2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斑块单元</w:t>
            </w:r>
          </w:p>
        </w:tc>
        <w:tc>
          <w:tcPr>
            <w:tcW w:w="2025" w:type="dxa"/>
            <w:vAlign w:val="center"/>
          </w:tcPr>
          <w:p w14:paraId="548322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呈离散、斑块状的小型评估单元。</w:t>
            </w:r>
          </w:p>
        </w:tc>
        <w:tc>
          <w:tcPr>
            <w:tcW w:w="5385" w:type="dxa"/>
            <w:vAlign w:val="center"/>
          </w:tcPr>
          <w:p w14:paraId="41F83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b/>
                <w:bCs/>
                <w:color w:val="auto"/>
                <w:kern w:val="2"/>
                <w:sz w:val="21"/>
                <w:szCs w:val="21"/>
                <w:lang w:val="en-US" w:eastAsia="zh-CN" w:bidi="ar-SA"/>
              </w:rPr>
              <w:t>1</w:t>
            </w:r>
            <w:r>
              <w:rPr>
                <w:rFonts w:hint="eastAsia" w:ascii="Times New Roman" w:hAnsi="Times New Roman" w:eastAsia="宋体" w:cs="宋体"/>
                <w:color w:val="auto"/>
                <w:kern w:val="2"/>
                <w:sz w:val="21"/>
                <w:szCs w:val="21"/>
                <w:lang w:val="en-US" w:eastAsia="zh-CN" w:bidi="ar-SA"/>
              </w:rPr>
              <w:t xml:space="preserve"> 市政道路：单个涵隧、地铁车站、</w:t>
            </w:r>
            <w:r>
              <w:rPr>
                <w:rFonts w:hint="eastAsia" w:ascii="Times New Roman" w:hAnsi="Times New Roman" w:eastAsia="宋体" w:cs="宋体"/>
                <w:color w:val="auto"/>
                <w:kern w:val="2"/>
                <w:sz w:val="21"/>
                <w:szCs w:val="21"/>
                <w:highlight w:val="none"/>
                <w:lang w:val="en-US" w:eastAsia="zh-CN" w:bidi="ar-SA"/>
              </w:rPr>
              <w:t>交叉路口、下沉路段、人行道、地下空间出入口</w:t>
            </w:r>
            <w:r>
              <w:rPr>
                <w:rFonts w:hint="eastAsia" w:ascii="Times New Roman" w:hAnsi="Times New Roman" w:eastAsia="宋体" w:cs="宋体"/>
                <w:color w:val="auto"/>
                <w:kern w:val="2"/>
                <w:sz w:val="21"/>
                <w:szCs w:val="21"/>
                <w:lang w:val="en-US" w:eastAsia="zh-CN" w:bidi="ar-SA"/>
              </w:rPr>
              <w:t>等；</w:t>
            </w:r>
          </w:p>
          <w:p w14:paraId="53882D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宋体"/>
                <w:color w:val="auto"/>
                <w:kern w:val="2"/>
                <w:sz w:val="21"/>
                <w:szCs w:val="21"/>
                <w:lang w:val="en-US" w:eastAsia="zh-CN" w:bidi="ar-SA"/>
              </w:rPr>
            </w:pPr>
            <w:r>
              <w:rPr>
                <w:rFonts w:hint="eastAsia" w:ascii="Times New Roman" w:hAnsi="Times New Roman" w:eastAsia="宋体" w:cs="宋体"/>
                <w:b/>
                <w:bCs/>
                <w:color w:val="auto"/>
                <w:kern w:val="2"/>
                <w:sz w:val="21"/>
                <w:szCs w:val="21"/>
                <w:lang w:val="en-US" w:eastAsia="zh-CN" w:bidi="ar-SA"/>
              </w:rPr>
              <w:t>2</w:t>
            </w:r>
            <w:r>
              <w:rPr>
                <w:rFonts w:hint="eastAsia" w:ascii="Times New Roman" w:hAnsi="Times New Roman" w:eastAsia="宋体" w:cs="宋体"/>
                <w:color w:val="auto"/>
                <w:kern w:val="2"/>
                <w:sz w:val="21"/>
                <w:szCs w:val="21"/>
                <w:lang w:val="en-US" w:eastAsia="zh-CN" w:bidi="ar-SA"/>
              </w:rPr>
              <w:t xml:space="preserve"> 建筑与小区：建构筑物、停车场</w:t>
            </w:r>
            <w:r>
              <w:rPr>
                <w:rFonts w:hint="eastAsia" w:ascii="Times New Roman" w:hAnsi="Times New Roman" w:eastAsia="宋体" w:cs="宋体"/>
                <w:color w:val="auto"/>
                <w:kern w:val="2"/>
                <w:sz w:val="21"/>
                <w:szCs w:val="21"/>
                <w:highlight w:val="none"/>
                <w:lang w:val="en-US" w:eastAsia="zh-CN" w:bidi="ar-SA"/>
              </w:rPr>
              <w:t>；</w:t>
            </w:r>
          </w:p>
          <w:p w14:paraId="27A57C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b/>
                <w:bCs/>
                <w:color w:val="auto"/>
                <w:kern w:val="2"/>
                <w:sz w:val="21"/>
                <w:szCs w:val="21"/>
                <w:lang w:val="en-US" w:eastAsia="zh-CN" w:bidi="ar-SA"/>
              </w:rPr>
              <w:t>3</w:t>
            </w:r>
            <w:r>
              <w:rPr>
                <w:rFonts w:hint="eastAsia" w:ascii="Times New Roman" w:hAnsi="Times New Roman" w:eastAsia="宋体" w:cs="宋体"/>
                <w:color w:val="auto"/>
                <w:kern w:val="2"/>
                <w:sz w:val="21"/>
                <w:szCs w:val="21"/>
                <w:lang w:val="en-US" w:eastAsia="zh-CN" w:bidi="ar-SA"/>
              </w:rPr>
              <w:t xml:space="preserve"> 绿地和广场；</w:t>
            </w:r>
          </w:p>
          <w:p w14:paraId="7EFF1B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4</w:t>
            </w:r>
            <w:r>
              <w:rPr>
                <w:rFonts w:hint="eastAsia" w:ascii="Times New Roman" w:hAnsi="Times New Roman" w:eastAsia="宋体" w:cs="宋体"/>
                <w:color w:val="auto"/>
                <w:kern w:val="2"/>
                <w:sz w:val="21"/>
                <w:szCs w:val="21"/>
                <w:highlight w:val="none"/>
                <w:lang w:val="en-US" w:eastAsia="zh-CN" w:bidi="ar-SA"/>
              </w:rPr>
              <w:t xml:space="preserve"> 中心城区重要地区、重要市政基础设施或生命线工程。</w:t>
            </w:r>
          </w:p>
        </w:tc>
      </w:tr>
      <w:tr w14:paraId="228E1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9" w:type="dxa"/>
            <w:vAlign w:val="center"/>
          </w:tcPr>
          <w:p w14:paraId="5AAA4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连片单元</w:t>
            </w:r>
          </w:p>
        </w:tc>
        <w:tc>
          <w:tcPr>
            <w:tcW w:w="2025" w:type="dxa"/>
            <w:vAlign w:val="center"/>
          </w:tcPr>
          <w:p w14:paraId="01F47E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呈连续、区域性的大型评估单元。</w:t>
            </w:r>
          </w:p>
        </w:tc>
        <w:tc>
          <w:tcPr>
            <w:tcW w:w="5385" w:type="dxa"/>
            <w:vAlign w:val="center"/>
          </w:tcPr>
          <w:p w14:paraId="56C737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b/>
                <w:bCs/>
                <w:color w:val="auto"/>
                <w:sz w:val="21"/>
                <w:szCs w:val="21"/>
                <w:lang w:val="en-US" w:eastAsia="zh-CN"/>
              </w:rPr>
              <w:t>1</w:t>
            </w:r>
            <w:r>
              <w:rPr>
                <w:rFonts w:hint="eastAsia" w:ascii="Times New Roman" w:hAnsi="Times New Roman" w:eastAsia="宋体" w:cs="宋体"/>
                <w:color w:val="auto"/>
                <w:sz w:val="21"/>
                <w:szCs w:val="21"/>
                <w:lang w:val="en-US" w:eastAsia="zh-CN"/>
              </w:rPr>
              <w:t xml:space="preserve"> 城区；</w:t>
            </w:r>
          </w:p>
          <w:p w14:paraId="7D4792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b/>
                <w:bCs/>
                <w:color w:val="auto"/>
                <w:sz w:val="21"/>
                <w:szCs w:val="21"/>
                <w:lang w:val="en-US" w:eastAsia="zh-CN"/>
              </w:rPr>
              <w:t>2</w:t>
            </w:r>
            <w:r>
              <w:rPr>
                <w:rFonts w:hint="eastAsia" w:ascii="Times New Roman" w:hAnsi="Times New Roman" w:eastAsia="宋体" w:cs="宋体"/>
                <w:color w:val="auto"/>
                <w:sz w:val="21"/>
                <w:szCs w:val="21"/>
                <w:lang w:val="en-US" w:eastAsia="zh-CN"/>
              </w:rPr>
              <w:t xml:space="preserve"> 河涌流域。</w:t>
            </w:r>
          </w:p>
        </w:tc>
      </w:tr>
    </w:tbl>
    <w:p w14:paraId="2FC1BDD7">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bCs/>
          <w:color w:val="auto"/>
          <w:sz w:val="24"/>
          <w:szCs w:val="24"/>
          <w:lang w:val="en-US" w:eastAsia="zh-CN"/>
        </w:rPr>
        <w:t>3.2.3</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val="en-US" w:eastAsia="zh-CN"/>
        </w:rPr>
        <w:t>资料收集应包括水文数据、降雨数据、地面高程数据、下垫面数据、排水管渠数据、城镇雨水管道受纳水体数据、城镇河涌数据、行泄通道数据、河道桥梁及拦河建（构）筑物数据、内涝监测数据、管渠检测成果、内涝治理设施资料、调蓄设施及排涝设施资料、运维资料等。必要时应开展现场情况调查及检测、监测。</w:t>
      </w:r>
    </w:p>
    <w:p w14:paraId="69874BAC">
      <w:pPr>
        <w:spacing w:line="360" w:lineRule="auto"/>
        <w:rPr>
          <w:rFonts w:hint="eastAsia" w:ascii="Times New Roman" w:hAnsi="Times New Roman" w:eastAsia="宋体" w:cs="宋体"/>
          <w:b/>
          <w:bCs w:val="0"/>
          <w:color w:val="auto"/>
          <w:sz w:val="21"/>
          <w:szCs w:val="21"/>
        </w:rPr>
      </w:pPr>
      <w:r>
        <w:rPr>
          <w:rFonts w:hint="eastAsia" w:ascii="Times New Roman" w:hAnsi="Times New Roman" w:eastAsia="宋体" w:cs="宋体"/>
          <w:b/>
          <w:bCs/>
          <w:color w:val="auto"/>
          <w:sz w:val="24"/>
          <w:szCs w:val="24"/>
          <w:lang w:val="en-US" w:eastAsia="zh-CN"/>
        </w:rPr>
        <w:t>3.2.4</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宋体" w:cs="宋体"/>
          <w:bCs/>
          <w:color w:val="000000" w:themeColor="text1"/>
          <w:sz w:val="24"/>
          <w:szCs w:val="24"/>
          <w:highlight w:val="none"/>
          <w:lang w:val="en-US" w:eastAsia="zh-CN"/>
          <w14:textFill>
            <w14:solidFill>
              <w14:schemeClr w14:val="tx1"/>
            </w14:solidFill>
          </w14:textFill>
        </w:rPr>
        <w:t>针对斑块评估单元，应开展</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内涝风险等级评估，风险等级分为低风险、中风险、高风险，按表3.2.4采取相应的应对措施和临时应急措施。</w:t>
      </w:r>
    </w:p>
    <w:p w14:paraId="26BB7C75">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3.2.4 城镇内涝风险等级及应对措施</w:t>
      </w:r>
    </w:p>
    <w:tbl>
      <w:tblPr>
        <w:tblStyle w:val="17"/>
        <w:tblW w:w="76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6064"/>
      </w:tblGrid>
      <w:tr w14:paraId="0D790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54" w:type="dxa"/>
            <w:vAlign w:val="center"/>
          </w:tcPr>
          <w:p w14:paraId="05A39F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风险等级</w:t>
            </w:r>
          </w:p>
        </w:tc>
        <w:tc>
          <w:tcPr>
            <w:tcW w:w="6064" w:type="dxa"/>
            <w:vAlign w:val="center"/>
          </w:tcPr>
          <w:p w14:paraId="2B41B9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应对措施</w:t>
            </w:r>
          </w:p>
        </w:tc>
      </w:tr>
      <w:tr w14:paraId="7DA85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54" w:type="dxa"/>
            <w:vAlign w:val="center"/>
          </w:tcPr>
          <w:p w14:paraId="06A512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lang w:val="en-US" w:eastAsia="zh-CN"/>
              </w:rPr>
              <w:t>高风险</w:t>
            </w:r>
          </w:p>
        </w:tc>
        <w:tc>
          <w:tcPr>
            <w:tcW w:w="6064" w:type="dxa"/>
            <w:vAlign w:val="center"/>
          </w:tcPr>
          <w:p w14:paraId="67FB3A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 立即制定治理方案，开展内涝治理，增加临时应急措施；</w:t>
            </w:r>
          </w:p>
          <w:p w14:paraId="06A55C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 建立内涝监测预警系统；</w:t>
            </w:r>
          </w:p>
          <w:p w14:paraId="1709A5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3 暴雨天气加强警示、值守及车辆、行人管控。</w:t>
            </w:r>
          </w:p>
        </w:tc>
      </w:tr>
      <w:tr w14:paraId="0937F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4" w:type="dxa"/>
            <w:vAlign w:val="center"/>
          </w:tcPr>
          <w:p w14:paraId="6CE7BB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中风险</w:t>
            </w:r>
          </w:p>
        </w:tc>
        <w:tc>
          <w:tcPr>
            <w:tcW w:w="6064" w:type="dxa"/>
            <w:vAlign w:val="center"/>
          </w:tcPr>
          <w:p w14:paraId="5A3688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 制定治理方案，开展内涝治理；</w:t>
            </w:r>
          </w:p>
          <w:p w14:paraId="539F77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 加强日常巡查，宜建立内涝监测预警系统；</w:t>
            </w:r>
          </w:p>
          <w:p w14:paraId="21DB3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 暴雨天气加强警示、值守及车辆、行人管控。</w:t>
            </w:r>
          </w:p>
        </w:tc>
      </w:tr>
      <w:tr w14:paraId="038F6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54" w:type="dxa"/>
            <w:vAlign w:val="center"/>
          </w:tcPr>
          <w:p w14:paraId="207522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sz w:val="21"/>
                <w:szCs w:val="21"/>
                <w:highlight w:val="none"/>
                <w:lang w:val="en-US" w:eastAsia="zh-CN"/>
              </w:rPr>
              <w:t>低风险</w:t>
            </w:r>
          </w:p>
        </w:tc>
        <w:tc>
          <w:tcPr>
            <w:tcW w:w="6064" w:type="dxa"/>
            <w:vAlign w:val="center"/>
          </w:tcPr>
          <w:p w14:paraId="33ED70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 w:val="21"/>
                <w:szCs w:val="21"/>
                <w:highlight w:val="none"/>
                <w:lang w:val="en-US" w:eastAsia="zh-CN"/>
              </w:rPr>
              <w:t>进行日常巡查及运行维护。</w:t>
            </w:r>
          </w:p>
        </w:tc>
      </w:tr>
    </w:tbl>
    <w:p w14:paraId="207A9725">
      <w:pPr>
        <w:spacing w:line="360" w:lineRule="auto"/>
        <w:rPr>
          <w:rFonts w:hint="default" w:ascii="Times New Roman" w:hAnsi="Times New Roman" w:eastAsia="宋体" w:cs="宋体"/>
          <w:b w:val="0"/>
          <w:bCs w:val="0"/>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 xml:space="preserve">3.2.5 </w:t>
      </w:r>
      <w:r>
        <w:rPr>
          <w:rFonts w:hint="eastAsia" w:ascii="Times New Roman" w:hAnsi="Times New Roman" w:eastAsia="宋体" w:cs="宋体"/>
          <w:b w:val="0"/>
          <w:bCs w:val="0"/>
          <w:color w:val="auto"/>
          <w:sz w:val="24"/>
          <w:szCs w:val="24"/>
          <w:highlight w:val="none"/>
          <w:lang w:val="en-US" w:eastAsia="zh-CN"/>
        </w:rPr>
        <w:t>针对连片评估单元，应按照排水分区结合规划管理单元细分斑块状评估单元，按下列要求开展评估：</w:t>
      </w:r>
    </w:p>
    <w:p w14:paraId="25E29E32">
      <w:pPr>
        <w:spacing w:line="360" w:lineRule="auto"/>
        <w:ind w:firstLine="482" w:firstLineChars="200"/>
        <w:rPr>
          <w:rFonts w:hint="eastAsia" w:ascii="Times New Roman" w:hAnsi="Times New Roman" w:eastAsia="宋体" w:cs="宋体"/>
          <w:b w:val="0"/>
          <w:bCs w:val="0"/>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1</w:t>
      </w:r>
      <w:r>
        <w:rPr>
          <w:rFonts w:hint="eastAsia" w:ascii="Times New Roman" w:hAnsi="Times New Roman" w:eastAsia="宋体" w:cs="宋体"/>
          <w:b w:val="0"/>
          <w:bCs w:val="0"/>
          <w:color w:val="auto"/>
          <w:sz w:val="24"/>
          <w:szCs w:val="24"/>
          <w:highlight w:val="none"/>
          <w:lang w:val="en-US" w:eastAsia="zh-CN"/>
        </w:rPr>
        <w:t xml:space="preserve"> 对各斑块评估单元的风险等级、风险点数量、面积等信息进行数理统计；</w:t>
      </w:r>
    </w:p>
    <w:p w14:paraId="1E4D0D5E">
      <w:pPr>
        <w:spacing w:line="360" w:lineRule="auto"/>
        <w:ind w:firstLine="482" w:firstLineChars="200"/>
        <w:rPr>
          <w:rFonts w:hint="eastAsia" w:ascii="Times New Roman" w:hAnsi="Times New Roman" w:eastAsia="宋体" w:cs="宋体"/>
          <w:b w:val="0"/>
          <w:bCs w:val="0"/>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2</w:t>
      </w:r>
      <w:r>
        <w:rPr>
          <w:rFonts w:hint="eastAsia" w:ascii="Times New Roman" w:hAnsi="Times New Roman" w:eastAsia="宋体" w:cs="宋体"/>
          <w:b w:val="0"/>
          <w:bCs w:val="0"/>
          <w:color w:val="auto"/>
          <w:sz w:val="24"/>
          <w:szCs w:val="24"/>
          <w:highlight w:val="none"/>
          <w:lang w:val="en-US" w:eastAsia="zh-CN"/>
        </w:rPr>
        <w:t xml:space="preserve"> 对连片评估单元进行风险区划。</w:t>
      </w:r>
    </w:p>
    <w:p w14:paraId="46859049">
      <w:pPr>
        <w:spacing w:line="360" w:lineRule="auto"/>
        <w:rPr>
          <w:rFonts w:hint="eastAsia" w:ascii="Times New Roman" w:hAnsi="Times New Roman" w:eastAsia="仿宋" w:cs="仿宋"/>
          <w:color w:val="0000FF"/>
          <w:sz w:val="24"/>
          <w:szCs w:val="24"/>
          <w:highlight w:val="none"/>
          <w:lang w:eastAsia="zh-CN"/>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3.2</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6 </w:t>
      </w:r>
      <w:r>
        <w:rPr>
          <w:rFonts w:hint="eastAsia" w:ascii="Times New Roman" w:hAnsi="Times New Roman" w:eastAsia="宋体" w:cs="宋体"/>
          <w:color w:val="000000" w:themeColor="text1"/>
          <w:sz w:val="24"/>
          <w:szCs w:val="24"/>
          <w14:textFill>
            <w14:solidFill>
              <w14:schemeClr w14:val="tx1"/>
            </w14:solidFill>
          </w14:textFill>
        </w:rPr>
        <w:t>城镇内涝风险评估</w:t>
      </w:r>
      <w:r>
        <w:rPr>
          <w:rFonts w:hint="eastAsia" w:ascii="Times New Roman" w:hAnsi="Times New Roman" w:eastAsia="宋体" w:cs="宋体"/>
          <w:color w:val="000000" w:themeColor="text1"/>
          <w:sz w:val="24"/>
          <w:szCs w:val="24"/>
          <w:lang w:val="en-US" w:eastAsia="zh-CN"/>
          <w14:textFill>
            <w14:solidFill>
              <w14:schemeClr w14:val="tx1"/>
            </w14:solidFill>
          </w14:textFill>
        </w:rPr>
        <w:t>成</w:t>
      </w:r>
      <w:r>
        <w:rPr>
          <w:rFonts w:hint="eastAsia" w:ascii="Times New Roman" w:hAnsi="Times New Roman" w:eastAsia="宋体" w:cs="宋体"/>
          <w:color w:val="000000" w:themeColor="text1"/>
          <w:sz w:val="24"/>
          <w:szCs w:val="24"/>
          <w14:textFill>
            <w14:solidFill>
              <w14:schemeClr w14:val="tx1"/>
            </w14:solidFill>
          </w14:textFill>
        </w:rPr>
        <w:t>果</w:t>
      </w:r>
      <w:r>
        <w:rPr>
          <w:rFonts w:hint="eastAsia" w:ascii="Times New Roman" w:hAnsi="Times New Roman" w:eastAsia="宋体" w:cs="宋体"/>
          <w:color w:val="000000" w:themeColor="text1"/>
          <w:sz w:val="24"/>
          <w:szCs w:val="24"/>
          <w:lang w:val="en-US" w:eastAsia="zh-CN"/>
          <w14:textFill>
            <w14:solidFill>
              <w14:schemeClr w14:val="tx1"/>
            </w14:solidFill>
          </w14:textFill>
        </w:rPr>
        <w:t>应</w:t>
      </w:r>
      <w:r>
        <w:rPr>
          <w:rFonts w:hint="eastAsia" w:ascii="Times New Roman" w:hAnsi="Times New Roman" w:eastAsia="宋体" w:cs="宋体"/>
          <w:color w:val="000000" w:themeColor="text1"/>
          <w:sz w:val="24"/>
          <w:szCs w:val="24"/>
          <w14:textFill>
            <w14:solidFill>
              <w14:schemeClr w14:val="tx1"/>
            </w14:solidFill>
          </w14:textFill>
        </w:rPr>
        <w:t>包</w:t>
      </w:r>
      <w:r>
        <w:rPr>
          <w:rFonts w:hint="eastAsia" w:ascii="Times New Roman" w:hAnsi="Times New Roman" w:eastAsia="宋体" w:cs="宋体"/>
          <w:color w:val="000000" w:themeColor="text1"/>
          <w:sz w:val="24"/>
          <w:szCs w:val="24"/>
          <w:lang w:val="en-US" w:eastAsia="zh-CN"/>
          <w14:textFill>
            <w14:solidFill>
              <w14:schemeClr w14:val="tx1"/>
            </w14:solidFill>
          </w14:textFill>
        </w:rPr>
        <w:t>括</w:t>
      </w:r>
      <w:r>
        <w:rPr>
          <w:rFonts w:hint="eastAsia" w:ascii="Times New Roman" w:hAnsi="Times New Roman" w:eastAsia="宋体" w:cs="宋体"/>
          <w:color w:val="000000" w:themeColor="text1"/>
          <w:sz w:val="24"/>
          <w:szCs w:val="24"/>
          <w14:textFill>
            <w14:solidFill>
              <w14:schemeClr w14:val="tx1"/>
            </w14:solidFill>
          </w14:textFill>
        </w:rPr>
        <w:t>积水分布范围、积水</w:t>
      </w:r>
      <w:r>
        <w:rPr>
          <w:rFonts w:hint="eastAsia" w:ascii="Times New Roman" w:hAnsi="Times New Roman" w:eastAsia="宋体" w:cs="宋体"/>
          <w:color w:val="000000" w:themeColor="text1"/>
          <w:sz w:val="24"/>
          <w:szCs w:val="24"/>
          <w:lang w:val="en-US" w:eastAsia="zh-CN"/>
          <w14:textFill>
            <w14:solidFill>
              <w14:schemeClr w14:val="tx1"/>
            </w14:solidFill>
          </w14:textFill>
        </w:rPr>
        <w:t>深度</w:t>
      </w:r>
      <w:r>
        <w:rPr>
          <w:rFonts w:hint="eastAsia"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highlight w:val="none"/>
          <w14:textFill>
            <w14:solidFill>
              <w14:schemeClr w14:val="tx1"/>
            </w14:solidFill>
          </w14:textFill>
        </w:rPr>
        <w:t>积水时间和风</w:t>
      </w:r>
      <w:r>
        <w:rPr>
          <w:rFonts w:hint="eastAsia" w:ascii="Times New Roman" w:hAnsi="Times New Roman" w:eastAsia="宋体" w:cs="宋体"/>
          <w:color w:val="000000" w:themeColor="text1"/>
          <w:sz w:val="24"/>
          <w:szCs w:val="24"/>
          <w14:textFill>
            <w14:solidFill>
              <w14:schemeClr w14:val="tx1"/>
            </w14:solidFill>
          </w14:textFill>
        </w:rPr>
        <w:t>险</w:t>
      </w:r>
      <w:r>
        <w:rPr>
          <w:rFonts w:hint="eastAsia" w:ascii="Times New Roman" w:hAnsi="Times New Roman" w:eastAsia="宋体" w:cs="宋体"/>
          <w:color w:val="000000" w:themeColor="text1"/>
          <w:sz w:val="24"/>
          <w:szCs w:val="24"/>
          <w:lang w:val="en-US" w:eastAsia="zh-CN"/>
          <w14:textFill>
            <w14:solidFill>
              <w14:schemeClr w14:val="tx1"/>
            </w14:solidFill>
          </w14:textFill>
        </w:rPr>
        <w:t>等级</w:t>
      </w:r>
      <w:r>
        <w:rPr>
          <w:rFonts w:hint="eastAsia" w:ascii="Times New Roman" w:hAnsi="Times New Roman" w:eastAsia="宋体" w:cs="宋体"/>
          <w:color w:val="000000" w:themeColor="text1"/>
          <w:sz w:val="24"/>
          <w:szCs w:val="24"/>
          <w14:textFill>
            <w14:solidFill>
              <w14:schemeClr w14:val="tx1"/>
            </w14:solidFill>
          </w14:textFill>
        </w:rPr>
        <w:t>。</w:t>
      </w:r>
    </w:p>
    <w:p w14:paraId="363AA411">
      <w:pPr>
        <w:spacing w:line="360" w:lineRule="auto"/>
        <w:rPr>
          <w:rFonts w:hint="default" w:ascii="Times New Roman" w:hAnsi="Times New Roman" w:eastAsia="宋体" w:cs="宋体"/>
          <w:color w:val="000000" w:themeColor="text1"/>
          <w:sz w:val="24"/>
          <w:szCs w:val="24"/>
          <w:lang w:val="en-US"/>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3.2</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7 </w:t>
      </w:r>
      <w:r>
        <w:rPr>
          <w:rFonts w:hint="eastAsia" w:ascii="Times New Roman" w:hAnsi="Times New Roman" w:eastAsia="宋体" w:cs="宋体"/>
          <w:color w:val="000000" w:themeColor="text1"/>
          <w:sz w:val="24"/>
          <w:szCs w:val="24"/>
          <w14:textFill>
            <w14:solidFill>
              <w14:schemeClr w14:val="tx1"/>
            </w14:solidFill>
          </w14:textFill>
        </w:rPr>
        <w:t>城镇内涝风险评估</w:t>
      </w:r>
      <w:r>
        <w:rPr>
          <w:rFonts w:hint="eastAsia" w:ascii="Times New Roman" w:hAnsi="Times New Roman" w:eastAsia="宋体" w:cs="宋体"/>
          <w:color w:val="000000" w:themeColor="text1"/>
          <w:sz w:val="24"/>
          <w:szCs w:val="24"/>
          <w:lang w:val="en-US" w:eastAsia="zh-CN"/>
          <w14:textFill>
            <w14:solidFill>
              <w14:schemeClr w14:val="tx1"/>
            </w14:solidFill>
          </w14:textFill>
        </w:rPr>
        <w:t>报告宜包括以下内容：</w:t>
      </w:r>
    </w:p>
    <w:p w14:paraId="5E0F7189">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1</w:t>
      </w:r>
      <w:r>
        <w:rPr>
          <w:rFonts w:hint="eastAsia" w:ascii="Times New Roman" w:hAnsi="Times New Roman" w:eastAsia="宋体" w:cs="宋体"/>
          <w:b w:val="0"/>
          <w:bCs/>
          <w:color w:val="auto"/>
          <w:sz w:val="24"/>
          <w:szCs w:val="24"/>
          <w:lang w:val="en-US" w:eastAsia="zh-CN"/>
        </w:rPr>
        <w:t xml:space="preserve"> 项目背景、目标及任务；</w:t>
      </w:r>
    </w:p>
    <w:p w14:paraId="52BDE88F">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2</w:t>
      </w:r>
      <w:r>
        <w:rPr>
          <w:rFonts w:hint="eastAsia" w:ascii="Times New Roman" w:hAnsi="Times New Roman" w:eastAsia="宋体" w:cs="宋体"/>
          <w:b w:val="0"/>
          <w:bCs/>
          <w:color w:val="auto"/>
          <w:sz w:val="24"/>
          <w:szCs w:val="24"/>
          <w:lang w:val="en-US" w:eastAsia="zh-CN"/>
        </w:rPr>
        <w:t xml:space="preserve"> 评估的依据。包括法律法规依据、标准规范依据、相关规划依据以及委托方提供的其他资料依据；</w:t>
      </w:r>
    </w:p>
    <w:p w14:paraId="12808F7C">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3</w:t>
      </w:r>
      <w:r>
        <w:rPr>
          <w:rFonts w:hint="eastAsia" w:ascii="Times New Roman" w:hAnsi="Times New Roman" w:eastAsia="宋体" w:cs="宋体"/>
          <w:b w:val="0"/>
          <w:bCs/>
          <w:color w:val="auto"/>
          <w:sz w:val="24"/>
          <w:szCs w:val="24"/>
          <w:lang w:val="en-US" w:eastAsia="zh-CN"/>
        </w:rPr>
        <w:t xml:space="preserve"> 现状调查。包括区域流域基本情况调查、历史洪涝灾害基本情况调查、水文气象数据调查、自然排水条件调查、排水体制调查、易涝积水点调查、防洪排涝设施调查等；</w:t>
      </w:r>
    </w:p>
    <w:p w14:paraId="2DE1FABD">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4</w:t>
      </w:r>
      <w:r>
        <w:rPr>
          <w:rFonts w:hint="eastAsia" w:ascii="Times New Roman" w:hAnsi="Times New Roman" w:eastAsia="宋体" w:cs="宋体"/>
          <w:b w:val="0"/>
          <w:bCs/>
          <w:color w:val="auto"/>
          <w:sz w:val="24"/>
          <w:szCs w:val="24"/>
          <w:lang w:val="en-US" w:eastAsia="zh-CN"/>
        </w:rPr>
        <w:t xml:space="preserve"> 检测监测结果。包括管网检测结果、易涝积水点监测结果、河涌水系监测结果等；</w:t>
      </w:r>
    </w:p>
    <w:p w14:paraId="2015C2D1">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highlight w:val="yellow"/>
          <w:lang w:val="en-US" w:eastAsia="zh-CN"/>
        </w:rPr>
      </w:pPr>
      <w:r>
        <w:rPr>
          <w:rFonts w:hint="eastAsia" w:ascii="Times New Roman" w:hAnsi="Times New Roman" w:eastAsia="宋体" w:cs="宋体"/>
          <w:b/>
          <w:bCs w:val="0"/>
          <w:color w:val="auto"/>
          <w:sz w:val="24"/>
          <w:szCs w:val="24"/>
          <w:lang w:val="en-US" w:eastAsia="zh-CN"/>
        </w:rPr>
        <w:t>5</w:t>
      </w:r>
      <w:r>
        <w:rPr>
          <w:rFonts w:hint="eastAsia" w:ascii="Times New Roman" w:hAnsi="Times New Roman" w:eastAsia="宋体" w:cs="宋体"/>
          <w:b w:val="0"/>
          <w:bCs/>
          <w:color w:val="auto"/>
          <w:sz w:val="24"/>
          <w:szCs w:val="24"/>
          <w:lang w:val="en-US" w:eastAsia="zh-CN"/>
        </w:rPr>
        <w:t xml:space="preserve"> 水文及</w:t>
      </w:r>
      <w:r>
        <w:rPr>
          <w:rFonts w:hint="eastAsia" w:ascii="Times New Roman" w:hAnsi="Times New Roman" w:eastAsia="宋体" w:cs="宋体"/>
          <w:b w:val="0"/>
          <w:bCs/>
          <w:color w:val="auto"/>
          <w:sz w:val="24"/>
          <w:szCs w:val="24"/>
          <w:highlight w:val="none"/>
          <w:lang w:val="en-US" w:eastAsia="zh-CN"/>
        </w:rPr>
        <w:t>水力模型计算；</w:t>
      </w:r>
    </w:p>
    <w:p w14:paraId="20C8DFA1">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6</w:t>
      </w:r>
      <w:r>
        <w:rPr>
          <w:rFonts w:hint="eastAsia" w:ascii="Times New Roman" w:hAnsi="Times New Roman" w:eastAsia="宋体" w:cs="宋体"/>
          <w:b w:val="0"/>
          <w:bCs/>
          <w:color w:val="auto"/>
          <w:sz w:val="24"/>
          <w:szCs w:val="24"/>
          <w:lang w:val="en-US" w:eastAsia="zh-CN"/>
        </w:rPr>
        <w:t xml:space="preserve"> 内涝风险评估。包括计算模型介绍、数据来源、假设假定、边界条件和初始条件、模型参数设定、模型率定及验证、暴雨径流计算、淹没时间、淹没范围和淹没水深计算、内涝风险、评估结果；</w:t>
      </w:r>
    </w:p>
    <w:p w14:paraId="35FEE1F8">
      <w:pPr>
        <w:widowControl w:val="0"/>
        <w:numPr>
          <w:ilvl w:val="0"/>
          <w:numId w:val="0"/>
        </w:numPr>
        <w:spacing w:line="360" w:lineRule="auto"/>
        <w:ind w:leftChars="0" w:firstLine="482" w:firstLineChars="200"/>
        <w:jc w:val="both"/>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7</w:t>
      </w:r>
      <w:r>
        <w:rPr>
          <w:rFonts w:hint="eastAsia" w:ascii="Times New Roman" w:hAnsi="Times New Roman" w:eastAsia="宋体" w:cs="宋体"/>
          <w:b w:val="0"/>
          <w:bCs/>
          <w:color w:val="auto"/>
          <w:sz w:val="24"/>
          <w:szCs w:val="24"/>
          <w:lang w:val="en-US" w:eastAsia="zh-CN"/>
        </w:rPr>
        <w:t xml:space="preserve"> 内涝风险成因分析；</w:t>
      </w:r>
    </w:p>
    <w:p w14:paraId="7D1A1E18">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8</w:t>
      </w:r>
      <w:r>
        <w:rPr>
          <w:rFonts w:hint="eastAsia" w:ascii="Times New Roman" w:hAnsi="Times New Roman" w:eastAsia="宋体" w:cs="宋体"/>
          <w:b w:val="0"/>
          <w:bCs/>
          <w:color w:val="auto"/>
          <w:sz w:val="24"/>
          <w:szCs w:val="24"/>
          <w:lang w:val="en-US" w:eastAsia="zh-CN"/>
        </w:rPr>
        <w:t xml:space="preserve"> 结论及建议；</w:t>
      </w:r>
    </w:p>
    <w:p w14:paraId="62280CC5">
      <w:pPr>
        <w:spacing w:line="360" w:lineRule="auto"/>
        <w:ind w:firstLine="482" w:firstLineChars="200"/>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bCs w:val="0"/>
          <w:color w:val="auto"/>
          <w:sz w:val="24"/>
          <w:szCs w:val="24"/>
          <w:highlight w:val="none"/>
          <w:lang w:val="en-US" w:eastAsia="zh-CN"/>
        </w:rPr>
        <w:t xml:space="preserve">9 </w:t>
      </w:r>
      <w:r>
        <w:rPr>
          <w:rFonts w:hint="eastAsia" w:ascii="Times New Roman" w:hAnsi="Times New Roman" w:eastAsia="宋体" w:cs="宋体"/>
          <w:b w:val="0"/>
          <w:bCs/>
          <w:color w:val="auto"/>
          <w:sz w:val="24"/>
          <w:szCs w:val="24"/>
          <w:highlight w:val="none"/>
          <w:lang w:val="en-US" w:eastAsia="zh-CN"/>
        </w:rPr>
        <w:t>附图。包括内涝风险分布图等。</w:t>
      </w:r>
    </w:p>
    <w:p w14:paraId="5812D650">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auto"/>
          <w:sz w:val="24"/>
          <w:szCs w:val="24"/>
          <w:highlight w:val="none"/>
          <w:lang w:val="en-US" w:eastAsia="zh-CN"/>
        </w:rPr>
        <w:t>3.2.8</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符合下列情况时应建立内涝监测预警体系，宜优先采用信息化、智慧化手段：</w:t>
      </w:r>
    </w:p>
    <w:p w14:paraId="4F31A59F">
      <w:pPr>
        <w:spacing w:line="360" w:lineRule="auto"/>
        <w:ind w:firstLine="482"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中心城区高风险区域；</w:t>
      </w:r>
    </w:p>
    <w:p w14:paraId="2B34004A">
      <w:pPr>
        <w:spacing w:line="360" w:lineRule="auto"/>
        <w:ind w:firstLine="482"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中心城区重要地区中风险区域；</w:t>
      </w:r>
    </w:p>
    <w:p w14:paraId="653E6D9E">
      <w:pPr>
        <w:spacing w:line="360" w:lineRule="auto"/>
        <w:ind w:firstLine="482" w:firstLineChars="200"/>
        <w:rPr>
          <w:rFonts w:hint="default" w:ascii="Times New Roman" w:hAnsi="Times New Roman" w:eastAsia="宋体" w:cs="宋体"/>
          <w:b w:val="0"/>
          <w:bCs/>
          <w:strike w:val="0"/>
          <w:dstrike w:val="0"/>
          <w:color w:val="auto"/>
          <w:sz w:val="24"/>
          <w:szCs w:val="24"/>
          <w:lang w:val="en-US" w:eastAsia="zh-CN"/>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重要市政基础设施或生命线工程所在区域。</w:t>
      </w:r>
    </w:p>
    <w:p w14:paraId="092A2AEA">
      <w:pPr>
        <w:pStyle w:val="4"/>
        <w:spacing w:beforeLines="0" w:after="156" w:afterLines="50"/>
        <w:jc w:val="center"/>
        <w:rPr>
          <w:rFonts w:hint="default" w:ascii="Times New Roman" w:hAnsi="Times New Roman" w:eastAsia="宋体" w:cs="宋体"/>
          <w:color w:val="000000" w:themeColor="text1"/>
          <w:sz w:val="28"/>
          <w:szCs w:val="28"/>
          <w:highlight w:val="yellow"/>
          <w:lang w:val="en-US" w:eastAsia="zh-CN"/>
          <w14:textFill>
            <w14:solidFill>
              <w14:schemeClr w14:val="tx1"/>
            </w14:solidFill>
          </w14:textFill>
        </w:rPr>
      </w:pPr>
      <w:bookmarkStart w:id="71" w:name="_Toc19297"/>
      <w:bookmarkStart w:id="72" w:name="_Toc4929"/>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 xml:space="preserve">3.3 </w:t>
      </w:r>
      <w:bookmarkEnd w:id="71"/>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设计流量计算</w:t>
      </w:r>
      <w:bookmarkEnd w:id="72"/>
    </w:p>
    <w:p w14:paraId="53CE95BB">
      <w:pPr>
        <w:spacing w:line="360" w:lineRule="auto"/>
        <w:rPr>
          <w:rFonts w:hint="default" w:ascii="Times New Roman" w:hAnsi="Times New Roman" w:eastAsia="宋体" w:cs="宋体"/>
          <w:b/>
          <w:color w:val="auto"/>
          <w:sz w:val="24"/>
          <w:szCs w:val="24"/>
          <w:lang w:val="en-US" w:eastAsia="zh-CN"/>
        </w:rPr>
      </w:pPr>
      <w:r>
        <w:rPr>
          <w:rFonts w:hint="eastAsia" w:ascii="Times New Roman" w:hAnsi="Times New Roman" w:eastAsia="宋体" w:cs="宋体"/>
          <w:b/>
          <w:color w:val="auto"/>
          <w:sz w:val="24"/>
          <w:szCs w:val="24"/>
          <w:lang w:val="en-US" w:eastAsia="zh-CN"/>
        </w:rPr>
        <w:t>3.3</w:t>
      </w:r>
      <w:r>
        <w:rPr>
          <w:rFonts w:hint="eastAsia" w:ascii="Times New Roman" w:hAnsi="Times New Roman" w:eastAsia="宋体" w:cs="宋体"/>
          <w:b/>
          <w:color w:val="auto"/>
          <w:sz w:val="24"/>
          <w:szCs w:val="24"/>
        </w:rPr>
        <w:t>.1</w:t>
      </w:r>
      <w:r>
        <w:rPr>
          <w:rFonts w:hint="eastAsia" w:ascii="Times New Roman" w:hAnsi="Times New Roman" w:eastAsia="宋体" w:cs="宋体"/>
          <w:b/>
          <w:color w:val="auto"/>
          <w:sz w:val="24"/>
          <w:szCs w:val="24"/>
          <w:lang w:val="en-US" w:eastAsia="zh-CN"/>
        </w:rPr>
        <w:t xml:space="preserve"> </w:t>
      </w:r>
      <w:r>
        <w:rPr>
          <w:rFonts w:hint="eastAsia" w:ascii="Times New Roman" w:hAnsi="Times New Roman" w:eastAsia="宋体" w:cs="宋体"/>
          <w:b w:val="0"/>
          <w:bCs/>
          <w:color w:val="auto"/>
          <w:sz w:val="24"/>
          <w:szCs w:val="24"/>
          <w:lang w:val="en-US" w:eastAsia="zh-CN"/>
        </w:rPr>
        <w:t>设计暴雨的选择应符合以下规定：</w:t>
      </w:r>
    </w:p>
    <w:p w14:paraId="58735648">
      <w:pPr>
        <w:spacing w:line="360" w:lineRule="auto"/>
        <w:ind w:firstLine="482" w:firstLineChars="200"/>
        <w:rPr>
          <w:rFonts w:hint="eastAsia" w:ascii="Times New Roman" w:hAnsi="Times New Roman" w:eastAsia="宋体" w:cs="宋体"/>
          <w:b w:val="0"/>
          <w:bCs/>
          <w:color w:val="auto"/>
          <w:sz w:val="24"/>
          <w:szCs w:val="24"/>
          <w:highlight w:val="none"/>
        </w:rPr>
      </w:pPr>
      <w:r>
        <w:rPr>
          <w:rFonts w:hint="eastAsia" w:ascii="Times New Roman" w:hAnsi="Times New Roman" w:eastAsia="宋体" w:cs="宋体"/>
          <w:b/>
          <w:bCs w:val="0"/>
          <w:color w:val="auto"/>
          <w:sz w:val="24"/>
          <w:szCs w:val="24"/>
          <w:highlight w:val="none"/>
          <w:lang w:val="en-US" w:eastAsia="zh-CN"/>
        </w:rPr>
        <w:t>1</w:t>
      </w:r>
      <w:r>
        <w:rPr>
          <w:rFonts w:hint="eastAsia" w:ascii="Times New Roman" w:hAnsi="Times New Roman" w:eastAsia="宋体" w:cs="宋体"/>
          <w:b w:val="0"/>
          <w:bCs/>
          <w:color w:val="auto"/>
          <w:sz w:val="24"/>
          <w:szCs w:val="24"/>
          <w:highlight w:val="none"/>
          <w:lang w:val="en-US" w:eastAsia="zh-CN"/>
        </w:rPr>
        <w:t xml:space="preserve"> 排水管渠计算</w:t>
      </w:r>
      <w:r>
        <w:rPr>
          <w:rFonts w:hint="eastAsia" w:ascii="Times New Roman" w:hAnsi="Times New Roman" w:eastAsia="宋体" w:cs="宋体"/>
          <w:b w:val="0"/>
          <w:bCs/>
          <w:color w:val="auto"/>
          <w:sz w:val="24"/>
          <w:szCs w:val="24"/>
          <w:highlight w:val="none"/>
        </w:rPr>
        <w:t>应采用短历时设计暴雨</w:t>
      </w:r>
      <w:r>
        <w:rPr>
          <w:rFonts w:hint="eastAsia" w:ascii="Times New Roman" w:hAnsi="Times New Roman" w:eastAsia="宋体" w:cs="宋体"/>
          <w:b w:val="0"/>
          <w:bCs/>
          <w:color w:val="auto"/>
          <w:sz w:val="24"/>
          <w:szCs w:val="24"/>
          <w:highlight w:val="none"/>
          <w:lang w:eastAsia="zh-CN"/>
        </w:rPr>
        <w:t>；</w:t>
      </w:r>
    </w:p>
    <w:p w14:paraId="191D3D03">
      <w:pPr>
        <w:spacing w:line="360" w:lineRule="auto"/>
        <w:ind w:firstLine="482" w:firstLineChars="200"/>
        <w:rPr>
          <w:rFonts w:hint="eastAsia" w:ascii="Times New Roman" w:hAnsi="Times New Roman" w:eastAsia="宋体" w:cs="宋体"/>
          <w:b w:val="0"/>
          <w:bCs/>
          <w:color w:val="auto"/>
          <w:sz w:val="24"/>
          <w:szCs w:val="24"/>
          <w:highlight w:val="none"/>
          <w:lang w:eastAsia="zh-CN"/>
        </w:rPr>
      </w:pPr>
      <w:r>
        <w:rPr>
          <w:rFonts w:hint="eastAsia" w:ascii="Times New Roman" w:hAnsi="Times New Roman" w:eastAsia="宋体" w:cs="宋体"/>
          <w:b/>
          <w:bCs w:val="0"/>
          <w:color w:val="auto"/>
          <w:sz w:val="24"/>
          <w:szCs w:val="24"/>
          <w:highlight w:val="none"/>
          <w:lang w:val="en-US" w:eastAsia="zh-CN"/>
        </w:rPr>
        <w:t>2</w:t>
      </w:r>
      <w:r>
        <w:rPr>
          <w:rFonts w:hint="eastAsia" w:ascii="Times New Roman" w:hAnsi="Times New Roman" w:eastAsia="宋体" w:cs="宋体"/>
          <w:b w:val="0"/>
          <w:bCs/>
          <w:color w:val="auto"/>
          <w:sz w:val="24"/>
          <w:szCs w:val="24"/>
          <w:highlight w:val="none"/>
          <w:lang w:val="en-US" w:eastAsia="zh-CN"/>
        </w:rPr>
        <w:t xml:space="preserve"> 排涝除险设施计算</w:t>
      </w:r>
      <w:r>
        <w:rPr>
          <w:rFonts w:hint="eastAsia" w:ascii="Times New Roman" w:hAnsi="Times New Roman" w:eastAsia="宋体" w:cs="宋体"/>
          <w:b w:val="0"/>
          <w:bCs/>
          <w:color w:val="auto"/>
          <w:sz w:val="24"/>
          <w:szCs w:val="24"/>
          <w:highlight w:val="none"/>
        </w:rPr>
        <w:t>应采用长历时设计暴雨</w:t>
      </w:r>
      <w:r>
        <w:rPr>
          <w:rFonts w:hint="eastAsia" w:ascii="Times New Roman" w:hAnsi="Times New Roman" w:eastAsia="宋体" w:cs="宋体"/>
          <w:b w:val="0"/>
          <w:bCs/>
          <w:color w:val="auto"/>
          <w:sz w:val="24"/>
          <w:szCs w:val="24"/>
          <w:highlight w:val="none"/>
          <w:lang w:eastAsia="zh-CN"/>
        </w:rPr>
        <w:t>，</w:t>
      </w:r>
      <w:r>
        <w:rPr>
          <w:rFonts w:hint="eastAsia" w:ascii="Times New Roman" w:hAnsi="Times New Roman" w:eastAsia="宋体" w:cs="宋体"/>
          <w:b w:val="0"/>
          <w:bCs/>
          <w:color w:val="auto"/>
          <w:sz w:val="24"/>
          <w:szCs w:val="24"/>
          <w:highlight w:val="none"/>
        </w:rPr>
        <w:t>以蓄为主的</w:t>
      </w:r>
      <w:r>
        <w:rPr>
          <w:rFonts w:hint="eastAsia" w:ascii="Times New Roman" w:hAnsi="Times New Roman" w:eastAsia="宋体" w:cs="宋体"/>
          <w:b w:val="0"/>
          <w:bCs/>
          <w:color w:val="auto"/>
          <w:sz w:val="24"/>
          <w:szCs w:val="24"/>
          <w:highlight w:val="none"/>
          <w:lang w:val="en-US" w:eastAsia="zh-CN"/>
        </w:rPr>
        <w:t>水体</w:t>
      </w:r>
      <w:r>
        <w:rPr>
          <w:rFonts w:hint="eastAsia" w:ascii="Times New Roman" w:hAnsi="Times New Roman" w:eastAsia="宋体" w:cs="宋体"/>
          <w:b w:val="0"/>
          <w:bCs/>
          <w:color w:val="auto"/>
          <w:sz w:val="24"/>
          <w:szCs w:val="24"/>
          <w:highlight w:val="none"/>
        </w:rPr>
        <w:t>计算宜采用超长历时设计</w:t>
      </w:r>
      <w:r>
        <w:rPr>
          <w:rFonts w:hint="eastAsia" w:ascii="Times New Roman" w:hAnsi="Times New Roman" w:eastAsia="宋体" w:cs="宋体"/>
          <w:b w:val="0"/>
          <w:bCs/>
          <w:color w:val="auto"/>
          <w:sz w:val="24"/>
          <w:szCs w:val="24"/>
          <w:highlight w:val="none"/>
          <w:lang w:val="en-US" w:eastAsia="zh-CN"/>
        </w:rPr>
        <w:t>暴</w:t>
      </w:r>
      <w:r>
        <w:rPr>
          <w:rFonts w:hint="eastAsia" w:ascii="Times New Roman" w:hAnsi="Times New Roman" w:eastAsia="宋体" w:cs="宋体"/>
          <w:b w:val="0"/>
          <w:bCs/>
          <w:color w:val="auto"/>
          <w:sz w:val="24"/>
          <w:szCs w:val="24"/>
          <w:highlight w:val="none"/>
        </w:rPr>
        <w:t>雨</w:t>
      </w:r>
      <w:r>
        <w:rPr>
          <w:rFonts w:hint="eastAsia" w:ascii="Times New Roman" w:hAnsi="Times New Roman" w:eastAsia="宋体" w:cs="宋体"/>
          <w:b w:val="0"/>
          <w:bCs/>
          <w:color w:val="auto"/>
          <w:sz w:val="24"/>
          <w:szCs w:val="24"/>
          <w:highlight w:val="none"/>
          <w:lang w:eastAsia="zh-CN"/>
        </w:rPr>
        <w:t>；</w:t>
      </w:r>
    </w:p>
    <w:p w14:paraId="10591F1B">
      <w:pPr>
        <w:spacing w:line="360" w:lineRule="auto"/>
        <w:ind w:firstLine="482"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b/>
          <w:bCs w:val="0"/>
          <w:color w:val="auto"/>
          <w:sz w:val="24"/>
          <w:szCs w:val="24"/>
          <w:highlight w:val="none"/>
          <w:lang w:val="en-US" w:eastAsia="zh-CN"/>
        </w:rPr>
        <w:t>3</w:t>
      </w:r>
      <w:r>
        <w:rPr>
          <w:rFonts w:hint="eastAsia" w:ascii="Times New Roman" w:hAnsi="Times New Roman" w:eastAsia="宋体" w:cs="宋体"/>
          <w:b w:val="0"/>
          <w:bCs/>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设计暴雨采用的设计雨量、设计雨型宜根据实测降雨资料选取逐年最大暴雨量进行频率计算得到。</w:t>
      </w:r>
    </w:p>
    <w:p w14:paraId="1A1C7A9A">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3.3</w:t>
      </w: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在缺乏实测资料的情况下，不同</w:t>
      </w:r>
      <w:r>
        <w:rPr>
          <w:rFonts w:hint="eastAsia" w:ascii="Times New Roman" w:hAnsi="Times New Roman" w:eastAsia="宋体" w:cs="宋体"/>
          <w:color w:val="000000" w:themeColor="text1"/>
          <w:sz w:val="24"/>
          <w:szCs w:val="24"/>
          <w:lang w:val="en-US" w:eastAsia="zh-CN"/>
          <w14:textFill>
            <w14:solidFill>
              <w14:schemeClr w14:val="tx1"/>
            </w14:solidFill>
          </w14:textFill>
        </w:rPr>
        <w:t>历时</w:t>
      </w:r>
      <w:r>
        <w:rPr>
          <w:rFonts w:hint="eastAsia" w:ascii="Times New Roman" w:hAnsi="Times New Roman" w:eastAsia="宋体" w:cs="宋体"/>
          <w:color w:val="000000" w:themeColor="text1"/>
          <w:sz w:val="24"/>
          <w:szCs w:val="24"/>
          <w14:textFill>
            <w14:solidFill>
              <w14:schemeClr w14:val="tx1"/>
            </w14:solidFill>
          </w14:textFill>
        </w:rPr>
        <w:t>设</w:t>
      </w:r>
      <w:r>
        <w:rPr>
          <w:rFonts w:hint="eastAsia" w:ascii="Times New Roman" w:hAnsi="Times New Roman" w:eastAsia="宋体" w:cs="宋体"/>
          <w:color w:val="000000" w:themeColor="text1"/>
          <w:sz w:val="24"/>
          <w:szCs w:val="24"/>
          <w:highlight w:val="none"/>
          <w14:textFill>
            <w14:solidFill>
              <w14:schemeClr w14:val="tx1"/>
            </w14:solidFill>
          </w14:textFill>
        </w:rPr>
        <w:t>计</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暴雨雨量</w:t>
      </w:r>
      <w:r>
        <w:rPr>
          <w:rFonts w:hint="eastAsia" w:ascii="Times New Roman" w:hAnsi="Times New Roman" w:eastAsia="宋体" w:cs="宋体"/>
          <w:color w:val="000000" w:themeColor="text1"/>
          <w:sz w:val="24"/>
          <w:szCs w:val="24"/>
          <w:highlight w:val="none"/>
          <w14:textFill>
            <w14:solidFill>
              <w14:schemeClr w14:val="tx1"/>
            </w14:solidFill>
          </w14:textFill>
        </w:rPr>
        <w:t>的</w:t>
      </w:r>
      <w:r>
        <w:rPr>
          <w:rFonts w:hint="eastAsia" w:ascii="Times New Roman" w:hAnsi="Times New Roman" w:eastAsia="宋体" w:cs="宋体"/>
          <w:color w:val="000000" w:themeColor="text1"/>
          <w:sz w:val="24"/>
          <w:szCs w:val="24"/>
          <w14:textFill>
            <w14:solidFill>
              <w14:schemeClr w14:val="tx1"/>
            </w14:solidFill>
          </w14:textFill>
        </w:rPr>
        <w:t>确定宜符合下列规定：</w:t>
      </w:r>
    </w:p>
    <w:p w14:paraId="502C94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1</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长历时设计雨量可采用当地水务部门计算成果或采用</w:t>
      </w:r>
      <w:r>
        <w:rPr>
          <w:rFonts w:hint="eastAsia" w:ascii="Times New Roman" w:hAnsi="Times New Roman" w:eastAsia="宋体" w:cs="宋体"/>
          <w:color w:val="auto"/>
          <w:sz w:val="24"/>
          <w:szCs w:val="24"/>
        </w:rPr>
        <w:t>《广东省暴雨参数等值线图》</w:t>
      </w:r>
      <w:r>
        <w:rPr>
          <w:rFonts w:hint="eastAsia" w:ascii="Times New Roman" w:hAnsi="Times New Roman" w:eastAsia="宋体" w:cs="宋体"/>
          <w:color w:val="000000" w:themeColor="text1"/>
          <w:sz w:val="24"/>
          <w:szCs w:val="24"/>
          <w14:textFill>
            <w14:solidFill>
              <w14:schemeClr w14:val="tx1"/>
            </w14:solidFill>
          </w14:textFill>
        </w:rPr>
        <w:t>提供的基础数据</w:t>
      </w:r>
      <w:r>
        <w:rPr>
          <w:rFonts w:hint="eastAsia" w:ascii="Times New Roman" w:hAnsi="Times New Roman" w:eastAsia="宋体" w:cs="宋体"/>
          <w:color w:val="000000" w:themeColor="text1"/>
          <w:sz w:val="24"/>
          <w:szCs w:val="24"/>
          <w:lang w:eastAsia="zh-CN"/>
          <w14:textFill>
            <w14:solidFill>
              <w14:schemeClr w14:val="tx1"/>
            </w14:solidFill>
          </w14:textFill>
        </w:rPr>
        <w:t>；</w:t>
      </w:r>
    </w:p>
    <w:p w14:paraId="5812BD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短历时设计雨量</w:t>
      </w:r>
      <w:r>
        <w:rPr>
          <w:rFonts w:hint="eastAsia" w:ascii="Times New Roman" w:hAnsi="Times New Roman" w:eastAsia="宋体" w:cs="宋体"/>
          <w:color w:val="000000" w:themeColor="text1"/>
          <w:sz w:val="24"/>
          <w:szCs w:val="24"/>
          <w:lang w:val="en-US" w:eastAsia="zh-CN"/>
          <w14:textFill>
            <w14:solidFill>
              <w14:schemeClr w14:val="tx1"/>
            </w14:solidFill>
          </w14:textFill>
        </w:rPr>
        <w:t>可</w:t>
      </w:r>
      <w:r>
        <w:rPr>
          <w:rFonts w:hint="eastAsia" w:ascii="Times New Roman" w:hAnsi="Times New Roman" w:eastAsia="宋体" w:cs="宋体"/>
          <w:color w:val="000000" w:themeColor="text1"/>
          <w:sz w:val="24"/>
          <w:szCs w:val="24"/>
          <w14:textFill>
            <w14:solidFill>
              <w14:schemeClr w14:val="tx1"/>
            </w14:solidFill>
          </w14:textFill>
        </w:rPr>
        <w:t>根据暴雨强度公式计算确定</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广东省各地市暴雨强度公式详见附录A。</w:t>
      </w:r>
    </w:p>
    <w:p w14:paraId="4B2395C9">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3.3</w:t>
      </w:r>
      <w:r>
        <w:rPr>
          <w:rFonts w:hint="eastAsia" w:ascii="Times New Roman" w:hAnsi="Times New Roman" w:eastAsia="宋体" w:cs="宋体"/>
          <w:b/>
          <w:color w:val="000000" w:themeColor="text1"/>
          <w:sz w:val="24"/>
          <w:szCs w:val="24"/>
          <w14:textFill>
            <w14:solidFill>
              <w14:schemeClr w14:val="tx1"/>
            </w14:solidFill>
          </w14:textFill>
        </w:rPr>
        <w:t>.3</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降雨历时宜根据汇水面积、汇流时间等因素综合确定，应符合下列规定：</w:t>
      </w:r>
    </w:p>
    <w:p w14:paraId="17A233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lang w:eastAsia="zh-CN"/>
        </w:rPr>
      </w:pPr>
      <w:r>
        <w:rPr>
          <w:rFonts w:hint="eastAsia" w:ascii="Times New Roman" w:hAnsi="Times New Roman" w:eastAsia="宋体" w:cs="宋体"/>
          <w:b/>
          <w:color w:val="000000" w:themeColor="text1"/>
          <w:sz w:val="24"/>
          <w:szCs w:val="24"/>
          <w14:textFill>
            <w14:solidFill>
              <w14:schemeClr w14:val="tx1"/>
            </w14:solidFill>
          </w14:textFill>
        </w:rPr>
        <w:t>1</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降雨历时</w:t>
      </w:r>
      <w:r>
        <w:rPr>
          <w:rFonts w:hint="eastAsia" w:ascii="Times New Roman" w:hAnsi="Times New Roman" w:eastAsia="宋体" w:cs="宋体"/>
          <w:color w:val="auto"/>
          <w:sz w:val="24"/>
          <w:szCs w:val="24"/>
        </w:rPr>
        <w:t>宜采用3h</w:t>
      </w:r>
      <w:r>
        <w:rPr>
          <w:rFonts w:hint="eastAsia"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auto"/>
          <w:sz w:val="24"/>
          <w:szCs w:val="24"/>
        </w:rPr>
        <w:t>24h</w:t>
      </w:r>
      <w:r>
        <w:rPr>
          <w:rFonts w:hint="eastAsia" w:ascii="Times New Roman" w:hAnsi="Times New Roman" w:eastAsia="宋体" w:cs="宋体"/>
          <w:color w:val="auto"/>
          <w:sz w:val="24"/>
          <w:szCs w:val="24"/>
          <w:lang w:eastAsia="zh-CN"/>
        </w:rPr>
        <w:t>；</w:t>
      </w:r>
    </w:p>
    <w:p w14:paraId="289561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短历时降雨宜采用步长5min～10min、历时1h～3h的降雨条件，降雨历时应大于雨水管网最下游管段末端的汇流时间</w:t>
      </w:r>
      <w:r>
        <w:rPr>
          <w:rFonts w:hint="eastAsia" w:ascii="Times New Roman" w:hAnsi="Times New Roman" w:eastAsia="宋体" w:cs="宋体"/>
          <w:color w:val="000000" w:themeColor="text1"/>
          <w:sz w:val="24"/>
          <w:szCs w:val="24"/>
          <w:lang w:eastAsia="zh-CN"/>
          <w14:textFill>
            <w14:solidFill>
              <w14:schemeClr w14:val="tx1"/>
            </w14:solidFill>
          </w14:textFill>
        </w:rPr>
        <w:t>；</w:t>
      </w:r>
    </w:p>
    <w:p w14:paraId="0C9114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rPr>
      </w:pPr>
      <w:r>
        <w:rPr>
          <w:rFonts w:hint="eastAsia" w:ascii="Times New Roman" w:hAnsi="Times New Roman" w:eastAsia="宋体" w:cs="宋体"/>
          <w:b/>
          <w:color w:val="000000" w:themeColor="text1"/>
          <w:sz w:val="24"/>
          <w:szCs w:val="24"/>
          <w14:textFill>
            <w14:solidFill>
              <w14:schemeClr w14:val="tx1"/>
            </w14:solidFill>
          </w14:textFill>
        </w:rPr>
        <w:t>3</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auto"/>
          <w:sz w:val="24"/>
          <w:szCs w:val="24"/>
        </w:rPr>
        <w:t>长历时降雨宜采用步长5min～60min、历时</w:t>
      </w:r>
      <w:r>
        <w:rPr>
          <w:rFonts w:hint="eastAsia" w:ascii="Times New Roman" w:hAnsi="Times New Roman" w:eastAsia="宋体" w:cs="宋体"/>
          <w:color w:val="auto"/>
          <w:sz w:val="24"/>
          <w:szCs w:val="24"/>
          <w:lang w:val="en-US" w:eastAsia="zh-CN"/>
        </w:rPr>
        <w:t>6h、12h、</w:t>
      </w:r>
      <w:r>
        <w:rPr>
          <w:rFonts w:hint="eastAsia" w:ascii="Times New Roman" w:hAnsi="Times New Roman" w:eastAsia="宋体" w:cs="宋体"/>
          <w:color w:val="auto"/>
          <w:sz w:val="24"/>
          <w:szCs w:val="24"/>
        </w:rPr>
        <w:t>24h的降雨条件，应大于最下游河道末端的汇流时间。</w:t>
      </w:r>
    </w:p>
    <w:p w14:paraId="5690FD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超长历时降雨宜采用2-7d的降雨条件，并分解为多个长历时降雨。</w:t>
      </w:r>
    </w:p>
    <w:p w14:paraId="7C54BA7D">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3.3</w:t>
      </w:r>
      <w:r>
        <w:rPr>
          <w:rFonts w:hint="eastAsia" w:ascii="Times New Roman" w:hAnsi="Times New Roman" w:eastAsia="宋体" w:cs="宋体"/>
          <w:b/>
          <w:color w:val="000000" w:themeColor="text1"/>
          <w:sz w:val="24"/>
          <w:szCs w:val="24"/>
          <w14:textFill>
            <w14:solidFill>
              <w14:schemeClr w14:val="tx1"/>
            </w14:solidFill>
          </w14:textFill>
        </w:rPr>
        <w:t>.4</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在缺乏实测资料的情况下，不同</w:t>
      </w:r>
      <w:r>
        <w:rPr>
          <w:rFonts w:hint="eastAsia" w:ascii="Times New Roman" w:hAnsi="Times New Roman" w:eastAsia="宋体" w:cs="宋体"/>
          <w:color w:val="000000" w:themeColor="text1"/>
          <w:sz w:val="24"/>
          <w:szCs w:val="24"/>
          <w:lang w:val="en-US" w:eastAsia="zh-CN"/>
          <w14:textFill>
            <w14:solidFill>
              <w14:schemeClr w14:val="tx1"/>
            </w14:solidFill>
          </w14:textFill>
        </w:rPr>
        <w:t>历时</w:t>
      </w:r>
      <w:r>
        <w:rPr>
          <w:rFonts w:hint="eastAsia" w:ascii="Times New Roman" w:hAnsi="Times New Roman" w:eastAsia="宋体" w:cs="宋体"/>
          <w:color w:val="000000" w:themeColor="text1"/>
          <w:sz w:val="24"/>
          <w:szCs w:val="24"/>
          <w14:textFill>
            <w14:solidFill>
              <w14:schemeClr w14:val="tx1"/>
            </w14:solidFill>
          </w14:textFill>
        </w:rPr>
        <w:t>设计雨型的确定，宜符合下列规定：</w:t>
      </w:r>
    </w:p>
    <w:p w14:paraId="4402AF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1</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长历时设计雨型可采用当地水务部门推荐的设计雨型或采用《广东省暴雨参数等值线图》提供的基础数据</w:t>
      </w:r>
      <w:r>
        <w:rPr>
          <w:rFonts w:hint="eastAsia" w:ascii="Times New Roman" w:hAnsi="Times New Roman" w:eastAsia="宋体" w:cs="宋体"/>
          <w:color w:val="000000" w:themeColor="text1"/>
          <w:sz w:val="24"/>
          <w:szCs w:val="24"/>
          <w:lang w:eastAsia="zh-CN"/>
          <w14:textFill>
            <w14:solidFill>
              <w14:schemeClr w14:val="tx1"/>
            </w14:solidFill>
          </w14:textFill>
        </w:rPr>
        <w:t>；</w:t>
      </w:r>
    </w:p>
    <w:p w14:paraId="0A3BD5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rPr>
      </w:pP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短历时设计雨型可选取当地具有代表性的一场暴雨的降雨历程，采用同倍比放大法或同频率放大法确定设计雨型。</w:t>
      </w:r>
      <w:r>
        <w:rPr>
          <w:rFonts w:hint="eastAsia" w:ascii="Times New Roman" w:hAnsi="Times New Roman" w:eastAsia="宋体" w:cs="宋体"/>
          <w:color w:val="auto"/>
          <w:sz w:val="24"/>
          <w:szCs w:val="24"/>
        </w:rPr>
        <w:t>当设计降雨历时小于3h时，可根据暴雨强度公式人工合成雨型。</w:t>
      </w:r>
    </w:p>
    <w:p w14:paraId="49D1F896">
      <w:pPr>
        <w:spacing w:line="360" w:lineRule="auto"/>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3.3.5</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内涝治理过程中涉及的流量计算，应按现行国家标准《城镇内涝防治技术规范》GB 51222和《室外排水设计标准》GB 50014的有关规定执行。</w:t>
      </w:r>
    </w:p>
    <w:p w14:paraId="6794F267">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3.3.6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地面径流的设计流量、净雨量和土壤入渗率的计算，行泄通道的有关计算应按现行《城镇内涝防治技术规范》GB 51222和广东省地方标准《海绵城市建设技术规程》DBJ/T 15-261的有关规定进行。</w:t>
      </w:r>
    </w:p>
    <w:p w14:paraId="4BC7C199">
      <w:pPr>
        <w:spacing w:line="360" w:lineRule="auto"/>
        <w:rPr>
          <w:rFonts w:hint="eastAsia" w:ascii="Times New Roman" w:hAnsi="Times New Roman" w:eastAsiaTheme="minorEastAsia" w:cstheme="minorEastAsia"/>
          <w:color w:val="auto"/>
          <w:sz w:val="24"/>
          <w:szCs w:val="24"/>
          <w:highlight w:val="none"/>
        </w:rPr>
      </w:pPr>
      <w:r>
        <w:rPr>
          <w:rFonts w:hint="eastAsia" w:ascii="Times New Roman" w:hAnsi="Times New Roman" w:eastAsia="宋体" w:cs="宋体"/>
          <w:b/>
          <w:bCs/>
          <w:color w:val="auto"/>
          <w:sz w:val="24"/>
          <w:szCs w:val="24"/>
          <w:highlight w:val="none"/>
          <w:lang w:val="en-US" w:eastAsia="zh-CN"/>
        </w:rPr>
        <w:t xml:space="preserve">3.3.7 </w:t>
      </w:r>
      <w:r>
        <w:rPr>
          <w:rFonts w:hint="eastAsia" w:ascii="Times New Roman" w:hAnsi="Times New Roman" w:eastAsiaTheme="minorEastAsia" w:cstheme="minorEastAsia"/>
          <w:color w:val="auto"/>
          <w:sz w:val="24"/>
          <w:szCs w:val="24"/>
          <w:highlight w:val="none"/>
        </w:rPr>
        <w:t>河湖水系的水位、流量、流速等水力要素宜采用一维恒定流、一维或二维非恒定流等数学模型进行计算分析。</w:t>
      </w:r>
    </w:p>
    <w:p w14:paraId="4C880E63">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auto"/>
          <w:sz w:val="24"/>
          <w:szCs w:val="24"/>
          <w:highlight w:val="none"/>
          <w:lang w:val="en-US" w:eastAsia="zh-CN"/>
        </w:rPr>
        <w:t xml:space="preserve">3.3.8 </w:t>
      </w: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利用数学模型计算河湖水系的设计流量时，</w:t>
      </w:r>
      <w:r>
        <w:rPr>
          <w:rFonts w:hint="eastAsia" w:ascii="Times New Roman" w:hAnsi="Times New Roman" w:cstheme="minorEastAsia"/>
          <w:color w:val="000000" w:themeColor="text1"/>
          <w:sz w:val="24"/>
          <w:szCs w:val="24"/>
          <w:highlight w:val="none"/>
          <w:lang w:val="en-US" w:eastAsia="zh-CN"/>
          <w14:textFill>
            <w14:solidFill>
              <w14:schemeClr w14:val="tx1"/>
            </w14:solidFill>
          </w14:textFill>
        </w:rPr>
        <w:t>宜</w:t>
      </w: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根据区域范围</w:t>
      </w:r>
      <w:r>
        <w:rPr>
          <w:rFonts w:hint="eastAsia" w:ascii="Times New Roman" w:hAnsi="Times New Roman" w:cstheme="minorEastAsia"/>
          <w:color w:val="000000" w:themeColor="text1"/>
          <w:sz w:val="24"/>
          <w:szCs w:val="24"/>
          <w:highlight w:val="none"/>
          <w:lang w:val="en-US" w:eastAsia="zh-CN"/>
          <w14:textFill>
            <w14:solidFill>
              <w14:schemeClr w14:val="tx1"/>
            </w14:solidFill>
          </w14:textFill>
        </w:rPr>
        <w:t>应</w:t>
      </w: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选取边界。</w:t>
      </w:r>
      <w:r>
        <w:rPr>
          <w:rFonts w:hint="eastAsia" w:ascii="Times New Roman" w:hAnsi="Times New Roman" w:eastAsiaTheme="minorEastAsia" w:cstheme="minorEastAsia"/>
          <w:color w:val="auto"/>
          <w:sz w:val="24"/>
          <w:szCs w:val="24"/>
          <w:highlight w:val="none"/>
        </w:rPr>
        <w:t>平原及缓坡地区可按</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《城镇内涝防治技术规范》GB 51222</w:t>
      </w:r>
      <w:r>
        <w:rPr>
          <w:rFonts w:hint="eastAsia" w:ascii="Times New Roman" w:hAnsi="Times New Roman" w:eastAsiaTheme="minorEastAsia" w:cstheme="minorEastAsia"/>
          <w:color w:val="auto"/>
          <w:sz w:val="24"/>
          <w:szCs w:val="24"/>
          <w:highlight w:val="none"/>
        </w:rPr>
        <w:t>规定</w:t>
      </w:r>
      <w:r>
        <w:rPr>
          <w:rFonts w:hint="eastAsia" w:ascii="Times New Roman" w:hAnsi="Times New Roman" w:cstheme="minorEastAsia"/>
          <w:color w:val="auto"/>
          <w:sz w:val="24"/>
          <w:szCs w:val="24"/>
          <w:highlight w:val="none"/>
          <w:lang w:val="en-US" w:eastAsia="zh-CN"/>
        </w:rPr>
        <w:t>采用地面径流系数法</w:t>
      </w:r>
      <w:r>
        <w:rPr>
          <w:rFonts w:hint="eastAsia" w:ascii="Times New Roman" w:hAnsi="Times New Roman" w:eastAsiaTheme="minorEastAsia" w:cstheme="minorEastAsia"/>
          <w:color w:val="auto"/>
          <w:sz w:val="24"/>
          <w:szCs w:val="24"/>
          <w:highlight w:val="none"/>
        </w:rPr>
        <w:t>计算边界入流；山</w:t>
      </w: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区</w:t>
      </w:r>
      <w:r>
        <w:rPr>
          <w:rFonts w:hint="eastAsia" w:ascii="Times New Roman" w:hAnsi="Times New Roman" w:cstheme="minorEastAsia"/>
          <w:color w:val="000000" w:themeColor="text1"/>
          <w:sz w:val="24"/>
          <w:szCs w:val="24"/>
          <w:highlight w:val="none"/>
          <w:lang w:val="en-US" w:eastAsia="zh-CN"/>
          <w14:textFill>
            <w14:solidFill>
              <w14:schemeClr w14:val="tx1"/>
            </w14:solidFill>
          </w14:textFill>
        </w:rPr>
        <w:t>中小流域</w:t>
      </w: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宜采用推理公式法或地区综合法</w:t>
      </w:r>
      <w:r>
        <w:rPr>
          <w:rFonts w:hint="eastAsia" w:ascii="Times New Roman" w:hAnsi="Times New Roman" w:cstheme="minorEastAsia"/>
          <w:color w:val="000000" w:themeColor="text1"/>
          <w:sz w:val="24"/>
          <w:szCs w:val="24"/>
          <w:highlight w:val="none"/>
          <w:lang w:eastAsia="zh-CN"/>
          <w14:textFill>
            <w14:solidFill>
              <w14:schemeClr w14:val="tx1"/>
            </w14:solidFill>
          </w14:textFill>
        </w:rPr>
        <w:t>、</w:t>
      </w:r>
      <w:r>
        <w:rPr>
          <w:rFonts w:hint="eastAsia" w:ascii="Times New Roman" w:hAnsi="Times New Roman" w:cstheme="minorEastAsia"/>
          <w:color w:val="000000" w:themeColor="text1"/>
          <w:sz w:val="24"/>
          <w:szCs w:val="24"/>
          <w:highlight w:val="none"/>
          <w:lang w:val="en-US" w:eastAsia="zh-CN"/>
          <w14:textFill>
            <w14:solidFill>
              <w14:schemeClr w14:val="tx1"/>
            </w14:solidFill>
          </w14:textFill>
        </w:rPr>
        <w:t>综合单位线法</w:t>
      </w: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等方法计算边界入流；资料条件较好的地区，也可采用产汇流集总式或者分布式水文模型与水动力模型计算。</w:t>
      </w:r>
    </w:p>
    <w:p w14:paraId="61728D9A">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p>
    <w:p w14:paraId="3F90510B">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A819AF7">
      <w:pPr>
        <w:pStyle w:val="2"/>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73" w:name="_Toc13624"/>
      <w:bookmarkStart w:id="74" w:name="_Toc6943"/>
      <w:r>
        <w:rPr>
          <w:rFonts w:hint="eastAsia" w:ascii="Times New Roman" w:hAnsi="Times New Roman" w:eastAsia="宋体" w:cs="宋体"/>
          <w:color w:val="000000" w:themeColor="text1"/>
          <w:sz w:val="32"/>
          <w:szCs w:val="32"/>
          <w:lang w:val="en-US" w:eastAsia="zh-CN"/>
          <w14:textFill>
            <w14:solidFill>
              <w14:schemeClr w14:val="tx1"/>
            </w14:solidFill>
          </w14:textFill>
        </w:rPr>
        <w:t>4 内涝风险评估</w:t>
      </w:r>
      <w:bookmarkEnd w:id="73"/>
      <w:bookmarkEnd w:id="74"/>
    </w:p>
    <w:p w14:paraId="504341A7">
      <w:pPr>
        <w:pStyle w:val="4"/>
        <w:spacing w:beforeLines="0" w:after="156" w:afterLines="50"/>
        <w:jc w:val="center"/>
        <w:rPr>
          <w:rFonts w:hint="eastAsia" w:ascii="Times New Roman" w:hAnsi="Times New Roman" w:eastAsia="宋体" w:cs="宋体"/>
          <w:color w:val="000000" w:themeColor="text1"/>
          <w:sz w:val="28"/>
          <w:szCs w:val="28"/>
          <w14:textFill>
            <w14:solidFill>
              <w14:schemeClr w14:val="tx1"/>
            </w14:solidFill>
          </w14:textFill>
        </w:rPr>
      </w:pPr>
      <w:bookmarkStart w:id="75" w:name="_Toc57819227"/>
      <w:bookmarkStart w:id="76" w:name="_Toc16755"/>
      <w:bookmarkStart w:id="77" w:name="_Toc12072"/>
      <w:bookmarkStart w:id="78" w:name="_Toc28599"/>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75"/>
      <w:bookmarkEnd w:id="76"/>
      <w:bookmarkEnd w:id="77"/>
      <w:bookmarkEnd w:id="78"/>
    </w:p>
    <w:p w14:paraId="23C66071">
      <w:pPr>
        <w:spacing w:line="360" w:lineRule="auto"/>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1.1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内涝风险评估宜采用数学模型法、历史灾情法，应根据实际情况选用合适的评估方法。</w:t>
      </w:r>
    </w:p>
    <w:p w14:paraId="452EB235">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auto"/>
          <w:sz w:val="24"/>
          <w:szCs w:val="24"/>
          <w:lang w:val="en-US" w:eastAsia="zh-CN"/>
        </w:rPr>
        <w:t xml:space="preserve">4.1.2 </w:t>
      </w:r>
      <w:r>
        <w:rPr>
          <w:rFonts w:hint="eastAsia" w:ascii="Times New Roman" w:hAnsi="Times New Roman" w:eastAsia="宋体" w:cs="宋体"/>
          <w:color w:val="auto"/>
          <w:sz w:val="24"/>
          <w:szCs w:val="24"/>
          <w:lang w:val="en-US" w:eastAsia="zh-CN"/>
        </w:rPr>
        <w:t>城镇内涝风险评估应根据选定的方法计算评估单元积水深度、</w:t>
      </w:r>
      <w:r>
        <w:rPr>
          <w:rFonts w:hint="eastAsia" w:ascii="Times New Roman" w:hAnsi="Times New Roman" w:eastAsia="宋体" w:cs="宋体"/>
          <w:color w:val="auto"/>
          <w:sz w:val="24"/>
          <w:szCs w:val="24"/>
          <w:highlight w:val="none"/>
          <w:lang w:val="en-US" w:eastAsia="zh-CN"/>
        </w:rPr>
        <w:t>积水时间</w:t>
      </w:r>
      <w:r>
        <w:rPr>
          <w:rFonts w:hint="eastAsia" w:ascii="Times New Roman" w:hAnsi="Times New Roman" w:eastAsia="宋体" w:cs="宋体"/>
          <w:color w:val="auto"/>
          <w:sz w:val="24"/>
          <w:szCs w:val="24"/>
          <w:lang w:val="en-US" w:eastAsia="zh-CN"/>
        </w:rPr>
        <w:t>、积水范围及水流速度的技术状况值，结合城区类型，综合评估其内涝风险等级。</w:t>
      </w:r>
    </w:p>
    <w:p w14:paraId="6B7361DB">
      <w:pPr>
        <w:pStyle w:val="4"/>
        <w:spacing w:beforeLines="0" w:after="156" w:afterLines="50"/>
        <w:jc w:val="center"/>
        <w:rPr>
          <w:rFonts w:hint="default" w:ascii="Times New Roman" w:hAnsi="Times New Roman" w:eastAsia="宋体" w:cs="宋体"/>
          <w:color w:val="000000" w:themeColor="text1"/>
          <w:sz w:val="28"/>
          <w:szCs w:val="28"/>
          <w:lang w:val="en-US" w:eastAsia="zh-CN"/>
          <w14:textFill>
            <w14:solidFill>
              <w14:schemeClr w14:val="tx1"/>
            </w14:solidFill>
          </w14:textFill>
        </w:rPr>
      </w:pPr>
      <w:bookmarkStart w:id="79" w:name="_Toc6414"/>
      <w:bookmarkStart w:id="80" w:name="_Toc26978"/>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2 评估方法</w:t>
      </w:r>
      <w:bookmarkEnd w:id="79"/>
      <w:bookmarkEnd w:id="80"/>
    </w:p>
    <w:p w14:paraId="616ACE98">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汇水面积超过2km</w:t>
      </w:r>
      <w:r>
        <w:rPr>
          <w:rFonts w:hint="eastAsia" w:ascii="Times New Roman" w:hAnsi="Times New Roman" w:eastAsia="宋体" w:cs="宋体"/>
          <w:b w:val="0"/>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宋体"/>
          <w:b w:val="0"/>
          <w:bCs/>
          <w:color w:val="000000" w:themeColor="text1"/>
          <w:sz w:val="24"/>
          <w:szCs w:val="24"/>
          <w:highlight w:val="none"/>
          <w:vertAlign w:val="baseline"/>
          <w:lang w:val="en-US" w:eastAsia="zh-CN"/>
          <w14:textFill>
            <w14:solidFill>
              <w14:schemeClr w14:val="tx1"/>
            </w14:solidFill>
          </w14:textFill>
        </w:rPr>
        <w:t>的</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评估单元</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其内涝</w:t>
      </w:r>
      <w:r>
        <w:rPr>
          <w:rFonts w:hint="eastAsia" w:ascii="Times New Roman" w:hAnsi="Times New Roman" w:eastAsia="宋体" w:cs="宋体"/>
          <w:color w:val="000000" w:themeColor="text1"/>
          <w:sz w:val="24"/>
          <w:szCs w:val="24"/>
          <w:highlight w:val="none"/>
          <w14:textFill>
            <w14:solidFill>
              <w14:schemeClr w14:val="tx1"/>
            </w14:solidFill>
          </w14:textFill>
        </w:rPr>
        <w:t>风险评估应采用数学模型法</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4"/>
          <w:highlight w:val="none"/>
          <w14:textFill>
            <w14:solidFill>
              <w14:schemeClr w14:val="tx1"/>
            </w14:solidFill>
          </w14:textFill>
        </w:rPr>
        <w:t>基础资料不完善的</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评估区域</w:t>
      </w:r>
      <w:r>
        <w:rPr>
          <w:rFonts w:hint="eastAsia" w:ascii="Times New Roman" w:hAnsi="Times New Roman" w:eastAsia="宋体" w:cs="宋体"/>
          <w:color w:val="000000" w:themeColor="text1"/>
          <w:sz w:val="24"/>
          <w:szCs w:val="24"/>
          <w:highlight w:val="none"/>
          <w14:textFill>
            <w14:solidFill>
              <w14:schemeClr w14:val="tx1"/>
            </w14:solidFill>
          </w14:textFill>
        </w:rPr>
        <w:t>，</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宜</w:t>
      </w:r>
      <w:r>
        <w:rPr>
          <w:rFonts w:hint="eastAsia" w:ascii="Times New Roman" w:hAnsi="Times New Roman" w:eastAsia="宋体" w:cs="宋体"/>
          <w:color w:val="000000" w:themeColor="text1"/>
          <w:sz w:val="24"/>
          <w:szCs w:val="24"/>
          <w:highlight w:val="none"/>
          <w14:textFill>
            <w14:solidFill>
              <w14:schemeClr w14:val="tx1"/>
            </w14:solidFill>
          </w14:textFill>
        </w:rPr>
        <w:t>采用历史灾情法</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或简化的数学模型法</w:t>
      </w:r>
      <w:r>
        <w:rPr>
          <w:rFonts w:hint="eastAsia" w:ascii="Times New Roman" w:hAnsi="Times New Roman" w:eastAsia="宋体" w:cs="宋体"/>
          <w:color w:val="000000" w:themeColor="text1"/>
          <w:sz w:val="24"/>
          <w:szCs w:val="24"/>
          <w:highlight w:val="none"/>
          <w14:textFill>
            <w14:solidFill>
              <w14:schemeClr w14:val="tx1"/>
            </w14:solidFill>
          </w14:textFill>
        </w:rPr>
        <w:t>进行内涝风险评估。</w:t>
      </w:r>
    </w:p>
    <w:p w14:paraId="7D508831">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4.2.2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数学模型法应符合下列要求：</w:t>
      </w:r>
    </w:p>
    <w:p w14:paraId="7135A2FF">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计算模块应包括产流模型、地表汇流模型、管网水力模型、河道（明渠）水力模型、地表漫流模型，进行模型耦合计算；</w:t>
      </w:r>
    </w:p>
    <w:p w14:paraId="37FE6B4A">
      <w:pPr>
        <w:spacing w:line="360" w:lineRule="auto"/>
        <w:ind w:firstLine="482" w:firstLineChars="200"/>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模型构建的数据信息应包括降雨数据、地面高程数据、下垫面数据、排水管网和附属设施数据、城镇河道数据、水位监测数据和流量、运行资料、边界条件等；</w:t>
      </w:r>
    </w:p>
    <w:p w14:paraId="32D08CD9">
      <w:pPr>
        <w:spacing w:line="360" w:lineRule="auto"/>
        <w:ind w:firstLine="482"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bCs/>
          <w:color w:val="auto"/>
          <w:sz w:val="24"/>
          <w:szCs w:val="24"/>
          <w:lang w:val="en-US" w:eastAsia="zh-CN"/>
        </w:rPr>
        <w:t>3</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val="en-US" w:eastAsia="zh-CN"/>
        </w:rPr>
        <w:t>分析对象宜包括系统整体、集水区、节点、管道、河道（明渠）、调蓄设施、泵站等；</w:t>
      </w:r>
    </w:p>
    <w:p w14:paraId="0A1CFA31">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评估前应进行模型参数的率定和验证。宜采用2场及以上的实测降雨数据对数学模型参数进行率定，监测数据完整的区域宜使用经过校正筛选后的水位、流量等监测数据进行模型参数率定与验证；</w:t>
      </w:r>
    </w:p>
    <w:p w14:paraId="59D669F7">
      <w:pPr>
        <w:spacing w:line="360" w:lineRule="auto"/>
        <w:ind w:firstLine="482" w:firstLineChars="200"/>
        <w:rPr>
          <w:rFonts w:hint="eastAsia" w:ascii="Times New Roman" w:hAnsi="Times New Roman" w:eastAsia="宋体" w:cs="宋体"/>
          <w:b/>
          <w:color w:val="000000" w:themeColor="text1"/>
          <w:sz w:val="24"/>
          <w:szCs w:val="24"/>
          <w:highlight w:val="green"/>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5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进行评估单元内设计暴雨、洪水与下游水（潮）位等遭遇风险分析，确定合适的模型参数和边界条件。</w:t>
      </w:r>
    </w:p>
    <w:p w14:paraId="48B1FE7C">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4.2.3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历史灾情法应符合下列要求：</w:t>
      </w:r>
    </w:p>
    <w:p w14:paraId="111DFD0B">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收集的历史灾情资料应包括内涝发生时长、降雨情况、内涝防治系统情况、淹没情况和受灾情况等；</w:t>
      </w:r>
    </w:p>
    <w:p w14:paraId="2C2B1B69">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2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应考虑设计暴雨及内涝防治系统现状与历史灾情的不同，对收集数据进行换算；</w:t>
      </w:r>
    </w:p>
    <w:p w14:paraId="1946D93D">
      <w:pPr>
        <w:spacing w:line="360" w:lineRule="auto"/>
        <w:ind w:firstLine="482" w:firstLineChars="200"/>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历史灾情法内涝风险评估结果可用于校核数学模型法中的现状内涝风险评估结果。</w:t>
      </w:r>
    </w:p>
    <w:p w14:paraId="292E1917">
      <w:pPr>
        <w:pStyle w:val="4"/>
        <w:spacing w:beforeLines="0" w:after="156" w:afterLines="50"/>
        <w:jc w:val="center"/>
        <w:rPr>
          <w:rFonts w:hint="default" w:ascii="Times New Roman" w:hAnsi="Times New Roman" w:eastAsia="宋体" w:cs="宋体"/>
          <w:color w:val="000000" w:themeColor="text1"/>
          <w:sz w:val="28"/>
          <w:szCs w:val="28"/>
          <w:lang w:val="en-US" w:eastAsia="zh-CN"/>
          <w14:textFill>
            <w14:solidFill>
              <w14:schemeClr w14:val="tx1"/>
            </w14:solidFill>
          </w14:textFill>
        </w:rPr>
      </w:pPr>
      <w:bookmarkStart w:id="81" w:name="_Toc398"/>
      <w:bookmarkStart w:id="82" w:name="_Toc57819228"/>
      <w:bookmarkStart w:id="83" w:name="_Toc3381"/>
      <w:bookmarkStart w:id="84" w:name="_Toc11952"/>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w:t>
      </w:r>
      <w:bookmarkEnd w:id="81"/>
      <w:bookmarkEnd w:id="82"/>
      <w:r>
        <w:rPr>
          <w:rFonts w:hint="eastAsia" w:ascii="Times New Roman" w:hAnsi="Times New Roman" w:eastAsia="宋体" w:cs="宋体"/>
          <w:color w:val="000000" w:themeColor="text1"/>
          <w:sz w:val="28"/>
          <w:szCs w:val="28"/>
          <w:lang w:val="en-US" w:eastAsia="zh-CN"/>
          <w14:textFill>
            <w14:solidFill>
              <w14:schemeClr w14:val="tx1"/>
            </w14:solidFill>
          </w14:textFill>
        </w:rPr>
        <w:t>3 技术状况评定</w:t>
      </w:r>
      <w:bookmarkEnd w:id="83"/>
      <w:bookmarkEnd w:id="84"/>
    </w:p>
    <w:p w14:paraId="13232F53">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宋体"/>
          <w:b/>
          <w:color w:val="000000" w:themeColor="text1"/>
          <w:sz w:val="24"/>
          <w:szCs w:val="24"/>
          <w:highlight w:val="none"/>
          <w14:textFill>
            <w14:solidFill>
              <w14:schemeClr w14:val="tx1"/>
            </w14:solidFill>
          </w14:textFill>
        </w:rPr>
        <w:t>.1</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最大积水深度技术状况评定应符合表4.3.1的规定。</w:t>
      </w:r>
    </w:p>
    <w:p w14:paraId="16042562">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4.3.1 积水深度技术状况值</w:t>
      </w:r>
    </w:p>
    <w:tbl>
      <w:tblPr>
        <w:tblStyle w:val="17"/>
        <w:tblW w:w="61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3640"/>
      </w:tblGrid>
      <w:tr w14:paraId="1F76D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jc w:val="center"/>
        </w:trPr>
        <w:tc>
          <w:tcPr>
            <w:tcW w:w="2557" w:type="dxa"/>
            <w:vAlign w:val="center"/>
          </w:tcPr>
          <w:p w14:paraId="1363829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技术状况值</w:t>
            </w:r>
            <w:r>
              <w:rPr>
                <w:rFonts w:hint="eastAsia" w:ascii="Times New Roman" w:hAnsi="Times New Roman" w:eastAsia="宋体" w:cs="宋体"/>
                <w:i/>
                <w:iCs/>
                <w:sz w:val="21"/>
                <w:szCs w:val="21"/>
                <w:highlight w:val="none"/>
                <w:lang w:val="en-US" w:eastAsia="zh-CN"/>
              </w:rPr>
              <w:t>H</w:t>
            </w:r>
          </w:p>
        </w:tc>
        <w:tc>
          <w:tcPr>
            <w:tcW w:w="3640" w:type="dxa"/>
            <w:vAlign w:val="center"/>
          </w:tcPr>
          <w:p w14:paraId="5574DA3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积水深度</w:t>
            </w:r>
            <w:r>
              <w:rPr>
                <w:rFonts w:hint="eastAsia" w:ascii="Times New Roman" w:hAnsi="Times New Roman" w:eastAsia="宋体" w:cs="宋体"/>
                <w:i/>
                <w:iCs/>
                <w:sz w:val="21"/>
                <w:szCs w:val="21"/>
                <w:highlight w:val="none"/>
                <w:lang w:val="en-US" w:eastAsia="zh-CN"/>
              </w:rPr>
              <w:t>h</w:t>
            </w:r>
            <w:r>
              <w:rPr>
                <w:rFonts w:hint="eastAsia" w:ascii="Times New Roman" w:hAnsi="Times New Roman" w:eastAsia="宋体" w:cs="宋体"/>
                <w:sz w:val="21"/>
                <w:szCs w:val="21"/>
                <w:highlight w:val="none"/>
                <w:lang w:val="en-US" w:eastAsia="zh-CN"/>
              </w:rPr>
              <w:t>（cm）</w:t>
            </w:r>
          </w:p>
        </w:tc>
      </w:tr>
      <w:tr w14:paraId="1579F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6F18C21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0</w:t>
            </w:r>
          </w:p>
        </w:tc>
        <w:tc>
          <w:tcPr>
            <w:tcW w:w="3640" w:type="dxa"/>
            <w:vAlign w:val="center"/>
          </w:tcPr>
          <w:p w14:paraId="77CC7D3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i/>
                <w:iCs/>
                <w:color w:val="auto"/>
                <w:sz w:val="21"/>
                <w:szCs w:val="21"/>
                <w:highlight w:val="none"/>
                <w:lang w:val="en-US" w:eastAsia="zh-CN"/>
              </w:rPr>
              <w:t>h</w:t>
            </w:r>
            <w:r>
              <w:rPr>
                <w:rFonts w:hint="eastAsia" w:ascii="Times New Roman" w:hAnsi="Times New Roman" w:eastAsia="宋体" w:cs="宋体"/>
                <w:color w:val="auto"/>
                <w:sz w:val="21"/>
                <w:szCs w:val="21"/>
                <w:highlight w:val="none"/>
                <w:lang w:val="en-US" w:eastAsia="zh-CN"/>
              </w:rPr>
              <w:t>＜3</w:t>
            </w:r>
          </w:p>
        </w:tc>
      </w:tr>
      <w:tr w14:paraId="27890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34442348">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highlight w:val="none"/>
                <w:lang w:val="en-US" w:eastAsia="zh-CN"/>
              </w:rPr>
              <w:t>1</w:t>
            </w:r>
          </w:p>
        </w:tc>
        <w:tc>
          <w:tcPr>
            <w:tcW w:w="3640" w:type="dxa"/>
            <w:vAlign w:val="center"/>
          </w:tcPr>
          <w:p w14:paraId="16CC2E1E">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i w:val="0"/>
                <w:iCs w:val="0"/>
                <w:color w:val="auto"/>
                <w:sz w:val="21"/>
                <w:szCs w:val="21"/>
                <w:highlight w:val="none"/>
                <w:lang w:val="en-US" w:eastAsia="zh-CN"/>
              </w:rPr>
              <w:t>3</w:t>
            </w:r>
            <w:r>
              <w:rPr>
                <w:rFonts w:hint="eastAsia" w:ascii="Times New Roman" w:hAnsi="Times New Roman" w:eastAsia="宋体" w:cs="宋体"/>
                <w:i/>
                <w:iCs/>
                <w:color w:val="auto"/>
                <w:sz w:val="21"/>
                <w:szCs w:val="21"/>
                <w:highlight w:val="none"/>
                <w:lang w:val="en-US" w:eastAsia="zh-CN"/>
              </w:rPr>
              <w:t>≤h</w:t>
            </w:r>
            <w:r>
              <w:rPr>
                <w:rFonts w:hint="eastAsia" w:ascii="Times New Roman" w:hAnsi="Times New Roman" w:eastAsia="宋体" w:cs="宋体"/>
                <w:color w:val="auto"/>
                <w:sz w:val="21"/>
                <w:szCs w:val="21"/>
                <w:highlight w:val="none"/>
                <w:lang w:val="en-US" w:eastAsia="zh-CN"/>
              </w:rPr>
              <w:t>＜15</w:t>
            </w:r>
          </w:p>
        </w:tc>
      </w:tr>
      <w:tr w14:paraId="3AE31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590903E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highlight w:val="none"/>
                <w:lang w:val="en-US" w:eastAsia="zh-CN"/>
              </w:rPr>
              <w:t>2</w:t>
            </w:r>
          </w:p>
        </w:tc>
        <w:tc>
          <w:tcPr>
            <w:tcW w:w="3640" w:type="dxa"/>
            <w:vAlign w:val="center"/>
          </w:tcPr>
          <w:p w14:paraId="712625A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sz w:val="21"/>
                <w:szCs w:val="21"/>
                <w:highlight w:val="none"/>
                <w:lang w:val="en-US" w:eastAsia="zh-CN"/>
              </w:rPr>
              <w:t>15</w:t>
            </w:r>
            <w:r>
              <w:rPr>
                <w:rFonts w:hint="eastAsia" w:ascii="Times New Roman" w:hAnsi="Times New Roman" w:eastAsia="宋体" w:cs="宋体"/>
                <w:i/>
                <w:iCs/>
                <w:color w:val="auto"/>
                <w:sz w:val="21"/>
                <w:szCs w:val="21"/>
                <w:highlight w:val="none"/>
                <w:lang w:val="en-US" w:eastAsia="zh-CN"/>
              </w:rPr>
              <w:t>≤h</w:t>
            </w:r>
            <w:r>
              <w:rPr>
                <w:rFonts w:hint="eastAsia" w:ascii="Times New Roman" w:hAnsi="Times New Roman" w:eastAsia="宋体" w:cs="宋体"/>
                <w:color w:val="auto"/>
                <w:sz w:val="21"/>
                <w:szCs w:val="21"/>
                <w:highlight w:val="none"/>
                <w:lang w:val="en-US" w:eastAsia="zh-CN"/>
              </w:rPr>
              <w:t>＜40</w:t>
            </w:r>
          </w:p>
        </w:tc>
      </w:tr>
      <w:tr w14:paraId="1A1F5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7071BE5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w:t>
            </w:r>
          </w:p>
        </w:tc>
        <w:tc>
          <w:tcPr>
            <w:tcW w:w="3640" w:type="dxa"/>
            <w:vAlign w:val="center"/>
          </w:tcPr>
          <w:p w14:paraId="77A6CB4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sz w:val="21"/>
                <w:szCs w:val="21"/>
                <w:highlight w:val="none"/>
                <w:lang w:val="en-US" w:eastAsia="zh-CN"/>
              </w:rPr>
              <w:t>40</w:t>
            </w:r>
            <w:r>
              <w:rPr>
                <w:rFonts w:hint="eastAsia" w:ascii="Times New Roman" w:hAnsi="Times New Roman" w:eastAsia="宋体" w:cs="宋体"/>
                <w:i/>
                <w:iCs/>
                <w:color w:val="auto"/>
                <w:sz w:val="21"/>
                <w:szCs w:val="21"/>
                <w:highlight w:val="none"/>
                <w:lang w:val="en-US" w:eastAsia="zh-CN"/>
              </w:rPr>
              <w:t>≤h</w:t>
            </w:r>
            <w:r>
              <w:rPr>
                <w:rFonts w:hint="eastAsia" w:ascii="Times New Roman" w:hAnsi="Times New Roman" w:eastAsia="宋体" w:cs="宋体"/>
                <w:color w:val="auto"/>
                <w:sz w:val="21"/>
                <w:szCs w:val="21"/>
                <w:highlight w:val="none"/>
                <w:lang w:val="en-US" w:eastAsia="zh-CN"/>
              </w:rPr>
              <w:t>＜65</w:t>
            </w:r>
          </w:p>
        </w:tc>
      </w:tr>
      <w:tr w14:paraId="33692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74AB31D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4</w:t>
            </w:r>
          </w:p>
        </w:tc>
        <w:tc>
          <w:tcPr>
            <w:tcW w:w="3640" w:type="dxa"/>
            <w:vAlign w:val="center"/>
          </w:tcPr>
          <w:p w14:paraId="0A3221B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iCs/>
                <w:color w:val="auto"/>
                <w:sz w:val="21"/>
                <w:szCs w:val="21"/>
                <w:highlight w:val="none"/>
                <w:lang w:val="en-US" w:eastAsia="zh-CN"/>
              </w:rPr>
            </w:pPr>
            <w:r>
              <w:rPr>
                <w:rFonts w:hint="eastAsia" w:ascii="Times New Roman" w:hAnsi="Times New Roman" w:eastAsia="宋体" w:cs="宋体"/>
                <w:i/>
                <w:iCs/>
                <w:color w:val="auto"/>
                <w:sz w:val="21"/>
                <w:szCs w:val="21"/>
                <w:highlight w:val="none"/>
                <w:lang w:val="en-US" w:eastAsia="zh-CN"/>
              </w:rPr>
              <w:t>h</w:t>
            </w:r>
            <w:r>
              <w:rPr>
                <w:rFonts w:hint="eastAsia" w:ascii="Times New Roman" w:hAnsi="Times New Roman" w:eastAsia="宋体" w:cs="宋体"/>
                <w:color w:val="auto"/>
                <w:sz w:val="21"/>
                <w:szCs w:val="21"/>
                <w:highlight w:val="none"/>
                <w:lang w:val="en-US" w:eastAsia="zh-CN"/>
              </w:rPr>
              <w:t>≥65</w:t>
            </w:r>
          </w:p>
        </w:tc>
      </w:tr>
    </w:tbl>
    <w:p w14:paraId="70AC55FD">
      <w:pPr>
        <w:spacing w:line="360" w:lineRule="auto"/>
        <w:ind w:firstLine="420" w:firstLineChars="200"/>
        <w:rPr>
          <w:rFonts w:hint="default" w:ascii="Times New Roman" w:hAnsi="Times New Roman" w:eastAsia="宋体" w:cs="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注：</w:t>
      </w:r>
      <w:r>
        <w:rPr>
          <w:rFonts w:hint="eastAsia" w:ascii="Times New Roman" w:hAnsi="Times New Roman" w:eastAsia="宋体" w:cs="宋体"/>
          <w:b w:val="0"/>
          <w:bCs/>
          <w:color w:val="auto"/>
          <w:sz w:val="21"/>
          <w:szCs w:val="21"/>
          <w:highlight w:val="none"/>
          <w:lang w:val="en-US" w:eastAsia="zh-CN"/>
        </w:rPr>
        <w:t>居民住宅和工商业建筑物的底层进水或公共设施地下空间进水，</w:t>
      </w: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H取4</w:t>
      </w:r>
      <w:r>
        <w:rPr>
          <w:rFonts w:hint="eastAsia" w:ascii="Times New Roman" w:hAnsi="Times New Roman" w:eastAsia="宋体" w:cs="宋体"/>
          <w:b w:val="0"/>
          <w:bCs/>
          <w:color w:val="auto"/>
          <w:sz w:val="21"/>
          <w:szCs w:val="21"/>
          <w:highlight w:val="none"/>
          <w:lang w:val="en-US" w:eastAsia="zh-CN"/>
        </w:rPr>
        <w:t>。</w:t>
      </w:r>
    </w:p>
    <w:p w14:paraId="7A217612">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4.3.2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积水深度大于（等于）15cm的累计积水时间技术状况评定应符合表4.3.2的规定。</w:t>
      </w:r>
    </w:p>
    <w:p w14:paraId="645A3662">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4.3.2 积水时间技术状况值</w:t>
      </w:r>
    </w:p>
    <w:tbl>
      <w:tblPr>
        <w:tblStyle w:val="17"/>
        <w:tblW w:w="61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3640"/>
      </w:tblGrid>
      <w:tr w14:paraId="3E723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009029A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技术状况值</w:t>
            </w:r>
            <w:r>
              <w:rPr>
                <w:rFonts w:hint="eastAsia" w:ascii="Times New Roman" w:hAnsi="Times New Roman" w:eastAsia="宋体" w:cs="宋体"/>
                <w:i/>
                <w:iCs/>
                <w:sz w:val="21"/>
                <w:szCs w:val="21"/>
                <w:highlight w:val="none"/>
                <w:lang w:val="en-US" w:eastAsia="zh-CN"/>
              </w:rPr>
              <w:t>T</w:t>
            </w:r>
          </w:p>
        </w:tc>
        <w:tc>
          <w:tcPr>
            <w:tcW w:w="3640" w:type="dxa"/>
            <w:vAlign w:val="center"/>
          </w:tcPr>
          <w:p w14:paraId="639A9BF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积水时间</w:t>
            </w:r>
            <w:r>
              <w:rPr>
                <w:rFonts w:hint="eastAsia" w:ascii="Times New Roman" w:hAnsi="Times New Roman" w:eastAsia="宋体" w:cs="宋体"/>
                <w:i/>
                <w:iCs/>
                <w:color w:val="auto"/>
                <w:sz w:val="21"/>
                <w:szCs w:val="21"/>
                <w:highlight w:val="none"/>
                <w:lang w:val="en-US" w:eastAsia="zh-CN"/>
              </w:rPr>
              <w:t>t</w:t>
            </w:r>
            <w:r>
              <w:rPr>
                <w:rFonts w:hint="eastAsia" w:ascii="Times New Roman" w:hAnsi="Times New Roman" w:eastAsia="宋体" w:cs="宋体"/>
                <w:color w:val="auto"/>
                <w:sz w:val="21"/>
                <w:szCs w:val="21"/>
                <w:highlight w:val="none"/>
                <w:lang w:val="en-US" w:eastAsia="zh-CN"/>
              </w:rPr>
              <w:t>（min）</w:t>
            </w:r>
          </w:p>
        </w:tc>
      </w:tr>
      <w:tr w14:paraId="1BC24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535067B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0</w:t>
            </w:r>
          </w:p>
        </w:tc>
        <w:tc>
          <w:tcPr>
            <w:tcW w:w="3640" w:type="dxa"/>
            <w:vAlign w:val="center"/>
          </w:tcPr>
          <w:p w14:paraId="593D4E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i/>
                <w:iCs/>
                <w:color w:val="auto"/>
                <w:sz w:val="21"/>
                <w:szCs w:val="21"/>
                <w:highlight w:val="none"/>
                <w:lang w:val="en-US" w:eastAsia="zh-CN"/>
              </w:rPr>
              <w:t>t</w:t>
            </w:r>
            <w:r>
              <w:rPr>
                <w:rFonts w:hint="eastAsia" w:ascii="Times New Roman" w:hAnsi="Times New Roman" w:eastAsia="宋体" w:cs="宋体"/>
                <w:color w:val="auto"/>
                <w:sz w:val="21"/>
                <w:szCs w:val="21"/>
                <w:highlight w:val="none"/>
                <w:lang w:val="en-US" w:eastAsia="zh-CN"/>
              </w:rPr>
              <w:t>＜5</w:t>
            </w:r>
          </w:p>
        </w:tc>
      </w:tr>
      <w:tr w14:paraId="49BF8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43E14BA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p>
        </w:tc>
        <w:tc>
          <w:tcPr>
            <w:tcW w:w="3640" w:type="dxa"/>
            <w:vAlign w:val="center"/>
          </w:tcPr>
          <w:p w14:paraId="0364A1A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5</w:t>
            </w:r>
            <w:r>
              <w:rPr>
                <w:rFonts w:hint="eastAsia" w:ascii="Times New Roman" w:hAnsi="Times New Roman" w:eastAsia="宋体" w:cs="宋体"/>
                <w:i/>
                <w:iCs/>
                <w:color w:val="auto"/>
                <w:sz w:val="21"/>
                <w:szCs w:val="21"/>
                <w:highlight w:val="none"/>
                <w:lang w:val="en-US" w:eastAsia="zh-CN"/>
              </w:rPr>
              <w:t>≤t</w:t>
            </w:r>
            <w:r>
              <w:rPr>
                <w:rFonts w:hint="eastAsia" w:ascii="Times New Roman" w:hAnsi="Times New Roman" w:eastAsia="宋体" w:cs="宋体"/>
                <w:color w:val="auto"/>
                <w:sz w:val="21"/>
                <w:szCs w:val="21"/>
                <w:highlight w:val="none"/>
                <w:lang w:val="en-US" w:eastAsia="zh-CN"/>
              </w:rPr>
              <w:t>＜30</w:t>
            </w:r>
          </w:p>
        </w:tc>
      </w:tr>
      <w:tr w14:paraId="5EB25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1ADBB6C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highlight w:val="none"/>
                <w:lang w:val="en-US" w:eastAsia="zh-CN"/>
              </w:rPr>
              <w:t>2</w:t>
            </w:r>
          </w:p>
        </w:tc>
        <w:tc>
          <w:tcPr>
            <w:tcW w:w="3640" w:type="dxa"/>
            <w:vAlign w:val="center"/>
          </w:tcPr>
          <w:p w14:paraId="3D8BE0A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sz w:val="21"/>
                <w:szCs w:val="21"/>
                <w:highlight w:val="none"/>
                <w:lang w:val="en-US" w:eastAsia="zh-CN"/>
              </w:rPr>
              <w:t>30</w:t>
            </w:r>
            <w:r>
              <w:rPr>
                <w:rFonts w:hint="eastAsia" w:ascii="Times New Roman" w:hAnsi="Times New Roman" w:eastAsia="宋体" w:cs="宋体"/>
                <w:i/>
                <w:iCs/>
                <w:color w:val="auto"/>
                <w:sz w:val="21"/>
                <w:szCs w:val="21"/>
                <w:highlight w:val="none"/>
                <w:lang w:val="en-US" w:eastAsia="zh-CN"/>
              </w:rPr>
              <w:t>≤t</w:t>
            </w:r>
            <w:r>
              <w:rPr>
                <w:rFonts w:hint="eastAsia" w:ascii="Times New Roman" w:hAnsi="Times New Roman" w:eastAsia="宋体" w:cs="宋体"/>
                <w:color w:val="auto"/>
                <w:sz w:val="21"/>
                <w:szCs w:val="21"/>
                <w:highlight w:val="none"/>
                <w:lang w:val="en-US" w:eastAsia="zh-CN"/>
              </w:rPr>
              <w:t>＜60</w:t>
            </w:r>
          </w:p>
        </w:tc>
      </w:tr>
      <w:tr w14:paraId="30159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16253C9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w:t>
            </w:r>
          </w:p>
        </w:tc>
        <w:tc>
          <w:tcPr>
            <w:tcW w:w="3640" w:type="dxa"/>
            <w:vAlign w:val="center"/>
          </w:tcPr>
          <w:p w14:paraId="2CB707D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iCs/>
                <w:color w:val="auto"/>
                <w:sz w:val="21"/>
                <w:szCs w:val="21"/>
                <w:highlight w:val="none"/>
                <w:lang w:val="en-US" w:eastAsia="zh-CN"/>
              </w:rPr>
              <w:t>t</w:t>
            </w:r>
            <w:r>
              <w:rPr>
                <w:rFonts w:hint="eastAsia" w:ascii="Times New Roman" w:hAnsi="Times New Roman" w:eastAsia="宋体" w:cs="宋体"/>
                <w:color w:val="auto"/>
                <w:sz w:val="21"/>
                <w:szCs w:val="21"/>
                <w:highlight w:val="none"/>
                <w:lang w:val="en-US" w:eastAsia="zh-CN"/>
              </w:rPr>
              <w:t>≥60</w:t>
            </w:r>
          </w:p>
        </w:tc>
      </w:tr>
    </w:tbl>
    <w:p w14:paraId="328D9F3A">
      <w:pPr>
        <w:spacing w:line="360" w:lineRule="auto"/>
        <w:ind w:firstLine="420" w:firstLineChars="200"/>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注：1 对于积水时间技术状况值取0、1、2的前三种情况，当出现下列情形之一时，积水时间技术状况值应在该表取值基础上加1：积水区域附近有医院、托幼机构、涉老场所、中小学等场所</w:t>
      </w:r>
      <w:r>
        <w:rPr>
          <w:rFonts w:hint="eastAsia" w:ascii="Times New Roman" w:hAnsi="Times New Roman" w:eastAsia="宋体" w:cs="宋体"/>
          <w:b w:val="0"/>
          <w:bCs/>
          <w:color w:val="auto"/>
          <w:sz w:val="21"/>
          <w:szCs w:val="21"/>
          <w:highlight w:val="none"/>
          <w:lang w:val="en-US" w:eastAsia="zh-CN"/>
        </w:rPr>
        <w:t>；</w:t>
      </w: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积水区域所属路段为附近居民唯一通行路段；积水区域附近有交通枢纽、地铁出入口等设施。</w:t>
      </w:r>
    </w:p>
    <w:p w14:paraId="0667B624">
      <w:pPr>
        <w:spacing w:line="360" w:lineRule="auto"/>
        <w:ind w:firstLine="420" w:firstLineChars="200"/>
        <w:rPr>
          <w:rFonts w:hint="default" w:ascii="Times New Roman" w:hAnsi="Times New Roman" w:eastAsia="宋体" w:cs="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2 积水时间指评估单元内发生积水深度超过0.15m的持续时间。</w:t>
      </w:r>
    </w:p>
    <w:p w14:paraId="455B32CE">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4.3.3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积水范围技术状况评定应符合表4.3.3的规定。</w:t>
      </w:r>
    </w:p>
    <w:p w14:paraId="35D2E180">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4.3.3 积水范围技术状况值</w:t>
      </w:r>
    </w:p>
    <w:tbl>
      <w:tblPr>
        <w:tblStyle w:val="17"/>
        <w:tblW w:w="79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2604"/>
        <w:gridCol w:w="3403"/>
      </w:tblGrid>
      <w:tr w14:paraId="09D5F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6" w:type="dxa"/>
            <w:vAlign w:val="center"/>
          </w:tcPr>
          <w:p w14:paraId="6E5638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技术状况值</w:t>
            </w:r>
            <w:r>
              <w:rPr>
                <w:rFonts w:hint="eastAsia" w:ascii="Times New Roman" w:hAnsi="Times New Roman" w:eastAsia="宋体" w:cs="宋体"/>
                <w:i/>
                <w:iCs/>
                <w:sz w:val="21"/>
                <w:szCs w:val="21"/>
                <w:highlight w:val="none"/>
                <w:lang w:val="en-US" w:eastAsia="zh-CN"/>
              </w:rPr>
              <w:t>F</w:t>
            </w:r>
          </w:p>
        </w:tc>
        <w:tc>
          <w:tcPr>
            <w:tcW w:w="2604" w:type="dxa"/>
            <w:vAlign w:val="center"/>
          </w:tcPr>
          <w:p w14:paraId="0C8F57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积水面积</w:t>
            </w: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sz w:val="21"/>
                <w:szCs w:val="21"/>
                <w:highlight w:val="none"/>
                <w:lang w:val="en-US" w:eastAsia="zh-CN"/>
              </w:rPr>
              <w:t>（m</w:t>
            </w:r>
            <w:r>
              <w:rPr>
                <w:rFonts w:hint="eastAsia" w:ascii="Times New Roman" w:hAnsi="Times New Roman" w:eastAsia="宋体" w:cs="宋体"/>
                <w:sz w:val="21"/>
                <w:szCs w:val="21"/>
                <w:highlight w:val="none"/>
                <w:vertAlign w:val="superscript"/>
                <w:lang w:val="en-US" w:eastAsia="zh-CN"/>
              </w:rPr>
              <w:t>2</w:t>
            </w:r>
            <w:r>
              <w:rPr>
                <w:rFonts w:hint="eastAsia" w:ascii="Times New Roman" w:hAnsi="Times New Roman" w:eastAsia="宋体" w:cs="宋体"/>
                <w:sz w:val="21"/>
                <w:szCs w:val="21"/>
                <w:highlight w:val="none"/>
                <w:lang w:val="en-US" w:eastAsia="zh-CN"/>
              </w:rPr>
              <w:t>）</w:t>
            </w:r>
          </w:p>
        </w:tc>
        <w:tc>
          <w:tcPr>
            <w:tcW w:w="3403" w:type="dxa"/>
            <w:vAlign w:val="center"/>
          </w:tcPr>
          <w:p w14:paraId="0B8756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车道浸占情况</w:t>
            </w:r>
          </w:p>
        </w:tc>
      </w:tr>
      <w:tr w14:paraId="3C0BA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6" w:type="dxa"/>
            <w:vAlign w:val="center"/>
          </w:tcPr>
          <w:p w14:paraId="1E6696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0</w:t>
            </w:r>
          </w:p>
        </w:tc>
        <w:tc>
          <w:tcPr>
            <w:tcW w:w="2604" w:type="dxa"/>
            <w:vAlign w:val="center"/>
          </w:tcPr>
          <w:p w14:paraId="77A4AD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color w:val="auto"/>
                <w:sz w:val="21"/>
                <w:szCs w:val="21"/>
                <w:highlight w:val="none"/>
                <w:lang w:val="en-US" w:eastAsia="zh-CN"/>
              </w:rPr>
              <w:t>＜10</w:t>
            </w:r>
          </w:p>
        </w:tc>
        <w:tc>
          <w:tcPr>
            <w:tcW w:w="3403" w:type="dxa"/>
            <w:vAlign w:val="center"/>
          </w:tcPr>
          <w:p w14:paraId="6B246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无车道浸占</w:t>
            </w:r>
          </w:p>
        </w:tc>
      </w:tr>
      <w:tr w14:paraId="461EB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6" w:type="dxa"/>
            <w:vAlign w:val="center"/>
          </w:tcPr>
          <w:p w14:paraId="0A6A94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p>
        </w:tc>
        <w:tc>
          <w:tcPr>
            <w:tcW w:w="2604" w:type="dxa"/>
            <w:vAlign w:val="center"/>
          </w:tcPr>
          <w:p w14:paraId="7F8885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i w:val="0"/>
                <w:iCs w:val="0"/>
                <w:color w:val="auto"/>
                <w:sz w:val="21"/>
                <w:szCs w:val="21"/>
                <w:highlight w:val="none"/>
                <w:lang w:val="en-US" w:eastAsia="zh-CN"/>
              </w:rPr>
              <w:t>10</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color w:val="auto"/>
                <w:sz w:val="21"/>
                <w:szCs w:val="21"/>
                <w:highlight w:val="none"/>
                <w:lang w:val="en-US" w:eastAsia="zh-CN"/>
              </w:rPr>
              <w:t>＜100</w:t>
            </w:r>
          </w:p>
        </w:tc>
        <w:tc>
          <w:tcPr>
            <w:tcW w:w="3403" w:type="dxa"/>
            <w:vAlign w:val="center"/>
          </w:tcPr>
          <w:p w14:paraId="0A2F46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宋体"/>
                <w:i w:val="0"/>
                <w:iCs w:val="0"/>
                <w:color w:val="auto"/>
                <w:kern w:val="2"/>
                <w:sz w:val="21"/>
                <w:szCs w:val="21"/>
                <w:highlight w:val="none"/>
                <w:lang w:val="en-US" w:eastAsia="zh-CN" w:bidi="ar-SA"/>
              </w:rPr>
            </w:pPr>
            <w:r>
              <w:rPr>
                <w:rFonts w:hint="eastAsia" w:ascii="Times New Roman" w:hAnsi="Times New Roman" w:eastAsia="宋体" w:cs="宋体"/>
                <w:i w:val="0"/>
                <w:iCs w:val="0"/>
                <w:color w:val="auto"/>
                <w:sz w:val="21"/>
                <w:szCs w:val="21"/>
                <w:highlight w:val="none"/>
                <w:lang w:val="en-US" w:eastAsia="zh-CN"/>
              </w:rPr>
              <w:t>1车道及以下</w:t>
            </w:r>
          </w:p>
        </w:tc>
      </w:tr>
      <w:tr w14:paraId="0F4EA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6" w:type="dxa"/>
            <w:vAlign w:val="center"/>
          </w:tcPr>
          <w:p w14:paraId="5C0B2C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p>
        </w:tc>
        <w:tc>
          <w:tcPr>
            <w:tcW w:w="2604" w:type="dxa"/>
            <w:vAlign w:val="center"/>
          </w:tcPr>
          <w:p w14:paraId="792D8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100</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color w:val="auto"/>
                <w:sz w:val="21"/>
                <w:szCs w:val="21"/>
                <w:highlight w:val="none"/>
                <w:lang w:val="en-US" w:eastAsia="zh-CN"/>
              </w:rPr>
              <w:t>＜500</w:t>
            </w:r>
          </w:p>
        </w:tc>
        <w:tc>
          <w:tcPr>
            <w:tcW w:w="3403" w:type="dxa"/>
            <w:vAlign w:val="center"/>
          </w:tcPr>
          <w:p w14:paraId="388CEF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1车道以上，半数车道以下</w:t>
            </w:r>
          </w:p>
        </w:tc>
      </w:tr>
      <w:tr w14:paraId="3EDDC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6" w:type="dxa"/>
            <w:vAlign w:val="center"/>
          </w:tcPr>
          <w:p w14:paraId="7C577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highlight w:val="none"/>
                <w:lang w:val="en-US" w:eastAsia="zh-CN"/>
              </w:rPr>
              <w:t>3</w:t>
            </w:r>
          </w:p>
        </w:tc>
        <w:tc>
          <w:tcPr>
            <w:tcW w:w="2604" w:type="dxa"/>
            <w:vAlign w:val="center"/>
          </w:tcPr>
          <w:p w14:paraId="089801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sz w:val="21"/>
                <w:szCs w:val="21"/>
                <w:highlight w:val="none"/>
                <w:lang w:val="en-US" w:eastAsia="zh-CN"/>
              </w:rPr>
              <w:t>500</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color w:val="auto"/>
                <w:sz w:val="21"/>
                <w:szCs w:val="21"/>
                <w:highlight w:val="none"/>
                <w:lang w:val="en-US" w:eastAsia="zh-CN"/>
              </w:rPr>
              <w:t>＜1000</w:t>
            </w:r>
          </w:p>
        </w:tc>
        <w:tc>
          <w:tcPr>
            <w:tcW w:w="3403" w:type="dxa"/>
            <w:vAlign w:val="center"/>
          </w:tcPr>
          <w:p w14:paraId="6143AA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半数车道以上且尚有1车道未浸占</w:t>
            </w:r>
          </w:p>
        </w:tc>
      </w:tr>
      <w:tr w14:paraId="38804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6" w:type="dxa"/>
            <w:vAlign w:val="center"/>
          </w:tcPr>
          <w:p w14:paraId="77DE60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4</w:t>
            </w:r>
          </w:p>
        </w:tc>
        <w:tc>
          <w:tcPr>
            <w:tcW w:w="2604" w:type="dxa"/>
            <w:vAlign w:val="center"/>
          </w:tcPr>
          <w:p w14:paraId="5C92B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color w:val="auto"/>
                <w:sz w:val="21"/>
                <w:szCs w:val="21"/>
                <w:highlight w:val="none"/>
                <w:lang w:val="en-US" w:eastAsia="zh-CN"/>
              </w:rPr>
              <w:t>≥1000</w:t>
            </w:r>
          </w:p>
        </w:tc>
        <w:tc>
          <w:tcPr>
            <w:tcW w:w="3403" w:type="dxa"/>
            <w:vAlign w:val="center"/>
          </w:tcPr>
          <w:p w14:paraId="32F3AE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未浸水车道小于1车道</w:t>
            </w:r>
          </w:p>
        </w:tc>
      </w:tr>
    </w:tbl>
    <w:p w14:paraId="22C9D5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注：1 数学模型法采用“积水面积”计算积水范围技术状况值，积水面积是指积水深度超过0.15m时开始计算的积水面积；历史灾情法采用“车道浸占情况”计算积水范围技术状况值；</w:t>
      </w:r>
    </w:p>
    <w:p w14:paraId="529D74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auto"/>
          <w:sz w:val="21"/>
          <w:szCs w:val="21"/>
          <w:highlight w:val="none"/>
          <w:lang w:val="en-US" w:eastAsia="zh-CN"/>
        </w:rPr>
        <w:t xml:space="preserve">2 </w:t>
      </w: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对于积水范围技术状况值取1、2、3、4的后四种情况，</w:t>
      </w:r>
      <w:r>
        <w:rPr>
          <w:rFonts w:hint="eastAsia" w:ascii="Times New Roman" w:hAnsi="Times New Roman" w:eastAsia="宋体" w:cs="宋体"/>
          <w:color w:val="auto"/>
          <w:sz w:val="21"/>
          <w:szCs w:val="21"/>
          <w:highlight w:val="none"/>
          <w:lang w:val="en-US" w:eastAsia="zh-CN"/>
        </w:rPr>
        <w:t>当积水内涝区域为公园绿地或一般绿地时，</w:t>
      </w: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积水范围技术状况值应在该表取值基础上减1。</w:t>
      </w:r>
    </w:p>
    <w:p w14:paraId="279EED17">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4.3.4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水流速度技术状况评定应符合表4.3.4的规定。</w:t>
      </w:r>
    </w:p>
    <w:p w14:paraId="4B3861DF">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4.3.4 水流速度技术状况值</w:t>
      </w:r>
    </w:p>
    <w:tbl>
      <w:tblPr>
        <w:tblStyle w:val="17"/>
        <w:tblW w:w="79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2718"/>
        <w:gridCol w:w="2718"/>
      </w:tblGrid>
      <w:tr w14:paraId="793A7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41309BE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技术状况值</w:t>
            </w:r>
            <w:r>
              <w:rPr>
                <w:rFonts w:hint="eastAsia" w:ascii="Times New Roman" w:hAnsi="Times New Roman" w:eastAsia="宋体" w:cs="宋体"/>
                <w:i/>
                <w:iCs/>
                <w:sz w:val="21"/>
                <w:szCs w:val="21"/>
                <w:highlight w:val="none"/>
                <w:lang w:val="en-US" w:eastAsia="zh-CN"/>
              </w:rPr>
              <w:t>V</w:t>
            </w:r>
          </w:p>
        </w:tc>
        <w:tc>
          <w:tcPr>
            <w:tcW w:w="2718" w:type="dxa"/>
            <w:vAlign w:val="center"/>
          </w:tcPr>
          <w:p w14:paraId="51F0F05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水流速度</w:t>
            </w:r>
            <w:r>
              <w:rPr>
                <w:rFonts w:hint="eastAsia" w:ascii="Times New Roman" w:hAnsi="Times New Roman" w:eastAsia="宋体" w:cs="宋体"/>
                <w:i/>
                <w:iCs/>
                <w:sz w:val="21"/>
                <w:szCs w:val="21"/>
                <w:highlight w:val="none"/>
                <w:lang w:val="en-US" w:eastAsia="zh-CN"/>
              </w:rPr>
              <w:t>v</w:t>
            </w:r>
            <w:r>
              <w:rPr>
                <w:rFonts w:hint="eastAsia" w:ascii="Times New Roman" w:hAnsi="Times New Roman" w:eastAsia="宋体" w:cs="宋体"/>
                <w:sz w:val="21"/>
                <w:szCs w:val="21"/>
                <w:highlight w:val="none"/>
                <w:lang w:val="en-US" w:eastAsia="zh-CN"/>
              </w:rPr>
              <w:t>（m/s）</w:t>
            </w:r>
          </w:p>
        </w:tc>
        <w:tc>
          <w:tcPr>
            <w:tcW w:w="2718" w:type="dxa"/>
            <w:vAlign w:val="center"/>
          </w:tcPr>
          <w:p w14:paraId="3E3369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坡度</w:t>
            </w:r>
            <w:r>
              <w:rPr>
                <w:rFonts w:hint="eastAsia" w:ascii="Times New Roman" w:hAnsi="Times New Roman" w:eastAsia="宋体" w:cs="宋体"/>
                <w:i/>
                <w:iCs/>
                <w:sz w:val="21"/>
                <w:szCs w:val="21"/>
                <w:highlight w:val="none"/>
                <w:lang w:val="en-US" w:eastAsia="zh-CN"/>
              </w:rPr>
              <w:t>I</w:t>
            </w:r>
            <w:r>
              <w:rPr>
                <w:rFonts w:hint="eastAsia" w:ascii="Times New Roman" w:hAnsi="Times New Roman" w:eastAsia="宋体" w:cs="宋体"/>
                <w:sz w:val="21"/>
                <w:szCs w:val="21"/>
                <w:highlight w:val="none"/>
                <w:lang w:val="en-US" w:eastAsia="zh-CN"/>
              </w:rPr>
              <w:t>（%）</w:t>
            </w:r>
          </w:p>
        </w:tc>
      </w:tr>
      <w:tr w14:paraId="34AF7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0C6A4FB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0</w:t>
            </w:r>
          </w:p>
        </w:tc>
        <w:tc>
          <w:tcPr>
            <w:tcW w:w="2718" w:type="dxa"/>
            <w:vAlign w:val="center"/>
          </w:tcPr>
          <w:p w14:paraId="370582C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i/>
                <w:iCs/>
                <w:sz w:val="21"/>
                <w:szCs w:val="21"/>
                <w:highlight w:val="none"/>
                <w:lang w:val="en-US" w:eastAsia="zh-CN"/>
              </w:rPr>
              <w:t>v</w:t>
            </w:r>
            <w:r>
              <w:rPr>
                <w:rFonts w:hint="eastAsia" w:ascii="Times New Roman" w:hAnsi="Times New Roman" w:eastAsia="宋体" w:cs="宋体"/>
                <w:color w:val="auto"/>
                <w:sz w:val="21"/>
                <w:szCs w:val="21"/>
                <w:highlight w:val="none"/>
                <w:lang w:val="en-US" w:eastAsia="zh-CN"/>
              </w:rPr>
              <w:t>＜0.5</w:t>
            </w:r>
          </w:p>
        </w:tc>
        <w:tc>
          <w:tcPr>
            <w:tcW w:w="2718" w:type="dxa"/>
            <w:vAlign w:val="center"/>
          </w:tcPr>
          <w:p w14:paraId="311C8EE9">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iCs/>
                <w:sz w:val="21"/>
                <w:szCs w:val="21"/>
                <w:highlight w:val="none"/>
                <w:lang w:val="en-US" w:eastAsia="zh-CN"/>
              </w:rPr>
              <w:t>I</w:t>
            </w:r>
            <w:r>
              <w:rPr>
                <w:rFonts w:hint="eastAsia" w:ascii="Times New Roman" w:hAnsi="Times New Roman" w:eastAsia="宋体" w:cs="宋体"/>
                <w:color w:val="auto"/>
                <w:sz w:val="21"/>
                <w:szCs w:val="21"/>
                <w:highlight w:val="none"/>
                <w:lang w:val="en-US" w:eastAsia="zh-CN"/>
              </w:rPr>
              <w:t>＜0.6</w:t>
            </w:r>
          </w:p>
        </w:tc>
      </w:tr>
      <w:tr w14:paraId="09A26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7A5AB1D6">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w:t>
            </w:r>
          </w:p>
        </w:tc>
        <w:tc>
          <w:tcPr>
            <w:tcW w:w="2718" w:type="dxa"/>
            <w:vAlign w:val="center"/>
          </w:tcPr>
          <w:p w14:paraId="1DF02D3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color w:val="auto"/>
                <w:kern w:val="2"/>
                <w:sz w:val="21"/>
                <w:szCs w:val="21"/>
                <w:lang w:val="en-US" w:eastAsia="zh-CN" w:bidi="ar-SA"/>
              </w:rPr>
            </w:pPr>
            <w:r>
              <w:rPr>
                <w:rFonts w:hint="eastAsia" w:ascii="Times New Roman" w:hAnsi="Times New Roman" w:eastAsia="宋体" w:cs="宋体"/>
                <w:i w:val="0"/>
                <w:iCs w:val="0"/>
                <w:color w:val="auto"/>
                <w:sz w:val="21"/>
                <w:szCs w:val="21"/>
                <w:highlight w:val="none"/>
                <w:lang w:val="en-US" w:eastAsia="zh-CN"/>
              </w:rPr>
              <w:t>0.5</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v</w:t>
            </w:r>
            <w:r>
              <w:rPr>
                <w:rFonts w:hint="eastAsia" w:ascii="Times New Roman" w:hAnsi="Times New Roman" w:eastAsia="宋体" w:cs="宋体"/>
                <w:color w:val="auto"/>
                <w:sz w:val="21"/>
                <w:szCs w:val="21"/>
                <w:highlight w:val="none"/>
                <w:lang w:val="en-US" w:eastAsia="zh-CN"/>
              </w:rPr>
              <w:t>＜1</w:t>
            </w:r>
          </w:p>
        </w:tc>
        <w:tc>
          <w:tcPr>
            <w:tcW w:w="2718" w:type="dxa"/>
            <w:vAlign w:val="center"/>
          </w:tcPr>
          <w:p w14:paraId="61CCEED0">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i w:val="0"/>
                <w:iCs w:val="0"/>
                <w:color w:val="auto"/>
                <w:kern w:val="2"/>
                <w:sz w:val="21"/>
                <w:szCs w:val="21"/>
                <w:highlight w:val="none"/>
                <w:lang w:val="en-US" w:eastAsia="zh-CN" w:bidi="ar-SA"/>
              </w:rPr>
            </w:pPr>
            <w:r>
              <w:rPr>
                <w:rFonts w:hint="eastAsia" w:ascii="Times New Roman" w:hAnsi="Times New Roman" w:eastAsia="宋体" w:cs="宋体"/>
                <w:i w:val="0"/>
                <w:iCs w:val="0"/>
                <w:color w:val="auto"/>
                <w:sz w:val="21"/>
                <w:szCs w:val="21"/>
                <w:highlight w:val="none"/>
                <w:lang w:val="en-US" w:eastAsia="zh-CN"/>
              </w:rPr>
              <w:t>0.6</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I</w:t>
            </w:r>
            <w:r>
              <w:rPr>
                <w:rFonts w:hint="eastAsia" w:ascii="Times New Roman" w:hAnsi="Times New Roman" w:eastAsia="宋体" w:cs="宋体"/>
                <w:color w:val="auto"/>
                <w:sz w:val="21"/>
                <w:szCs w:val="21"/>
                <w:highlight w:val="none"/>
                <w:lang w:val="en-US" w:eastAsia="zh-CN"/>
              </w:rPr>
              <w:t>＜3</w:t>
            </w:r>
          </w:p>
        </w:tc>
      </w:tr>
      <w:tr w14:paraId="08E13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22AF7CC6">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highlight w:val="none"/>
                <w:lang w:val="en-US" w:eastAsia="zh-CN"/>
              </w:rPr>
              <w:t>2</w:t>
            </w:r>
          </w:p>
        </w:tc>
        <w:tc>
          <w:tcPr>
            <w:tcW w:w="2718" w:type="dxa"/>
            <w:vAlign w:val="center"/>
          </w:tcPr>
          <w:p w14:paraId="0CDF40C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sz w:val="21"/>
                <w:szCs w:val="21"/>
                <w:highlight w:val="none"/>
                <w:lang w:val="en-US" w:eastAsia="zh-CN"/>
              </w:rPr>
              <w:t>1</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v</w:t>
            </w:r>
            <w:r>
              <w:rPr>
                <w:rFonts w:hint="eastAsia" w:ascii="Times New Roman" w:hAnsi="Times New Roman" w:eastAsia="宋体" w:cs="宋体"/>
                <w:color w:val="auto"/>
                <w:sz w:val="21"/>
                <w:szCs w:val="21"/>
                <w:highlight w:val="none"/>
                <w:lang w:val="en-US" w:eastAsia="zh-CN"/>
              </w:rPr>
              <w:t>＜2</w:t>
            </w:r>
          </w:p>
        </w:tc>
        <w:tc>
          <w:tcPr>
            <w:tcW w:w="2718" w:type="dxa"/>
            <w:vAlign w:val="center"/>
          </w:tcPr>
          <w:p w14:paraId="48997A26">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3</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I</w:t>
            </w:r>
            <w:r>
              <w:rPr>
                <w:rFonts w:hint="eastAsia" w:ascii="Times New Roman" w:hAnsi="Times New Roman" w:eastAsia="宋体" w:cs="宋体"/>
                <w:color w:val="auto"/>
                <w:sz w:val="21"/>
                <w:szCs w:val="21"/>
                <w:highlight w:val="none"/>
                <w:lang w:val="en-US" w:eastAsia="zh-CN"/>
              </w:rPr>
              <w:t>＜10</w:t>
            </w:r>
          </w:p>
        </w:tc>
      </w:tr>
      <w:tr w14:paraId="2FD27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57" w:type="dxa"/>
            <w:vAlign w:val="center"/>
          </w:tcPr>
          <w:p w14:paraId="5652BDB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w:t>
            </w:r>
          </w:p>
        </w:tc>
        <w:tc>
          <w:tcPr>
            <w:tcW w:w="2718" w:type="dxa"/>
            <w:vAlign w:val="center"/>
          </w:tcPr>
          <w:p w14:paraId="1D9F65A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iCs/>
                <w:sz w:val="21"/>
                <w:szCs w:val="21"/>
                <w:highlight w:val="none"/>
                <w:lang w:val="en-US" w:eastAsia="zh-CN"/>
              </w:rPr>
              <w:t>v</w:t>
            </w:r>
            <w:r>
              <w:rPr>
                <w:rFonts w:hint="eastAsia" w:ascii="Times New Roman" w:hAnsi="Times New Roman" w:eastAsia="宋体" w:cs="宋体"/>
                <w:color w:val="auto"/>
                <w:sz w:val="21"/>
                <w:szCs w:val="21"/>
                <w:highlight w:val="none"/>
                <w:lang w:val="en-US" w:eastAsia="zh-CN"/>
              </w:rPr>
              <w:t>≥2</w:t>
            </w:r>
          </w:p>
        </w:tc>
        <w:tc>
          <w:tcPr>
            <w:tcW w:w="2718" w:type="dxa"/>
            <w:vAlign w:val="center"/>
          </w:tcPr>
          <w:p w14:paraId="18FE76C2">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iCs/>
                <w:sz w:val="21"/>
                <w:szCs w:val="21"/>
                <w:highlight w:val="none"/>
                <w:lang w:val="en-US" w:eastAsia="zh-CN"/>
              </w:rPr>
              <w:t>I</w:t>
            </w:r>
            <w:r>
              <w:rPr>
                <w:rFonts w:hint="eastAsia" w:ascii="Times New Roman" w:hAnsi="Times New Roman" w:eastAsia="宋体" w:cs="宋体"/>
                <w:color w:val="auto"/>
                <w:sz w:val="21"/>
                <w:szCs w:val="21"/>
                <w:highlight w:val="none"/>
                <w:lang w:val="en-US" w:eastAsia="zh-CN"/>
              </w:rPr>
              <w:t>≥10</w:t>
            </w:r>
          </w:p>
        </w:tc>
      </w:tr>
    </w:tbl>
    <w:p w14:paraId="4FA436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注：1 数学模型法采用“水流速度”计算水流速度技术状况值，此处水流速度是指最大的涝水行进速度；历史灾情法采用“坡度”计算水流速度技术状况值；</w:t>
      </w:r>
    </w:p>
    <w:p w14:paraId="0CF1C1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auto"/>
          <w:sz w:val="21"/>
          <w:szCs w:val="21"/>
          <w:highlight w:val="none"/>
          <w:lang w:val="en-US" w:eastAsia="zh-CN"/>
        </w:rPr>
        <w:t>2 当积水深度小于3cm时，水流速度技术状况值取0。</w:t>
      </w:r>
    </w:p>
    <w:p w14:paraId="0BF13258">
      <w:pPr>
        <w:pStyle w:val="4"/>
        <w:spacing w:beforeLines="0" w:after="156" w:afterLines="50"/>
        <w:jc w:val="center"/>
        <w:rPr>
          <w:rFonts w:hint="default" w:ascii="Times New Roman" w:hAnsi="Times New Roman" w:eastAsia="宋体" w:cs="宋体"/>
          <w:color w:val="000000" w:themeColor="text1"/>
          <w:sz w:val="28"/>
          <w:szCs w:val="28"/>
          <w:lang w:val="en-US" w:eastAsia="zh-CN"/>
          <w14:textFill>
            <w14:solidFill>
              <w14:schemeClr w14:val="tx1"/>
            </w14:solidFill>
          </w14:textFill>
        </w:rPr>
      </w:pPr>
      <w:bookmarkStart w:id="85" w:name="_Toc18865"/>
      <w:bookmarkStart w:id="86" w:name="_Toc9340"/>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4 风险等级评定</w:t>
      </w:r>
      <w:bookmarkEnd w:id="85"/>
      <w:bookmarkEnd w:id="86"/>
    </w:p>
    <w:p w14:paraId="2E8CDA88">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.1</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内涝风险值应按式4.4.1计算。</w:t>
      </w:r>
    </w:p>
    <w:p w14:paraId="091DD0C3">
      <w:pPr>
        <w:spacing w:line="360" w:lineRule="auto"/>
        <w:jc w:val="right"/>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m:oMath>
        <m:r>
          <m:rPr>
            <m:sty m:val="p"/>
          </m:rPr>
          <w:rPr>
            <w:rFonts w:hint="default" w:ascii="Cambria Math" w:hAnsi="Cambria Math" w:eastAsia="宋体" w:cs="宋体"/>
            <w:color w:val="000000" w:themeColor="text1"/>
            <w:kern w:val="2"/>
            <w:sz w:val="24"/>
            <w:szCs w:val="24"/>
            <w:highlight w:val="none"/>
            <w:lang w:val="en-US" w:eastAsia="zh-CN" w:bidi="ar-SA"/>
            <w14:textFill>
              <w14:solidFill>
                <w14:schemeClr w14:val="tx1"/>
              </w14:solidFill>
            </w14:textFill>
          </w:rPr>
          <m:t>WRS=C</m:t>
        </m:r>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r>
          <m:rPr>
            <m:sty m:val="p"/>
          </m:rPr>
          <w:rPr>
            <w:rFonts w:hint="default" w:ascii="Cambria Math" w:hAnsi="Cambria Math" w:eastAsia="宋体" w:cs="宋体"/>
            <w:color w:val="000000" w:themeColor="text1"/>
            <w:kern w:val="2"/>
            <w:sz w:val="24"/>
            <w:szCs w:val="24"/>
            <w:highlight w:val="none"/>
            <w:lang w:val="en-US" w:eastAsia="zh-CN" w:bidi="ar-SA"/>
            <w14:textFill>
              <w14:solidFill>
                <w14:schemeClr w14:val="tx1"/>
              </w14:solidFill>
            </w14:textFill>
          </w:rPr>
          <m:t>100</m:t>
        </m:r>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d>
          <m:dP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dPr>
          <m:e>
            <m:f>
              <m:fP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fPr>
              <m:num>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H</m:t>
                </m: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num>
              <m:den>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4</m:t>
                </m:r>
                <m:ctrlPr>
                  <w:rPr>
                    <w:rFonts w:hint="default" w:ascii="Cambria Math" w:hAnsi="Cambria Math" w:cs="宋体"/>
                    <w:b w:val="0"/>
                    <w:color w:val="000000" w:themeColor="text1"/>
                    <w:kern w:val="2"/>
                    <w:sz w:val="24"/>
                    <w:szCs w:val="24"/>
                    <w:highlight w:val="none"/>
                    <w:lang w:val="en-US" w:eastAsia="zh-CN" w:bidi="ar-SA"/>
                    <w14:textFill>
                      <w14:solidFill>
                        <w14:schemeClr w14:val="tx1"/>
                      </w14:solidFill>
                    </w14:textFill>
                  </w:rPr>
                </m:ctrlPr>
              </m:den>
            </m:f>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sSub>
              <m:sSubP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SubPr>
              <m:e>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w</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e>
              <m:sub>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H</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ub>
            </m:sSub>
            <m:r>
              <m:rPr>
                <m:sty m:val="p"/>
              </m:rPr>
              <w:rPr>
                <w:rFonts w:hint="eastAsia" w:ascii="Cambria Math" w:hAnsi="Cambria Math" w:cs="宋体"/>
                <w:color w:val="000000" w:themeColor="text1"/>
                <w:kern w:val="2"/>
                <w:sz w:val="24"/>
                <w:szCs w:val="24"/>
                <w:highlight w:val="none"/>
                <w:lang w:val="en-US" w:eastAsia="zh-CN" w:bidi="ar-SA"/>
                <w14:textFill>
                  <w14:solidFill>
                    <w14:schemeClr w14:val="tx1"/>
                  </w14:solidFill>
                </w14:textFill>
              </w:rPr>
              <m:t>+</m:t>
            </m:r>
            <m:f>
              <m:fP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fPr>
              <m:num>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T</m:t>
                </m: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num>
              <m:den>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3</m:t>
                </m:r>
                <m:ctrlPr>
                  <w:rPr>
                    <w:rFonts w:hint="default" w:ascii="Cambria Math" w:hAnsi="Cambria Math" w:cs="宋体"/>
                    <w:b w:val="0"/>
                    <w:color w:val="000000" w:themeColor="text1"/>
                    <w:kern w:val="2"/>
                    <w:sz w:val="24"/>
                    <w:szCs w:val="24"/>
                    <w:highlight w:val="none"/>
                    <w:lang w:val="en-US" w:eastAsia="zh-CN" w:bidi="ar-SA"/>
                    <w14:textFill>
                      <w14:solidFill>
                        <w14:schemeClr w14:val="tx1"/>
                      </w14:solidFill>
                    </w14:textFill>
                  </w:rPr>
                </m:ctrlPr>
              </m:den>
            </m:f>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sSub>
              <m:sSubP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SubPr>
              <m:e>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w</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e>
              <m:sub>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T</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ub>
            </m:sSub>
            <m:r>
              <m:rPr>
                <m:sty m:val="p"/>
              </m:rPr>
              <w:rPr>
                <w:rFonts w:hint="eastAsia" w:ascii="Cambria Math" w:hAnsi="Cambria Math" w:cs="宋体"/>
                <w:color w:val="000000" w:themeColor="text1"/>
                <w:kern w:val="2"/>
                <w:sz w:val="24"/>
                <w:szCs w:val="24"/>
                <w:highlight w:val="none"/>
                <w:lang w:val="en-US" w:eastAsia="zh-CN" w:bidi="ar-SA"/>
                <w14:textFill>
                  <w14:solidFill>
                    <w14:schemeClr w14:val="tx1"/>
                  </w14:solidFill>
                </w14:textFill>
              </w:rPr>
              <m:t>+</m:t>
            </m:r>
            <m:f>
              <m:fP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fPr>
              <m:num>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F</m:t>
                </m: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num>
              <m:den>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4</m:t>
                </m:r>
                <m:ctrlPr>
                  <w:rPr>
                    <w:rFonts w:hint="default" w:ascii="Cambria Math" w:hAnsi="Cambria Math" w:cs="宋体"/>
                    <w:b w:val="0"/>
                    <w:color w:val="000000" w:themeColor="text1"/>
                    <w:kern w:val="2"/>
                    <w:sz w:val="24"/>
                    <w:szCs w:val="24"/>
                    <w:highlight w:val="none"/>
                    <w:lang w:val="en-US" w:eastAsia="zh-CN" w:bidi="ar-SA"/>
                    <w14:textFill>
                      <w14:solidFill>
                        <w14:schemeClr w14:val="tx1"/>
                      </w14:solidFill>
                    </w14:textFill>
                  </w:rPr>
                </m:ctrlPr>
              </m:den>
            </m:f>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sSub>
              <m:sSubP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SubPr>
              <m:e>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w</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e>
              <m:sub>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F</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ub>
            </m:sSub>
            <m:r>
              <m:rPr>
                <m:sty m:val="p"/>
              </m:rPr>
              <w:rPr>
                <w:rFonts w:hint="eastAsia" w:ascii="Cambria Math" w:hAnsi="Cambria Math" w:cs="宋体"/>
                <w:color w:val="000000" w:themeColor="text1"/>
                <w:kern w:val="2"/>
                <w:sz w:val="24"/>
                <w:szCs w:val="24"/>
                <w:highlight w:val="none"/>
                <w:lang w:val="en-US" w:eastAsia="zh-CN" w:bidi="ar-SA"/>
                <w14:textFill>
                  <w14:solidFill>
                    <w14:schemeClr w14:val="tx1"/>
                  </w14:solidFill>
                </w14:textFill>
              </w:rPr>
              <m:t>+</m:t>
            </m:r>
            <m:f>
              <m:fP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fPr>
              <m:num>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V</m:t>
                </m: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num>
              <m:den>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3</m:t>
                </m:r>
                <m:ctrlPr>
                  <w:rPr>
                    <w:rFonts w:hint="default" w:ascii="Cambria Math" w:hAnsi="Cambria Math" w:cs="宋体"/>
                    <w:b w:val="0"/>
                    <w:color w:val="000000" w:themeColor="text1"/>
                    <w:kern w:val="2"/>
                    <w:sz w:val="24"/>
                    <w:szCs w:val="24"/>
                    <w:highlight w:val="none"/>
                    <w:lang w:val="en-US" w:eastAsia="zh-CN" w:bidi="ar-SA"/>
                    <w14:textFill>
                      <w14:solidFill>
                        <w14:schemeClr w14:val="tx1"/>
                      </w14:solidFill>
                    </w14:textFill>
                  </w:rPr>
                </m:ctrlPr>
              </m:den>
            </m:f>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sSub>
              <m:sSubP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SubPr>
              <m:e>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w</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e>
              <m:sub>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V</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ub>
            </m:sSub>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e>
        </m:d>
      </m:oMath>
      <w:r>
        <w:rPr>
          <w:rFonts w:hint="eastAsia" w:hAnsi="Cambria Math" w:eastAsia="宋体" w:cs="宋体"/>
          <w:b w:val="0"/>
          <w:bCs/>
          <w:i w:val="0"/>
          <w:color w:val="000000" w:themeColor="text1"/>
          <w:kern w:val="2"/>
          <w:sz w:val="24"/>
          <w:szCs w:val="24"/>
          <w:highlight w:val="none"/>
          <w:lang w:val="en-US" w:eastAsia="zh-CN" w:bidi="ar-SA"/>
          <w14:textFill>
            <w14:solidFill>
              <w14:schemeClr w14:val="tx1"/>
            </w14:solidFill>
          </w14:textFill>
        </w:rPr>
        <w:t xml:space="preserve">  </w:t>
      </w:r>
      <w:r>
        <w:rPr>
          <w:rFonts w:hint="default" w:ascii="Times New Roman" w:hAnsi="Times New Roman" w:eastAsia="宋体" w:cs="Times New Roman"/>
          <w:b w:val="0"/>
          <w:bCs/>
          <w:i w:val="0"/>
          <w:color w:val="000000" w:themeColor="text1"/>
          <w:kern w:val="2"/>
          <w:sz w:val="24"/>
          <w:szCs w:val="24"/>
          <w:highlight w:val="none"/>
          <w:lang w:val="en-US" w:eastAsia="zh-CN" w:bidi="ar-SA"/>
          <w14:textFill>
            <w14:solidFill>
              <w14:schemeClr w14:val="tx1"/>
            </w14:solidFill>
          </w14:textFill>
        </w:rPr>
        <w:t>（4.4.1）</w:t>
      </w:r>
    </w:p>
    <w:p w14:paraId="28ACC352">
      <w:pPr>
        <w:spacing w:line="360" w:lineRule="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式中：</w:t>
      </w:r>
    </w:p>
    <w:p w14:paraId="0F8F2576">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i/>
          <w:iCs/>
          <w:color w:val="000000" w:themeColor="text1"/>
          <w:sz w:val="24"/>
          <w:szCs w:val="24"/>
          <w:highlight w:val="none"/>
          <w:lang w:val="en-US" w:eastAsia="zh-CN"/>
          <w14:textFill>
            <w14:solidFill>
              <w14:schemeClr w14:val="tx1"/>
            </w14:solidFill>
          </w14:textFill>
        </w:rPr>
        <w:t>WRS</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——内涝风险值；</w:t>
      </w:r>
    </w:p>
    <w:p w14:paraId="55AA1672">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val="0"/>
          <w:bCs/>
          <w:i/>
          <w:iCs/>
          <w:color w:val="000000" w:themeColor="text1"/>
          <w:sz w:val="24"/>
          <w:szCs w:val="24"/>
          <w:highlight w:val="none"/>
          <w:lang w:val="en-US" w:eastAsia="zh-CN"/>
          <w14:textFill>
            <w14:solidFill>
              <w14:schemeClr w14:val="tx1"/>
            </w14:solidFill>
          </w14:textFill>
        </w:rPr>
        <w:t>H， T， F， V</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宋体"/>
          <w:color w:val="auto"/>
          <w:sz w:val="24"/>
          <w:szCs w:val="24"/>
          <w:lang w:val="en-US" w:eastAsia="zh-CN"/>
        </w:rPr>
        <w:t>积水深度、积水时间、积水范围、水流速度的技术状况值；</w:t>
      </w:r>
    </w:p>
    <w:p w14:paraId="5DE9F660">
      <w:pPr>
        <w:spacing w:line="360" w:lineRule="auto"/>
        <w:ind w:firstLine="480" w:firstLineChars="200"/>
        <w:rPr>
          <w:rFonts w:hint="eastAsia" w:ascii="Times New Roman" w:hAnsi="Times New Roman" w:eastAsia="宋体" w:cs="宋体"/>
          <w:color w:val="auto"/>
          <w:sz w:val="24"/>
          <w:szCs w:val="24"/>
          <w:lang w:val="en-US" w:eastAsia="zh-CN"/>
        </w:rPr>
      </w:pPr>
      <m:oMath>
        <m:sSub>
          <m:sSubPr>
            <m:ctrlPr>
              <w:rPr>
                <w:rFonts w:ascii="Cambria Math" w:hAnsi="Cambria Math" w:cs="宋体"/>
                <w:i/>
                <w:iCs/>
                <w:color w:val="auto"/>
                <w:sz w:val="24"/>
                <w:szCs w:val="24"/>
                <w:lang w:val="en-US"/>
              </w:rPr>
            </m:ctrlPr>
          </m:sSubPr>
          <m:e>
            <m:r>
              <m:rPr/>
              <w:rPr>
                <w:rFonts w:hint="default" w:ascii="Cambria Math" w:hAnsi="Cambria Math" w:cs="宋体"/>
                <w:color w:val="auto"/>
                <w:sz w:val="24"/>
                <w:szCs w:val="24"/>
                <w:lang w:val="en-US" w:eastAsia="zh-CN"/>
              </w:rPr>
              <m:t>w</m:t>
            </m:r>
            <m:ctrlPr>
              <w:rPr>
                <w:rFonts w:ascii="Cambria Math" w:hAnsi="Cambria Math" w:cs="宋体"/>
                <w:i/>
                <w:iCs/>
                <w:color w:val="auto"/>
                <w:sz w:val="24"/>
                <w:szCs w:val="24"/>
                <w:lang w:val="en-US"/>
              </w:rPr>
            </m:ctrlPr>
          </m:e>
          <m:sub>
            <m:r>
              <m:rPr/>
              <w:rPr>
                <w:rFonts w:hint="default" w:ascii="Cambria Math" w:hAnsi="Cambria Math" w:cs="宋体"/>
                <w:color w:val="auto"/>
                <w:sz w:val="24"/>
                <w:szCs w:val="24"/>
                <w:lang w:val="en-US" w:eastAsia="zh-CN"/>
              </w:rPr>
              <m:t>H</m:t>
            </m:r>
            <m:ctrlPr>
              <w:rPr>
                <w:rFonts w:ascii="Cambria Math" w:hAnsi="Cambria Math" w:cs="宋体"/>
                <w:i/>
                <w:iCs/>
                <w:color w:val="auto"/>
                <w:sz w:val="24"/>
                <w:szCs w:val="24"/>
                <w:lang w:val="en-US"/>
              </w:rPr>
            </m:ctrlPr>
          </m:sub>
        </m:sSub>
      </m:oMath>
      <w:r>
        <w:rPr>
          <w:rFonts w:hint="eastAsia" w:hAnsi="Cambria Math" w:cs="宋体"/>
          <w:i/>
          <w:iCs/>
          <w:color w:val="auto"/>
          <w:sz w:val="24"/>
          <w:szCs w:val="24"/>
          <w:lang w:val="en-US" w:eastAsia="zh-CN"/>
        </w:rPr>
        <w:t>，</w:t>
      </w:r>
      <m:oMath>
        <m:sSub>
          <m:sSubPr>
            <m:ctrlPr>
              <w:rPr>
                <w:rFonts w:ascii="Cambria Math" w:hAnsi="Cambria Math" w:cs="宋体"/>
                <w:i/>
                <w:iCs/>
                <w:color w:val="auto"/>
                <w:sz w:val="24"/>
                <w:szCs w:val="24"/>
                <w:lang w:val="en-US"/>
              </w:rPr>
            </m:ctrlPr>
          </m:sSubPr>
          <m:e>
            <m:r>
              <m:rPr/>
              <w:rPr>
                <w:rFonts w:hint="default" w:ascii="Cambria Math" w:hAnsi="Cambria Math" w:cs="宋体"/>
                <w:color w:val="auto"/>
                <w:sz w:val="24"/>
                <w:szCs w:val="24"/>
                <w:lang w:val="en-US" w:eastAsia="zh-CN"/>
              </w:rPr>
              <m:t>w</m:t>
            </m:r>
            <m:ctrlPr>
              <w:rPr>
                <w:rFonts w:ascii="Cambria Math" w:hAnsi="Cambria Math" w:cs="宋体"/>
                <w:i/>
                <w:iCs/>
                <w:color w:val="auto"/>
                <w:sz w:val="24"/>
                <w:szCs w:val="24"/>
                <w:lang w:val="en-US"/>
              </w:rPr>
            </m:ctrlPr>
          </m:e>
          <m:sub>
            <m:r>
              <m:rPr/>
              <w:rPr>
                <w:rFonts w:hint="default" w:ascii="Cambria Math" w:hAnsi="Cambria Math" w:cs="宋体"/>
                <w:color w:val="auto"/>
                <w:sz w:val="24"/>
                <w:szCs w:val="24"/>
                <w:lang w:val="en-US" w:eastAsia="zh-CN"/>
              </w:rPr>
              <m:t>T</m:t>
            </m:r>
            <m:ctrlPr>
              <w:rPr>
                <w:rFonts w:ascii="Cambria Math" w:hAnsi="Cambria Math" w:cs="宋体"/>
                <w:i/>
                <w:iCs/>
                <w:color w:val="auto"/>
                <w:sz w:val="24"/>
                <w:szCs w:val="24"/>
                <w:lang w:val="en-US"/>
              </w:rPr>
            </m:ctrlPr>
          </m:sub>
        </m:sSub>
      </m:oMath>
      <w:r>
        <w:rPr>
          <w:rFonts w:hint="eastAsia" w:hAnsi="Cambria Math" w:cs="宋体"/>
          <w:i/>
          <w:iCs/>
          <w:color w:val="auto"/>
          <w:sz w:val="24"/>
          <w:szCs w:val="24"/>
          <w:lang w:val="en-US" w:eastAsia="zh-CN"/>
        </w:rPr>
        <w:t>，</w:t>
      </w:r>
      <m:oMath>
        <m:sSub>
          <m:sSubPr>
            <m:ctrlPr>
              <w:rPr>
                <w:rFonts w:ascii="Cambria Math" w:hAnsi="Cambria Math" w:cs="宋体"/>
                <w:i/>
                <w:iCs/>
                <w:color w:val="auto"/>
                <w:sz w:val="24"/>
                <w:szCs w:val="24"/>
                <w:lang w:val="en-US"/>
              </w:rPr>
            </m:ctrlPr>
          </m:sSubPr>
          <m:e>
            <m:r>
              <m:rPr/>
              <w:rPr>
                <w:rFonts w:hint="default" w:ascii="Cambria Math" w:hAnsi="Cambria Math" w:cs="宋体"/>
                <w:color w:val="auto"/>
                <w:sz w:val="24"/>
                <w:szCs w:val="24"/>
                <w:lang w:val="en-US" w:eastAsia="zh-CN"/>
              </w:rPr>
              <m:t>w</m:t>
            </m:r>
            <m:ctrlPr>
              <w:rPr>
                <w:rFonts w:ascii="Cambria Math" w:hAnsi="Cambria Math" w:cs="宋体"/>
                <w:i/>
                <w:iCs/>
                <w:color w:val="auto"/>
                <w:sz w:val="24"/>
                <w:szCs w:val="24"/>
                <w:lang w:val="en-US"/>
              </w:rPr>
            </m:ctrlPr>
          </m:e>
          <m:sub>
            <m:r>
              <m:rPr/>
              <w:rPr>
                <w:rFonts w:hint="default" w:ascii="Cambria Math" w:hAnsi="Cambria Math" w:cs="宋体"/>
                <w:color w:val="auto"/>
                <w:sz w:val="24"/>
                <w:szCs w:val="24"/>
                <w:lang w:val="en-US" w:eastAsia="zh-CN"/>
              </w:rPr>
              <m:t>F</m:t>
            </m:r>
            <m:ctrlPr>
              <w:rPr>
                <w:rFonts w:ascii="Cambria Math" w:hAnsi="Cambria Math" w:cs="宋体"/>
                <w:i/>
                <w:iCs/>
                <w:color w:val="auto"/>
                <w:sz w:val="24"/>
                <w:szCs w:val="24"/>
                <w:lang w:val="en-US"/>
              </w:rPr>
            </m:ctrlPr>
          </m:sub>
        </m:sSub>
      </m:oMath>
      <w:r>
        <w:rPr>
          <w:rFonts w:hint="eastAsia" w:hAnsi="Cambria Math" w:cs="宋体"/>
          <w:i/>
          <w:iCs/>
          <w:color w:val="auto"/>
          <w:sz w:val="24"/>
          <w:szCs w:val="24"/>
          <w:lang w:val="en-US" w:eastAsia="zh-CN"/>
        </w:rPr>
        <w:t>，</w:t>
      </w:r>
      <m:oMath>
        <m:sSub>
          <m:sSubPr>
            <m:ctrlPr>
              <w:rPr>
                <w:rFonts w:ascii="Cambria Math" w:hAnsi="Cambria Math" w:cs="宋体"/>
                <w:i/>
                <w:iCs/>
                <w:color w:val="auto"/>
                <w:sz w:val="24"/>
                <w:szCs w:val="24"/>
                <w:lang w:val="en-US"/>
              </w:rPr>
            </m:ctrlPr>
          </m:sSubPr>
          <m:e>
            <m:r>
              <m:rPr/>
              <w:rPr>
                <w:rFonts w:hint="default" w:ascii="Cambria Math" w:hAnsi="Cambria Math" w:cs="宋体"/>
                <w:color w:val="auto"/>
                <w:sz w:val="24"/>
                <w:szCs w:val="24"/>
                <w:lang w:val="en-US" w:eastAsia="zh-CN"/>
              </w:rPr>
              <m:t>w</m:t>
            </m:r>
            <m:ctrlPr>
              <w:rPr>
                <w:rFonts w:ascii="Cambria Math" w:hAnsi="Cambria Math" w:cs="宋体"/>
                <w:i/>
                <w:iCs/>
                <w:color w:val="auto"/>
                <w:sz w:val="24"/>
                <w:szCs w:val="24"/>
                <w:lang w:val="en-US"/>
              </w:rPr>
            </m:ctrlPr>
          </m:e>
          <m:sub>
            <m:r>
              <m:rPr/>
              <w:rPr>
                <w:rFonts w:hint="default" w:ascii="Cambria Math" w:hAnsi="Cambria Math" w:cs="宋体"/>
                <w:color w:val="auto"/>
                <w:sz w:val="24"/>
                <w:szCs w:val="24"/>
                <w:lang w:val="en-US" w:eastAsia="zh-CN"/>
              </w:rPr>
              <m:t>V</m:t>
            </m:r>
            <m:ctrlPr>
              <w:rPr>
                <w:rFonts w:ascii="Cambria Math" w:hAnsi="Cambria Math" w:cs="宋体"/>
                <w:i/>
                <w:iCs/>
                <w:color w:val="auto"/>
                <w:sz w:val="24"/>
                <w:szCs w:val="24"/>
                <w:lang w:val="en-US"/>
              </w:rPr>
            </m:ctrlPr>
          </m:sub>
        </m:sSub>
      </m:oMath>
      <w:r>
        <w:rPr>
          <w:rFonts w:hint="eastAsia" w:ascii="Times New Roman" w:hAnsi="Times New Roman" w:eastAsia="宋体" w:cs="宋体"/>
          <w:color w:val="auto"/>
          <w:sz w:val="24"/>
          <w:szCs w:val="24"/>
          <w:lang w:val="en-US" w:eastAsia="zh-CN"/>
        </w:rPr>
        <w:t>——积水深度、积水时间、积水范围、水流速度的权重系数；</w:t>
      </w:r>
    </w:p>
    <w:p w14:paraId="17305EBE">
      <w:pPr>
        <w:spacing w:line="360" w:lineRule="auto"/>
        <w:ind w:firstLine="480" w:firstLineChars="200"/>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m:oMath>
        <m:r>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C</m:t>
        </m:r>
      </m:oMath>
      <w:r>
        <w:rPr>
          <w:rFonts w:hint="eastAsia" w:ascii="宋体" w:hAnsi="宋体" w:eastAsia="宋体" w:cs="宋体"/>
          <w:color w:val="auto"/>
          <w:sz w:val="24"/>
          <w:szCs w:val="24"/>
          <w:lang w:val="en-US" w:eastAsia="zh-CN"/>
        </w:rPr>
        <w:t>——城区类型影响系数。</w:t>
      </w:r>
    </w:p>
    <w:p w14:paraId="0561701E">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2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权重系数应按表4.4.2的规定取值。</w:t>
      </w:r>
    </w:p>
    <w:p w14:paraId="6F62E8C4">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4.4.2 权重系数取值</w:t>
      </w:r>
    </w:p>
    <w:tbl>
      <w:tblPr>
        <w:tblStyle w:val="17"/>
        <w:tblW w:w="85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769"/>
        <w:gridCol w:w="1769"/>
        <w:gridCol w:w="1769"/>
        <w:gridCol w:w="1772"/>
      </w:tblGrid>
      <w:tr w14:paraId="4D207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0" w:type="dxa"/>
            <w:vAlign w:val="center"/>
          </w:tcPr>
          <w:p w14:paraId="035AB2C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因素</w:t>
            </w:r>
          </w:p>
        </w:tc>
        <w:tc>
          <w:tcPr>
            <w:tcW w:w="1769" w:type="dxa"/>
            <w:vAlign w:val="center"/>
          </w:tcPr>
          <w:p w14:paraId="3520742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积水深度</w:t>
            </w:r>
          </w:p>
        </w:tc>
        <w:tc>
          <w:tcPr>
            <w:tcW w:w="1769" w:type="dxa"/>
            <w:vAlign w:val="center"/>
          </w:tcPr>
          <w:p w14:paraId="2C18026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积水时间</w:t>
            </w:r>
          </w:p>
        </w:tc>
        <w:tc>
          <w:tcPr>
            <w:tcW w:w="1769" w:type="dxa"/>
            <w:vAlign w:val="center"/>
          </w:tcPr>
          <w:p w14:paraId="6F00FF7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积水范围</w:t>
            </w:r>
          </w:p>
        </w:tc>
        <w:tc>
          <w:tcPr>
            <w:tcW w:w="1772" w:type="dxa"/>
            <w:vAlign w:val="center"/>
          </w:tcPr>
          <w:p w14:paraId="21525B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水流速度</w:t>
            </w:r>
          </w:p>
        </w:tc>
      </w:tr>
      <w:tr w14:paraId="0DD97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0" w:type="dxa"/>
            <w:vAlign w:val="center"/>
          </w:tcPr>
          <w:p w14:paraId="5C2D45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权重系数</w:t>
            </w:r>
          </w:p>
        </w:tc>
        <w:tc>
          <w:tcPr>
            <w:tcW w:w="1769" w:type="dxa"/>
            <w:vAlign w:val="center"/>
          </w:tcPr>
          <w:p w14:paraId="110106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0.35</w:t>
            </w:r>
          </w:p>
        </w:tc>
        <w:tc>
          <w:tcPr>
            <w:tcW w:w="1769" w:type="dxa"/>
            <w:vAlign w:val="center"/>
          </w:tcPr>
          <w:p w14:paraId="33D6D27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sz w:val="21"/>
                <w:szCs w:val="21"/>
                <w:highlight w:val="none"/>
                <w:lang w:val="en-US" w:eastAsia="zh-CN"/>
              </w:rPr>
            </w:pPr>
            <w:r>
              <w:rPr>
                <w:rFonts w:hint="eastAsia" w:ascii="Times New Roman" w:hAnsi="Times New Roman" w:eastAsia="宋体" w:cs="宋体"/>
                <w:i w:val="0"/>
                <w:iCs w:val="0"/>
                <w:sz w:val="21"/>
                <w:szCs w:val="21"/>
                <w:highlight w:val="none"/>
                <w:lang w:val="en-US" w:eastAsia="zh-CN"/>
              </w:rPr>
              <w:t>0.35</w:t>
            </w:r>
          </w:p>
        </w:tc>
        <w:tc>
          <w:tcPr>
            <w:tcW w:w="1769" w:type="dxa"/>
            <w:vAlign w:val="center"/>
          </w:tcPr>
          <w:p w14:paraId="3018C9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sz w:val="21"/>
                <w:szCs w:val="21"/>
                <w:highlight w:val="none"/>
                <w:lang w:val="en-US" w:eastAsia="zh-CN"/>
              </w:rPr>
            </w:pPr>
            <w:r>
              <w:rPr>
                <w:rFonts w:hint="eastAsia" w:ascii="Times New Roman" w:hAnsi="Times New Roman" w:eastAsia="宋体" w:cs="宋体"/>
                <w:i w:val="0"/>
                <w:iCs w:val="0"/>
                <w:sz w:val="21"/>
                <w:szCs w:val="21"/>
                <w:highlight w:val="none"/>
                <w:lang w:val="en-US" w:eastAsia="zh-CN"/>
              </w:rPr>
              <w:t>0.2</w:t>
            </w:r>
          </w:p>
        </w:tc>
        <w:tc>
          <w:tcPr>
            <w:tcW w:w="1772" w:type="dxa"/>
            <w:vAlign w:val="center"/>
          </w:tcPr>
          <w:p w14:paraId="6F97E8C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0.1</w:t>
            </w:r>
          </w:p>
        </w:tc>
      </w:tr>
    </w:tbl>
    <w:p w14:paraId="522CABBE">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城区类型影响系数应按表4.4.3的规定取值。</w:t>
      </w:r>
    </w:p>
    <w:p w14:paraId="4672883E">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4.4.3 城区类型影响系数取值</w:t>
      </w:r>
    </w:p>
    <w:tbl>
      <w:tblPr>
        <w:tblStyle w:val="17"/>
        <w:tblW w:w="83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030"/>
        <w:gridCol w:w="1875"/>
        <w:gridCol w:w="2137"/>
      </w:tblGrid>
      <w:tr w14:paraId="100A4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1" w:type="dxa"/>
            <w:vAlign w:val="center"/>
          </w:tcPr>
          <w:p w14:paraId="7581F6B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城区类型</w:t>
            </w:r>
          </w:p>
        </w:tc>
        <w:tc>
          <w:tcPr>
            <w:tcW w:w="2030" w:type="dxa"/>
            <w:vAlign w:val="center"/>
          </w:tcPr>
          <w:p w14:paraId="2FEBAF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中心城区重要地区</w:t>
            </w:r>
          </w:p>
        </w:tc>
        <w:tc>
          <w:tcPr>
            <w:tcW w:w="1875" w:type="dxa"/>
            <w:vAlign w:val="center"/>
          </w:tcPr>
          <w:p w14:paraId="1EB680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中心城区</w:t>
            </w:r>
          </w:p>
        </w:tc>
        <w:tc>
          <w:tcPr>
            <w:tcW w:w="2137" w:type="dxa"/>
            <w:vAlign w:val="center"/>
          </w:tcPr>
          <w:p w14:paraId="44AC1B3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非中心城区</w:t>
            </w:r>
          </w:p>
        </w:tc>
      </w:tr>
      <w:tr w14:paraId="604A7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1" w:type="dxa"/>
            <w:vAlign w:val="center"/>
          </w:tcPr>
          <w:p w14:paraId="5BE27E8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城区类型影响系数</w:t>
            </w:r>
            <w:r>
              <w:rPr>
                <w:rFonts w:hint="eastAsia" w:ascii="Times New Roman" w:hAnsi="Times New Roman" w:eastAsia="宋体" w:cs="宋体"/>
                <w:i/>
                <w:iCs/>
                <w:sz w:val="21"/>
                <w:szCs w:val="21"/>
                <w:highlight w:val="none"/>
                <w:lang w:val="en-US" w:eastAsia="zh-CN"/>
              </w:rPr>
              <w:t>C</w:t>
            </w:r>
          </w:p>
        </w:tc>
        <w:tc>
          <w:tcPr>
            <w:tcW w:w="2030" w:type="dxa"/>
            <w:vAlign w:val="center"/>
          </w:tcPr>
          <w:p w14:paraId="36C1A8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1.0</w:t>
            </w:r>
          </w:p>
        </w:tc>
        <w:tc>
          <w:tcPr>
            <w:tcW w:w="1875" w:type="dxa"/>
            <w:vAlign w:val="center"/>
          </w:tcPr>
          <w:p w14:paraId="48DDE47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sz w:val="21"/>
                <w:szCs w:val="21"/>
                <w:highlight w:val="none"/>
                <w:lang w:val="en-US" w:eastAsia="zh-CN"/>
              </w:rPr>
            </w:pPr>
            <w:r>
              <w:rPr>
                <w:rFonts w:hint="eastAsia" w:ascii="Times New Roman" w:hAnsi="Times New Roman" w:eastAsia="宋体" w:cs="宋体"/>
                <w:i w:val="0"/>
                <w:iCs w:val="0"/>
                <w:sz w:val="21"/>
                <w:szCs w:val="21"/>
                <w:highlight w:val="none"/>
                <w:lang w:val="en-US" w:eastAsia="zh-CN"/>
              </w:rPr>
              <w:t>0.9</w:t>
            </w:r>
          </w:p>
        </w:tc>
        <w:tc>
          <w:tcPr>
            <w:tcW w:w="2137" w:type="dxa"/>
            <w:vAlign w:val="center"/>
          </w:tcPr>
          <w:p w14:paraId="3DF07C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0.8</w:t>
            </w:r>
          </w:p>
        </w:tc>
      </w:tr>
    </w:tbl>
    <w:p w14:paraId="01E4625C">
      <w:pPr>
        <w:spacing w:line="360" w:lineRule="auto"/>
        <w:rPr>
          <w:rFonts w:hint="eastAsia"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注：中心城区重要地区主要指行政中心、交通枢纽、学校、医院、商业聚集区及重要市政基础设施。</w:t>
      </w:r>
    </w:p>
    <w:p w14:paraId="4E41A510">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内涝风险等级应根据内涝风险值评定，其分级界限应按表4.4.4的规定执行。</w:t>
      </w:r>
    </w:p>
    <w:p w14:paraId="49FDB950">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4.4.4 内涝风险等级评定</w:t>
      </w:r>
    </w:p>
    <w:tbl>
      <w:tblPr>
        <w:tblStyle w:val="17"/>
        <w:tblW w:w="83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1892"/>
        <w:gridCol w:w="1892"/>
        <w:gridCol w:w="2258"/>
      </w:tblGrid>
      <w:tr w14:paraId="73C5D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1" w:type="dxa"/>
            <w:vAlign w:val="center"/>
          </w:tcPr>
          <w:p w14:paraId="7C487B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内涝风险等级</w:t>
            </w:r>
          </w:p>
        </w:tc>
        <w:tc>
          <w:tcPr>
            <w:tcW w:w="1892" w:type="dxa"/>
            <w:vAlign w:val="center"/>
          </w:tcPr>
          <w:p w14:paraId="048BAA5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高风险</w:t>
            </w:r>
          </w:p>
        </w:tc>
        <w:tc>
          <w:tcPr>
            <w:tcW w:w="1892" w:type="dxa"/>
            <w:vAlign w:val="center"/>
          </w:tcPr>
          <w:p w14:paraId="7AA6D29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中风险</w:t>
            </w:r>
          </w:p>
        </w:tc>
        <w:tc>
          <w:tcPr>
            <w:tcW w:w="2258" w:type="dxa"/>
            <w:vAlign w:val="center"/>
          </w:tcPr>
          <w:p w14:paraId="1E08138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低风险</w:t>
            </w:r>
          </w:p>
        </w:tc>
      </w:tr>
      <w:tr w14:paraId="185C1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1" w:type="dxa"/>
            <w:vAlign w:val="center"/>
          </w:tcPr>
          <w:p w14:paraId="011FB25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内涝风险值</w:t>
            </w:r>
            <w:r>
              <w:rPr>
                <w:rFonts w:hint="eastAsia" w:ascii="Times New Roman" w:hAnsi="Times New Roman" w:eastAsia="宋体" w:cs="宋体"/>
                <w:b w:val="0"/>
                <w:bCs/>
                <w:i/>
                <w:iCs/>
                <w:color w:val="000000" w:themeColor="text1"/>
                <w:sz w:val="21"/>
                <w:szCs w:val="21"/>
                <w:highlight w:val="none"/>
                <w:lang w:val="en-US" w:eastAsia="zh-CN"/>
                <w14:textFill>
                  <w14:solidFill>
                    <w14:schemeClr w14:val="tx1"/>
                  </w14:solidFill>
                </w14:textFill>
              </w:rPr>
              <w:t>WRS</w:t>
            </w:r>
          </w:p>
        </w:tc>
        <w:tc>
          <w:tcPr>
            <w:tcW w:w="1892" w:type="dxa"/>
            <w:vAlign w:val="center"/>
          </w:tcPr>
          <w:p w14:paraId="2B208B9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[70，100]</w:t>
            </w:r>
          </w:p>
        </w:tc>
        <w:tc>
          <w:tcPr>
            <w:tcW w:w="1892" w:type="dxa"/>
            <w:vAlign w:val="center"/>
          </w:tcPr>
          <w:p w14:paraId="704C289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[40，70)</w:t>
            </w:r>
          </w:p>
        </w:tc>
        <w:tc>
          <w:tcPr>
            <w:tcW w:w="2258" w:type="dxa"/>
            <w:vAlign w:val="center"/>
          </w:tcPr>
          <w:p w14:paraId="095D1A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[0，40)</w:t>
            </w:r>
          </w:p>
        </w:tc>
      </w:tr>
    </w:tbl>
    <w:p w14:paraId="33C48FF8">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p>
    <w:p w14:paraId="58962EC4">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4.4.5 </w:t>
      </w:r>
      <w:r>
        <w:rPr>
          <w:rFonts w:hint="eastAsia" w:ascii="Times New Roman" w:hAnsi="Times New Roman" w:eastAsia="宋体" w:cs="宋体"/>
          <w:b w:val="0"/>
          <w:bCs/>
          <w:color w:val="auto"/>
          <w:sz w:val="24"/>
          <w:szCs w:val="24"/>
          <w:highlight w:val="none"/>
          <w:lang w:val="en-US" w:eastAsia="zh-CN"/>
        </w:rPr>
        <w:t>当出现下列情形之一时，</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内涝风险等级直接评定为高风险：</w:t>
      </w:r>
    </w:p>
    <w:p w14:paraId="3C8CD0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宋体"/>
          <w:b/>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1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城镇重要市政基础设施被淹或存在内涝风险；</w:t>
      </w:r>
    </w:p>
    <w:p w14:paraId="4524FA15">
      <w:pPr>
        <w:spacing w:line="360" w:lineRule="auto"/>
        <w:ind w:firstLine="482" w:firstLineChars="200"/>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城镇生命线工程被淹或存在内涝风险。</w:t>
      </w:r>
    </w:p>
    <w:p w14:paraId="1F1CCC9B">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2665B96">
      <w:pPr>
        <w:pStyle w:val="2"/>
        <w:keepNext/>
        <w:keepLines/>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宋体"/>
          <w:color w:val="auto"/>
          <w:sz w:val="32"/>
          <w:szCs w:val="32"/>
          <w:highlight w:val="none"/>
          <w:lang w:val="en-US" w:eastAsia="zh-CN"/>
        </w:rPr>
      </w:pPr>
      <w:bookmarkStart w:id="87" w:name="_Toc19696"/>
      <w:bookmarkStart w:id="88" w:name="_Toc19727"/>
      <w:bookmarkStart w:id="89" w:name="_Toc9516"/>
      <w:bookmarkStart w:id="90" w:name="_Toc57819231"/>
      <w:r>
        <w:rPr>
          <w:rFonts w:hint="eastAsia" w:ascii="Times New Roman" w:hAnsi="Times New Roman" w:eastAsia="宋体" w:cs="宋体"/>
          <w:color w:val="auto"/>
          <w:sz w:val="32"/>
          <w:szCs w:val="32"/>
          <w:highlight w:val="none"/>
          <w:lang w:val="en-US" w:eastAsia="zh-CN"/>
        </w:rPr>
        <w:t xml:space="preserve">5 </w:t>
      </w:r>
      <w:r>
        <w:rPr>
          <w:rFonts w:hint="eastAsia" w:ascii="Times New Roman" w:hAnsi="Times New Roman" w:eastAsia="宋体" w:cs="宋体"/>
          <w:color w:val="auto"/>
          <w:sz w:val="32"/>
          <w:szCs w:val="32"/>
          <w:highlight w:val="none"/>
        </w:rPr>
        <w:t>内涝</w:t>
      </w:r>
      <w:r>
        <w:rPr>
          <w:rFonts w:hint="eastAsia" w:ascii="Times New Roman" w:hAnsi="Times New Roman" w:eastAsia="宋体" w:cs="宋体"/>
          <w:color w:val="auto"/>
          <w:sz w:val="32"/>
          <w:szCs w:val="32"/>
          <w:highlight w:val="none"/>
          <w:lang w:val="en-US" w:eastAsia="zh-CN"/>
        </w:rPr>
        <w:t>治理</w:t>
      </w:r>
      <w:bookmarkEnd w:id="87"/>
      <w:bookmarkEnd w:id="88"/>
    </w:p>
    <w:p w14:paraId="20AE53C5">
      <w:pPr>
        <w:pStyle w:val="4"/>
        <w:spacing w:beforeLines="0" w:after="156" w:afterLines="50"/>
        <w:jc w:val="center"/>
        <w:rPr>
          <w:rFonts w:hint="eastAsia" w:ascii="Times New Roman" w:hAnsi="Times New Roman" w:eastAsia="宋体" w:cs="宋体"/>
          <w:color w:val="auto"/>
          <w:sz w:val="28"/>
          <w:szCs w:val="28"/>
          <w:highlight w:val="none"/>
        </w:rPr>
      </w:pPr>
      <w:bookmarkStart w:id="91" w:name="_Toc27710"/>
      <w:bookmarkStart w:id="92" w:name="_Toc18029"/>
      <w:r>
        <w:rPr>
          <w:rFonts w:hint="eastAsia" w:ascii="Times New Roman" w:hAnsi="Times New Roman" w:eastAsia="宋体" w:cs="宋体"/>
          <w:color w:val="auto"/>
          <w:sz w:val="28"/>
          <w:szCs w:val="28"/>
          <w:highlight w:val="none"/>
          <w:lang w:val="en-US" w:eastAsia="zh-CN"/>
        </w:rPr>
        <w:t>5</w:t>
      </w:r>
      <w:r>
        <w:rPr>
          <w:rFonts w:hint="eastAsia" w:ascii="Times New Roman" w:hAnsi="Times New Roman" w:eastAsia="宋体" w:cs="宋体"/>
          <w:color w:val="auto"/>
          <w:sz w:val="28"/>
          <w:szCs w:val="28"/>
          <w:highlight w:val="none"/>
        </w:rPr>
        <w:t>.1</w:t>
      </w:r>
      <w:r>
        <w:rPr>
          <w:rFonts w:hint="eastAsia" w:ascii="Times New Roman" w:hAnsi="Times New Roman" w:eastAsia="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一般规定</w:t>
      </w:r>
      <w:bookmarkEnd w:id="91"/>
      <w:bookmarkEnd w:id="92"/>
    </w:p>
    <w:p w14:paraId="6E9AADCD">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1.1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内涝治理应根据内涝风险评估等级选择适应的治理措施。治理措施包括源头减排、排水管渠改造、排涝除险、地下空间防淹等。</w:t>
      </w:r>
    </w:p>
    <w:p w14:paraId="11C8B66F">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5.1.2</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内涝治理措施所采用的各类设施，应根据该地区的地理位置、水系特征和场地条件等因素确定。同一地区或项目，可采用单一形式或多种形式组合设施，合理确定各项设施设计参数。</w:t>
      </w:r>
    </w:p>
    <w:p w14:paraId="3125A4F0">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5.1.3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城镇内涝治理目标应符合以下规定：</w:t>
      </w:r>
    </w:p>
    <w:p w14:paraId="01A76485">
      <w:pPr>
        <w:spacing w:line="360" w:lineRule="auto"/>
        <w:ind w:firstLine="482" w:firstLineChars="200"/>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发生城镇内涝防治标准以内的降雨时，地面积水深度不超过表3.1.3-1中规定；</w:t>
      </w:r>
    </w:p>
    <w:p w14:paraId="4FA3538D">
      <w:pPr>
        <w:spacing w:line="360" w:lineRule="auto"/>
        <w:ind w:firstLine="482" w:firstLineChars="200"/>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发生超过城镇内涝防治标准的降雨时，城镇运转基本正常，不造成重大财产损失和人员伤亡；城市生命线工程等重要市政基础设施功能不丧失，基本保障城市安全运行；</w:t>
      </w:r>
    </w:p>
    <w:p w14:paraId="411051B2">
      <w:pPr>
        <w:spacing w:line="360" w:lineRule="auto"/>
        <w:ind w:firstLine="482"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通过采取有效的治理措施，内涝风险等级逐步降低直至低风险。</w:t>
      </w:r>
    </w:p>
    <w:p w14:paraId="2500FD14">
      <w:pPr>
        <w:spacing w:line="360" w:lineRule="auto"/>
        <w:ind w:firstLine="0" w:firstLineChars="0"/>
        <w:rPr>
          <w:rFonts w:hint="eastAsia" w:ascii="Times New Roman" w:hAnsi="Times New Roman" w:eastAsia="宋体" w:cs="宋体"/>
          <w:b w:val="0"/>
          <w:bCs/>
          <w:strike w:val="0"/>
          <w:dstrike w:val="0"/>
          <w:color w:val="auto"/>
          <w:sz w:val="24"/>
          <w:szCs w:val="24"/>
          <w:lang w:val="en-US" w:eastAsia="zh-CN"/>
        </w:rPr>
      </w:pPr>
      <w:r>
        <w:rPr>
          <w:rFonts w:hint="eastAsia" w:ascii="Times New Roman" w:hAnsi="Times New Roman" w:eastAsia="宋体" w:cs="宋体"/>
          <w:b/>
          <w:color w:val="auto"/>
          <w:sz w:val="24"/>
          <w:szCs w:val="24"/>
          <w:lang w:val="en-US" w:eastAsia="zh-CN"/>
        </w:rPr>
        <w:t xml:space="preserve">5.1.4 </w:t>
      </w:r>
      <w:r>
        <w:rPr>
          <w:rFonts w:hint="eastAsia" w:ascii="Times New Roman" w:hAnsi="Times New Roman" w:eastAsia="宋体" w:cs="宋体"/>
          <w:b w:val="0"/>
          <w:bCs/>
          <w:color w:val="auto"/>
          <w:sz w:val="24"/>
          <w:szCs w:val="24"/>
          <w:highlight w:val="none"/>
          <w:lang w:val="en-US" w:eastAsia="zh-CN"/>
        </w:rPr>
        <w:t>城镇</w:t>
      </w:r>
      <w:r>
        <w:rPr>
          <w:rFonts w:hint="eastAsia" w:ascii="Times New Roman" w:hAnsi="Times New Roman" w:eastAsia="宋体" w:cs="宋体"/>
          <w:b w:val="0"/>
          <w:bCs/>
          <w:strike w:val="0"/>
          <w:dstrike w:val="0"/>
          <w:color w:val="auto"/>
          <w:sz w:val="24"/>
          <w:szCs w:val="24"/>
          <w:highlight w:val="none"/>
          <w:lang w:val="en-US" w:eastAsia="zh-CN"/>
        </w:rPr>
        <w:t>内涝治理应根据城镇内涝风险评估成果制定治理方案，</w:t>
      </w:r>
      <w:r>
        <w:rPr>
          <w:rFonts w:hint="eastAsia" w:ascii="Times New Roman" w:hAnsi="Times New Roman" w:eastAsia="宋体" w:cs="宋体"/>
          <w:b w:val="0"/>
          <w:bCs/>
          <w:strike w:val="0"/>
          <w:dstrike w:val="0"/>
          <w:color w:val="auto"/>
          <w:sz w:val="24"/>
          <w:szCs w:val="24"/>
          <w:lang w:val="en-US" w:eastAsia="zh-CN"/>
        </w:rPr>
        <w:t>方案应在确</w:t>
      </w:r>
      <w:r>
        <w:rPr>
          <w:rFonts w:hint="eastAsia" w:ascii="Times New Roman" w:hAnsi="Times New Roman" w:eastAsia="宋体" w:cs="宋体"/>
          <w:b w:val="0"/>
          <w:bCs/>
          <w:strike w:val="0"/>
          <w:dstrike w:val="0"/>
          <w:color w:val="auto"/>
          <w:sz w:val="24"/>
          <w:szCs w:val="24"/>
          <w:highlight w:val="none"/>
          <w:lang w:val="en-US" w:eastAsia="zh-CN"/>
        </w:rPr>
        <w:t>保安全</w:t>
      </w:r>
      <w:r>
        <w:rPr>
          <w:rFonts w:hint="eastAsia" w:ascii="Times New Roman" w:hAnsi="Times New Roman" w:eastAsia="宋体" w:cs="宋体"/>
          <w:b w:val="0"/>
          <w:bCs/>
          <w:strike w:val="0"/>
          <w:dstrike w:val="0"/>
          <w:color w:val="auto"/>
          <w:sz w:val="24"/>
          <w:szCs w:val="24"/>
          <w:lang w:val="en-US" w:eastAsia="zh-CN"/>
        </w:rPr>
        <w:t>的基础上综合考虑可实施性、经济性以及评估对象的重要性、紧迫性。</w:t>
      </w:r>
    </w:p>
    <w:p w14:paraId="5A7090CD">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93" w:name="_Toc1565"/>
      <w:bookmarkStart w:id="94" w:name="_Toc25033"/>
      <w:r>
        <w:rPr>
          <w:rFonts w:hint="eastAsia" w:ascii="Times New Roman" w:hAnsi="Times New Roman" w:eastAsia="宋体" w:cs="宋体"/>
          <w:color w:val="auto"/>
          <w:sz w:val="28"/>
          <w:szCs w:val="28"/>
          <w:highlight w:val="none"/>
          <w:lang w:val="en-US" w:eastAsia="zh-CN"/>
        </w:rPr>
        <w:t>5.2 源头减排</w:t>
      </w:r>
      <w:bookmarkEnd w:id="93"/>
      <w:bookmarkEnd w:id="94"/>
    </w:p>
    <w:p w14:paraId="1CD268AA">
      <w:pPr>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lang w:val="en-US" w:eastAsia="zh-CN"/>
        </w:rPr>
        <w:t>5</w:t>
      </w:r>
      <w:r>
        <w:rPr>
          <w:rFonts w:hint="eastAsia" w:ascii="Times New Roman" w:hAnsi="Times New Roman" w:eastAsia="宋体" w:cs="宋体"/>
          <w:b/>
          <w:color w:val="auto"/>
          <w:sz w:val="24"/>
          <w:szCs w:val="24"/>
          <w:highlight w:val="none"/>
        </w:rPr>
        <w:t>.</w:t>
      </w:r>
      <w:r>
        <w:rPr>
          <w:rFonts w:hint="eastAsia" w:ascii="Times New Roman" w:hAnsi="Times New Roman" w:eastAsia="宋体" w:cs="宋体"/>
          <w:b/>
          <w:color w:val="auto"/>
          <w:sz w:val="24"/>
          <w:szCs w:val="24"/>
          <w:highlight w:val="none"/>
          <w:lang w:val="en-US" w:eastAsia="zh-CN"/>
        </w:rPr>
        <w:t>2</w:t>
      </w:r>
      <w:r>
        <w:rPr>
          <w:rFonts w:hint="eastAsia" w:ascii="Times New Roman" w:hAnsi="Times New Roman" w:eastAsia="宋体" w:cs="宋体"/>
          <w:b/>
          <w:color w:val="auto"/>
          <w:sz w:val="24"/>
          <w:szCs w:val="24"/>
          <w:highlight w:val="none"/>
        </w:rPr>
        <w:t>.</w:t>
      </w:r>
      <w:r>
        <w:rPr>
          <w:rFonts w:hint="eastAsia" w:ascii="Times New Roman" w:hAnsi="Times New Roman" w:eastAsia="宋体" w:cs="宋体"/>
          <w:b/>
          <w:color w:val="auto"/>
          <w:sz w:val="24"/>
          <w:szCs w:val="24"/>
          <w:highlight w:val="none"/>
          <w:lang w:val="en-US" w:eastAsia="zh-CN"/>
        </w:rPr>
        <w:t xml:space="preserve">1 </w:t>
      </w:r>
      <w:r>
        <w:rPr>
          <w:rFonts w:hint="eastAsia" w:ascii="Times New Roman" w:hAnsi="Times New Roman" w:eastAsia="宋体" w:cs="宋体"/>
          <w:b w:val="0"/>
          <w:bCs/>
          <w:color w:val="auto"/>
          <w:sz w:val="24"/>
          <w:szCs w:val="24"/>
          <w:highlight w:val="none"/>
          <w:lang w:val="en-US" w:eastAsia="zh-CN"/>
        </w:rPr>
        <w:t>源头减排设施的建设，应符合现行国家标准《城镇雨水调蓄工程技术规范》GB 51174、《城镇内涝防治技术规范》GB 51222和地方标准《海绵城市建设技术标准》DBJ/T 15的有关规定。</w:t>
      </w:r>
    </w:p>
    <w:p w14:paraId="0E4A1511">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5.2.2</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源头减排设施设计时应符合下列规定：</w:t>
      </w:r>
    </w:p>
    <w:p w14:paraId="66F451D9">
      <w:pPr>
        <w:spacing w:line="360" w:lineRule="auto"/>
        <w:ind w:firstLine="482"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当源头减排设施用于径流总量控制时，应按当地相关规划确定的年径流总量控制率等目标计算设施规模，宜采用数学模型进行连续模拟校核；当降雨小于规划确定的年径流总量控制要求时，</w:t>
      </w:r>
      <w:r>
        <w:rPr>
          <w:rFonts w:hint="eastAsia" w:ascii="Times New Roman" w:hAnsi="Times New Roman" w:eastAsia="宋体" w:cs="宋体"/>
          <w:color w:val="000000" w:themeColor="text1"/>
          <w:sz w:val="24"/>
          <w:szCs w:val="24"/>
          <w:lang w:val="en-US" w:eastAsia="zh-CN"/>
          <w14:textFill>
            <w14:solidFill>
              <w14:schemeClr w14:val="tx1"/>
            </w14:solidFill>
          </w14:textFill>
        </w:rPr>
        <w:t>源头减排设施的设置应能保证不直接向市政雨水管渠排放未经控制的雨水；</w:t>
      </w:r>
    </w:p>
    <w:p w14:paraId="52445642">
      <w:pPr>
        <w:spacing w:line="360" w:lineRule="auto"/>
        <w:ind w:firstLine="482"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宋体"/>
          <w:color w:val="000000" w:themeColor="text1"/>
          <w:sz w:val="24"/>
          <w:szCs w:val="24"/>
          <w:lang w:val="en-US" w:eastAsia="zh-CN"/>
          <w14:textFill>
            <w14:solidFill>
              <w14:schemeClr w14:val="tx1"/>
            </w14:solidFill>
          </w14:textFill>
        </w:rPr>
        <w:t>雨水利用量应根据降雨特征、用水需求和经济效益等确定</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p>
    <w:p w14:paraId="2C2C0B98">
      <w:pPr>
        <w:spacing w:line="360" w:lineRule="auto"/>
        <w:ind w:firstLine="482"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3</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宋体"/>
          <w:color w:val="000000" w:themeColor="text1"/>
          <w:sz w:val="24"/>
          <w:szCs w:val="24"/>
          <w:lang w:val="en-US" w:eastAsia="zh-CN"/>
          <w14:textFill>
            <w14:solidFill>
              <w14:schemeClr w14:val="tx1"/>
            </w14:solidFill>
          </w14:textFill>
        </w:rPr>
        <w:t>当地区整体改建时，对于相同的设计重现期，改建后的径流</w:t>
      </w:r>
      <w:r>
        <w:rPr>
          <w:rFonts w:hint="eastAsia" w:ascii="Times New Roman" w:hAnsi="Times New Roman" w:eastAsia="宋体" w:cs="宋体"/>
          <w:color w:val="000000" w:themeColor="text1"/>
          <w:sz w:val="24"/>
          <w:szCs w:val="24"/>
          <w:lang w:val="en-US" w:eastAsia="zh-CN"/>
          <w14:textFill>
            <w14:solidFill>
              <w14:schemeClr w14:val="tx1"/>
            </w14:solidFill>
          </w14:textFill>
        </w:rPr>
        <w:t>量</w:t>
      </w:r>
      <w:r>
        <w:rPr>
          <w:rFonts w:hint="default" w:ascii="Times New Roman" w:hAnsi="Times New Roman" w:eastAsia="宋体" w:cs="宋体"/>
          <w:color w:val="000000" w:themeColor="text1"/>
          <w:sz w:val="24"/>
          <w:szCs w:val="24"/>
          <w:lang w:val="en-US" w:eastAsia="zh-CN"/>
          <w14:textFill>
            <w14:solidFill>
              <w14:schemeClr w14:val="tx1"/>
            </w14:solidFill>
          </w14:textFill>
        </w:rPr>
        <w:t>不得超过原有径流</w:t>
      </w:r>
      <w:r>
        <w:rPr>
          <w:rFonts w:hint="eastAsia" w:ascii="Times New Roman" w:hAnsi="Times New Roman" w:eastAsia="宋体" w:cs="宋体"/>
          <w:color w:val="000000" w:themeColor="text1"/>
          <w:sz w:val="24"/>
          <w:szCs w:val="24"/>
          <w:lang w:val="en-US" w:eastAsia="zh-CN"/>
          <w14:textFill>
            <w14:solidFill>
              <w14:schemeClr w14:val="tx1"/>
            </w14:solidFill>
          </w14:textFill>
        </w:rPr>
        <w:t>量；</w:t>
      </w:r>
    </w:p>
    <w:p w14:paraId="260471E6">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源头调蓄设施的设计容积，应根据当地的内涝防治设计标准、其他源头减排设施的有效容积和位于下游的排水管渠、街道、内河、湖泊等受纳体的调蓄能力等因素，经技术经济比较后确定，应符合现行《城镇雨水调蓄工程技术规范》GB 51174的有关规定。</w:t>
      </w:r>
    </w:p>
    <w:p w14:paraId="62109CDE">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5.2.3</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源头</w:t>
      </w:r>
      <w:r>
        <w:rPr>
          <w:rFonts w:hint="eastAsia" w:ascii="Times New Roman" w:hAnsi="Times New Roman" w:eastAsia="宋体" w:cs="宋体"/>
          <w:color w:val="000000" w:themeColor="text1"/>
          <w:sz w:val="24"/>
          <w:szCs w:val="24"/>
          <w14:textFill>
            <w14:solidFill>
              <w14:schemeClr w14:val="tx1"/>
            </w14:solidFill>
          </w14:textFill>
        </w:rPr>
        <w:t>减排设施</w:t>
      </w:r>
      <w:r>
        <w:rPr>
          <w:rFonts w:hint="eastAsia" w:ascii="Times New Roman" w:hAnsi="Times New Roman" w:eastAsia="宋体" w:cs="宋体"/>
          <w:color w:val="000000" w:themeColor="text1"/>
          <w:sz w:val="24"/>
          <w:szCs w:val="24"/>
          <w:lang w:val="en-US" w:eastAsia="zh-CN"/>
          <w14:textFill>
            <w14:solidFill>
              <w14:schemeClr w14:val="tx1"/>
            </w14:solidFill>
          </w14:textFill>
        </w:rPr>
        <w:t>的设置应符合下列要求：</w:t>
      </w:r>
    </w:p>
    <w:p w14:paraId="3E127845">
      <w:pPr>
        <w:spacing w:line="360" w:lineRule="auto"/>
        <w:ind w:firstLine="482"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应有利于雨水就近入渗、调蓄或收集利用</w:t>
      </w:r>
      <w:r>
        <w:rPr>
          <w:rFonts w:hint="eastAsia" w:ascii="Times New Roman" w:hAnsi="Times New Roman" w:eastAsia="宋体" w:cs="宋体"/>
          <w:color w:val="000000" w:themeColor="text1"/>
          <w:sz w:val="24"/>
          <w:szCs w:val="24"/>
          <w:lang w:eastAsia="zh-CN"/>
          <w14:textFill>
            <w14:solidFill>
              <w14:schemeClr w14:val="tx1"/>
            </w14:solidFill>
          </w14:textFill>
        </w:rPr>
        <w:t>；</w:t>
      </w:r>
    </w:p>
    <w:p w14:paraId="70D60A4C">
      <w:pPr>
        <w:spacing w:line="360" w:lineRule="auto"/>
        <w:ind w:firstLine="482"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宋体"/>
          <w:color w:val="000000" w:themeColor="text1"/>
          <w:sz w:val="24"/>
          <w:szCs w:val="24"/>
          <w14:textFill>
            <w14:solidFill>
              <w14:schemeClr w14:val="tx1"/>
            </w14:solidFill>
          </w14:textFill>
        </w:rPr>
        <w:t>宜保持或模拟自然水文和生态过程</w:t>
      </w:r>
      <w:r>
        <w:rPr>
          <w:rFonts w:hint="eastAsia" w:ascii="Times New Roman" w:hAnsi="Times New Roman" w:eastAsia="宋体" w:cs="宋体"/>
          <w:color w:val="000000" w:themeColor="text1"/>
          <w:sz w:val="24"/>
          <w:szCs w:val="24"/>
          <w:lang w:eastAsia="zh-CN"/>
          <w14:textFill>
            <w14:solidFill>
              <w14:schemeClr w14:val="tx1"/>
            </w14:solidFill>
          </w14:textFill>
        </w:rPr>
        <w:t>；</w:t>
      </w:r>
    </w:p>
    <w:p w14:paraId="15C3CC07">
      <w:pPr>
        <w:spacing w:line="360" w:lineRule="auto"/>
        <w:ind w:firstLine="482"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3 </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严禁在地表污染严重的地区设置具有渗透功能的源头减排设施。 </w:t>
      </w:r>
    </w:p>
    <w:p w14:paraId="5CA6B4AD">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95" w:name="_Toc24869"/>
      <w:bookmarkStart w:id="96" w:name="_Toc28276"/>
      <w:r>
        <w:rPr>
          <w:rFonts w:hint="eastAsia" w:ascii="Times New Roman" w:hAnsi="Times New Roman" w:eastAsia="宋体" w:cs="宋体"/>
          <w:color w:val="auto"/>
          <w:sz w:val="28"/>
          <w:szCs w:val="28"/>
          <w:highlight w:val="none"/>
          <w:lang w:val="en-US" w:eastAsia="zh-CN"/>
        </w:rPr>
        <w:t>5.3 排水管渠</w:t>
      </w:r>
      <w:bookmarkEnd w:id="95"/>
      <w:bookmarkEnd w:id="96"/>
    </w:p>
    <w:p w14:paraId="7CFB3DFD">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5.3.1</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排水管渠设施应确保雨水管渠设计重现期下雨水的收集、转输、调蓄和排放，应考虑受纳水体水位的影响，易受河水或潮水顶托的排水管渠出水口应设置防倒灌设施。</w:t>
      </w:r>
    </w:p>
    <w:p w14:paraId="34D18196">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5.3.2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排水管渠设施除应满足雨水管渠设计重现期标准外，尚应与</w:t>
      </w:r>
      <w:r>
        <w:rPr>
          <w:rFonts w:hint="eastAsia" w:ascii="Times New Roman" w:hAnsi="Times New Roman" w:eastAsia="宋体" w:cs="宋体"/>
          <w:color w:val="000000" w:themeColor="text1"/>
          <w:sz w:val="24"/>
          <w:szCs w:val="24"/>
          <w:lang w:val="en-US" w:eastAsia="zh-CN"/>
          <w14:textFill>
            <w14:solidFill>
              <w14:schemeClr w14:val="tx1"/>
            </w14:solidFill>
          </w14:textFill>
        </w:rPr>
        <w:t>城镇其他</w:t>
      </w:r>
      <w:r>
        <w:rPr>
          <w:rFonts w:hint="eastAsia" w:ascii="Times New Roman" w:hAnsi="Times New Roman" w:eastAsia="宋体" w:cs="宋体"/>
          <w:color w:val="000000" w:themeColor="text1"/>
          <w:sz w:val="24"/>
          <w:szCs w:val="24"/>
          <w:highlight w:val="none"/>
          <w14:textFill>
            <w14:solidFill>
              <w14:schemeClr w14:val="tx1"/>
            </w14:solidFill>
          </w14:textFill>
        </w:rPr>
        <w:t>内涝</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防治</w:t>
      </w:r>
      <w:r>
        <w:rPr>
          <w:rFonts w:hint="eastAsia" w:ascii="Times New Roman" w:hAnsi="Times New Roman" w:eastAsia="宋体" w:cs="宋体"/>
          <w:color w:val="000000" w:themeColor="text1"/>
          <w:sz w:val="24"/>
          <w:szCs w:val="24"/>
          <w:highlight w:val="none"/>
          <w14:textFill>
            <w14:solidFill>
              <w14:schemeClr w14:val="tx1"/>
            </w14:solidFill>
          </w14:textFill>
        </w:rPr>
        <w:t>设施</w:t>
      </w:r>
      <w:r>
        <w:rPr>
          <w:rFonts w:hint="eastAsia" w:ascii="Times New Roman" w:hAnsi="Times New Roman" w:eastAsia="宋体" w:cs="宋体"/>
          <w:color w:val="000000" w:themeColor="text1"/>
          <w:sz w:val="24"/>
          <w:szCs w:val="24"/>
          <w14:textFill>
            <w14:solidFill>
              <w14:schemeClr w14:val="tx1"/>
            </w14:solidFill>
          </w14:textFill>
        </w:rPr>
        <w:t>相协调，满足内涝防治的要求。</w:t>
      </w:r>
    </w:p>
    <w:p w14:paraId="52C03C27">
      <w:pPr>
        <w:spacing w:line="360" w:lineRule="auto"/>
        <w:rPr>
          <w:rFonts w:hint="default" w:ascii="Times New Roman" w:hAnsi="Times New Roman" w:eastAsia="宋体" w:cs="宋体"/>
          <w:b/>
          <w:bCs/>
          <w:color w:val="FF0000"/>
          <w:sz w:val="24"/>
          <w:szCs w:val="24"/>
          <w:lang w:val="en-US" w:eastAsia="zh-CN"/>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5.3.3</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auto"/>
          <w:sz w:val="24"/>
          <w:szCs w:val="24"/>
          <w:lang w:val="en-US" w:eastAsia="zh-CN"/>
        </w:rPr>
        <w:t>排水管渠设施改造应在排水管线调查基础上，结合病害管道的更换、修复计划开展，适当提高建设标准，同步实施雨污分流、清污分流改造，雨水管网系统应与周边海绵设施有机衔接。</w:t>
      </w:r>
    </w:p>
    <w:p w14:paraId="06D55F9D">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5.3.4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排水管渠设施的设置应符合下列要求：</w:t>
      </w:r>
    </w:p>
    <w:p w14:paraId="64A772C4">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雨水口的泄水能力，应根据其构造型式、所在位置的道路纵向和横向坡度以及设计道路积水深度等因素综合考虑确定；</w:t>
      </w:r>
    </w:p>
    <w:p w14:paraId="3E7B3D73">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排水泵站的设计规模，应与城</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镇内涝防治系统的</w:t>
      </w:r>
      <w:r>
        <w:rPr>
          <w:rFonts w:hint="eastAsia" w:ascii="Times New Roman" w:hAnsi="Times New Roman" w:eastAsia="宋体" w:cs="宋体"/>
          <w:color w:val="000000" w:themeColor="text1"/>
          <w:sz w:val="24"/>
          <w:szCs w:val="24"/>
          <w:lang w:val="en-US" w:eastAsia="zh-CN"/>
          <w14:textFill>
            <w14:solidFill>
              <w14:schemeClr w14:val="tx1"/>
            </w14:solidFill>
          </w14:textFill>
        </w:rPr>
        <w:t>其他组成部分相协调；</w:t>
      </w:r>
    </w:p>
    <w:p w14:paraId="4C046E85">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3</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管渠调蓄设施用于削减峰值流量时，其调蓄量的确定应符合现行国家标准《城镇雨水调蓄工程技术规范》GB 51174的有关规定。</w:t>
      </w:r>
    </w:p>
    <w:p w14:paraId="10D58375">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97" w:name="_Toc2428"/>
      <w:bookmarkStart w:id="98" w:name="_Toc27002"/>
      <w:r>
        <w:rPr>
          <w:rFonts w:hint="eastAsia" w:ascii="Times New Roman" w:hAnsi="Times New Roman" w:eastAsia="宋体" w:cs="宋体"/>
          <w:color w:val="auto"/>
          <w:sz w:val="28"/>
          <w:szCs w:val="28"/>
          <w:highlight w:val="none"/>
          <w:lang w:val="en-US" w:eastAsia="zh-CN"/>
        </w:rPr>
        <w:t>5.4 排涝除险</w:t>
      </w:r>
      <w:bookmarkEnd w:id="97"/>
      <w:bookmarkEnd w:id="98"/>
    </w:p>
    <w:p w14:paraId="5DA8E558">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5.4.1</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排涝除险设施宜包括城镇</w:t>
      </w:r>
      <w:r>
        <w:rPr>
          <w:rFonts w:hint="eastAsia" w:ascii="Times New Roman" w:hAnsi="Times New Roman" w:eastAsia="宋体" w:cs="宋体"/>
          <w:color w:val="000000" w:themeColor="text1"/>
          <w:sz w:val="24"/>
          <w:szCs w:val="24"/>
          <w:lang w:val="en-US" w:eastAsia="zh-CN"/>
          <w14:textFill>
            <w14:solidFill>
              <w14:schemeClr w14:val="tx1"/>
            </w14:solidFill>
          </w14:textFill>
        </w:rPr>
        <w:t>河湖</w:t>
      </w:r>
      <w:r>
        <w:rPr>
          <w:rFonts w:hint="eastAsia" w:ascii="Times New Roman" w:hAnsi="Times New Roman" w:eastAsia="宋体" w:cs="宋体"/>
          <w:color w:val="000000" w:themeColor="text1"/>
          <w:sz w:val="24"/>
          <w:szCs w:val="24"/>
          <w14:textFill>
            <w14:solidFill>
              <w14:schemeClr w14:val="tx1"/>
            </w14:solidFill>
          </w14:textFill>
        </w:rPr>
        <w:t>水体、</w:t>
      </w:r>
      <w:r>
        <w:rPr>
          <w:rFonts w:hint="eastAsia" w:ascii="Times New Roman" w:hAnsi="Times New Roman" w:eastAsia="宋体" w:cs="宋体"/>
          <w:color w:val="000000" w:themeColor="text1"/>
          <w:sz w:val="24"/>
          <w:szCs w:val="24"/>
          <w:lang w:val="en-US" w:eastAsia="zh-CN"/>
          <w14:textFill>
            <w14:solidFill>
              <w14:schemeClr w14:val="tx1"/>
            </w14:solidFill>
          </w14:textFill>
        </w:rPr>
        <w:t>强排泵站、</w:t>
      </w:r>
      <w:r>
        <w:rPr>
          <w:rFonts w:hint="eastAsia" w:ascii="Times New Roman" w:hAnsi="Times New Roman" w:eastAsia="宋体" w:cs="宋体"/>
          <w:color w:val="000000" w:themeColor="text1"/>
          <w:sz w:val="24"/>
          <w:szCs w:val="24"/>
          <w14:textFill>
            <w14:solidFill>
              <w14:schemeClr w14:val="tx1"/>
            </w14:solidFill>
          </w14:textFill>
        </w:rPr>
        <w:t>调蓄设施和行泄通道等</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应符合下列要求：</w:t>
      </w:r>
    </w:p>
    <w:p w14:paraId="6BBF3D55">
      <w:pPr>
        <w:spacing w:line="360" w:lineRule="auto"/>
        <w:ind w:firstLine="482"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ascii="Times New Roman" w:hAnsi="Times New Roman" w:eastAsia="宋体" w:cs="宋体"/>
          <w:color w:val="000000" w:themeColor="text1"/>
          <w:sz w:val="24"/>
          <w:szCs w:val="24"/>
          <w14:textFill>
            <w14:solidFill>
              <w14:schemeClr w14:val="tx1"/>
            </w14:solidFill>
          </w14:textFill>
        </w:rPr>
        <w:t xml:space="preserve"> 排涝除险设施应以</w:t>
      </w:r>
      <w:r>
        <w:rPr>
          <w:rFonts w:hint="eastAsia" w:ascii="Times New Roman" w:hAnsi="Times New Roman" w:eastAsia="宋体" w:cs="宋体"/>
          <w:color w:val="000000" w:themeColor="text1"/>
          <w:sz w:val="24"/>
          <w:szCs w:val="24"/>
          <w:lang w:val="en-US" w:eastAsia="zh-CN"/>
          <w14:textFill>
            <w14:solidFill>
              <w14:schemeClr w14:val="tx1"/>
            </w14:solidFill>
          </w14:textFill>
        </w:rPr>
        <w:t>国土空间</w:t>
      </w:r>
      <w:r>
        <w:rPr>
          <w:rFonts w:hint="eastAsia" w:ascii="Times New Roman" w:hAnsi="Times New Roman" w:eastAsia="宋体" w:cs="宋体"/>
          <w:color w:val="000000" w:themeColor="text1"/>
          <w:sz w:val="24"/>
          <w:szCs w:val="24"/>
          <w14:textFill>
            <w14:solidFill>
              <w14:schemeClr w14:val="tx1"/>
            </w14:solidFill>
          </w14:textFill>
        </w:rPr>
        <w:t>规划</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详细规划</w:t>
      </w:r>
      <w:r>
        <w:rPr>
          <w:rFonts w:hint="eastAsia" w:ascii="Times New Roman" w:hAnsi="Times New Roman" w:eastAsia="宋体" w:cs="宋体"/>
          <w:color w:val="000000" w:themeColor="text1"/>
          <w:sz w:val="24"/>
          <w:szCs w:val="24"/>
          <w14:textFill>
            <w14:solidFill>
              <w14:schemeClr w14:val="tx1"/>
            </w14:solidFill>
          </w14:textFill>
        </w:rPr>
        <w:t>和城镇内涝防治</w:t>
      </w:r>
      <w:r>
        <w:rPr>
          <w:rFonts w:hint="eastAsia" w:ascii="Times New Roman" w:hAnsi="Times New Roman" w:eastAsia="宋体" w:cs="宋体"/>
          <w:color w:val="000000" w:themeColor="text1"/>
          <w:sz w:val="24"/>
          <w:szCs w:val="24"/>
          <w:lang w:val="en-US" w:eastAsia="zh-CN"/>
          <w14:textFill>
            <w14:solidFill>
              <w14:schemeClr w14:val="tx1"/>
            </w14:solidFill>
          </w14:textFill>
        </w:rPr>
        <w:t>相关</w:t>
      </w:r>
      <w:r>
        <w:rPr>
          <w:rFonts w:hint="eastAsia" w:ascii="Times New Roman" w:hAnsi="Times New Roman" w:eastAsia="宋体" w:cs="宋体"/>
          <w:color w:val="000000" w:themeColor="text1"/>
          <w:sz w:val="24"/>
          <w:szCs w:val="24"/>
          <w14:textFill>
            <w14:solidFill>
              <w14:schemeClr w14:val="tx1"/>
            </w14:solidFill>
          </w14:textFill>
        </w:rPr>
        <w:t>专项规划为依据，应根据地区降雨规律和暴雨内涝风险等因素，统筹规划，合理确定建设规模</w:t>
      </w:r>
      <w:r>
        <w:rPr>
          <w:rFonts w:hint="eastAsia" w:ascii="Times New Roman" w:hAnsi="Times New Roman" w:eastAsia="宋体" w:cs="宋体"/>
          <w:color w:val="000000" w:themeColor="text1"/>
          <w:sz w:val="24"/>
          <w:szCs w:val="24"/>
          <w:lang w:eastAsia="zh-CN"/>
          <w14:textFill>
            <w14:solidFill>
              <w14:schemeClr w14:val="tx1"/>
            </w14:solidFill>
          </w14:textFill>
        </w:rPr>
        <w:t>；</w:t>
      </w:r>
    </w:p>
    <w:p w14:paraId="6B41D935">
      <w:pPr>
        <w:spacing w:line="360" w:lineRule="auto"/>
        <w:ind w:firstLine="482"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14:textFill>
            <w14:solidFill>
              <w14:schemeClr w14:val="tx1"/>
            </w14:solidFill>
          </w14:textFill>
        </w:rPr>
        <w:t xml:space="preserve"> 排涝除险设施的设计水量应根据内涝防治设计重现期及对应的</w:t>
      </w:r>
      <w:r>
        <w:rPr>
          <w:rFonts w:hint="eastAsia" w:ascii="Times New Roman" w:hAnsi="Times New Roman" w:eastAsia="宋体" w:cs="宋体"/>
          <w:b w:val="0"/>
          <w:bCs w:val="0"/>
          <w:color w:val="auto"/>
          <w:sz w:val="24"/>
          <w:szCs w:val="24"/>
        </w:rPr>
        <w:t>最大允许退水时间确定</w:t>
      </w:r>
      <w:r>
        <w:rPr>
          <w:rFonts w:hint="eastAsia" w:ascii="Times New Roman" w:hAnsi="Times New Roman" w:eastAsia="宋体" w:cs="宋体"/>
          <w:color w:val="000000" w:themeColor="text1"/>
          <w:sz w:val="24"/>
          <w:szCs w:val="24"/>
          <w14:textFill>
            <w14:solidFill>
              <w14:schemeClr w14:val="tx1"/>
            </w14:solidFill>
          </w14:textFill>
        </w:rPr>
        <w:t>。</w:t>
      </w:r>
    </w:p>
    <w:p w14:paraId="40AB3E9D">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5.4.2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城镇河湖水体的总体布局应考虑对内涝的承泄调蓄作用。</w:t>
      </w:r>
    </w:p>
    <w:p w14:paraId="4A29FF09">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bCs/>
          <w:color w:val="auto"/>
          <w:sz w:val="24"/>
          <w:szCs w:val="24"/>
          <w:lang w:val="en-US" w:eastAsia="zh-CN"/>
        </w:rPr>
        <w:t>5.4.3</w:t>
      </w:r>
      <w:r>
        <w:rPr>
          <w:rFonts w:hint="eastAsia" w:ascii="Times New Roman" w:hAnsi="Times New Roman" w:eastAsia="宋体" w:cs="宋体"/>
          <w:color w:val="auto"/>
          <w:sz w:val="24"/>
          <w:szCs w:val="24"/>
          <w:lang w:val="en-US" w:eastAsia="zh-CN"/>
        </w:rPr>
        <w:t xml:space="preserve"> </w:t>
      </w:r>
      <w:r>
        <w:rPr>
          <w:rFonts w:hint="eastAsia" w:ascii="Times New Roman" w:hAnsi="Times New Roman" w:eastAsia="宋体" w:cs="宋体"/>
          <w:color w:val="auto"/>
          <w:sz w:val="24"/>
          <w:szCs w:val="24"/>
        </w:rPr>
        <w:t>调蓄设施的</w:t>
      </w:r>
      <w:r>
        <w:rPr>
          <w:rFonts w:hint="eastAsia" w:ascii="Times New Roman" w:hAnsi="Times New Roman" w:eastAsia="宋体" w:cs="宋体"/>
          <w:color w:val="auto"/>
          <w:sz w:val="24"/>
          <w:szCs w:val="24"/>
          <w:lang w:val="en-US" w:eastAsia="zh-CN"/>
        </w:rPr>
        <w:t>有效调蓄容积计算宜根据内涝防治设计重现期、降雨特征、雨水排放系统及用水情况等要素综合确定，应符合现行《室外排水设计标准》GB50014、《泵站设计标准》GB50265和《城镇雨水调蓄工程技术规范》GB51174的有关规定，宜建立数学模型进行分析。</w:t>
      </w:r>
    </w:p>
    <w:p w14:paraId="0A28788C">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5.4.4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城镇内涝中、高风险区域宜结合其地理位置、地形特点等设置行泄通道。并应符合下列要求：</w:t>
      </w:r>
    </w:p>
    <w:p w14:paraId="1DFA3AB0">
      <w:pPr>
        <w:spacing w:line="360" w:lineRule="auto"/>
        <w:ind w:firstLine="482"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color w:val="auto"/>
          <w:sz w:val="24"/>
          <w:szCs w:val="24"/>
          <w:lang w:val="en-US" w:eastAsia="zh-CN"/>
        </w:rPr>
        <w:t>1</w:t>
      </w:r>
      <w:r>
        <w:rPr>
          <w:rFonts w:hint="eastAsia" w:ascii="Times New Roman" w:hAnsi="Times New Roman" w:eastAsia="宋体" w:cs="宋体"/>
          <w:b/>
          <w:color w:val="auto"/>
          <w:sz w:val="24"/>
          <w:szCs w:val="24"/>
        </w:rPr>
        <w:t xml:space="preserve"> </w:t>
      </w:r>
      <w:r>
        <w:rPr>
          <w:rFonts w:hint="eastAsia" w:ascii="Times New Roman" w:hAnsi="Times New Roman" w:eastAsia="宋体" w:cs="宋体"/>
          <w:color w:val="auto"/>
          <w:sz w:val="24"/>
          <w:szCs w:val="24"/>
        </w:rPr>
        <w:t>行泄通道的设置应与涝水汇集路径、内涝风险区划和城镇用地布局等相结合，优先</w:t>
      </w:r>
      <w:r>
        <w:rPr>
          <w:rFonts w:hint="eastAsia" w:ascii="Times New Roman" w:hAnsi="Times New Roman" w:eastAsia="宋体" w:cs="宋体"/>
          <w:color w:val="auto"/>
          <w:sz w:val="24"/>
          <w:szCs w:val="24"/>
          <w:lang w:val="en-US" w:eastAsia="zh-CN"/>
        </w:rPr>
        <w:t>利用城镇水体</w:t>
      </w:r>
      <w:r>
        <w:rPr>
          <w:rFonts w:hint="eastAsia" w:ascii="Times New Roman" w:hAnsi="Times New Roman" w:eastAsia="宋体" w:cs="宋体"/>
          <w:color w:val="auto"/>
          <w:sz w:val="24"/>
          <w:szCs w:val="24"/>
        </w:rPr>
        <w:t>。当</w:t>
      </w:r>
      <w:r>
        <w:rPr>
          <w:rFonts w:hint="eastAsia" w:ascii="Times New Roman" w:hAnsi="Times New Roman" w:eastAsia="宋体" w:cs="宋体"/>
          <w:color w:val="auto"/>
          <w:sz w:val="24"/>
          <w:szCs w:val="24"/>
          <w:lang w:val="en-US" w:eastAsia="zh-CN"/>
        </w:rPr>
        <w:t>城镇水体</w:t>
      </w:r>
      <w:r>
        <w:rPr>
          <w:rFonts w:hint="eastAsia" w:ascii="Times New Roman" w:hAnsi="Times New Roman" w:eastAsia="宋体" w:cs="宋体"/>
          <w:color w:val="auto"/>
          <w:sz w:val="24"/>
          <w:szCs w:val="24"/>
        </w:rPr>
        <w:t>不能满足行泄要求时，可采用设置于地下的调蓄隧道等设施</w:t>
      </w:r>
      <w:r>
        <w:rPr>
          <w:rFonts w:hint="eastAsia" w:ascii="Times New Roman" w:hAnsi="Times New Roman" w:eastAsia="宋体" w:cs="宋体"/>
          <w:color w:val="auto"/>
          <w:sz w:val="24"/>
          <w:szCs w:val="24"/>
          <w:lang w:eastAsia="zh-CN"/>
        </w:rPr>
        <w:t>；</w:t>
      </w:r>
    </w:p>
    <w:p w14:paraId="01383959">
      <w:pPr>
        <w:spacing w:line="360" w:lineRule="auto"/>
        <w:ind w:firstLine="482"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auto"/>
          <w:sz w:val="24"/>
          <w:szCs w:val="24"/>
          <w:lang w:val="en-US" w:eastAsia="zh-CN"/>
        </w:rPr>
        <w:t>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道路作为行泄通道时应符合现行《城镇内涝防治技术规范》GB 51222的相关规定。</w:t>
      </w:r>
    </w:p>
    <w:p w14:paraId="326173E9">
      <w:pPr>
        <w:pStyle w:val="4"/>
        <w:spacing w:beforeLines="0" w:after="156" w:afterLines="50"/>
        <w:jc w:val="center"/>
        <w:rPr>
          <w:rFonts w:hint="eastAsia" w:ascii="Times New Roman" w:hAnsi="Times New Roman" w:eastAsia="宋体" w:cs="宋体"/>
          <w:color w:val="000000" w:themeColor="text1"/>
          <w:sz w:val="24"/>
          <w:szCs w:val="24"/>
          <w14:textFill>
            <w14:solidFill>
              <w14:schemeClr w14:val="tx1"/>
            </w14:solidFill>
          </w14:textFill>
        </w:rPr>
      </w:pPr>
      <w:bookmarkStart w:id="99" w:name="_Toc3362"/>
      <w:bookmarkStart w:id="100" w:name="_Toc6782"/>
      <w:r>
        <w:rPr>
          <w:rFonts w:hint="eastAsia" w:ascii="Times New Roman" w:hAnsi="Times New Roman" w:eastAsia="宋体" w:cs="宋体"/>
          <w:color w:val="auto"/>
          <w:sz w:val="28"/>
          <w:szCs w:val="28"/>
          <w:highlight w:val="none"/>
          <w:lang w:val="en-US" w:eastAsia="zh-CN"/>
        </w:rPr>
        <w:t>5.5 地下空间防淹</w:t>
      </w:r>
      <w:bookmarkEnd w:id="99"/>
      <w:bookmarkEnd w:id="100"/>
    </w:p>
    <w:p w14:paraId="0DC3FAC6">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.1</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地下空间包括地下道路交通、地下轨道交通、地下综合管廊、地下人防工程、地下停车库和建构筑物的地下空间等。</w:t>
      </w:r>
    </w:p>
    <w:p w14:paraId="5D8D83A3">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cs="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2 </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地下空间</w:t>
      </w:r>
      <w:r>
        <w:rPr>
          <w:rFonts w:hint="eastAsia" w:ascii="Times New Roman" w:hAnsi="Times New Roman" w:eastAsia="宋体" w:cs="宋体"/>
          <w:color w:val="000000" w:themeColor="text1"/>
          <w:sz w:val="24"/>
          <w:szCs w:val="24"/>
          <w:highlight w:val="none"/>
          <w14:textFill>
            <w14:solidFill>
              <w14:schemeClr w14:val="tx1"/>
            </w14:solidFill>
          </w14:textFill>
        </w:rPr>
        <w:t>应采取防止客水进入的措施。</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地下空间雨水无法重力自排或存在倒灌风险时，应设置强排设施。</w:t>
      </w:r>
    </w:p>
    <w:p w14:paraId="5D02B896">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5.5.3</w:t>
      </w:r>
      <w:r>
        <w:rPr>
          <w:rFonts w:hint="eastAsia" w:ascii="Times New Roman" w:hAnsi="Times New Roman" w:eastAsia="宋体" w:cs="宋体"/>
          <w:color w:val="auto"/>
          <w:sz w:val="24"/>
          <w:szCs w:val="24"/>
          <w:highlight w:val="none"/>
          <w:lang w:eastAsia="zh-CN"/>
        </w:rPr>
        <w:t>地下空间</w:t>
      </w:r>
      <w:r>
        <w:rPr>
          <w:rFonts w:hint="eastAsia" w:ascii="Times New Roman" w:hAnsi="Times New Roman" w:eastAsia="宋体" w:cs="宋体"/>
          <w:color w:val="auto"/>
          <w:sz w:val="24"/>
          <w:szCs w:val="24"/>
          <w:highlight w:val="none"/>
          <w:lang w:val="en-US" w:eastAsia="zh-CN"/>
        </w:rPr>
        <w:t>防淹</w:t>
      </w:r>
      <w:r>
        <w:rPr>
          <w:rFonts w:hint="eastAsia" w:ascii="Times New Roman" w:hAnsi="Times New Roman" w:eastAsia="宋体" w:cs="宋体"/>
          <w:color w:val="auto"/>
          <w:sz w:val="24"/>
          <w:szCs w:val="24"/>
          <w:highlight w:val="none"/>
        </w:rPr>
        <w:t>措施</w:t>
      </w:r>
      <w:r>
        <w:rPr>
          <w:rFonts w:hint="eastAsia" w:ascii="Times New Roman" w:hAnsi="Times New Roman" w:eastAsia="宋体" w:cs="宋体"/>
          <w:color w:val="auto"/>
          <w:sz w:val="24"/>
          <w:szCs w:val="24"/>
          <w:highlight w:val="none"/>
          <w:lang w:val="en-US" w:eastAsia="zh-CN"/>
        </w:rPr>
        <w:t>宜</w:t>
      </w:r>
      <w:r>
        <w:rPr>
          <w:rFonts w:hint="eastAsia" w:ascii="Times New Roman" w:hAnsi="Times New Roman" w:eastAsia="宋体" w:cs="宋体"/>
          <w:color w:val="auto"/>
          <w:sz w:val="24"/>
          <w:szCs w:val="24"/>
          <w:highlight w:val="none"/>
        </w:rPr>
        <w:t>包括抬高出入口高程、设置出入口遮雨</w:t>
      </w:r>
      <w:r>
        <w:rPr>
          <w:rFonts w:hint="eastAsia" w:ascii="Times New Roman" w:hAnsi="Times New Roman" w:eastAsia="宋体" w:cs="宋体"/>
          <w:color w:val="auto"/>
          <w:sz w:val="24"/>
          <w:szCs w:val="24"/>
          <w:highlight w:val="none"/>
          <w:lang w:val="en-US" w:eastAsia="zh-CN"/>
        </w:rPr>
        <w:t>设施</w:t>
      </w:r>
      <w:r>
        <w:rPr>
          <w:rFonts w:hint="eastAsia" w:ascii="Times New Roman" w:hAnsi="Times New Roman" w:eastAsia="宋体" w:cs="宋体"/>
          <w:color w:val="auto"/>
          <w:sz w:val="24"/>
          <w:szCs w:val="24"/>
          <w:highlight w:val="none"/>
        </w:rPr>
        <w:t>、排水沟、防淹门或挡板等防止客水进入</w:t>
      </w:r>
      <w:r>
        <w:rPr>
          <w:rFonts w:hint="eastAsia" w:ascii="Times New Roman" w:hAnsi="Times New Roman" w:eastAsia="宋体" w:cs="宋体"/>
          <w:color w:val="auto"/>
          <w:sz w:val="24"/>
          <w:szCs w:val="24"/>
          <w:highlight w:val="none"/>
          <w:lang w:val="en-US" w:eastAsia="zh-CN"/>
        </w:rPr>
        <w:t>的</w:t>
      </w:r>
      <w:r>
        <w:rPr>
          <w:rFonts w:hint="eastAsia" w:ascii="Times New Roman" w:hAnsi="Times New Roman" w:eastAsia="宋体" w:cs="宋体"/>
          <w:color w:val="auto"/>
          <w:sz w:val="24"/>
          <w:szCs w:val="24"/>
          <w:highlight w:val="none"/>
        </w:rPr>
        <w:t>措施。</w:t>
      </w:r>
    </w:p>
    <w:p w14:paraId="197797B9">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5.5.4</w:t>
      </w:r>
      <w:r>
        <w:rPr>
          <w:rFonts w:hint="eastAsia" w:ascii="Times New Roman" w:hAnsi="Times New Roman" w:eastAsia="宋体" w:cs="宋体"/>
          <w:color w:val="auto"/>
          <w:sz w:val="24"/>
          <w:szCs w:val="24"/>
          <w:highlight w:val="none"/>
          <w:lang w:val="en-US" w:eastAsia="zh-CN"/>
        </w:rPr>
        <w:t xml:space="preserve"> </w:t>
      </w:r>
      <w:r>
        <w:rPr>
          <w:rFonts w:hint="eastAsia" w:ascii="Times New Roman" w:hAnsi="Times New Roman" w:eastAsia="宋体" w:cs="宋体"/>
          <w:b w:val="0"/>
          <w:bCs/>
          <w:color w:val="auto"/>
          <w:sz w:val="24"/>
          <w:szCs w:val="24"/>
          <w:highlight w:val="none"/>
          <w:lang w:val="en-US" w:eastAsia="zh-CN"/>
        </w:rPr>
        <w:t>地下空间的出入口应</w:t>
      </w:r>
      <w:r>
        <w:rPr>
          <w:rFonts w:hint="eastAsia" w:ascii="Times New Roman" w:hAnsi="Times New Roman" w:eastAsia="宋体" w:cs="宋体"/>
          <w:color w:val="auto"/>
          <w:sz w:val="24"/>
          <w:szCs w:val="24"/>
          <w:highlight w:val="none"/>
        </w:rPr>
        <w:t>设置反坡，坡顶高程应高于周边地面高程，超高值宜结合</w:t>
      </w:r>
      <w:r>
        <w:rPr>
          <w:rFonts w:hint="eastAsia" w:ascii="Times New Roman" w:hAnsi="Times New Roman" w:eastAsia="宋体" w:cs="宋体"/>
          <w:color w:val="auto"/>
          <w:sz w:val="24"/>
          <w:szCs w:val="24"/>
          <w:highlight w:val="none"/>
          <w:lang w:eastAsia="zh-CN"/>
        </w:rPr>
        <w:t>地下空间</w:t>
      </w:r>
      <w:r>
        <w:rPr>
          <w:rFonts w:hint="eastAsia" w:ascii="Times New Roman" w:hAnsi="Times New Roman" w:eastAsia="宋体" w:cs="宋体"/>
          <w:color w:val="auto"/>
          <w:sz w:val="24"/>
          <w:szCs w:val="24"/>
          <w:highlight w:val="none"/>
        </w:rPr>
        <w:t>结构、接线纵坡、所在区域内涝防治设计重现期等因素综合决定</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且不应低于历史最高淹没水深。</w:t>
      </w:r>
    </w:p>
    <w:p w14:paraId="7FD1B706">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地下交通</w:t>
      </w:r>
      <w:r>
        <w:rPr>
          <w:rFonts w:hint="eastAsia" w:ascii="Times New Roman" w:hAnsi="Times New Roman" w:eastAsia="宋体" w:cs="宋体"/>
          <w:color w:val="000000" w:themeColor="text1"/>
          <w:sz w:val="24"/>
          <w:szCs w:val="24"/>
          <w:lang w:val="en-US" w:eastAsia="zh-CN"/>
          <w14:textFill>
            <w14:solidFill>
              <w14:schemeClr w14:val="tx1"/>
            </w14:solidFill>
          </w14:textFill>
        </w:rPr>
        <w:t>隧道应设置独立的排水系统、积水深度监测和报警装置。</w:t>
      </w:r>
    </w:p>
    <w:p w14:paraId="78301713">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auto"/>
          <w:sz w:val="24"/>
          <w:szCs w:val="24"/>
          <w:highlight w:val="none"/>
          <w:lang w:val="en-US" w:eastAsia="zh-CN"/>
        </w:rPr>
        <w:t xml:space="preserve"> </w:t>
      </w:r>
      <w:r>
        <w:rPr>
          <w:rFonts w:hint="eastAsia" w:ascii="Times New Roman" w:hAnsi="Times New Roman" w:eastAsia="宋体" w:cs="宋体"/>
          <w:b w:val="0"/>
          <w:bCs/>
          <w:color w:val="auto"/>
          <w:sz w:val="24"/>
          <w:szCs w:val="24"/>
          <w:highlight w:val="none"/>
          <w:lang w:val="en-US" w:eastAsia="zh-CN"/>
        </w:rPr>
        <w:t>地下轨道交通</w:t>
      </w:r>
      <w:r>
        <w:rPr>
          <w:rFonts w:hint="eastAsia" w:ascii="Times New Roman" w:hAnsi="Times New Roman" w:eastAsia="宋体" w:cs="宋体"/>
          <w:color w:val="auto"/>
          <w:sz w:val="24"/>
          <w:szCs w:val="24"/>
          <w:highlight w:val="none"/>
        </w:rPr>
        <w:t>雨水管渠</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泵站</w:t>
      </w:r>
      <w:r>
        <w:rPr>
          <w:rFonts w:hint="eastAsia" w:ascii="Times New Roman" w:hAnsi="Times New Roman" w:eastAsia="宋体" w:cs="宋体"/>
          <w:color w:val="auto"/>
          <w:sz w:val="24"/>
          <w:szCs w:val="24"/>
          <w:highlight w:val="none"/>
        </w:rPr>
        <w:t>设计应符合</w:t>
      </w:r>
      <w:r>
        <w:rPr>
          <w:rFonts w:hint="eastAsia" w:ascii="Times New Roman" w:hAnsi="Times New Roman" w:eastAsia="宋体" w:cs="宋体"/>
          <w:color w:val="auto"/>
          <w:sz w:val="24"/>
          <w:szCs w:val="24"/>
          <w:highlight w:val="none"/>
          <w:lang w:eastAsia="zh-CN"/>
        </w:rPr>
        <w:t>《城乡排水工程项目规范》</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GB55027、</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color w:val="auto"/>
          <w:sz w:val="24"/>
          <w:szCs w:val="24"/>
          <w:highlight w:val="none"/>
        </w:rPr>
        <w:t>地铁设计规范》GB50157、《</w:t>
      </w:r>
      <w:r>
        <w:rPr>
          <w:rFonts w:hint="eastAsia" w:ascii="Times New Roman" w:hAnsi="Times New Roman" w:eastAsia="宋体" w:cs="宋体"/>
          <w:color w:val="auto"/>
          <w:sz w:val="24"/>
          <w:szCs w:val="24"/>
          <w:highlight w:val="none"/>
          <w:lang w:val="en-US" w:eastAsia="zh-CN"/>
        </w:rPr>
        <w:t>室外</w:t>
      </w:r>
      <w:r>
        <w:rPr>
          <w:rFonts w:hint="eastAsia" w:ascii="Times New Roman" w:hAnsi="Times New Roman" w:eastAsia="宋体" w:cs="宋体"/>
          <w:color w:val="auto"/>
          <w:sz w:val="24"/>
          <w:szCs w:val="24"/>
          <w:highlight w:val="none"/>
        </w:rPr>
        <w:t>排水设计标准》GB5001</w:t>
      </w:r>
      <w:r>
        <w:rPr>
          <w:rFonts w:hint="eastAsia" w:ascii="Times New Roman" w:hAnsi="Times New Roman" w:eastAsia="宋体" w:cs="宋体"/>
          <w:color w:val="auto"/>
          <w:sz w:val="24"/>
          <w:szCs w:val="24"/>
          <w:highlight w:val="none"/>
          <w:lang w:val="en-US" w:eastAsia="zh-CN"/>
        </w:rPr>
        <w:t>4</w:t>
      </w:r>
      <w:r>
        <w:rPr>
          <w:rFonts w:hint="eastAsia" w:ascii="Times New Roman" w:hAnsi="Times New Roman" w:eastAsia="宋体" w:cs="宋体"/>
          <w:color w:val="auto"/>
          <w:sz w:val="24"/>
          <w:szCs w:val="24"/>
          <w:highlight w:val="none"/>
        </w:rPr>
        <w:t>以及《城市轨道交通给水排水系统技术标准》GB/T51293等标准的相关要求。</w:t>
      </w:r>
    </w:p>
    <w:p w14:paraId="4E8D47A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89"/>
    <w:bookmarkEnd w:id="90"/>
    <w:p w14:paraId="7543D469">
      <w:pPr>
        <w:pStyle w:val="2"/>
        <w:jc w:val="center"/>
        <w:rPr>
          <w:rFonts w:hint="default" w:ascii="Times New Roman" w:hAnsi="Times New Roman" w:eastAsia="宋体" w:cs="宋体"/>
          <w:color w:val="000000" w:themeColor="text1"/>
          <w:sz w:val="32"/>
          <w:szCs w:val="32"/>
          <w:lang w:val="en-US" w:eastAsia="zh-CN"/>
          <w14:textFill>
            <w14:solidFill>
              <w14:schemeClr w14:val="tx1"/>
            </w14:solidFill>
          </w14:textFill>
        </w:rPr>
      </w:pPr>
      <w:bookmarkStart w:id="101" w:name="_Toc1894"/>
      <w:bookmarkStart w:id="102" w:name="_Toc4507"/>
      <w:bookmarkStart w:id="103" w:name="_Toc57819240"/>
      <w:bookmarkStart w:id="104" w:name="_Toc2592"/>
      <w:r>
        <w:rPr>
          <w:rFonts w:hint="eastAsia" w:ascii="Times New Roman" w:hAnsi="Times New Roman" w:eastAsia="宋体" w:cs="宋体"/>
          <w:color w:val="000000" w:themeColor="text1"/>
          <w:sz w:val="32"/>
          <w:szCs w:val="32"/>
          <w:lang w:val="en-US" w:eastAsia="zh-CN"/>
          <w14:textFill>
            <w14:solidFill>
              <w14:schemeClr w14:val="tx1"/>
            </w14:solidFill>
          </w14:textFill>
        </w:rPr>
        <w:t>6 运行维</w:t>
      </w:r>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护</w:t>
      </w:r>
      <w:bookmarkEnd w:id="101"/>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及管理</w:t>
      </w:r>
      <w:bookmarkEnd w:id="102"/>
    </w:p>
    <w:bookmarkEnd w:id="103"/>
    <w:bookmarkEnd w:id="104"/>
    <w:p w14:paraId="073696F7">
      <w:pPr>
        <w:pStyle w:val="4"/>
        <w:spacing w:beforeLines="0" w:after="156" w:afterLines="50"/>
        <w:jc w:val="center"/>
        <w:rPr>
          <w:rFonts w:hint="eastAsia" w:ascii="Times New Roman" w:hAnsi="Times New Roman" w:eastAsia="宋体" w:cs="宋体"/>
          <w:color w:val="000000" w:themeColor="text1"/>
          <w:sz w:val="28"/>
          <w:szCs w:val="28"/>
          <w14:textFill>
            <w14:solidFill>
              <w14:schemeClr w14:val="tx1"/>
            </w14:solidFill>
          </w14:textFill>
        </w:rPr>
      </w:pPr>
      <w:bookmarkStart w:id="105" w:name="_Toc31881"/>
      <w:r>
        <w:rPr>
          <w:rFonts w:hint="eastAsia" w:ascii="Times New Roman" w:hAnsi="Times New Roman" w:eastAsia="宋体" w:cs="宋体"/>
          <w:color w:val="000000" w:themeColor="text1"/>
          <w:sz w:val="28"/>
          <w:szCs w:val="28"/>
          <w:lang w:val="en-US" w:eastAsia="zh-CN"/>
          <w14:textFill>
            <w14:solidFill>
              <w14:schemeClr w14:val="tx1"/>
            </w14:solidFill>
          </w14:textFill>
        </w:rPr>
        <w:t>6</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105"/>
    </w:p>
    <w:p w14:paraId="52CD6837">
      <w:pPr>
        <w:spacing w:line="360" w:lineRule="auto"/>
        <w:rPr>
          <w:rFonts w:hint="default" w:ascii="Times New Roman" w:hAnsi="Times New Roman" w:eastAsia="宋体" w:cs="宋体"/>
          <w:b/>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14:textFill>
            <w14:solidFill>
              <w14:schemeClr w14:val="tx1"/>
            </w14:solidFill>
          </w14:textFill>
        </w:rPr>
        <w:t>.1.1</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城镇内涝防治系统</w:t>
      </w:r>
      <w:r>
        <w:rPr>
          <w:rFonts w:hint="eastAsia" w:ascii="Times New Roman" w:hAnsi="Times New Roman" w:eastAsia="宋体" w:cs="宋体"/>
          <w:color w:val="000000" w:themeColor="text1"/>
          <w:sz w:val="24"/>
          <w:szCs w:val="24"/>
          <w:lang w:val="en-US" w:eastAsia="zh-CN"/>
          <w14:textFill>
            <w14:solidFill>
              <w14:schemeClr w14:val="tx1"/>
            </w14:solidFill>
          </w14:textFill>
        </w:rPr>
        <w:t>的运行维护应统筹源头减排设施、排水管渠设施和排涝除险设施，由市政排水、道路交通、园林绿地和城市防洪等多系统共同组成。</w:t>
      </w:r>
    </w:p>
    <w:p w14:paraId="1AC275A8">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14:textFill>
            <w14:solidFill>
              <w14:schemeClr w14:val="tx1"/>
            </w14:solidFill>
          </w14:textFill>
        </w:rPr>
        <w:t>.1</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宋体"/>
          <w:color w:val="000000" w:themeColor="text1"/>
          <w:sz w:val="24"/>
          <w:szCs w:val="24"/>
          <w14:textFill>
            <w14:solidFill>
              <w14:schemeClr w14:val="tx1"/>
            </w14:solidFill>
          </w14:textFill>
        </w:rPr>
        <w:t>城镇内涝</w:t>
      </w:r>
      <w:r>
        <w:rPr>
          <w:rFonts w:hint="eastAsia" w:ascii="Times New Roman" w:hAnsi="Times New Roman" w:eastAsia="宋体" w:cs="宋体"/>
          <w:color w:val="000000" w:themeColor="text1"/>
          <w:sz w:val="24"/>
          <w:szCs w:val="24"/>
          <w:lang w:val="en-US" w:eastAsia="zh-CN"/>
          <w14:textFill>
            <w14:solidFill>
              <w14:schemeClr w14:val="tx1"/>
            </w14:solidFill>
          </w14:textFill>
        </w:rPr>
        <w:t>防治</w:t>
      </w:r>
      <w:r>
        <w:rPr>
          <w:rFonts w:hint="eastAsia" w:ascii="Times New Roman" w:hAnsi="Times New Roman" w:eastAsia="宋体" w:cs="宋体"/>
          <w:color w:val="000000" w:themeColor="text1"/>
          <w:sz w:val="24"/>
          <w:szCs w:val="24"/>
          <w14:textFill>
            <w14:solidFill>
              <w14:schemeClr w14:val="tx1"/>
            </w14:solidFill>
          </w14:textFill>
        </w:rPr>
        <w:t>系统运行维护应建立运行管理制度、岗位操作制度、设施设备维护制度和事故应急预案并定期修订。</w:t>
      </w:r>
    </w:p>
    <w:p w14:paraId="46C50165">
      <w:pPr>
        <w:pStyle w:val="4"/>
        <w:spacing w:beforeLines="0" w:after="156" w:afterLines="50"/>
        <w:jc w:val="center"/>
        <w:rPr>
          <w:rFonts w:hint="eastAsia" w:ascii="Times New Roman" w:hAnsi="Times New Roman" w:eastAsia="宋体" w:cs="宋体"/>
          <w:color w:val="000000" w:themeColor="text1"/>
          <w:sz w:val="28"/>
          <w:szCs w:val="28"/>
          <w:lang w:eastAsia="zh-CN"/>
          <w14:textFill>
            <w14:solidFill>
              <w14:schemeClr w14:val="tx1"/>
            </w14:solidFill>
          </w14:textFill>
        </w:rPr>
      </w:pPr>
      <w:bookmarkStart w:id="106" w:name="_Toc7904"/>
      <w:bookmarkStart w:id="107" w:name="_Toc16245"/>
      <w:r>
        <w:rPr>
          <w:rFonts w:hint="eastAsia" w:ascii="Times New Roman" w:hAnsi="Times New Roman" w:eastAsia="宋体" w:cs="宋体"/>
          <w:color w:val="000000" w:themeColor="text1"/>
          <w:sz w:val="28"/>
          <w:szCs w:val="28"/>
          <w:lang w:val="en-US" w:eastAsia="zh-CN"/>
          <w14:textFill>
            <w14:solidFill>
              <w14:schemeClr w14:val="tx1"/>
            </w14:solidFill>
          </w14:textFill>
        </w:rPr>
        <w:t>6</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2 日常维护</w:t>
      </w:r>
      <w:bookmarkEnd w:id="106"/>
      <w:bookmarkEnd w:id="107"/>
    </w:p>
    <w:p w14:paraId="77FB8D33">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2</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1 </w:t>
      </w:r>
      <w:r>
        <w:rPr>
          <w:rFonts w:hint="eastAsia" w:ascii="Times New Roman" w:hAnsi="Times New Roman" w:eastAsia="宋体" w:cs="宋体"/>
          <w:color w:val="000000" w:themeColor="text1"/>
          <w:sz w:val="24"/>
          <w:szCs w:val="24"/>
          <w14:textFill>
            <w14:solidFill>
              <w14:schemeClr w14:val="tx1"/>
            </w14:solidFill>
          </w14:textFill>
        </w:rPr>
        <w:t>内涝防治设施的维护作业应符合国家现行标准《城镇雨水调蓄工程技术规范》 GB51174、《城镇排水管渠与泵站运行、维护及安全技术规程》 CJJ68的相关规定。</w:t>
      </w:r>
    </w:p>
    <w:p w14:paraId="08F6992F">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highlight w:val="none"/>
          <w14:textFill>
            <w14:solidFill>
              <w14:schemeClr w14:val="tx1"/>
            </w14:solidFill>
          </w14:textFill>
        </w:rPr>
        <w:t>.2.</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2 </w:t>
      </w:r>
      <w:r>
        <w:rPr>
          <w:rFonts w:hint="eastAsia" w:ascii="Times New Roman" w:hAnsi="Times New Roman" w:eastAsia="宋体" w:cs="宋体"/>
          <w:color w:val="000000" w:themeColor="text1"/>
          <w:sz w:val="24"/>
          <w:szCs w:val="24"/>
          <w:highlight w:val="none"/>
          <w14:textFill>
            <w14:solidFill>
              <w14:schemeClr w14:val="tx1"/>
            </w14:solidFill>
          </w14:textFill>
        </w:rPr>
        <w:t>各项城镇内涝</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防治</w:t>
      </w:r>
      <w:r>
        <w:rPr>
          <w:rFonts w:hint="eastAsia" w:ascii="Times New Roman" w:hAnsi="Times New Roman" w:eastAsia="宋体" w:cs="宋体"/>
          <w:color w:val="auto"/>
          <w:sz w:val="24"/>
          <w:szCs w:val="24"/>
          <w:highlight w:val="none"/>
        </w:rPr>
        <w:t>设施</w:t>
      </w:r>
      <w:r>
        <w:rPr>
          <w:rFonts w:hint="eastAsia" w:ascii="Times New Roman" w:hAnsi="Times New Roman" w:eastAsia="宋体" w:cs="宋体"/>
          <w:color w:val="000000" w:themeColor="text1"/>
          <w:sz w:val="24"/>
          <w:szCs w:val="24"/>
          <w:highlight w:val="none"/>
          <w14:textFill>
            <w14:solidFill>
              <w14:schemeClr w14:val="tx1"/>
            </w14:solidFill>
          </w14:textFill>
        </w:rPr>
        <w:t>应</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开展专业化运行</w:t>
      </w:r>
      <w:r>
        <w:rPr>
          <w:rFonts w:hint="eastAsia" w:ascii="Times New Roman" w:hAnsi="Times New Roman" w:eastAsia="宋体" w:cs="宋体"/>
          <w:color w:val="000000" w:themeColor="text1"/>
          <w:sz w:val="24"/>
          <w:szCs w:val="24"/>
          <w:highlight w:val="none"/>
          <w14:textFill>
            <w14:solidFill>
              <w14:schemeClr w14:val="tx1"/>
            </w14:solidFill>
          </w14:textFill>
        </w:rPr>
        <w:t>和维护管理</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000000" w:themeColor="text1"/>
          <w:sz w:val="24"/>
          <w:szCs w:val="24"/>
          <w:highlight w:val="none"/>
          <w14:textFill>
            <w14:solidFill>
              <w14:schemeClr w14:val="tx1"/>
            </w14:solidFill>
          </w14:textFill>
        </w:rPr>
        <w:t>根据设施重要程度和</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内涝风险等级</w:t>
      </w:r>
      <w:r>
        <w:rPr>
          <w:rFonts w:hint="eastAsia" w:ascii="Times New Roman" w:hAnsi="Times New Roman" w:eastAsia="宋体" w:cs="宋体"/>
          <w:color w:val="000000" w:themeColor="text1"/>
          <w:sz w:val="24"/>
          <w:szCs w:val="24"/>
          <w:highlight w:val="none"/>
          <w14:textFill>
            <w14:solidFill>
              <w14:schemeClr w14:val="tx1"/>
            </w14:solidFill>
          </w14:textFill>
        </w:rPr>
        <w:t>制定</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包含运行、巡视、养护、维修以及突发事件处理处置的管理制度，建立档案记录并进行统计分析</w:t>
      </w:r>
      <w:r>
        <w:rPr>
          <w:rFonts w:hint="eastAsia" w:ascii="Times New Roman" w:hAnsi="Times New Roman" w:eastAsia="宋体" w:cs="宋体"/>
          <w:color w:val="000000" w:themeColor="text1"/>
          <w:sz w:val="24"/>
          <w:szCs w:val="24"/>
          <w:highlight w:val="none"/>
          <w14:textFill>
            <w14:solidFill>
              <w14:schemeClr w14:val="tx1"/>
            </w14:solidFill>
          </w14:textFill>
        </w:rPr>
        <w:t>。</w:t>
      </w:r>
    </w:p>
    <w:p w14:paraId="5E98A862">
      <w:pPr>
        <w:spacing w:line="360" w:lineRule="auto"/>
        <w:rPr>
          <w:rFonts w:hint="eastAsia" w:ascii="Times New Roman" w:hAnsi="Times New Roman" w:eastAsia="宋体" w:cs="宋体"/>
          <w:color w:val="000000" w:themeColor="text1"/>
          <w:sz w:val="24"/>
          <w:szCs w:val="24"/>
          <w:highlight w:val="cyan"/>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14:textFill>
            <w14:solidFill>
              <w14:schemeClr w14:val="tx1"/>
            </w14:solidFill>
          </w14:textFill>
        </w:rPr>
        <w:t>.2.3</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汛前和汛期应对中</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高风险等级区域的排水管渠、泵站、行泄通道和排放口附近的在建项目进行巡查，存在内涝隐患时应及时采取整治措施，短期不能消除时，应采取临时工程或管理措施避免内涝</w:t>
      </w:r>
      <w:r>
        <w:rPr>
          <w:rFonts w:hint="eastAsia" w:ascii="Times New Roman" w:hAnsi="Times New Roman" w:eastAsia="宋体" w:cs="宋体"/>
          <w:color w:val="000000" w:themeColor="text1"/>
          <w:sz w:val="24"/>
          <w:szCs w:val="24"/>
          <w:lang w:val="en-US" w:eastAsia="zh-CN"/>
          <w14:textFill>
            <w14:solidFill>
              <w14:schemeClr w14:val="tx1"/>
            </w14:solidFill>
          </w14:textFill>
        </w:rPr>
        <w:t>灾害</w:t>
      </w:r>
      <w:r>
        <w:rPr>
          <w:rFonts w:hint="eastAsia" w:ascii="Times New Roman" w:hAnsi="Times New Roman" w:eastAsia="宋体" w:cs="宋体"/>
          <w:color w:val="000000" w:themeColor="text1"/>
          <w:sz w:val="24"/>
          <w:szCs w:val="24"/>
          <w14:textFill>
            <w14:solidFill>
              <w14:schemeClr w14:val="tx1"/>
            </w14:solidFill>
          </w14:textFill>
        </w:rPr>
        <w:t>。</w:t>
      </w:r>
    </w:p>
    <w:p w14:paraId="2ECCADD1">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4 </w:t>
      </w:r>
      <w:r>
        <w:rPr>
          <w:rFonts w:hint="eastAsia" w:ascii="Times New Roman" w:hAnsi="Times New Roman" w:eastAsia="宋体" w:cs="宋体"/>
          <w:color w:val="000000" w:themeColor="text1"/>
          <w:sz w:val="24"/>
          <w:szCs w:val="24"/>
          <w:lang w:val="en-US" w:eastAsia="zh-CN"/>
          <w14:textFill>
            <w14:solidFill>
              <w14:schemeClr w14:val="tx1"/>
            </w14:solidFill>
          </w14:textFill>
        </w:rPr>
        <w:t>承担城镇排涝功能的河湖水系应统一调度，应在暴雨前预先降低水位</w:t>
      </w:r>
      <w:r>
        <w:rPr>
          <w:rFonts w:hint="eastAsia"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暴雨后应</w:t>
      </w:r>
      <w:r>
        <w:rPr>
          <w:rFonts w:hint="eastAsia" w:ascii="Times New Roman" w:hAnsi="Times New Roman" w:eastAsia="宋体" w:cs="宋体"/>
          <w:color w:val="000000" w:themeColor="text1"/>
          <w:sz w:val="24"/>
          <w:szCs w:val="24"/>
          <w14:textFill>
            <w14:solidFill>
              <w14:schemeClr w14:val="tx1"/>
            </w14:solidFill>
          </w14:textFill>
        </w:rPr>
        <w:t>在24h内将水位排至预降水位以下。</w:t>
      </w:r>
    </w:p>
    <w:p w14:paraId="0982B7C2">
      <w:pPr>
        <w:spacing w:line="360" w:lineRule="auto"/>
        <w:rPr>
          <w:rFonts w:hint="default"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 xml:space="preserve">6.2.5 </w:t>
      </w:r>
      <w:r>
        <w:rPr>
          <w:rFonts w:hint="eastAsia" w:ascii="Times New Roman" w:hAnsi="Times New Roman" w:eastAsia="宋体" w:cs="宋体"/>
          <w:b w:val="0"/>
          <w:bCs w:val="0"/>
          <w:color w:val="auto"/>
          <w:sz w:val="24"/>
          <w:szCs w:val="24"/>
          <w:highlight w:val="none"/>
          <w:lang w:val="en-US" w:eastAsia="zh-CN"/>
        </w:rPr>
        <w:t>城镇排水管渠应定期进行进行维护保养、整改或更新。</w:t>
      </w:r>
      <w:r>
        <w:rPr>
          <w:rFonts w:hint="eastAsia" w:ascii="Times New Roman" w:hAnsi="Times New Roman" w:eastAsia="宋体" w:cs="宋体"/>
          <w:b w:val="0"/>
          <w:bCs w:val="0"/>
          <w:color w:val="auto"/>
          <w:sz w:val="24"/>
          <w:szCs w:val="24"/>
          <w:lang w:val="en-US" w:eastAsia="zh-CN"/>
        </w:rPr>
        <w:t>管渠、检查井和雨水口的养护频率不应低于表6.2.5的规定。</w:t>
      </w:r>
    </w:p>
    <w:p w14:paraId="07EB5B86">
      <w:pPr>
        <w:adjustRightInd w:val="0"/>
        <w:snapToGrid w:val="0"/>
        <w:spacing w:line="360" w:lineRule="auto"/>
        <w:jc w:val="center"/>
        <w:rPr>
          <w:rFonts w:hint="eastAsia" w:ascii="Times New Roman" w:hAnsi="Times New Roman" w:eastAsia="宋体" w:cs="宋体"/>
          <w:b/>
          <w:bCs w:val="0"/>
          <w:color w:val="auto"/>
          <w:sz w:val="21"/>
          <w:szCs w:val="21"/>
          <w:lang w:val="en-US" w:eastAsia="zh-CN"/>
        </w:rPr>
      </w:pPr>
      <w:r>
        <w:rPr>
          <w:rFonts w:hint="eastAsia" w:ascii="Times New Roman" w:hAnsi="Times New Roman" w:eastAsia="宋体" w:cs="宋体"/>
          <w:b/>
          <w:bCs w:val="0"/>
          <w:color w:val="auto"/>
          <w:sz w:val="21"/>
          <w:szCs w:val="21"/>
          <w:lang w:val="en-US" w:eastAsia="zh-CN"/>
        </w:rPr>
        <w:t>表6.2.5 雨水、合流管渠、检查井和雨水口的养护频率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801"/>
        <w:gridCol w:w="1335"/>
        <w:gridCol w:w="3588"/>
      </w:tblGrid>
      <w:tr w14:paraId="1CDA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774" w:type="dxa"/>
            <w:gridSpan w:val="2"/>
            <w:tcBorders>
              <w:top w:val="single" w:color="auto" w:sz="12" w:space="0"/>
              <w:left w:val="single" w:color="auto" w:sz="12" w:space="0"/>
            </w:tcBorders>
            <w:vAlign w:val="center"/>
          </w:tcPr>
          <w:p w14:paraId="61E1D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设施名称</w:t>
            </w:r>
          </w:p>
        </w:tc>
        <w:tc>
          <w:tcPr>
            <w:tcW w:w="1383" w:type="dxa"/>
            <w:tcBorders>
              <w:top w:val="single" w:color="auto" w:sz="12" w:space="0"/>
            </w:tcBorders>
            <w:vAlign w:val="center"/>
          </w:tcPr>
          <w:p w14:paraId="0616C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频率</w:t>
            </w:r>
          </w:p>
          <w:p w14:paraId="6DE6F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（次/年）</w:t>
            </w:r>
          </w:p>
        </w:tc>
        <w:tc>
          <w:tcPr>
            <w:tcW w:w="3791" w:type="dxa"/>
            <w:tcBorders>
              <w:top w:val="single" w:color="auto" w:sz="12" w:space="0"/>
              <w:right w:val="single" w:color="auto" w:sz="12" w:space="0"/>
            </w:tcBorders>
            <w:vAlign w:val="center"/>
          </w:tcPr>
          <w:p w14:paraId="7C9467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备注</w:t>
            </w:r>
          </w:p>
        </w:tc>
      </w:tr>
      <w:tr w14:paraId="0EFD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4" w:type="dxa"/>
            <w:gridSpan w:val="2"/>
            <w:tcBorders>
              <w:left w:val="single" w:color="auto" w:sz="12" w:space="0"/>
            </w:tcBorders>
            <w:vAlign w:val="center"/>
          </w:tcPr>
          <w:p w14:paraId="04D41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小型管道D&lt;600/</w:t>
            </w:r>
          </w:p>
          <w:p w14:paraId="01E5E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A＜0.283m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小型渠箱</w:t>
            </w:r>
          </w:p>
        </w:tc>
        <w:tc>
          <w:tcPr>
            <w:tcW w:w="1383" w:type="dxa"/>
            <w:vAlign w:val="center"/>
          </w:tcPr>
          <w:p w14:paraId="75071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w:t>
            </w:r>
          </w:p>
        </w:tc>
        <w:tc>
          <w:tcPr>
            <w:tcW w:w="3791" w:type="dxa"/>
            <w:tcBorders>
              <w:right w:val="single" w:color="auto" w:sz="12" w:space="0"/>
            </w:tcBorders>
            <w:vAlign w:val="center"/>
          </w:tcPr>
          <w:p w14:paraId="048CD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汛前、汛中、汛后各清疏1次</w:t>
            </w:r>
          </w:p>
        </w:tc>
      </w:tr>
      <w:tr w14:paraId="2EC3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4" w:type="dxa"/>
            <w:gridSpan w:val="2"/>
            <w:tcBorders>
              <w:left w:val="single" w:color="auto" w:sz="12" w:space="0"/>
            </w:tcBorders>
            <w:vAlign w:val="center"/>
          </w:tcPr>
          <w:p w14:paraId="5751E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中型管道600≤D≤1000/</w:t>
            </w:r>
          </w:p>
          <w:p w14:paraId="7F8CE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0.283m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≤A≤0.785m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中型渠箱</w:t>
            </w:r>
          </w:p>
        </w:tc>
        <w:tc>
          <w:tcPr>
            <w:tcW w:w="1383" w:type="dxa"/>
            <w:vAlign w:val="center"/>
          </w:tcPr>
          <w:p w14:paraId="241CB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1.5</w:t>
            </w:r>
          </w:p>
        </w:tc>
        <w:tc>
          <w:tcPr>
            <w:tcW w:w="3791" w:type="dxa"/>
            <w:tcBorders>
              <w:right w:val="single" w:color="auto" w:sz="12" w:space="0"/>
            </w:tcBorders>
            <w:vAlign w:val="center"/>
          </w:tcPr>
          <w:p w14:paraId="72983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汛前清疏1次，其他时间视淤积情况清理50%长度的管道</w:t>
            </w:r>
          </w:p>
        </w:tc>
      </w:tr>
      <w:tr w14:paraId="0151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4" w:type="dxa"/>
            <w:gridSpan w:val="2"/>
            <w:tcBorders>
              <w:left w:val="single" w:color="auto" w:sz="12" w:space="0"/>
            </w:tcBorders>
            <w:vAlign w:val="center"/>
          </w:tcPr>
          <w:p w14:paraId="68C5E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大型1000≤D≤1500/</w:t>
            </w:r>
          </w:p>
          <w:p w14:paraId="1EA40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0.785m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＜A≤1.766m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大型渠箱</w:t>
            </w:r>
          </w:p>
        </w:tc>
        <w:tc>
          <w:tcPr>
            <w:tcW w:w="1383" w:type="dxa"/>
            <w:vAlign w:val="center"/>
          </w:tcPr>
          <w:p w14:paraId="53F64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w:t>
            </w:r>
          </w:p>
        </w:tc>
        <w:tc>
          <w:tcPr>
            <w:tcW w:w="3791" w:type="dxa"/>
            <w:tcBorders>
              <w:right w:val="single" w:color="auto" w:sz="12" w:space="0"/>
            </w:tcBorders>
            <w:vAlign w:val="center"/>
          </w:tcPr>
          <w:p w14:paraId="10685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平均每年清疏1次</w:t>
            </w:r>
          </w:p>
        </w:tc>
      </w:tr>
      <w:tr w14:paraId="4FEE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4" w:type="dxa"/>
            <w:gridSpan w:val="2"/>
            <w:tcBorders>
              <w:left w:val="single" w:color="auto" w:sz="12" w:space="0"/>
            </w:tcBorders>
            <w:vAlign w:val="center"/>
          </w:tcPr>
          <w:p w14:paraId="0DF889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特大型D＞1500/</w:t>
            </w:r>
          </w:p>
          <w:p w14:paraId="64C315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A＞1.766m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特大型渠箱</w:t>
            </w:r>
          </w:p>
        </w:tc>
        <w:tc>
          <w:tcPr>
            <w:tcW w:w="1383" w:type="dxa"/>
            <w:vAlign w:val="center"/>
          </w:tcPr>
          <w:p w14:paraId="7190EA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0.5</w:t>
            </w:r>
          </w:p>
        </w:tc>
        <w:tc>
          <w:tcPr>
            <w:tcW w:w="3791" w:type="dxa"/>
            <w:tcBorders>
              <w:right w:val="single" w:color="auto" w:sz="12" w:space="0"/>
            </w:tcBorders>
            <w:vAlign w:val="center"/>
          </w:tcPr>
          <w:p w14:paraId="4D28CD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平均每两年清疏1次</w:t>
            </w:r>
          </w:p>
        </w:tc>
      </w:tr>
      <w:tr w14:paraId="4CA0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4" w:type="dxa"/>
            <w:gridSpan w:val="2"/>
            <w:tcBorders>
              <w:left w:val="single" w:color="auto" w:sz="12" w:space="0"/>
            </w:tcBorders>
            <w:vAlign w:val="center"/>
          </w:tcPr>
          <w:p w14:paraId="08536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检查井</w:t>
            </w:r>
          </w:p>
        </w:tc>
        <w:tc>
          <w:tcPr>
            <w:tcW w:w="1383" w:type="dxa"/>
            <w:vAlign w:val="center"/>
          </w:tcPr>
          <w:p w14:paraId="7C7B7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w:t>
            </w:r>
          </w:p>
        </w:tc>
        <w:tc>
          <w:tcPr>
            <w:tcW w:w="3791" w:type="dxa"/>
            <w:tcBorders>
              <w:right w:val="single" w:color="auto" w:sz="12" w:space="0"/>
            </w:tcBorders>
            <w:vAlign w:val="center"/>
          </w:tcPr>
          <w:p w14:paraId="59351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汛前、汛中、汛后各清疏1次，其他时间清疏1次</w:t>
            </w:r>
          </w:p>
        </w:tc>
      </w:tr>
      <w:tr w14:paraId="7B02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4" w:type="dxa"/>
            <w:vMerge w:val="restart"/>
            <w:tcBorders>
              <w:left w:val="single" w:color="auto" w:sz="12" w:space="0"/>
            </w:tcBorders>
            <w:vAlign w:val="center"/>
          </w:tcPr>
          <w:p w14:paraId="7E225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雨水口</w:t>
            </w:r>
          </w:p>
        </w:tc>
        <w:tc>
          <w:tcPr>
            <w:tcW w:w="2950" w:type="dxa"/>
            <w:vAlign w:val="center"/>
          </w:tcPr>
          <w:p w14:paraId="543F0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一般区域</w:t>
            </w:r>
          </w:p>
        </w:tc>
        <w:tc>
          <w:tcPr>
            <w:tcW w:w="1383" w:type="dxa"/>
            <w:vAlign w:val="center"/>
          </w:tcPr>
          <w:p w14:paraId="00E25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6</w:t>
            </w:r>
          </w:p>
        </w:tc>
        <w:tc>
          <w:tcPr>
            <w:tcW w:w="3791" w:type="dxa"/>
            <w:tcBorders>
              <w:right w:val="single" w:color="auto" w:sz="12" w:space="0"/>
            </w:tcBorders>
            <w:vAlign w:val="center"/>
          </w:tcPr>
          <w:p w14:paraId="788B6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平均每两个月清疏1次</w:t>
            </w:r>
          </w:p>
        </w:tc>
      </w:tr>
      <w:tr w14:paraId="408F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4" w:type="dxa"/>
            <w:vMerge w:val="continue"/>
            <w:tcBorders>
              <w:left w:val="single" w:color="auto" w:sz="12" w:space="0"/>
              <w:bottom w:val="single" w:color="auto" w:sz="12" w:space="0"/>
            </w:tcBorders>
            <w:vAlign w:val="center"/>
          </w:tcPr>
          <w:p w14:paraId="3EB43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p>
        </w:tc>
        <w:tc>
          <w:tcPr>
            <w:tcW w:w="2950" w:type="dxa"/>
            <w:tcBorders>
              <w:bottom w:val="single" w:color="auto" w:sz="12" w:space="0"/>
            </w:tcBorders>
            <w:vAlign w:val="center"/>
          </w:tcPr>
          <w:p w14:paraId="6CD684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重要区域（中高风险等级区域、农贸市场周边、餐饮类密集排水户周边、在建工地周边）</w:t>
            </w:r>
          </w:p>
        </w:tc>
        <w:tc>
          <w:tcPr>
            <w:tcW w:w="1383" w:type="dxa"/>
            <w:tcBorders>
              <w:bottom w:val="single" w:color="auto" w:sz="12" w:space="0"/>
            </w:tcBorders>
            <w:vAlign w:val="center"/>
          </w:tcPr>
          <w:p w14:paraId="5824A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8</w:t>
            </w:r>
          </w:p>
        </w:tc>
        <w:tc>
          <w:tcPr>
            <w:tcW w:w="3791" w:type="dxa"/>
            <w:tcBorders>
              <w:bottom w:val="single" w:color="auto" w:sz="12" w:space="0"/>
              <w:right w:val="single" w:color="auto" w:sz="12" w:space="0"/>
            </w:tcBorders>
            <w:vAlign w:val="center"/>
          </w:tcPr>
          <w:p w14:paraId="77B2E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汛期每月清疏一次，其他时间每季清疏1次</w:t>
            </w:r>
          </w:p>
        </w:tc>
      </w:tr>
    </w:tbl>
    <w:p w14:paraId="10802434">
      <w:pPr>
        <w:spacing w:line="360" w:lineRule="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注：</w:t>
      </w:r>
      <w:r>
        <w:rPr>
          <w:rFonts w:hint="eastAsia" w:ascii="Times New Roman" w:hAnsi="Times New Roman" w:eastAsia="宋体" w:cs="宋体"/>
          <w:b/>
          <w:bCs/>
          <w:color w:val="auto"/>
          <w:sz w:val="21"/>
          <w:szCs w:val="21"/>
          <w:lang w:val="en-US" w:eastAsia="zh-CN"/>
        </w:rPr>
        <w:t>1</w:t>
      </w:r>
      <w:r>
        <w:rPr>
          <w:rFonts w:hint="eastAsia" w:ascii="Times New Roman" w:hAnsi="Times New Roman" w:eastAsia="宋体" w:cs="宋体"/>
          <w:color w:val="auto"/>
          <w:sz w:val="21"/>
          <w:szCs w:val="21"/>
          <w:lang w:val="en-US" w:eastAsia="zh-CN"/>
        </w:rPr>
        <w:t xml:space="preserve"> 当排水管渠位于内涝风险区域、地势低洼处、居民居住密集的旧城区以及在建工地周边应增加管养频率；</w:t>
      </w:r>
    </w:p>
    <w:p w14:paraId="66E0911D">
      <w:pPr>
        <w:spacing w:line="360" w:lineRule="auto"/>
        <w:ind w:firstLine="422" w:firstLineChars="200"/>
        <w:rPr>
          <w:rFonts w:hint="default" w:ascii="Times New Roman" w:hAnsi="Times New Roman" w:eastAsia="宋体" w:cs="宋体"/>
          <w:b w:val="0"/>
          <w:bCs w:val="0"/>
          <w:color w:val="auto"/>
          <w:sz w:val="21"/>
          <w:szCs w:val="21"/>
          <w:lang w:val="en-US" w:eastAsia="zh-CN"/>
        </w:rPr>
      </w:pPr>
      <w:r>
        <w:rPr>
          <w:rFonts w:hint="eastAsia" w:ascii="Times New Roman" w:hAnsi="Times New Roman" w:eastAsia="宋体" w:cs="宋体"/>
          <w:b/>
          <w:bCs/>
          <w:color w:val="auto"/>
          <w:sz w:val="21"/>
          <w:szCs w:val="21"/>
          <w:lang w:val="en-US" w:eastAsia="zh-CN"/>
        </w:rPr>
        <w:t>2</w:t>
      </w:r>
      <w:r>
        <w:rPr>
          <w:rFonts w:hint="eastAsia" w:ascii="Times New Roman" w:hAnsi="Times New Roman" w:eastAsia="宋体" w:cs="宋体"/>
          <w:b w:val="0"/>
          <w:bCs w:val="0"/>
          <w:color w:val="auto"/>
          <w:sz w:val="21"/>
          <w:szCs w:val="21"/>
          <w:lang w:val="en-US" w:eastAsia="zh-CN"/>
        </w:rPr>
        <w:t xml:space="preserve"> 渠箱包含明渠和暗渠。</w:t>
      </w:r>
    </w:p>
    <w:p w14:paraId="098F5920">
      <w:pPr>
        <w:spacing w:line="360" w:lineRule="auto"/>
        <w:rPr>
          <w:rFonts w:hint="eastAsia" w:ascii="Times New Roman" w:hAnsi="Times New Roman" w:eastAsia="宋体" w:cs="宋体"/>
          <w:b/>
          <w:bCs/>
          <w:color w:val="FF0000"/>
          <w:sz w:val="24"/>
          <w:szCs w:val="24"/>
          <w:highlight w:val="none"/>
          <w:lang w:val="en-US" w:eastAsia="zh-CN"/>
        </w:rPr>
      </w:pPr>
      <w:r>
        <w:rPr>
          <w:rFonts w:hint="eastAsia" w:ascii="Times New Roman" w:hAnsi="Times New Roman" w:eastAsia="宋体" w:cs="宋体"/>
          <w:b/>
          <w:color w:val="auto"/>
          <w:sz w:val="24"/>
          <w:szCs w:val="24"/>
          <w:lang w:val="en-US" w:eastAsia="zh-CN"/>
        </w:rPr>
        <w:t>6.2.6</w:t>
      </w:r>
      <w:r>
        <w:rPr>
          <w:rFonts w:hint="eastAsia" w:ascii="Times New Roman" w:hAnsi="Times New Roman" w:eastAsia="宋体" w:cs="宋体"/>
          <w:color w:val="auto"/>
          <w:sz w:val="24"/>
          <w:szCs w:val="24"/>
          <w:lang w:val="en-US" w:eastAsia="zh-CN"/>
        </w:rPr>
        <w:t xml:space="preserve"> 排水管渠检查宜</w:t>
      </w:r>
      <w:r>
        <w:rPr>
          <w:rFonts w:hint="eastAsia" w:ascii="Times New Roman" w:hAnsi="Times New Roman" w:eastAsia="宋体" w:cs="宋体"/>
          <w:color w:val="auto"/>
          <w:sz w:val="24"/>
          <w:szCs w:val="24"/>
          <w:highlight w:val="none"/>
          <w:lang w:val="en-US" w:eastAsia="zh-CN"/>
        </w:rPr>
        <w:t>采用</w:t>
      </w:r>
      <w:r>
        <w:rPr>
          <w:rFonts w:hint="eastAsia" w:ascii="Times New Roman" w:hAnsi="Times New Roman" w:eastAsia="宋体" w:cs="宋体"/>
          <w:color w:val="auto"/>
          <w:sz w:val="24"/>
          <w:szCs w:val="24"/>
          <w:highlight w:val="none"/>
          <w:vertAlign w:val="baseline"/>
          <w:lang w:val="en-US" w:eastAsia="zh-CN"/>
        </w:rPr>
        <w:t>电视检测、管道潜望镜检测</w:t>
      </w:r>
      <w:r>
        <w:rPr>
          <w:rFonts w:hint="eastAsia" w:ascii="Times New Roman" w:hAnsi="Times New Roman" w:eastAsia="宋体" w:cs="宋体"/>
          <w:color w:val="auto"/>
          <w:sz w:val="24"/>
          <w:szCs w:val="24"/>
          <w:highlight w:val="none"/>
          <w:lang w:val="en-US" w:eastAsia="zh-CN"/>
        </w:rPr>
        <w:t>、声呐检测、量泥斗检测、潜水检查、反光镜检查、水力坡降检查、染色检查和烟雾检查等方法。</w:t>
      </w:r>
      <w:r>
        <w:rPr>
          <w:rFonts w:hint="default" w:ascii="Times New Roman" w:hAnsi="Times New Roman" w:eastAsia="宋体" w:cs="Times New Roman"/>
          <w:color w:val="auto"/>
          <w:sz w:val="24"/>
          <w:szCs w:val="24"/>
          <w:highlight w:val="none"/>
          <w:lang w:val="en-US" w:eastAsia="zh-CN"/>
        </w:rPr>
        <w:t>管渠检查方法及适用范围宜符合表</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.2.6的规定。</w:t>
      </w:r>
    </w:p>
    <w:p w14:paraId="0544DAE1">
      <w:pPr>
        <w:adjustRightInd w:val="0"/>
        <w:snapToGrid w:val="0"/>
        <w:spacing w:line="360" w:lineRule="auto"/>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表</w:t>
      </w:r>
      <w:r>
        <w:rPr>
          <w:rFonts w:hint="eastAsia" w:ascii="Times New Roman" w:hAnsi="Times New Roman" w:eastAsia="宋体" w:cs="Times New Roman"/>
          <w:b/>
          <w:bCs w:val="0"/>
          <w:color w:val="auto"/>
          <w:sz w:val="21"/>
          <w:szCs w:val="21"/>
          <w:highlight w:val="none"/>
          <w:lang w:val="en-US" w:eastAsia="zh-CN"/>
        </w:rPr>
        <w:t>6</w:t>
      </w:r>
      <w:r>
        <w:rPr>
          <w:rFonts w:hint="default" w:ascii="Times New Roman" w:hAnsi="Times New Roman" w:eastAsia="宋体" w:cs="Times New Roman"/>
          <w:b/>
          <w:bCs w:val="0"/>
          <w:color w:val="auto"/>
          <w:sz w:val="21"/>
          <w:szCs w:val="21"/>
          <w:highlight w:val="none"/>
          <w:lang w:val="en-US" w:eastAsia="zh-CN"/>
        </w:rPr>
        <w:t>.2.6 管渠检查方法及适用范围表</w:t>
      </w:r>
    </w:p>
    <w:tbl>
      <w:tblPr>
        <w:tblStyle w:val="1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185"/>
        <w:gridCol w:w="1185"/>
        <w:gridCol w:w="1042"/>
        <w:gridCol w:w="1042"/>
        <w:gridCol w:w="1248"/>
        <w:gridCol w:w="1248"/>
      </w:tblGrid>
      <w:tr w14:paraId="36F7D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749" w:type="dxa"/>
            <w:vAlign w:val="center"/>
          </w:tcPr>
          <w:p w14:paraId="5954AEA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检查方法</w:t>
            </w:r>
          </w:p>
        </w:tc>
        <w:tc>
          <w:tcPr>
            <w:tcW w:w="1185" w:type="dxa"/>
            <w:vAlign w:val="center"/>
          </w:tcPr>
          <w:p w14:paraId="4754391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中小型管渠</w:t>
            </w:r>
          </w:p>
        </w:tc>
        <w:tc>
          <w:tcPr>
            <w:tcW w:w="1185" w:type="dxa"/>
            <w:vAlign w:val="center"/>
          </w:tcPr>
          <w:p w14:paraId="187B6EF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大型及以</w:t>
            </w:r>
          </w:p>
          <w:p w14:paraId="62E49A6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上管渠</w:t>
            </w:r>
          </w:p>
        </w:tc>
        <w:tc>
          <w:tcPr>
            <w:tcW w:w="1042" w:type="dxa"/>
            <w:vAlign w:val="center"/>
          </w:tcPr>
          <w:p w14:paraId="2AC0202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倒虹管</w:t>
            </w:r>
          </w:p>
        </w:tc>
        <w:tc>
          <w:tcPr>
            <w:tcW w:w="1042" w:type="dxa"/>
            <w:vAlign w:val="center"/>
          </w:tcPr>
          <w:p w14:paraId="64BE25F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检查井</w:t>
            </w:r>
          </w:p>
        </w:tc>
        <w:tc>
          <w:tcPr>
            <w:tcW w:w="1248" w:type="dxa"/>
            <w:vAlign w:val="center"/>
          </w:tcPr>
          <w:p w14:paraId="515F83E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功能状况</w:t>
            </w:r>
          </w:p>
        </w:tc>
        <w:tc>
          <w:tcPr>
            <w:tcW w:w="1248" w:type="dxa"/>
            <w:vAlign w:val="center"/>
          </w:tcPr>
          <w:p w14:paraId="116ED25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结构状况</w:t>
            </w:r>
          </w:p>
        </w:tc>
      </w:tr>
      <w:tr w14:paraId="0B4CF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14:paraId="39DA298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电视检测</w:t>
            </w:r>
          </w:p>
        </w:tc>
        <w:tc>
          <w:tcPr>
            <w:tcW w:w="1185" w:type="dxa"/>
            <w:vAlign w:val="center"/>
          </w:tcPr>
          <w:p w14:paraId="6783AC6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185" w:type="dxa"/>
            <w:vAlign w:val="center"/>
          </w:tcPr>
          <w:p w14:paraId="45169FA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14:paraId="40E3A4E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14:paraId="057CCCB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14:paraId="15A1EBA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14:paraId="3D9ED9B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r>
      <w:tr w14:paraId="26B98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14:paraId="30D52C7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管道潜望镜检测</w:t>
            </w:r>
          </w:p>
        </w:tc>
        <w:tc>
          <w:tcPr>
            <w:tcW w:w="1185" w:type="dxa"/>
            <w:vAlign w:val="center"/>
          </w:tcPr>
          <w:p w14:paraId="5442F89D">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185" w:type="dxa"/>
            <w:vAlign w:val="center"/>
          </w:tcPr>
          <w:p w14:paraId="123913D6">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14:paraId="7D7729A7">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14:paraId="2044BE4E">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14:paraId="6B7B35D6">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14:paraId="479280AD">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r>
      <w:tr w14:paraId="587FA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14:paraId="0ABB203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声呐</w:t>
            </w:r>
            <w:r>
              <w:rPr>
                <w:rFonts w:hint="default" w:ascii="Times New Roman" w:hAnsi="Times New Roman" w:eastAsia="宋体" w:cs="Times New Roman"/>
                <w:color w:val="auto"/>
                <w:sz w:val="21"/>
                <w:szCs w:val="21"/>
                <w:highlight w:val="none"/>
                <w:vertAlign w:val="baseline"/>
                <w:lang w:val="en-US" w:eastAsia="zh-CN"/>
              </w:rPr>
              <w:t>检查</w:t>
            </w:r>
          </w:p>
        </w:tc>
        <w:tc>
          <w:tcPr>
            <w:tcW w:w="1185" w:type="dxa"/>
            <w:vAlign w:val="center"/>
          </w:tcPr>
          <w:p w14:paraId="7E46709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185" w:type="dxa"/>
            <w:vAlign w:val="center"/>
          </w:tcPr>
          <w:p w14:paraId="7B84651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14:paraId="55688B5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14:paraId="08A75C8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14:paraId="50A33D3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14:paraId="3AA2BB8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r>
      <w:tr w14:paraId="6310F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14:paraId="6AB319E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量泥斗检测</w:t>
            </w:r>
          </w:p>
        </w:tc>
        <w:tc>
          <w:tcPr>
            <w:tcW w:w="1185" w:type="dxa"/>
            <w:vAlign w:val="center"/>
          </w:tcPr>
          <w:p w14:paraId="49CAD42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14:paraId="547C2A9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3449EB2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2C2640B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285C638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6B64AF5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14:paraId="34644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14:paraId="44D4703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潜水检查</w:t>
            </w:r>
          </w:p>
        </w:tc>
        <w:tc>
          <w:tcPr>
            <w:tcW w:w="1185" w:type="dxa"/>
            <w:vAlign w:val="center"/>
          </w:tcPr>
          <w:p w14:paraId="477ED67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14:paraId="722C440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7DD673B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32F280A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5C8845B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286DEE2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14:paraId="26BF9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14:paraId="48A7691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反光镜检查</w:t>
            </w:r>
          </w:p>
        </w:tc>
        <w:tc>
          <w:tcPr>
            <w:tcW w:w="1185" w:type="dxa"/>
            <w:vAlign w:val="center"/>
          </w:tcPr>
          <w:p w14:paraId="7E902A0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14:paraId="731AAA7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1674E57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0ACD816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7B4150A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7F541CA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14:paraId="0B896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14:paraId="3BB9E66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水力坡降检查</w:t>
            </w:r>
          </w:p>
        </w:tc>
        <w:tc>
          <w:tcPr>
            <w:tcW w:w="1185" w:type="dxa"/>
            <w:vAlign w:val="center"/>
          </w:tcPr>
          <w:p w14:paraId="33DAC0E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14:paraId="546EA90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14D1149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0AA7AA9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39FF460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4F894EB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14:paraId="789B2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14:paraId="660E880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染色检查</w:t>
            </w:r>
          </w:p>
        </w:tc>
        <w:tc>
          <w:tcPr>
            <w:tcW w:w="1185" w:type="dxa"/>
            <w:vAlign w:val="center"/>
          </w:tcPr>
          <w:p w14:paraId="513125F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14:paraId="68E2459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585A2C1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64E2665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659D14D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59A2010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14:paraId="1A948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14:paraId="433B521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烟雾检查</w:t>
            </w:r>
          </w:p>
        </w:tc>
        <w:tc>
          <w:tcPr>
            <w:tcW w:w="1185" w:type="dxa"/>
            <w:vAlign w:val="center"/>
          </w:tcPr>
          <w:p w14:paraId="117A7B2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14:paraId="0E8C768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723C633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14:paraId="128D0B5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40D5A0D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14:paraId="53E6A0A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bl>
    <w:p w14:paraId="74A30304">
      <w:pPr>
        <w:spacing w:line="360" w:lineRule="auto"/>
        <w:rPr>
          <w:rFonts w:hint="eastAsia" w:ascii="Times New Roman" w:hAnsi="Times New Roman" w:eastAsia="宋体" w:cs="宋体"/>
          <w:color w:val="auto"/>
          <w:sz w:val="24"/>
          <w:szCs w:val="24"/>
          <w:highlight w:val="green"/>
          <w:lang w:val="en-US" w:eastAsia="zh-CN"/>
        </w:rPr>
      </w:pPr>
      <w:r>
        <w:rPr>
          <w:rFonts w:hint="default" w:ascii="Times New Roman" w:hAnsi="Times New Roman" w:eastAsia="宋体" w:cs="Times New Roman"/>
          <w:color w:val="auto"/>
          <w:sz w:val="21"/>
          <w:szCs w:val="21"/>
          <w:lang w:val="en-US" w:eastAsia="zh-CN"/>
        </w:rPr>
        <w:t>注：“√”表示适用，“</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”表示不适用。</w:t>
      </w:r>
    </w:p>
    <w:p w14:paraId="6CDAE46A">
      <w:pPr>
        <w:spacing w:line="360" w:lineRule="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lang w:val="en-US" w:eastAsia="zh-CN"/>
        </w:rPr>
        <w:t xml:space="preserve">6.2.7 </w:t>
      </w:r>
      <w:r>
        <w:rPr>
          <w:rFonts w:hint="eastAsia" w:ascii="Times New Roman" w:hAnsi="Times New Roman" w:eastAsia="宋体" w:cs="宋体"/>
          <w:b w:val="0"/>
          <w:bCs/>
          <w:color w:val="auto"/>
          <w:sz w:val="24"/>
          <w:szCs w:val="24"/>
          <w:lang w:val="en-US" w:eastAsia="zh-CN"/>
        </w:rPr>
        <w:t>排水管渠以功能性状况检查为目的的普查周期应为1年～2年，易涝积水点应每年汛前进行功能状况检查。以结构性状况检查为目的的普查周期应为</w:t>
      </w:r>
      <w:r>
        <w:rPr>
          <w:rFonts w:hint="eastAsia" w:ascii="Times New Roman" w:hAnsi="Times New Roman" w:eastAsia="宋体" w:cs="宋体"/>
          <w:b w:val="0"/>
          <w:bCs/>
          <w:color w:val="auto"/>
          <w:sz w:val="24"/>
          <w:szCs w:val="24"/>
          <w:highlight w:val="none"/>
          <w:lang w:val="en-US" w:eastAsia="zh-CN"/>
        </w:rPr>
        <w:t>5年～10年</w:t>
      </w:r>
      <w:r>
        <w:rPr>
          <w:rFonts w:hint="eastAsia" w:ascii="Times New Roman" w:hAnsi="Times New Roman" w:eastAsia="宋体" w:cs="宋体"/>
          <w:b w:val="0"/>
          <w:bCs/>
          <w:color w:val="auto"/>
          <w:sz w:val="24"/>
          <w:szCs w:val="24"/>
          <w:lang w:val="en-US" w:eastAsia="zh-CN"/>
        </w:rPr>
        <w:t>。</w:t>
      </w:r>
      <w:r>
        <w:rPr>
          <w:rFonts w:hint="eastAsia" w:ascii="Times New Roman" w:hAnsi="Times New Roman" w:eastAsia="宋体" w:cs="宋体"/>
          <w:color w:val="auto"/>
          <w:sz w:val="24"/>
          <w:szCs w:val="24"/>
          <w:highlight w:val="none"/>
          <w:lang w:val="en-US" w:eastAsia="zh-CN"/>
        </w:rPr>
        <w:t>当遇到下列情况之一时，普查周期应相应缩短：</w:t>
      </w:r>
    </w:p>
    <w:p w14:paraId="77AEAD2F">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bCs/>
          <w:color w:val="auto"/>
          <w:sz w:val="24"/>
          <w:szCs w:val="24"/>
          <w:lang w:val="en-US" w:eastAsia="zh-CN"/>
        </w:rPr>
        <w:t>1</w:t>
      </w:r>
      <w:r>
        <w:rPr>
          <w:rFonts w:hint="eastAsia" w:ascii="Times New Roman" w:hAnsi="Times New Roman" w:eastAsia="宋体" w:cs="宋体"/>
          <w:color w:val="auto"/>
          <w:sz w:val="24"/>
          <w:szCs w:val="24"/>
          <w:lang w:val="en-US" w:eastAsia="zh-CN"/>
        </w:rPr>
        <w:t xml:space="preserve"> </w:t>
      </w:r>
      <w:r>
        <w:rPr>
          <w:rFonts w:hint="eastAsia" w:ascii="Times New Roman" w:hAnsi="Times New Roman" w:eastAsia="宋体" w:cs="宋体"/>
          <w:color w:val="auto"/>
          <w:sz w:val="24"/>
          <w:szCs w:val="24"/>
          <w:highlight w:val="none"/>
          <w:lang w:val="en-US" w:eastAsia="zh-CN"/>
        </w:rPr>
        <w:t>中心城区重要地区内涝风险等级为中、高风险的管道，中心城区内涝风险等级为高风险的管道；</w:t>
      </w:r>
    </w:p>
    <w:p w14:paraId="449F49E6">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bCs/>
          <w:color w:val="auto"/>
          <w:sz w:val="24"/>
          <w:szCs w:val="24"/>
          <w:lang w:val="en-US" w:eastAsia="zh-CN"/>
        </w:rPr>
        <w:t>2</w:t>
      </w:r>
      <w:r>
        <w:rPr>
          <w:rFonts w:hint="eastAsia" w:ascii="Times New Roman" w:hAnsi="Times New Roman" w:eastAsia="宋体" w:cs="宋体"/>
          <w:color w:val="auto"/>
          <w:sz w:val="24"/>
          <w:szCs w:val="24"/>
          <w:lang w:val="en-US" w:eastAsia="zh-CN"/>
        </w:rPr>
        <w:t xml:space="preserve"> 软土地基、地下水位高等地质结构不稳定地区的管道；</w:t>
      </w:r>
    </w:p>
    <w:p w14:paraId="278544CE">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bCs/>
          <w:color w:val="auto"/>
          <w:sz w:val="24"/>
          <w:szCs w:val="24"/>
          <w:lang w:val="en-US" w:eastAsia="zh-CN"/>
        </w:rPr>
        <w:t>3</w:t>
      </w:r>
      <w:r>
        <w:rPr>
          <w:rFonts w:hint="eastAsia" w:ascii="Times New Roman" w:hAnsi="Times New Roman" w:eastAsia="宋体" w:cs="宋体"/>
          <w:color w:val="auto"/>
          <w:sz w:val="24"/>
          <w:szCs w:val="24"/>
          <w:lang w:val="en-US" w:eastAsia="zh-CN"/>
        </w:rPr>
        <w:t xml:space="preserve"> 管龄30年以上的管道；</w:t>
      </w:r>
    </w:p>
    <w:p w14:paraId="16D5FD5B">
      <w:pPr>
        <w:spacing w:line="360" w:lineRule="auto"/>
        <w:ind w:firstLine="482" w:firstLineChars="200"/>
        <w:rPr>
          <w:rFonts w:hint="eastAsia" w:ascii="Times New Roman" w:hAnsi="Times New Roman" w:eastAsia="宋体" w:cs="宋体"/>
          <w:color w:val="000000" w:themeColor="text1"/>
          <w:sz w:val="24"/>
          <w:szCs w:val="24"/>
          <w:highlight w:val="cyan"/>
          <w:lang w:val="en-US" w:eastAsia="zh-CN"/>
          <w14:textFill>
            <w14:solidFill>
              <w14:schemeClr w14:val="tx1"/>
            </w14:solidFill>
          </w14:textFill>
        </w:rPr>
      </w:pPr>
      <w:r>
        <w:rPr>
          <w:rFonts w:hint="eastAsia" w:ascii="Times New Roman" w:hAnsi="Times New Roman" w:eastAsia="宋体" w:cs="宋体"/>
          <w:b/>
          <w:bCs/>
          <w:color w:val="auto"/>
          <w:sz w:val="24"/>
          <w:szCs w:val="24"/>
          <w:lang w:val="en-US" w:eastAsia="zh-CN"/>
        </w:rPr>
        <w:t xml:space="preserve">4 </w:t>
      </w:r>
      <w:r>
        <w:rPr>
          <w:rFonts w:hint="eastAsia" w:ascii="Times New Roman" w:hAnsi="Times New Roman" w:eastAsia="宋体" w:cs="宋体"/>
          <w:color w:val="auto"/>
          <w:sz w:val="24"/>
          <w:szCs w:val="24"/>
          <w:lang w:val="en-US" w:eastAsia="zh-CN"/>
        </w:rPr>
        <w:t>管径超过DN1000的塑料排水管道。</w:t>
      </w:r>
    </w:p>
    <w:p w14:paraId="6DCF1892">
      <w:pPr>
        <w:spacing w:line="360" w:lineRule="auto"/>
        <w:rPr>
          <w:rFonts w:hint="eastAsia" w:ascii="Times New Roman" w:hAnsi="Times New Roman" w:eastAsia="宋体" w:cs="宋体"/>
          <w:b/>
          <w:bCs w:val="0"/>
          <w:color w:val="FF0000"/>
          <w:sz w:val="24"/>
          <w:szCs w:val="24"/>
          <w:lang w:val="en-US" w:eastAsia="zh-CN"/>
        </w:rPr>
      </w:pPr>
      <w:r>
        <w:rPr>
          <w:rFonts w:hint="eastAsia" w:ascii="Times New Roman" w:hAnsi="Times New Roman" w:eastAsia="宋体" w:cs="宋体"/>
          <w:b/>
          <w:color w:val="auto"/>
          <w:sz w:val="24"/>
          <w:szCs w:val="24"/>
          <w:lang w:val="en-US" w:eastAsia="zh-CN"/>
        </w:rPr>
        <w:t xml:space="preserve">6.2.8 </w:t>
      </w:r>
      <w:r>
        <w:rPr>
          <w:rFonts w:hint="eastAsia" w:ascii="Times New Roman" w:hAnsi="Times New Roman" w:eastAsia="宋体" w:cs="宋体"/>
          <w:b w:val="0"/>
          <w:bCs/>
          <w:color w:val="auto"/>
          <w:sz w:val="24"/>
          <w:szCs w:val="24"/>
          <w:lang w:val="en-US" w:eastAsia="zh-CN"/>
        </w:rPr>
        <w:t>排水管理单位应根据管渠检查评估报告及时制定管渠修理计划，消除缺陷、恢复管渠原有功能，延长管渠使用寿命。</w:t>
      </w:r>
    </w:p>
    <w:p w14:paraId="7C72DA2E">
      <w:pPr>
        <w:spacing w:line="360" w:lineRule="auto"/>
        <w:rPr>
          <w:rFonts w:hint="eastAsia" w:ascii="Times New Roman" w:hAnsi="Times New Roman" w:eastAsia="宋体" w:cs="宋体"/>
          <w:b/>
          <w:bCs w:val="0"/>
          <w:color w:val="FF0000"/>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 xml:space="preserve">6.2.9 </w:t>
      </w:r>
      <w:r>
        <w:rPr>
          <w:rFonts w:hint="eastAsia" w:ascii="Times New Roman" w:hAnsi="Times New Roman" w:eastAsia="宋体" w:cs="宋体"/>
          <w:b w:val="0"/>
          <w:bCs/>
          <w:color w:val="auto"/>
          <w:sz w:val="24"/>
          <w:szCs w:val="24"/>
          <w:highlight w:val="none"/>
          <w:lang w:val="en-US" w:eastAsia="zh-CN"/>
        </w:rPr>
        <w:t>排水管渠检查发现管道结构性缺陷，应评估地面塌陷风险；有地面塌陷风险的，应在立即对排水管渠上方地面开展地质雷达探测。</w:t>
      </w:r>
    </w:p>
    <w:p w14:paraId="1E1ECBCC">
      <w:pPr>
        <w:spacing w:line="360" w:lineRule="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bCs w:val="0"/>
          <w:color w:val="auto"/>
          <w:sz w:val="24"/>
          <w:szCs w:val="24"/>
          <w:highlight w:val="none"/>
          <w:lang w:val="en-US" w:eastAsia="zh-CN"/>
        </w:rPr>
        <w:t>6.2.10</w:t>
      </w:r>
      <w:r>
        <w:rPr>
          <w:rFonts w:hint="eastAsia" w:ascii="Times New Roman" w:hAnsi="Times New Roman" w:eastAsia="宋体" w:cs="宋体"/>
          <w:b w:val="0"/>
          <w:bCs/>
          <w:color w:val="auto"/>
          <w:sz w:val="24"/>
          <w:szCs w:val="24"/>
          <w:highlight w:val="none"/>
          <w:lang w:val="en-US" w:eastAsia="zh-CN"/>
        </w:rPr>
        <w:t xml:space="preserve"> 排水泵站的运行维护应符合现行《城镇排水管渠与泵站运行、维护及安全技术规程》CJJ 68 的相关规定。</w:t>
      </w:r>
    </w:p>
    <w:p w14:paraId="56CD1012">
      <w:pPr>
        <w:pStyle w:val="4"/>
        <w:spacing w:beforeLines="0" w:after="156" w:afterLines="50"/>
        <w:jc w:val="center"/>
        <w:rPr>
          <w:rFonts w:hint="eastAsia" w:ascii="Times New Roman" w:hAnsi="Times New Roman" w:eastAsia="宋体" w:cs="宋体"/>
          <w:color w:val="auto"/>
          <w:sz w:val="28"/>
          <w:szCs w:val="28"/>
          <w:highlight w:val="none"/>
          <w:lang w:val="en-US" w:eastAsia="zh-CN"/>
        </w:rPr>
      </w:pPr>
      <w:bookmarkStart w:id="108" w:name="_Toc24489"/>
      <w:bookmarkStart w:id="109" w:name="_Toc21155"/>
      <w:r>
        <w:rPr>
          <w:rFonts w:hint="eastAsia" w:ascii="Times New Roman" w:hAnsi="Times New Roman" w:eastAsia="宋体" w:cs="宋体"/>
          <w:color w:val="auto"/>
          <w:sz w:val="28"/>
          <w:szCs w:val="28"/>
          <w:highlight w:val="none"/>
          <w:lang w:val="en-US" w:eastAsia="zh-CN"/>
        </w:rPr>
        <w:t>6.3 监测预警</w:t>
      </w:r>
      <w:bookmarkEnd w:id="108"/>
      <w:bookmarkEnd w:id="109"/>
    </w:p>
    <w:p w14:paraId="602EFA39">
      <w:pPr>
        <w:spacing w:line="360" w:lineRule="auto"/>
        <w:rPr>
          <w:rFonts w:hint="default" w:ascii="Times New Roman" w:hAnsi="Times New Roman" w:eastAsia="宋体" w:cs="宋体"/>
          <w:b/>
          <w:bCs w:val="0"/>
          <w:color w:val="auto"/>
          <w:sz w:val="24"/>
          <w:szCs w:val="24"/>
          <w:highlight w:val="none"/>
          <w:lang w:val="en-US" w:eastAsia="zh-CN"/>
        </w:rPr>
      </w:pPr>
      <w:r>
        <w:rPr>
          <w:rFonts w:hint="eastAsia" w:ascii="Times New Roman" w:hAnsi="Times New Roman" w:eastAsia="宋体" w:cs="宋体"/>
          <w:b/>
          <w:bCs w:val="0"/>
          <w:color w:val="auto"/>
          <w:sz w:val="24"/>
          <w:szCs w:val="24"/>
          <w:highlight w:val="none"/>
          <w:lang w:val="en-US" w:eastAsia="zh-CN"/>
        </w:rPr>
        <w:t>6.3.1 中心城区重要地区、重要市政基础设施或生命线工程所在区域内涝风险等级为高风险时，应设置监测、预警和应急措施。</w:t>
      </w:r>
    </w:p>
    <w:p w14:paraId="7AC9959A">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6.3.2</w:t>
      </w:r>
      <w:r>
        <w:rPr>
          <w:rFonts w:hint="eastAsia" w:ascii="Times New Roman" w:hAnsi="Times New Roman" w:eastAsia="宋体" w:cs="宋体"/>
          <w:b w:val="0"/>
          <w:bCs/>
          <w:color w:val="auto"/>
          <w:sz w:val="24"/>
          <w:szCs w:val="24"/>
          <w:highlight w:val="none"/>
          <w:lang w:val="en-US" w:eastAsia="zh-CN"/>
        </w:rPr>
        <w:t>各地应建立</w:t>
      </w:r>
      <w:r>
        <w:rPr>
          <w:rFonts w:hint="eastAsia" w:ascii="Times New Roman" w:hAnsi="Times New Roman" w:eastAsia="宋体" w:cs="宋体"/>
          <w:color w:val="auto"/>
          <w:sz w:val="24"/>
          <w:szCs w:val="24"/>
          <w:highlight w:val="none"/>
          <w:lang w:val="en-US" w:eastAsia="zh-CN"/>
        </w:rPr>
        <w:t>城镇内涝防治预警系统，并建立源头减排设施、排水管渠设施、排涝除险设施的日常监测制度。</w:t>
      </w:r>
    </w:p>
    <w:p w14:paraId="54868910">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6.3.3</w:t>
      </w:r>
      <w:r>
        <w:rPr>
          <w:rFonts w:hint="eastAsia" w:ascii="Times New Roman" w:hAnsi="Times New Roman" w:eastAsia="宋体" w:cs="宋体"/>
          <w:color w:val="auto"/>
          <w:sz w:val="24"/>
          <w:szCs w:val="24"/>
          <w:highlight w:val="none"/>
          <w:lang w:val="en-US" w:eastAsia="zh-CN"/>
        </w:rPr>
        <w:t>城镇内涝防治预警系统应采取在线与人工监测相结合的方式，视经济条件逐步推进以在线监测为主、人工监测为辅的方式。常规监测项目宜包括水位、流速、流量、雨量、视频监控和井盖状态监控等。</w:t>
      </w:r>
    </w:p>
    <w:p w14:paraId="04765A53">
      <w:pPr>
        <w:spacing w:line="360" w:lineRule="auto"/>
        <w:rPr>
          <w:rFonts w:hint="eastAsia"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6.3.4</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城镇内涝防治预警系统应</w:t>
      </w:r>
      <w:r>
        <w:rPr>
          <w:rFonts w:hint="eastAsia" w:ascii="Times New Roman" w:hAnsi="Times New Roman" w:eastAsia="宋体" w:cs="宋体"/>
          <w:color w:val="000000" w:themeColor="text1"/>
          <w:sz w:val="24"/>
          <w:szCs w:val="24"/>
          <w:highlight w:val="none"/>
          <w14:textFill>
            <w14:solidFill>
              <w14:schemeClr w14:val="tx1"/>
            </w14:solidFill>
          </w14:textFill>
        </w:rPr>
        <w:t>对城镇暴雨内涝全过程进行自动化监测、智能化模拟及预报预警，以实现</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高效准确的</w:t>
      </w:r>
      <w:r>
        <w:rPr>
          <w:rFonts w:hint="eastAsia" w:ascii="Times New Roman" w:hAnsi="Times New Roman" w:eastAsia="宋体" w:cs="宋体"/>
          <w:color w:val="000000" w:themeColor="text1"/>
          <w:sz w:val="24"/>
          <w:szCs w:val="24"/>
          <w:highlight w:val="none"/>
          <w14:textFill>
            <w14:solidFill>
              <w14:schemeClr w14:val="tx1"/>
            </w14:solidFill>
          </w14:textFill>
        </w:rPr>
        <w:t>决策调度</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应符合下列要求：</w:t>
      </w:r>
    </w:p>
    <w:p w14:paraId="6C249D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14:textFill>
            <w14:solidFill>
              <w14:schemeClr w14:val="tx1"/>
            </w14:solidFill>
          </w14:textFill>
        </w:rPr>
        <w:t>1</w:t>
      </w:r>
      <w:r>
        <w:rPr>
          <w:rFonts w:hint="eastAsia" w:ascii="Times New Roman" w:hAnsi="Times New Roman" w:eastAsia="宋体" w:cs="宋体"/>
          <w:color w:val="000000" w:themeColor="text1"/>
          <w:sz w:val="24"/>
          <w:szCs w:val="24"/>
          <w:highlight w:val="none"/>
          <w14:textFill>
            <w14:solidFill>
              <w14:schemeClr w14:val="tx1"/>
            </w14:solidFill>
          </w14:textFill>
        </w:rPr>
        <w:t xml:space="preserve"> 自动化监测应具有长期监测数据采集与短时预警预报功能，建立模型模拟和防涝决策精准化数据库</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p>
    <w:p w14:paraId="4ABDA2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14:textFill>
            <w14:solidFill>
              <w14:schemeClr w14:val="tx1"/>
            </w14:solidFill>
          </w14:textFill>
        </w:rPr>
        <w:t>2</w:t>
      </w:r>
      <w:r>
        <w:rPr>
          <w:rFonts w:hint="eastAsia" w:ascii="Times New Roman" w:hAnsi="Times New Roman" w:eastAsia="宋体" w:cs="宋体"/>
          <w:color w:val="000000" w:themeColor="text1"/>
          <w:sz w:val="24"/>
          <w:szCs w:val="24"/>
          <w:highlight w:val="none"/>
          <w14:textFill>
            <w14:solidFill>
              <w14:schemeClr w14:val="tx1"/>
            </w14:solidFill>
          </w14:textFill>
        </w:rPr>
        <w:t xml:space="preserve"> 智能化模拟及预报预警应基于自动化监测数据，利用城镇暴雨内涝全过程模拟预报模型，对城镇内涝进行智能化模拟及预报，根据警戒水位自动发布</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预警信息；</w:t>
      </w:r>
    </w:p>
    <w:p w14:paraId="59FD5F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14:textFill>
            <w14:solidFill>
              <w14:schemeClr w14:val="tx1"/>
            </w14:solidFill>
          </w14:textFill>
        </w:rPr>
        <w:t>3</w:t>
      </w:r>
      <w:r>
        <w:rPr>
          <w:rFonts w:hint="eastAsia" w:ascii="Times New Roman" w:hAnsi="Times New Roman" w:eastAsia="宋体" w:cs="宋体"/>
          <w:color w:val="000000" w:themeColor="text1"/>
          <w:sz w:val="24"/>
          <w:szCs w:val="24"/>
          <w:highlight w:val="none"/>
          <w14:textFill>
            <w14:solidFill>
              <w14:schemeClr w14:val="tx1"/>
            </w14:solidFill>
          </w14:textFill>
        </w:rPr>
        <w:t xml:space="preserve"> 决策调度应能对实时监测和模拟预测预警情况实景展现，</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以实现对内涝防治系统有关设施</w:t>
      </w:r>
      <w:r>
        <w:rPr>
          <w:rFonts w:hint="eastAsia" w:ascii="Times New Roman" w:hAnsi="Times New Roman" w:eastAsia="宋体" w:cs="宋体"/>
          <w:color w:val="000000" w:themeColor="text1"/>
          <w:sz w:val="24"/>
          <w:szCs w:val="24"/>
          <w:highlight w:val="none"/>
          <w14:textFill>
            <w14:solidFill>
              <w14:schemeClr w14:val="tx1"/>
            </w14:solidFill>
          </w14:textFill>
        </w:rPr>
        <w:t>进行精细化调度</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p>
    <w:p w14:paraId="7D06D2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城镇内涝防治预警系统运行维护应形成全周期业务闭环和全设备覆盖，建立城镇内涝防治设施数据库的动态更新机制，更新周期不应超过一月；</w:t>
      </w:r>
    </w:p>
    <w:p w14:paraId="62FAA9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城镇内涝防治预警系统建设和运行维护内容应符合《智慧排水建设技术规范》DBJ/T15-212的相关规定。</w:t>
      </w:r>
    </w:p>
    <w:p w14:paraId="4F91BC1B">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6.3.5</w:t>
      </w:r>
      <w:r>
        <w:rPr>
          <w:rFonts w:hint="eastAsia" w:ascii="Times New Roman" w:hAnsi="Times New Roman" w:eastAsia="宋体" w:cs="宋体"/>
          <w:color w:val="auto"/>
          <w:sz w:val="24"/>
          <w:szCs w:val="24"/>
          <w:highlight w:val="none"/>
          <w:lang w:val="en-US" w:eastAsia="zh-CN"/>
        </w:rPr>
        <w:t>应在下列关键节点进行水位、流量监测：</w:t>
      </w:r>
    </w:p>
    <w:p w14:paraId="1DE65F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1</w:t>
      </w:r>
      <w:r>
        <w:rPr>
          <w:rFonts w:hint="eastAsia" w:ascii="Times New Roman" w:hAnsi="Times New Roman" w:eastAsia="宋体" w:cs="宋体"/>
          <w:color w:val="auto"/>
          <w:sz w:val="24"/>
          <w:szCs w:val="24"/>
          <w:highlight w:val="none"/>
          <w:lang w:val="en-US" w:eastAsia="zh-CN"/>
        </w:rPr>
        <w:t xml:space="preserve"> 历史易涝积水点；</w:t>
      </w:r>
    </w:p>
    <w:p w14:paraId="182C08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2</w:t>
      </w:r>
      <w:r>
        <w:rPr>
          <w:rFonts w:hint="eastAsia" w:ascii="Times New Roman" w:hAnsi="Times New Roman" w:eastAsia="宋体" w:cs="宋体"/>
          <w:color w:val="auto"/>
          <w:sz w:val="24"/>
          <w:szCs w:val="24"/>
          <w:highlight w:val="none"/>
          <w:lang w:val="en-US" w:eastAsia="zh-CN"/>
        </w:rPr>
        <w:t xml:space="preserve"> 重要地区的雨水管网节点；</w:t>
      </w:r>
    </w:p>
    <w:p w14:paraId="424C435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3</w:t>
      </w:r>
      <w:r>
        <w:rPr>
          <w:rFonts w:hint="eastAsia" w:ascii="Times New Roman" w:hAnsi="Times New Roman" w:eastAsia="宋体" w:cs="宋体"/>
          <w:color w:val="auto"/>
          <w:sz w:val="24"/>
          <w:szCs w:val="24"/>
          <w:highlight w:val="none"/>
          <w:lang w:val="en-US" w:eastAsia="zh-CN"/>
        </w:rPr>
        <w:t xml:space="preserve"> 雨水管网的主干管节点；</w:t>
      </w:r>
    </w:p>
    <w:p w14:paraId="6F761B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4</w:t>
      </w:r>
      <w:r>
        <w:rPr>
          <w:rFonts w:hint="eastAsia" w:ascii="Times New Roman" w:hAnsi="Times New Roman" w:eastAsia="宋体" w:cs="宋体"/>
          <w:color w:val="auto"/>
          <w:sz w:val="24"/>
          <w:szCs w:val="24"/>
          <w:highlight w:val="none"/>
          <w:lang w:val="en-US" w:eastAsia="zh-CN"/>
        </w:rPr>
        <w:t xml:space="preserve"> 雨水泵站、调蓄设施的进出水管；</w:t>
      </w:r>
    </w:p>
    <w:p w14:paraId="0E04F52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5</w:t>
      </w:r>
      <w:r>
        <w:rPr>
          <w:rFonts w:hint="eastAsia" w:ascii="Times New Roman" w:hAnsi="Times New Roman" w:eastAsia="宋体" w:cs="宋体"/>
          <w:color w:val="auto"/>
          <w:sz w:val="24"/>
          <w:szCs w:val="24"/>
          <w:highlight w:val="none"/>
          <w:lang w:val="en-US" w:eastAsia="zh-CN"/>
        </w:rPr>
        <w:t xml:space="preserve"> 主要雨水排放口；</w:t>
      </w:r>
    </w:p>
    <w:p w14:paraId="03D656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6</w:t>
      </w:r>
      <w:r>
        <w:rPr>
          <w:rFonts w:hint="eastAsia" w:ascii="Times New Roman" w:hAnsi="Times New Roman" w:eastAsia="宋体" w:cs="宋体"/>
          <w:color w:val="auto"/>
          <w:sz w:val="24"/>
          <w:szCs w:val="24"/>
          <w:highlight w:val="none"/>
          <w:lang w:val="en-US" w:eastAsia="zh-CN"/>
        </w:rPr>
        <w:t xml:space="preserve"> 城镇水体的重要断面。</w:t>
      </w:r>
    </w:p>
    <w:p w14:paraId="427FC90D">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 xml:space="preserve">6.3.6 </w:t>
      </w:r>
      <w:r>
        <w:rPr>
          <w:rFonts w:hint="eastAsia" w:ascii="Times New Roman" w:hAnsi="Times New Roman" w:eastAsia="宋体" w:cs="宋体"/>
          <w:color w:val="auto"/>
          <w:sz w:val="24"/>
          <w:szCs w:val="24"/>
          <w:highlight w:val="none"/>
          <w:lang w:val="en-US" w:eastAsia="zh-CN"/>
        </w:rPr>
        <w:t>当城镇内涝防治预警系统发现问题或异常情况，宜采取电视检测、声呐、管道潜望镜、三维激光扫描、地质雷达法等检测手段进一步核查。</w:t>
      </w:r>
    </w:p>
    <w:p w14:paraId="3D17367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 xml:space="preserve">6.3.7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水位、流速、流量、降雨量的在线监测内容应符合《城市排水防涝设施数据采集与维护技术规范》GB/T 51187、《城镇排水管网在线监测技术规程》T/CECS 869、《城镇排水管网流量和液位在线监测技术规程》T/CUWA 40054和广东省标准《智慧排水建设技术规范》DBJ/T15-212的相关规定。</w:t>
      </w:r>
    </w:p>
    <w:p w14:paraId="06F6285B">
      <w:pPr>
        <w:pStyle w:val="4"/>
        <w:spacing w:beforeLines="0" w:after="156" w:afterLines="50"/>
        <w:jc w:val="center"/>
        <w:rPr>
          <w:rFonts w:hint="default" w:ascii="Times New Roman" w:hAnsi="Times New Roman" w:eastAsia="宋体" w:cs="宋体"/>
          <w:color w:val="auto"/>
          <w:sz w:val="28"/>
          <w:szCs w:val="28"/>
          <w:highlight w:val="none"/>
          <w:lang w:val="en-US" w:eastAsia="zh-CN"/>
        </w:rPr>
      </w:pPr>
      <w:bookmarkStart w:id="110" w:name="_Toc23160"/>
      <w:bookmarkStart w:id="111" w:name="_Toc1594"/>
      <w:r>
        <w:rPr>
          <w:rFonts w:hint="eastAsia" w:ascii="Times New Roman" w:hAnsi="Times New Roman" w:eastAsia="宋体" w:cs="宋体"/>
          <w:color w:val="auto"/>
          <w:sz w:val="28"/>
          <w:szCs w:val="28"/>
          <w:highlight w:val="none"/>
          <w:lang w:val="en-US" w:eastAsia="zh-CN"/>
        </w:rPr>
        <w:t>6</w:t>
      </w:r>
      <w:r>
        <w:rPr>
          <w:rFonts w:hint="eastAsia" w:ascii="Times New Roman" w:hAnsi="Times New Roman" w:eastAsia="宋体" w:cs="宋体"/>
          <w:color w:val="auto"/>
          <w:sz w:val="28"/>
          <w:szCs w:val="28"/>
          <w:highlight w:val="none"/>
        </w:rPr>
        <w:t>.</w:t>
      </w:r>
      <w:r>
        <w:rPr>
          <w:rFonts w:hint="eastAsia" w:ascii="Times New Roman" w:hAnsi="Times New Roman" w:eastAsia="宋体" w:cs="宋体"/>
          <w:color w:val="auto"/>
          <w:sz w:val="28"/>
          <w:szCs w:val="28"/>
          <w:highlight w:val="none"/>
          <w:lang w:val="en-US" w:eastAsia="zh-CN"/>
        </w:rPr>
        <w:t>4 应急管理</w:t>
      </w:r>
      <w:bookmarkEnd w:id="110"/>
      <w:bookmarkEnd w:id="111"/>
    </w:p>
    <w:p w14:paraId="6C460C7A">
      <w:pPr>
        <w:spacing w:line="360" w:lineRule="auto"/>
        <w:rPr>
          <w:rFonts w:hint="default"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6.4.1</w:t>
      </w:r>
      <w:r>
        <w:rPr>
          <w:rFonts w:hint="eastAsia" w:ascii="Times New Roman" w:hAnsi="Times New Roman" w:eastAsia="宋体" w:cs="宋体"/>
          <w:b w:val="0"/>
          <w:bCs/>
          <w:color w:val="auto"/>
          <w:sz w:val="24"/>
          <w:szCs w:val="24"/>
          <w:highlight w:val="none"/>
          <w:lang w:val="en-US" w:eastAsia="zh-CN"/>
        </w:rPr>
        <w:t>城镇内涝防治应急管理体系应包括城镇内涝防治预警系统、应急系统和评价系统。</w:t>
      </w:r>
    </w:p>
    <w:p w14:paraId="001ED154">
      <w:pPr>
        <w:spacing w:line="360" w:lineRule="auto"/>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4.2 </w:t>
      </w:r>
      <w:r>
        <w:rPr>
          <w:rFonts w:hint="eastAsia" w:ascii="Times New Roman" w:hAnsi="Times New Roman" w:eastAsia="宋体" w:cs="宋体"/>
          <w:b w:val="0"/>
          <w:bCs/>
          <w:color w:val="auto"/>
          <w:sz w:val="24"/>
          <w:szCs w:val="24"/>
          <w:highlight w:val="none"/>
          <w:lang w:val="en-US" w:eastAsia="zh-CN"/>
        </w:rPr>
        <w:t>各</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城镇应根据内涝风险等级制定内涝灾害应急预案，应急预案应包括组织体系、预警预防、应急响应、抢险救援、应急保障和后期处置。</w:t>
      </w:r>
    </w:p>
    <w:p w14:paraId="58284BA7">
      <w:pPr>
        <w:spacing w:line="360" w:lineRule="auto"/>
        <w:rPr>
          <w:rFonts w:hint="eastAsia"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.3</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14:textFill>
            <w14:solidFill>
              <w14:schemeClr w14:val="tx1"/>
            </w14:solidFill>
          </w14:textFill>
        </w:rPr>
        <w:t>超标降雨应急管理应以超标降雨下的内涝风险评估为依据，充分利用已建防洪防涝设施</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实现有效应对</w:t>
      </w:r>
      <w:r>
        <w:rPr>
          <w:rFonts w:hint="eastAsia" w:ascii="Times New Roman" w:hAnsi="Times New Roman" w:eastAsia="宋体" w:cs="宋体"/>
          <w:color w:val="000000" w:themeColor="text1"/>
          <w:sz w:val="24"/>
          <w:szCs w:val="24"/>
          <w:highlight w:val="none"/>
          <w14:textFill>
            <w14:solidFill>
              <w14:schemeClr w14:val="tx1"/>
            </w14:solidFill>
          </w14:textFill>
        </w:rPr>
        <w:t>。</w:t>
      </w:r>
    </w:p>
    <w:p w14:paraId="4CC343D7">
      <w:pPr>
        <w:spacing w:line="360" w:lineRule="auto"/>
        <w:ind w:left="480" w:hanging="482" w:hangingChars="200"/>
        <w:jc w:val="left"/>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pPr>
      <w:r>
        <w:rPr>
          <w:rFonts w:hint="eastAsia" w:ascii="Times New Roman" w:hAnsi="Times New Roman" w:eastAsia="宋体" w:cs="宋体"/>
          <w:b/>
          <w:bCs w:val="0"/>
          <w:i w:val="0"/>
          <w:iCs w:val="0"/>
          <w:color w:val="000000" w:themeColor="text1"/>
          <w:sz w:val="24"/>
          <w:szCs w:val="24"/>
          <w:highlight w:val="none"/>
          <w:lang w:val="en-US" w:eastAsia="zh-CN"/>
          <w14:textFill>
            <w14:solidFill>
              <w14:schemeClr w14:val="tx1"/>
            </w14:solidFill>
          </w14:textFill>
        </w:rPr>
        <w:t>6.4.4</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 xml:space="preserve"> </w:t>
      </w:r>
      <w:r>
        <w:rPr>
          <w:rFonts w:hint="eastAsia" w:ascii="Times New Roman" w:hAnsi="Times New Roman" w:eastAsia="宋体" w:cs="宋体"/>
          <w:b w:val="0"/>
          <w:bCs/>
          <w:i w:val="0"/>
          <w:iCs w:val="0"/>
          <w:color w:val="000000" w:themeColor="text1"/>
          <w:sz w:val="24"/>
          <w:szCs w:val="24"/>
          <w:highlight w:val="none"/>
          <w:lang w:val="en-US" w:eastAsia="zh-CN"/>
          <w14:textFill>
            <w14:solidFill>
              <w14:schemeClr w14:val="tx1"/>
            </w14:solidFill>
          </w14:textFill>
        </w:rPr>
        <w:t>内涝积水应急管理</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应符合下列规定：</w:t>
      </w:r>
    </w:p>
    <w:p w14:paraId="4610487A">
      <w:pPr>
        <w:spacing w:line="360" w:lineRule="auto"/>
        <w:ind w:left="0" w:firstLine="482" w:firstLineChars="200"/>
        <w:jc w:val="left"/>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pPr>
      <w:r>
        <w:rPr>
          <w:rFonts w:hint="eastAsia" w:ascii="Times New Roman" w:hAnsi="Times New Roman" w:eastAsia="宋体" w:cs="宋体"/>
          <w:b/>
          <w:bCs w:val="0"/>
          <w:i w:val="0"/>
          <w:iCs w:val="0"/>
          <w:color w:val="000000" w:themeColor="text1"/>
          <w:sz w:val="24"/>
          <w:szCs w:val="24"/>
          <w:highlight w:val="none"/>
          <w14:textFill>
            <w14:solidFill>
              <w14:schemeClr w14:val="tx1"/>
            </w14:solidFill>
          </w14:textFill>
        </w:rPr>
        <w:t>1</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 xml:space="preserve"> 应根据道路积水情况进行巡视，</w:t>
      </w:r>
      <w:r>
        <w:rPr>
          <w:rFonts w:hint="eastAsia" w:ascii="Times New Roman" w:hAnsi="Times New Roman" w:eastAsia="宋体" w:cs="宋体"/>
          <w:b w:val="0"/>
          <w:bCs/>
          <w:i w:val="0"/>
          <w:iCs w:val="0"/>
          <w:color w:val="000000" w:themeColor="text1"/>
          <w:sz w:val="24"/>
          <w:szCs w:val="24"/>
          <w:highlight w:val="none"/>
          <w:lang w:val="en-US" w:eastAsia="zh-CN"/>
          <w14:textFill>
            <w14:solidFill>
              <w14:schemeClr w14:val="tx1"/>
            </w14:solidFill>
          </w14:textFill>
        </w:rPr>
        <w:t>根据内涝监测预警系统</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测量道路积水深度和范围，及时统计有关积水和退水信息；</w:t>
      </w:r>
    </w:p>
    <w:p w14:paraId="1AC9DFC3">
      <w:pPr>
        <w:spacing w:line="360" w:lineRule="auto"/>
        <w:ind w:firstLine="482" w:firstLineChars="200"/>
        <w:jc w:val="left"/>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pPr>
      <w:r>
        <w:rPr>
          <w:rFonts w:hint="eastAsia" w:ascii="Times New Roman" w:hAnsi="Times New Roman" w:eastAsia="宋体" w:cs="宋体"/>
          <w:b/>
          <w:bCs w:val="0"/>
          <w:i w:val="0"/>
          <w:iCs w:val="0"/>
          <w:color w:val="000000" w:themeColor="text1"/>
          <w:sz w:val="24"/>
          <w:szCs w:val="24"/>
          <w:highlight w:val="none"/>
          <w14:textFill>
            <w14:solidFill>
              <w14:schemeClr w14:val="tx1"/>
            </w14:solidFill>
          </w14:textFill>
        </w:rPr>
        <w:t>2</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 xml:space="preserve"> 根据现场道路交通和积水情况，可采取打开雨水排水井盖、雨水箅、采用移动强排设施加强排水，</w:t>
      </w:r>
      <w:r>
        <w:rPr>
          <w:rFonts w:hint="eastAsia" w:ascii="Times New Roman" w:hAnsi="Times New Roman" w:eastAsia="宋体" w:cs="宋体"/>
          <w:b w:val="0"/>
          <w:bCs/>
          <w:i w:val="0"/>
          <w:iCs w:val="0"/>
          <w:color w:val="000000" w:themeColor="text1"/>
          <w:sz w:val="24"/>
          <w:szCs w:val="24"/>
          <w:highlight w:val="none"/>
          <w:lang w:val="en-US" w:eastAsia="zh-CN"/>
          <w14:textFill>
            <w14:solidFill>
              <w14:schemeClr w14:val="tx1"/>
            </w14:solidFill>
          </w14:textFill>
        </w:rPr>
        <w:t>加强警示，</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安排专人值守与维护，结束后应及时恢复；</w:t>
      </w:r>
    </w:p>
    <w:p w14:paraId="6640283F">
      <w:pPr>
        <w:spacing w:line="360" w:lineRule="auto"/>
        <w:ind w:firstLine="482" w:firstLineChars="200"/>
        <w:jc w:val="left"/>
        <w:rPr>
          <w:rFonts w:hint="eastAsia" w:ascii="Times New Roman" w:hAnsi="Times New Roman" w:eastAsia="宋体" w:cs="宋体"/>
          <w:bCs/>
          <w:color w:val="000000" w:themeColor="text1"/>
          <w:sz w:val="24"/>
          <w:szCs w:val="24"/>
          <w:highlight w:val="none"/>
          <w14:textFill>
            <w14:solidFill>
              <w14:schemeClr w14:val="tx1"/>
            </w14:solidFill>
          </w14:textFill>
        </w:rPr>
      </w:pPr>
      <w:r>
        <w:rPr>
          <w:rFonts w:hint="eastAsia" w:ascii="Times New Roman" w:hAnsi="Times New Roman" w:eastAsia="宋体" w:cs="宋体"/>
          <w:b/>
          <w:bCs w:val="0"/>
          <w:i w:val="0"/>
          <w:iCs w:val="0"/>
          <w:color w:val="000000" w:themeColor="text1"/>
          <w:sz w:val="24"/>
          <w:szCs w:val="24"/>
          <w:highlight w:val="none"/>
          <w14:textFill>
            <w14:solidFill>
              <w14:schemeClr w14:val="tx1"/>
            </w14:solidFill>
          </w14:textFill>
        </w:rPr>
        <w:t>3</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 xml:space="preserve"> 桥涵、下穿式立交及地道最低处路面积水深度达到警戒水位时，应及时协助封闭交通，设置醒目的警示标志，安排专人值守</w:t>
      </w:r>
      <w:r>
        <w:rPr>
          <w:rFonts w:hint="eastAsia" w:ascii="Times New Roman" w:hAnsi="Times New Roman" w:eastAsia="宋体" w:cs="宋体"/>
          <w:b w:val="0"/>
          <w:bCs/>
          <w:i w:val="0"/>
          <w:iCs w:val="0"/>
          <w:color w:val="000000" w:themeColor="text1"/>
          <w:sz w:val="24"/>
          <w:szCs w:val="24"/>
          <w:highlight w:val="none"/>
          <w:lang w:val="en-US" w:eastAsia="zh-CN"/>
          <w14:textFill>
            <w14:solidFill>
              <w14:schemeClr w14:val="tx1"/>
            </w14:solidFill>
          </w14:textFill>
        </w:rPr>
        <w:t>。</w:t>
      </w:r>
    </w:p>
    <w:p w14:paraId="207F6326">
      <w:pPr>
        <w:spacing w:line="360" w:lineRule="auto"/>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5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汛前或台风、强降雨等预警后，应对排水防涝设施的可靠性进行全面排查，采取相应应急抢险措施，避免发生安全事故。</w:t>
      </w:r>
    </w:p>
    <w:p w14:paraId="5A4C1865">
      <w:pPr>
        <w:spacing w:line="360" w:lineRule="auto"/>
        <w:rPr>
          <w:rFonts w:hint="eastAsia"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6 </w:t>
      </w:r>
      <w:r>
        <w:rPr>
          <w:rFonts w:hint="eastAsia" w:ascii="Times New Roman" w:hAnsi="Times New Roman" w:eastAsia="宋体" w:cs="宋体"/>
          <w:color w:val="000000" w:themeColor="text1"/>
          <w:sz w:val="24"/>
          <w:szCs w:val="24"/>
          <w:highlight w:val="none"/>
          <w14:textFill>
            <w14:solidFill>
              <w14:schemeClr w14:val="tx1"/>
            </w14:solidFill>
          </w14:textFill>
        </w:rPr>
        <w:t>各地宜根据实际需求，设置应急物资储备仓库，保障应急物资、材料库存储备，</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建立应急物资台账并定期对应急物资进行维护更新</w:t>
      </w:r>
      <w:r>
        <w:rPr>
          <w:rFonts w:hint="eastAsia" w:ascii="Times New Roman" w:hAnsi="Times New Roman" w:eastAsia="宋体" w:cs="宋体"/>
          <w:color w:val="000000" w:themeColor="text1"/>
          <w:sz w:val="24"/>
          <w:szCs w:val="24"/>
          <w:highlight w:val="none"/>
          <w14:textFill>
            <w14:solidFill>
              <w14:schemeClr w14:val="tx1"/>
            </w14:solidFill>
          </w14:textFill>
        </w:rPr>
        <w:t>。</w:t>
      </w:r>
    </w:p>
    <w:p w14:paraId="48F247CF">
      <w:pPr>
        <w:spacing w:line="360" w:lineRule="auto"/>
        <w:ind w:left="0" w:firstLine="0" w:firstLineChars="0"/>
        <w:jc w:val="left"/>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pPr>
      <w:r>
        <w:rPr>
          <w:rFonts w:hint="eastAsia" w:ascii="Times New Roman" w:hAnsi="Times New Roman" w:eastAsia="宋体" w:cs="宋体"/>
          <w:b/>
          <w:bCs w:val="0"/>
          <w:i w:val="0"/>
          <w:iCs w:val="0"/>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bCs w:val="0"/>
          <w:i w:val="0"/>
          <w:iCs w:val="0"/>
          <w:color w:val="000000" w:themeColor="text1"/>
          <w:sz w:val="24"/>
          <w:szCs w:val="24"/>
          <w:highlight w:val="none"/>
          <w14:textFill>
            <w14:solidFill>
              <w14:schemeClr w14:val="tx1"/>
            </w14:solidFill>
          </w14:textFill>
        </w:rPr>
        <w:t>.</w:t>
      </w:r>
      <w:r>
        <w:rPr>
          <w:rFonts w:hint="eastAsia" w:ascii="Times New Roman" w:hAnsi="Times New Roman" w:eastAsia="宋体" w:cs="宋体"/>
          <w:b/>
          <w:bCs w:val="0"/>
          <w:i w:val="0"/>
          <w:iCs w:val="0"/>
          <w:color w:val="000000" w:themeColor="text1"/>
          <w:sz w:val="24"/>
          <w:szCs w:val="24"/>
          <w:highlight w:val="none"/>
          <w:lang w:val="en-US" w:eastAsia="zh-CN"/>
          <w14:textFill>
            <w14:solidFill>
              <w14:schemeClr w14:val="tx1"/>
            </w14:solidFill>
          </w14:textFill>
        </w:rPr>
        <w:t xml:space="preserve">4.7 </w:t>
      </w:r>
      <w:r>
        <w:rPr>
          <w:rFonts w:hint="eastAsia" w:ascii="Times New Roman" w:hAnsi="Times New Roman" w:eastAsia="宋体" w:cs="宋体"/>
          <w:b w:val="0"/>
          <w:bCs/>
          <w:i w:val="0"/>
          <w:iCs w:val="0"/>
          <w:color w:val="000000" w:themeColor="text1"/>
          <w:sz w:val="24"/>
          <w:szCs w:val="24"/>
          <w:highlight w:val="none"/>
          <w:lang w:val="en-US" w:eastAsia="zh-CN"/>
          <w14:textFill>
            <w14:solidFill>
              <w14:schemeClr w14:val="tx1"/>
            </w14:solidFill>
          </w14:textFill>
        </w:rPr>
        <w:t>城镇内涝防治评价系统应建立内涝防治评价体系，对内涝防治预警系统、内涝防治应急系统和内涝防治设施运行效果进行综合评价，提出改进建议。</w:t>
      </w:r>
    </w:p>
    <w:p w14:paraId="355E51A8">
      <w:pPr>
        <w:spacing w:line="360" w:lineRule="auto"/>
        <w:ind w:left="0" w:firstLine="482" w:firstLineChars="200"/>
        <w:jc w:val="left"/>
        <w:rPr>
          <w:rFonts w:hint="eastAsia" w:ascii="Times New Roman" w:hAnsi="Times New Roman" w:eastAsia="宋体" w:cs="宋体"/>
          <w:b/>
          <w:bCs w:val="0"/>
          <w:i w:val="0"/>
          <w:iCs w:val="0"/>
          <w:color w:val="000000" w:themeColor="text1"/>
          <w:sz w:val="24"/>
          <w:szCs w:val="24"/>
          <w:highlight w:val="none"/>
          <w14:textFill>
            <w14:solidFill>
              <w14:schemeClr w14:val="tx1"/>
            </w14:solidFill>
          </w14:textFill>
        </w:rPr>
      </w:pPr>
    </w:p>
    <w:p w14:paraId="57F02B37">
      <w:pPr>
        <w:jc w:val="left"/>
        <w:rPr>
          <w:rFonts w:hint="eastAsia" w:ascii="Times New Roman" w:hAnsi="Times New Roman" w:eastAsia="宋体" w:cs="宋体"/>
          <w:color w:val="000000" w:themeColor="text1"/>
          <w14:textFill>
            <w14:solidFill>
              <w14:schemeClr w14:val="tx1"/>
            </w14:solidFill>
          </w14:textFill>
        </w:rPr>
      </w:pPr>
    </w:p>
    <w:p w14:paraId="714573A3">
      <w:pPr>
        <w:jc w:val="left"/>
        <w:rPr>
          <w:rFonts w:hint="eastAsia" w:ascii="Times New Roman" w:hAnsi="Times New Roman" w:eastAsia="宋体" w:cs="宋体"/>
          <w:color w:val="000000" w:themeColor="text1"/>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A7AF3DA">
      <w:pPr>
        <w:pStyle w:val="2"/>
        <w:keepNext/>
        <w:keepLines/>
        <w:pageBreakBefore w:val="0"/>
        <w:widowControl w:val="0"/>
        <w:kinsoku/>
        <w:wordWrap/>
        <w:overflowPunct/>
        <w:topLinePunct w:val="0"/>
        <w:autoSpaceDE/>
        <w:autoSpaceDN/>
        <w:bidi w:val="0"/>
        <w:adjustRightInd/>
        <w:snapToGrid/>
        <w:spacing w:before="280" w:after="280" w:line="360" w:lineRule="auto"/>
        <w:jc w:val="center"/>
        <w:textAlignment w:val="auto"/>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112" w:name="_Toc14556"/>
      <w:bookmarkStart w:id="113" w:name="_Toc16208"/>
      <w:r>
        <w:rPr>
          <w:rFonts w:hint="eastAsia" w:ascii="Times New Roman" w:hAnsi="Times New Roman" w:eastAsia="宋体" w:cs="宋体"/>
          <w:color w:val="000000" w:themeColor="text1"/>
          <w:sz w:val="32"/>
          <w:szCs w:val="32"/>
          <w:lang w:val="en-US" w:eastAsia="zh-CN"/>
          <w14:textFill>
            <w14:solidFill>
              <w14:schemeClr w14:val="tx1"/>
            </w14:solidFill>
          </w14:textFill>
        </w:rPr>
        <w:t>附录A 各地暴雨强度公式</w:t>
      </w:r>
      <w:bookmarkEnd w:id="112"/>
      <w:bookmarkEnd w:id="113"/>
    </w:p>
    <w:tbl>
      <w:tblPr>
        <w:tblStyle w:val="16"/>
        <w:tblW w:w="8295" w:type="dxa"/>
        <w:tblInd w:w="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5"/>
        <w:gridCol w:w="782"/>
        <w:gridCol w:w="748"/>
        <w:gridCol w:w="825"/>
        <w:gridCol w:w="1155"/>
        <w:gridCol w:w="4290"/>
      </w:tblGrid>
      <w:tr w14:paraId="06A91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495" w:type="dxa"/>
            <w:vMerge w:val="restart"/>
            <w:tcBorders>
              <w:tl2br w:val="nil"/>
              <w:tr2bl w:val="nil"/>
            </w:tcBorders>
            <w:shd w:val="clear" w:color="auto" w:fill="auto"/>
            <w:noWrap/>
            <w:vAlign w:val="center"/>
          </w:tcPr>
          <w:p w14:paraId="34199E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序号</w:t>
            </w:r>
          </w:p>
        </w:tc>
        <w:tc>
          <w:tcPr>
            <w:tcW w:w="782" w:type="dxa"/>
            <w:vMerge w:val="restart"/>
            <w:tcBorders>
              <w:tl2br w:val="nil"/>
              <w:tr2bl w:val="nil"/>
            </w:tcBorders>
            <w:shd w:val="clear" w:color="auto" w:fill="auto"/>
            <w:noWrap/>
            <w:vAlign w:val="center"/>
          </w:tcPr>
          <w:p w14:paraId="6843FA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sz w:val="21"/>
                <w:szCs w:val="21"/>
                <w:u w:val="none"/>
                <w:lang w:val="en-US" w:eastAsia="zh-CN"/>
              </w:rPr>
            </w:pPr>
            <w:r>
              <w:rPr>
                <w:rFonts w:hint="eastAsia" w:ascii="Times New Roman" w:hAnsi="Times New Roman" w:eastAsia="宋体" w:cs="宋体"/>
                <w:b w:val="0"/>
                <w:bCs w:val="0"/>
                <w:i w:val="0"/>
                <w:iCs w:val="0"/>
                <w:color w:val="000000"/>
                <w:sz w:val="21"/>
                <w:szCs w:val="21"/>
                <w:u w:val="none"/>
                <w:lang w:val="en-US" w:eastAsia="zh-CN"/>
              </w:rPr>
              <w:t>城市</w:t>
            </w:r>
          </w:p>
        </w:tc>
        <w:tc>
          <w:tcPr>
            <w:tcW w:w="748" w:type="dxa"/>
            <w:vMerge w:val="restart"/>
            <w:tcBorders>
              <w:tl2br w:val="nil"/>
              <w:tr2bl w:val="nil"/>
            </w:tcBorders>
            <w:shd w:val="clear" w:color="auto" w:fill="auto"/>
            <w:noWrap/>
            <w:vAlign w:val="center"/>
          </w:tcPr>
          <w:p w14:paraId="202B5E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sz w:val="21"/>
                <w:szCs w:val="21"/>
                <w:u w:val="none"/>
                <w:lang w:val="en-US"/>
              </w:rPr>
            </w:pPr>
            <w:r>
              <w:rPr>
                <w:rFonts w:hint="eastAsia" w:ascii="Times New Roman" w:hAnsi="Times New Roman" w:eastAsia="宋体" w:cs="宋体"/>
                <w:b w:val="0"/>
                <w:bCs w:val="0"/>
                <w:i w:val="0"/>
                <w:iCs w:val="0"/>
                <w:color w:val="000000"/>
                <w:kern w:val="0"/>
                <w:sz w:val="21"/>
                <w:szCs w:val="21"/>
                <w:u w:val="none"/>
                <w:lang w:val="en-US" w:eastAsia="zh-CN" w:bidi="ar"/>
              </w:rPr>
              <w:t>适用区域</w:t>
            </w:r>
          </w:p>
        </w:tc>
        <w:tc>
          <w:tcPr>
            <w:tcW w:w="825" w:type="dxa"/>
            <w:vMerge w:val="restart"/>
            <w:tcBorders>
              <w:tl2br w:val="nil"/>
              <w:tr2bl w:val="nil"/>
            </w:tcBorders>
            <w:shd w:val="clear" w:color="auto" w:fill="auto"/>
            <w:noWrap/>
            <w:vAlign w:val="center"/>
          </w:tcPr>
          <w:p w14:paraId="0272C9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公式类型</w:t>
            </w:r>
          </w:p>
        </w:tc>
        <w:tc>
          <w:tcPr>
            <w:tcW w:w="5445" w:type="dxa"/>
            <w:gridSpan w:val="2"/>
            <w:tcBorders>
              <w:tl2br w:val="nil"/>
              <w:tr2bl w:val="nil"/>
            </w:tcBorders>
            <w:shd w:val="clear" w:color="auto" w:fill="auto"/>
            <w:noWrap/>
            <w:vAlign w:val="center"/>
          </w:tcPr>
          <w:p w14:paraId="5A1E1E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暴雨强度公式</w:t>
            </w:r>
          </w:p>
        </w:tc>
      </w:tr>
      <w:tr w14:paraId="7DD43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495" w:type="dxa"/>
            <w:vMerge w:val="continue"/>
            <w:tcBorders>
              <w:tl2br w:val="nil"/>
              <w:tr2bl w:val="nil"/>
            </w:tcBorders>
            <w:shd w:val="clear" w:color="auto" w:fill="auto"/>
            <w:noWrap/>
            <w:vAlign w:val="center"/>
          </w:tcPr>
          <w:p w14:paraId="3B98DF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p>
        </w:tc>
        <w:tc>
          <w:tcPr>
            <w:tcW w:w="782" w:type="dxa"/>
            <w:vMerge w:val="continue"/>
            <w:tcBorders>
              <w:tl2br w:val="nil"/>
              <w:tr2bl w:val="nil"/>
            </w:tcBorders>
            <w:shd w:val="clear" w:color="auto" w:fill="auto"/>
            <w:noWrap/>
            <w:vAlign w:val="center"/>
          </w:tcPr>
          <w:p w14:paraId="21E770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p>
        </w:tc>
        <w:tc>
          <w:tcPr>
            <w:tcW w:w="748" w:type="dxa"/>
            <w:vMerge w:val="continue"/>
            <w:tcBorders>
              <w:tl2br w:val="nil"/>
              <w:tr2bl w:val="nil"/>
            </w:tcBorders>
            <w:shd w:val="clear" w:color="auto" w:fill="auto"/>
            <w:noWrap/>
            <w:vAlign w:val="center"/>
          </w:tcPr>
          <w:p w14:paraId="0D77F4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p>
        </w:tc>
        <w:tc>
          <w:tcPr>
            <w:tcW w:w="825" w:type="dxa"/>
            <w:vMerge w:val="continue"/>
            <w:tcBorders>
              <w:tl2br w:val="nil"/>
              <w:tr2bl w:val="nil"/>
            </w:tcBorders>
            <w:shd w:val="clear" w:color="auto" w:fill="auto"/>
            <w:noWrap/>
            <w:vAlign w:val="center"/>
          </w:tcPr>
          <w:p w14:paraId="106017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p>
        </w:tc>
        <w:tc>
          <w:tcPr>
            <w:tcW w:w="1155" w:type="dxa"/>
            <w:tcBorders>
              <w:tl2br w:val="nil"/>
              <w:tr2bl w:val="nil"/>
            </w:tcBorders>
            <w:shd w:val="clear" w:color="auto" w:fill="auto"/>
            <w:noWrap/>
            <w:vAlign w:val="center"/>
          </w:tcPr>
          <w:p w14:paraId="4AFB3E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eastAsia="宋体" w:cs="宋体"/>
                <w:b w:val="0"/>
                <w:bCs w:val="0"/>
                <w:i w:val="0"/>
                <w:iCs w:val="0"/>
                <w:color w:val="000000"/>
                <w:kern w:val="0"/>
                <w:sz w:val="21"/>
                <w:szCs w:val="21"/>
                <w:u w:val="none"/>
                <w:lang w:val="en-US" w:eastAsia="zh-CN" w:bidi="ar"/>
              </w:rPr>
              <w:t>重现期P（年）</w:t>
            </w:r>
          </w:p>
        </w:tc>
        <w:tc>
          <w:tcPr>
            <w:tcW w:w="4290" w:type="dxa"/>
            <w:tcBorders>
              <w:tl2br w:val="nil"/>
              <w:tr2bl w:val="nil"/>
            </w:tcBorders>
            <w:shd w:val="clear" w:color="auto" w:fill="auto"/>
            <w:noWrap/>
            <w:vAlign w:val="center"/>
          </w:tcPr>
          <w:p w14:paraId="0D62C6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eastAsia="宋体" w:cs="宋体"/>
                <w:b w:val="0"/>
                <w:bCs w:val="0"/>
                <w:i w:val="0"/>
                <w:iCs w:val="0"/>
                <w:color w:val="000000"/>
                <w:kern w:val="0"/>
                <w:sz w:val="21"/>
                <w:szCs w:val="21"/>
                <w:u w:val="none"/>
                <w:lang w:val="en-US" w:eastAsia="zh-CN" w:bidi="ar"/>
              </w:rPr>
              <w:t>单位：L/（hm²·s）</w:t>
            </w:r>
          </w:p>
        </w:tc>
      </w:tr>
      <w:tr w14:paraId="1CEF7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restart"/>
            <w:tcBorders>
              <w:tl2br w:val="nil"/>
              <w:tr2bl w:val="nil"/>
            </w:tcBorders>
            <w:shd w:val="clear" w:color="auto" w:fill="auto"/>
            <w:noWrap/>
            <w:vAlign w:val="center"/>
          </w:tcPr>
          <w:p w14:paraId="6DBAC2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782" w:type="dxa"/>
            <w:vMerge w:val="restart"/>
            <w:tcBorders>
              <w:tl2br w:val="nil"/>
              <w:tr2bl w:val="nil"/>
            </w:tcBorders>
            <w:shd w:val="clear" w:color="auto" w:fill="auto"/>
            <w:noWrap/>
            <w:vAlign w:val="center"/>
          </w:tcPr>
          <w:p w14:paraId="52977B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广州市</w:t>
            </w:r>
          </w:p>
        </w:tc>
        <w:tc>
          <w:tcPr>
            <w:tcW w:w="748" w:type="dxa"/>
            <w:vMerge w:val="restart"/>
            <w:tcBorders>
              <w:tl2br w:val="nil"/>
              <w:tr2bl w:val="nil"/>
            </w:tcBorders>
            <w:shd w:val="clear" w:color="auto" w:fill="auto"/>
            <w:vAlign w:val="center"/>
          </w:tcPr>
          <w:p w14:paraId="6D55BF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中心城市</w:t>
            </w:r>
          </w:p>
        </w:tc>
        <w:tc>
          <w:tcPr>
            <w:tcW w:w="825" w:type="dxa"/>
            <w:tcBorders>
              <w:tl2br w:val="nil"/>
              <w:tr2bl w:val="nil"/>
            </w:tcBorders>
            <w:shd w:val="clear" w:color="auto" w:fill="auto"/>
            <w:noWrap/>
            <w:vAlign w:val="center"/>
          </w:tcPr>
          <w:p w14:paraId="7B4F5C0F">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42D20A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position w:val="-28"/>
                <w:sz w:val="21"/>
                <w:szCs w:val="21"/>
                <w:u w:val="none"/>
                <w:lang w:eastAsia="zh-CN"/>
              </w:rPr>
              <w:object>
                <v:shape id="_x0000_i1025" o:spt="75" type="#_x0000_t75" style="height:33pt;width:154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p>
        </w:tc>
      </w:tr>
      <w:tr w14:paraId="08125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157CEF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FDA75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5B1BE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825" w:type="dxa"/>
            <w:vMerge w:val="restart"/>
            <w:tcBorders>
              <w:tl2br w:val="nil"/>
              <w:tr2bl w:val="nil"/>
            </w:tcBorders>
            <w:shd w:val="clear" w:color="auto" w:fill="auto"/>
            <w:noWrap/>
            <w:vAlign w:val="center"/>
          </w:tcPr>
          <w:p w14:paraId="262DDA66">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14:paraId="64F6B0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center"/>
          </w:tcPr>
          <w:p w14:paraId="46EC02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6879.231/（t+16.770）^0.934</w:t>
            </w:r>
          </w:p>
        </w:tc>
      </w:tr>
      <w:tr w14:paraId="7D304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0CDC9F4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5A7A27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E2F751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C1292D8">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21E59A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14:paraId="00E79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10848.487/（t+25.581）^0.931</w:t>
            </w:r>
          </w:p>
        </w:tc>
      </w:tr>
      <w:tr w14:paraId="2C106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DA02C2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501975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C74AA3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D3E4F2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502E77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center"/>
          </w:tcPr>
          <w:p w14:paraId="48435D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12682.648/（t+28.369）^0.930</w:t>
            </w:r>
          </w:p>
        </w:tc>
      </w:tr>
      <w:tr w14:paraId="356C9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410ADD5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334831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73CC90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83A9A4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5D1C68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center"/>
          </w:tcPr>
          <w:p w14:paraId="254BFC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14788.685/（t+31.311）^0.928</w:t>
            </w:r>
          </w:p>
        </w:tc>
      </w:tr>
      <w:tr w14:paraId="50DC6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6CDDA0F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CF478B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1D3D0C3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5899EB7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512D6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center"/>
          </w:tcPr>
          <w:p w14:paraId="0E0F17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16971.542/（t+34.941）^0.916</w:t>
            </w:r>
          </w:p>
        </w:tc>
      </w:tr>
      <w:tr w14:paraId="7844A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320112E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779DDA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266AFD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6CF035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771742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center"/>
          </w:tcPr>
          <w:p w14:paraId="6EC57D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20694.473/（t+41.519）^0.915</w:t>
            </w:r>
          </w:p>
        </w:tc>
      </w:tr>
      <w:tr w14:paraId="1EE76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136CA77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02913C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260F9A9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756BEF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3E90AC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center"/>
          </w:tcPr>
          <w:p w14:paraId="4ABD05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22480.204/（t+43.803）^0.914</w:t>
            </w:r>
          </w:p>
        </w:tc>
      </w:tr>
      <w:tr w14:paraId="4FBFD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4C8843E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CA01BC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EB85B8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0A7F3B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1D45A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center"/>
          </w:tcPr>
          <w:p w14:paraId="2A1B4E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24556.014/（t+46.250）^0.913</w:t>
            </w:r>
          </w:p>
        </w:tc>
      </w:tr>
      <w:tr w14:paraId="2DFD6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1A80684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297023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E95B41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755193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638676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center"/>
          </w:tcPr>
          <w:p w14:paraId="72AB4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27212.984/（t+49.226）^0.912</w:t>
            </w:r>
          </w:p>
        </w:tc>
      </w:tr>
      <w:tr w14:paraId="00044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1969442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64CAAC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vAlign w:val="center"/>
          </w:tcPr>
          <w:p w14:paraId="3664180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花都区</w:t>
            </w:r>
          </w:p>
        </w:tc>
        <w:tc>
          <w:tcPr>
            <w:tcW w:w="825" w:type="dxa"/>
            <w:tcBorders>
              <w:tl2br w:val="nil"/>
              <w:tr2bl w:val="nil"/>
            </w:tcBorders>
            <w:shd w:val="clear" w:color="auto" w:fill="auto"/>
            <w:noWrap/>
            <w:vAlign w:val="center"/>
          </w:tcPr>
          <w:p w14:paraId="34C811E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6BCE6F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position w:val="-28"/>
                <w:sz w:val="21"/>
                <w:szCs w:val="21"/>
                <w:u w:val="none"/>
                <w:lang w:eastAsia="zh-CN"/>
              </w:rPr>
              <w:object>
                <v:shape id="_x0000_i1026" o:spt="75" type="#_x0000_t75" style="height:33pt;width:149pt;" o:ole="t" filled="f" o:preferrelative="t" stroked="f" coordsize="21600,21600">
                  <v:path/>
                  <v:fill on="f" focussize="0,0"/>
                  <v:stroke on="f"/>
                  <v:imagedata r:id="rId16" o:title=""/>
                  <o:lock v:ext="edit" aspectratio="t"/>
                  <w10:wrap type="none"/>
                  <w10:anchorlock/>
                </v:shape>
                <o:OLEObject Type="Embed" ProgID="Equation.KSEE3" ShapeID="_x0000_i1026" DrawAspect="Content" ObjectID="_1468075726" r:id="rId15">
                  <o:LockedField>false</o:LockedField>
                </o:OLEObject>
              </w:object>
            </w:r>
          </w:p>
        </w:tc>
      </w:tr>
      <w:tr w14:paraId="59E12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D37FD6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757A65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45656C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p>
        </w:tc>
        <w:tc>
          <w:tcPr>
            <w:tcW w:w="825" w:type="dxa"/>
            <w:vMerge w:val="restart"/>
            <w:tcBorders>
              <w:tl2br w:val="nil"/>
              <w:tr2bl w:val="nil"/>
            </w:tcBorders>
            <w:shd w:val="clear" w:color="auto" w:fill="auto"/>
            <w:noWrap/>
            <w:vAlign w:val="center"/>
          </w:tcPr>
          <w:p w14:paraId="3C4E479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14:paraId="41C550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center"/>
          </w:tcPr>
          <w:p w14:paraId="332663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rPr>
              <w:t>13110.502/(t+26.745)</w:t>
            </w:r>
            <w:r>
              <w:rPr>
                <w:rFonts w:hint="eastAsia" w:ascii="Times New Roman" w:hAnsi="Times New Roman" w:eastAsia="宋体" w:cs="宋体"/>
                <w:i w:val="0"/>
                <w:iCs w:val="0"/>
                <w:color w:val="000000"/>
                <w:sz w:val="21"/>
                <w:szCs w:val="21"/>
                <w:u w:val="none"/>
                <w:lang w:val="en-US" w:eastAsia="zh-CN"/>
              </w:rPr>
              <w:t>^</w:t>
            </w:r>
            <w:r>
              <w:rPr>
                <w:rFonts w:hint="eastAsia" w:ascii="Times New Roman" w:hAnsi="Times New Roman" w:eastAsia="宋体" w:cs="宋体"/>
                <w:i w:val="0"/>
                <w:iCs w:val="0"/>
                <w:color w:val="000000"/>
                <w:sz w:val="21"/>
                <w:szCs w:val="21"/>
                <w:u w:val="none"/>
              </w:rPr>
              <w:t>1.042</w:t>
            </w:r>
          </w:p>
        </w:tc>
      </w:tr>
      <w:tr w14:paraId="7991B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F79F98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BDE163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17BFBA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80A8BF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689909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bottom"/>
          </w:tcPr>
          <w:p w14:paraId="78DE7A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9934.83/(t+26.474)^0.923</w:t>
            </w:r>
          </w:p>
        </w:tc>
      </w:tr>
      <w:tr w14:paraId="491A4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9281EF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CBD453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2449BAD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5E4CDBE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12FDAF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bottom"/>
          </w:tcPr>
          <w:p w14:paraId="0DF5A6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8809.751/(t+26.352)^0.866</w:t>
            </w:r>
          </w:p>
        </w:tc>
      </w:tr>
      <w:tr w14:paraId="2622E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7A9EBA0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D60F42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0D377D6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0A771FE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702C36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bottom"/>
          </w:tcPr>
          <w:p w14:paraId="445108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7599.335/(t+26.213)^0.800</w:t>
            </w:r>
          </w:p>
        </w:tc>
      </w:tr>
      <w:tr w14:paraId="31087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C58166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877104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228F044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30C693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0F60D8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bottom"/>
          </w:tcPr>
          <w:p w14:paraId="77668C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6435.345/(t+25.354)^0.727</w:t>
            </w:r>
          </w:p>
        </w:tc>
      </w:tr>
      <w:tr w14:paraId="7CE58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325071C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401889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2287C26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6CD10B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42E0A7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bottom"/>
          </w:tcPr>
          <w:p w14:paraId="0161A9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5835.815/(t+23.576)^0.680</w:t>
            </w:r>
          </w:p>
        </w:tc>
      </w:tr>
      <w:tr w14:paraId="0174C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0AF68D8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961CE5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FF132D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FFA8A3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2A5FF5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bottom"/>
          </w:tcPr>
          <w:p w14:paraId="662D1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5595.669/(t+22.864)^0.658</w:t>
            </w:r>
          </w:p>
        </w:tc>
      </w:tr>
      <w:tr w14:paraId="4120C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6DEB490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D0EC78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61FEE8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2CC149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484F20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bottom"/>
          </w:tcPr>
          <w:p w14:paraId="25C5D0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5330.473/(t+22.077)^0.632</w:t>
            </w:r>
          </w:p>
        </w:tc>
      </w:tr>
      <w:tr w14:paraId="432E4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55F3243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C8F899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0080944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52DB11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781BEB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bottom"/>
          </w:tcPr>
          <w:p w14:paraId="4AC81F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5001.984/(t+21.102)^0.600</w:t>
            </w:r>
          </w:p>
        </w:tc>
      </w:tr>
      <w:tr w14:paraId="7D6F7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6864D4B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1B2166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vAlign w:val="center"/>
          </w:tcPr>
          <w:p w14:paraId="65F7520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从化区</w:t>
            </w:r>
          </w:p>
        </w:tc>
        <w:tc>
          <w:tcPr>
            <w:tcW w:w="825" w:type="dxa"/>
            <w:tcBorders>
              <w:tl2br w:val="nil"/>
              <w:tr2bl w:val="nil"/>
            </w:tcBorders>
            <w:shd w:val="clear" w:color="auto" w:fill="auto"/>
            <w:noWrap/>
            <w:vAlign w:val="center"/>
          </w:tcPr>
          <w:p w14:paraId="1B79542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5629A1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position w:val="-28"/>
                <w:sz w:val="21"/>
                <w:szCs w:val="21"/>
                <w:u w:val="none"/>
                <w:lang w:eastAsia="zh-CN"/>
              </w:rPr>
              <w:object>
                <v:shape id="_x0000_i1027" o:spt="75" type="#_x0000_t75" style="height:33pt;width:149pt;" o:ole="t" filled="f" o:preferrelative="t" stroked="f" coordsize="21600,21600">
                  <v:path/>
                  <v:fill on="f" focussize="0,0"/>
                  <v:stroke on="f"/>
                  <v:imagedata r:id="rId18" o:title=""/>
                  <o:lock v:ext="edit" aspectratio="t"/>
                  <w10:wrap type="none"/>
                  <w10:anchorlock/>
                </v:shape>
                <o:OLEObject Type="Embed" ProgID="Equation.KSEE3" ShapeID="_x0000_i1027" DrawAspect="Content" ObjectID="_1468075727" r:id="rId17">
                  <o:LockedField>false</o:LockedField>
                </o:OLEObject>
              </w:object>
            </w:r>
          </w:p>
        </w:tc>
      </w:tr>
      <w:tr w14:paraId="002FE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59D839F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B507B1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B7CED0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p>
        </w:tc>
        <w:tc>
          <w:tcPr>
            <w:tcW w:w="825" w:type="dxa"/>
            <w:vMerge w:val="restart"/>
            <w:tcBorders>
              <w:tl2br w:val="nil"/>
              <w:tr2bl w:val="nil"/>
            </w:tcBorders>
            <w:shd w:val="clear" w:color="auto" w:fill="auto"/>
            <w:noWrap/>
            <w:vAlign w:val="center"/>
          </w:tcPr>
          <w:p w14:paraId="1D9F3E4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14:paraId="7B79EB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bottom"/>
          </w:tcPr>
          <w:p w14:paraId="5BB385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6390.756/(t+20.678)^0.888</w:t>
            </w:r>
          </w:p>
        </w:tc>
      </w:tr>
      <w:tr w14:paraId="73F8B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C02CAE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B8C04A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29C2685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3142AF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6725CE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bottom"/>
          </w:tcPr>
          <w:p w14:paraId="488E1A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5864.205/(t+18.485)^0.822</w:t>
            </w:r>
          </w:p>
        </w:tc>
      </w:tr>
      <w:tr w14:paraId="12A97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7C61CDF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4C3A02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346D08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5032D97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54252D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bottom"/>
          </w:tcPr>
          <w:p w14:paraId="10C0FF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5632.576/(t+17.708）^0.792</w:t>
            </w:r>
          </w:p>
        </w:tc>
      </w:tr>
      <w:tr w14:paraId="15E2F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64A18E7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4C5ED3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634BC5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4E3957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5DF899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bottom"/>
          </w:tcPr>
          <w:p w14:paraId="203388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5370.553/(t+16.879)^0.757</w:t>
            </w:r>
          </w:p>
        </w:tc>
      </w:tr>
      <w:tr w14:paraId="7CF2C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64B060C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E6C524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1C5DA1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D91E90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627CD8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bottom"/>
          </w:tcPr>
          <w:p w14:paraId="67FD70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4649.447/(t+15.093)^0.702</w:t>
            </w:r>
          </w:p>
        </w:tc>
      </w:tr>
      <w:tr w14:paraId="7378C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F897E8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29D987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0AE7630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6C77A0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20EFA7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bottom"/>
          </w:tcPr>
          <w:p w14:paraId="58D173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4158.3/(t+13.218)^0.660</w:t>
            </w:r>
          </w:p>
        </w:tc>
      </w:tr>
      <w:tr w14:paraId="59B48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2A6F19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DF4014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FA28B3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EB2334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5A7021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bottom"/>
          </w:tcPr>
          <w:p w14:paraId="1BC040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3961.574/(t+12.514)^0.639</w:t>
            </w:r>
          </w:p>
        </w:tc>
      </w:tr>
      <w:tr w14:paraId="4A567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43D8D18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54A7C3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DD9D64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F5DAD7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08ECC1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bottom"/>
          </w:tcPr>
          <w:p w14:paraId="1B757C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3744.307/(t+11.748)^0.614</w:t>
            </w:r>
          </w:p>
        </w:tc>
      </w:tr>
      <w:tr w14:paraId="05596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3ED5B36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p>
        </w:tc>
        <w:tc>
          <w:tcPr>
            <w:tcW w:w="782" w:type="dxa"/>
            <w:vMerge w:val="continue"/>
            <w:tcBorders>
              <w:tl2br w:val="nil"/>
              <w:tr2bl w:val="nil"/>
            </w:tcBorders>
            <w:shd w:val="clear" w:color="auto" w:fill="auto"/>
            <w:noWrap/>
            <w:vAlign w:val="center"/>
          </w:tcPr>
          <w:p w14:paraId="59C98B2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kern w:val="0"/>
                <w:sz w:val="21"/>
                <w:szCs w:val="21"/>
                <w:u w:val="none"/>
                <w:lang w:val="en-US" w:eastAsia="zh-CN" w:bidi="ar"/>
              </w:rPr>
            </w:pPr>
          </w:p>
        </w:tc>
        <w:tc>
          <w:tcPr>
            <w:tcW w:w="748" w:type="dxa"/>
            <w:vMerge w:val="continue"/>
            <w:tcBorders>
              <w:tl2br w:val="nil"/>
              <w:tr2bl w:val="nil"/>
            </w:tcBorders>
            <w:shd w:val="clear" w:color="auto" w:fill="auto"/>
            <w:vAlign w:val="center"/>
          </w:tcPr>
          <w:p w14:paraId="2DA5D8C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0ED6379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57888B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bottom"/>
          </w:tcPr>
          <w:p w14:paraId="3EAAA0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3475.27/(t+10.808)^0.583</w:t>
            </w:r>
          </w:p>
        </w:tc>
      </w:tr>
      <w:tr w14:paraId="4C795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95" w:type="dxa"/>
            <w:vMerge w:val="restart"/>
            <w:tcBorders>
              <w:tl2br w:val="nil"/>
              <w:tr2bl w:val="nil"/>
            </w:tcBorders>
            <w:shd w:val="clear" w:color="auto" w:fill="auto"/>
            <w:noWrap/>
            <w:vAlign w:val="center"/>
          </w:tcPr>
          <w:p w14:paraId="2BF81C1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w:t>
            </w:r>
          </w:p>
        </w:tc>
        <w:tc>
          <w:tcPr>
            <w:tcW w:w="782" w:type="dxa"/>
            <w:vMerge w:val="restart"/>
            <w:tcBorders>
              <w:tl2br w:val="nil"/>
              <w:tr2bl w:val="nil"/>
            </w:tcBorders>
            <w:shd w:val="clear" w:color="auto" w:fill="auto"/>
            <w:noWrap/>
            <w:vAlign w:val="center"/>
          </w:tcPr>
          <w:p w14:paraId="04381F1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广州市</w:t>
            </w:r>
          </w:p>
        </w:tc>
        <w:tc>
          <w:tcPr>
            <w:tcW w:w="748" w:type="dxa"/>
            <w:vMerge w:val="restart"/>
            <w:tcBorders>
              <w:tl2br w:val="nil"/>
              <w:tr2bl w:val="nil"/>
            </w:tcBorders>
            <w:shd w:val="clear" w:color="auto" w:fill="auto"/>
            <w:vAlign w:val="center"/>
          </w:tcPr>
          <w:p w14:paraId="2751A2A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番禺区</w:t>
            </w:r>
          </w:p>
        </w:tc>
        <w:tc>
          <w:tcPr>
            <w:tcW w:w="825" w:type="dxa"/>
            <w:tcBorders>
              <w:tl2br w:val="nil"/>
              <w:tr2bl w:val="nil"/>
            </w:tcBorders>
            <w:shd w:val="clear" w:color="auto" w:fill="auto"/>
            <w:noWrap/>
            <w:vAlign w:val="center"/>
          </w:tcPr>
          <w:p w14:paraId="3E28B74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60892539">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eastAsia" w:ascii="Times New Roman" w:hAnsi="Times New Roman" w:eastAsia="宋体" w:cs="宋体"/>
                <w:i w:val="0"/>
                <w:iCs w:val="0"/>
                <w:color w:val="000000"/>
                <w:position w:val="-28"/>
                <w:sz w:val="21"/>
                <w:szCs w:val="21"/>
                <w:u w:val="none"/>
                <w:lang w:eastAsia="zh-CN"/>
              </w:rPr>
              <w:object>
                <v:shape id="_x0000_i1028" o:spt="75" type="#_x0000_t75" style="height:33pt;width:148pt;" o:ole="t" filled="f" o:preferrelative="t" stroked="f" coordsize="21600,21600">
                  <v:path/>
                  <v:fill on="f" focussize="0,0"/>
                  <v:stroke on="f"/>
                  <v:imagedata r:id="rId20" o:title=""/>
                  <o:lock v:ext="edit" aspectratio="t"/>
                  <w10:wrap type="none"/>
                  <w10:anchorlock/>
                </v:shape>
                <o:OLEObject Type="Embed" ProgID="Equation.KSEE3" ShapeID="_x0000_i1028" DrawAspect="Content" ObjectID="_1468075728" r:id="rId19">
                  <o:LockedField>false</o:LockedField>
                </o:OLEObject>
              </w:object>
            </w:r>
          </w:p>
        </w:tc>
      </w:tr>
      <w:tr w14:paraId="2C366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7DE594E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B9A397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61D98C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p>
        </w:tc>
        <w:tc>
          <w:tcPr>
            <w:tcW w:w="825" w:type="dxa"/>
            <w:vMerge w:val="restart"/>
            <w:tcBorders>
              <w:tl2br w:val="nil"/>
              <w:tr2bl w:val="nil"/>
            </w:tcBorders>
            <w:shd w:val="clear" w:color="auto" w:fill="auto"/>
            <w:noWrap/>
            <w:vAlign w:val="center"/>
          </w:tcPr>
          <w:p w14:paraId="7D9296B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14:paraId="37F0D5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bottom"/>
          </w:tcPr>
          <w:p w14:paraId="397D20BC">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6519.179/(t+24.317)^0.905</w:t>
            </w:r>
          </w:p>
        </w:tc>
      </w:tr>
      <w:tr w14:paraId="39ED4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05115A0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753C54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081153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FDD3A0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41D780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bottom"/>
          </w:tcPr>
          <w:p w14:paraId="66E32B76">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6449.707/(t+22.291)^0.853</w:t>
            </w:r>
          </w:p>
        </w:tc>
      </w:tr>
      <w:tr w14:paraId="5F042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1634910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A723E2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1222778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A9F29D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02689A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bottom"/>
          </w:tcPr>
          <w:p w14:paraId="720C6E2E">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6411.464/(t+21.240)^0.829</w:t>
            </w:r>
          </w:p>
        </w:tc>
      </w:tr>
      <w:tr w14:paraId="5D2D2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4243374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F04267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1550ABA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729D29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56BBD3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bottom"/>
          </w:tcPr>
          <w:p w14:paraId="1A2A3D93">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6364.871/(t+19.984)^0.801</w:t>
            </w:r>
          </w:p>
        </w:tc>
      </w:tr>
      <w:tr w14:paraId="089E1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0482018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77A3FB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0891114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5A7FAC4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16D7EC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bottom"/>
          </w:tcPr>
          <w:p w14:paraId="648E4356">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6601.844/(t+18.629)^0.779</w:t>
            </w:r>
          </w:p>
        </w:tc>
      </w:tr>
      <w:tr w14:paraId="354D0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7BEEEA0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A4F754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316299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DBEBCE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781589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bottom"/>
          </w:tcPr>
          <w:p w14:paraId="22DEF9F2">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7124.554/(t+17.740)^0.773</w:t>
            </w:r>
          </w:p>
        </w:tc>
      </w:tr>
      <w:tr w14:paraId="79AC3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4E381A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61E2C6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FDE672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53471B3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24DCDC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bottom"/>
          </w:tcPr>
          <w:p w14:paraId="0EC35E34">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7429.162/(t+17.432)^0.770</w:t>
            </w:r>
          </w:p>
        </w:tc>
      </w:tr>
      <w:tr w14:paraId="3AC8B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0E3E1E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32368B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22EB46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30DD1C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2C7655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bottom"/>
          </w:tcPr>
          <w:p w14:paraId="18F3AAB9">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7812.427/(t+17.101)^0.767</w:t>
            </w:r>
          </w:p>
        </w:tc>
      </w:tr>
      <w:tr w14:paraId="68D3C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39D456F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93A0EA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1C9258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CF4A77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7CB525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bottom"/>
          </w:tcPr>
          <w:p w14:paraId="62C83525">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8331.797/(t+16.699)^0.763</w:t>
            </w:r>
          </w:p>
        </w:tc>
      </w:tr>
      <w:tr w14:paraId="7A5BC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45EAAAA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559B47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vAlign w:val="center"/>
          </w:tcPr>
          <w:p w14:paraId="18884AFD">
            <w:pPr>
              <w:keepNext w:val="0"/>
              <w:keepLines w:val="0"/>
              <w:suppressLineNumbers w:val="0"/>
              <w:spacing w:before="0" w:beforeAutospacing="0" w:after="0" w:afterAutospacing="0"/>
              <w:ind w:left="0" w:right="0"/>
              <w:jc w:val="both"/>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增城区</w:t>
            </w:r>
          </w:p>
        </w:tc>
        <w:tc>
          <w:tcPr>
            <w:tcW w:w="825" w:type="dxa"/>
            <w:tcBorders>
              <w:tl2br w:val="nil"/>
              <w:tr2bl w:val="nil"/>
            </w:tcBorders>
            <w:shd w:val="clear" w:color="auto" w:fill="auto"/>
            <w:noWrap/>
            <w:vAlign w:val="center"/>
          </w:tcPr>
          <w:p w14:paraId="26ADED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35465A9E">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宋体"/>
                <w:i w:val="0"/>
                <w:iCs w:val="0"/>
                <w:color w:val="000000"/>
                <w:position w:val="-28"/>
                <w:sz w:val="21"/>
                <w:szCs w:val="21"/>
                <w:u w:val="none"/>
                <w:lang w:eastAsia="zh-CN"/>
              </w:rPr>
              <w:object>
                <v:shape id="_x0000_i1029" o:spt="75" type="#_x0000_t75" style="height:33pt;width:147pt;" o:ole="t" filled="f" o:preferrelative="t" stroked="f" coordsize="21600,21600">
                  <v:path/>
                  <v:fill on="f" focussize="0,0"/>
                  <v:stroke on="f"/>
                  <v:imagedata r:id="rId22" o:title=""/>
                  <o:lock v:ext="edit" aspectratio="t"/>
                  <w10:wrap type="none"/>
                  <w10:anchorlock/>
                </v:shape>
                <o:OLEObject Type="Embed" ProgID="Equation.KSEE3" ShapeID="_x0000_i1029" DrawAspect="Content" ObjectID="_1468075729" r:id="rId21">
                  <o:LockedField>false</o:LockedField>
                </o:OLEObject>
              </w:object>
            </w:r>
          </w:p>
        </w:tc>
      </w:tr>
      <w:tr w14:paraId="3B603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4FAD405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C150A7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06FBEA90">
            <w:pPr>
              <w:keepNext w:val="0"/>
              <w:keepLines w:val="0"/>
              <w:suppressLineNumbers w:val="0"/>
              <w:spacing w:before="0" w:beforeAutospacing="0" w:after="0" w:afterAutospacing="0"/>
              <w:ind w:left="0" w:right="0"/>
              <w:jc w:val="both"/>
              <w:rPr>
                <w:rFonts w:hint="default" w:ascii="Times New Roman" w:hAnsi="Times New Roman" w:eastAsia="宋体" w:cs="宋体"/>
                <w:i w:val="0"/>
                <w:iCs w:val="0"/>
                <w:color w:val="000000"/>
                <w:sz w:val="21"/>
                <w:szCs w:val="21"/>
                <w:u w:val="none"/>
                <w:lang w:val="en-US" w:eastAsia="zh-CN"/>
              </w:rPr>
            </w:pPr>
          </w:p>
        </w:tc>
        <w:tc>
          <w:tcPr>
            <w:tcW w:w="825" w:type="dxa"/>
            <w:vMerge w:val="restart"/>
            <w:tcBorders>
              <w:tl2br w:val="nil"/>
              <w:tr2bl w:val="nil"/>
            </w:tcBorders>
            <w:shd w:val="clear" w:color="auto" w:fill="auto"/>
            <w:noWrap/>
            <w:vAlign w:val="center"/>
          </w:tcPr>
          <w:p w14:paraId="4DD3271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14:paraId="68058D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bottom"/>
          </w:tcPr>
          <w:p w14:paraId="5ED512CE">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1895.617/(t+8.367)^0.642</w:t>
            </w:r>
          </w:p>
        </w:tc>
      </w:tr>
      <w:tr w14:paraId="6A44D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797EEB9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514C81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8C7B1C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902D9D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30F9DC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bottom"/>
          </w:tcPr>
          <w:p w14:paraId="67207885">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2246.15/(t+7.760)^0.616</w:t>
            </w:r>
          </w:p>
        </w:tc>
      </w:tr>
      <w:tr w14:paraId="58993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40024E5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ACB3C4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DD2083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C1E391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5ACFE2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bottom"/>
          </w:tcPr>
          <w:p w14:paraId="33F405A9">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2443.377/(t+7.445)^0.608</w:t>
            </w:r>
          </w:p>
        </w:tc>
      </w:tr>
      <w:tr w14:paraId="238AA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3674B7F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F8D68E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21FE169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07DD8DA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0C003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bottom"/>
          </w:tcPr>
          <w:p w14:paraId="2286F18B">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2687.364/(t+7.068)^0.599</w:t>
            </w:r>
          </w:p>
        </w:tc>
      </w:tr>
      <w:tr w14:paraId="400F3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441630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C50C10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40B843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D6032B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624228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bottom"/>
          </w:tcPr>
          <w:p w14:paraId="0C90B651">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3094.844/(t+7.169)^0.602</w:t>
            </w:r>
          </w:p>
        </w:tc>
      </w:tr>
      <w:tr w14:paraId="06252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6BA2E22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DFB577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1BCCE69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54292D5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03EC79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bottom"/>
          </w:tcPr>
          <w:p w14:paraId="3DF5C8F6">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3614.047/(t+7.628)^0.613</w:t>
            </w:r>
          </w:p>
        </w:tc>
      </w:tr>
      <w:tr w14:paraId="1C1F9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580D41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78719C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51F7D8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E17E5E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7A96A0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bottom"/>
          </w:tcPr>
          <w:p w14:paraId="2F8B2099">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3893.104/(t+7.788)^0.617</w:t>
            </w:r>
          </w:p>
        </w:tc>
      </w:tr>
      <w:tr w14:paraId="5BC11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163BC7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1C0ED0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1E805F0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3142C9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384C7D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bottom"/>
          </w:tcPr>
          <w:p w14:paraId="4ED04A2C">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4231.78/(t+7.959)^0.621</w:t>
            </w:r>
          </w:p>
        </w:tc>
      </w:tr>
      <w:tr w14:paraId="37B2A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4D4736A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231251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A72A62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0B5329D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0FBE77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bottom"/>
          </w:tcPr>
          <w:p w14:paraId="3CC69340">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4678.338/(t+8.167)^0.627</w:t>
            </w:r>
          </w:p>
        </w:tc>
      </w:tr>
      <w:tr w14:paraId="7525E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87FB7C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322568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vAlign w:val="center"/>
          </w:tcPr>
          <w:p w14:paraId="5DAB498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黄埔区</w:t>
            </w:r>
          </w:p>
        </w:tc>
        <w:tc>
          <w:tcPr>
            <w:tcW w:w="825" w:type="dxa"/>
            <w:vMerge w:val="restart"/>
            <w:tcBorders>
              <w:tl2br w:val="nil"/>
              <w:tr2bl w:val="nil"/>
            </w:tcBorders>
            <w:shd w:val="clear" w:color="auto" w:fill="auto"/>
            <w:noWrap/>
            <w:vAlign w:val="center"/>
          </w:tcPr>
          <w:p w14:paraId="210FEDF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14:paraId="4B26D5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bottom"/>
          </w:tcPr>
          <w:p w14:paraId="6088E41F">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8889.076/(t+20.740)</w:t>
            </w:r>
            <w:r>
              <w:rPr>
                <w:rFonts w:hint="default" w:ascii="Times New Roman" w:hAnsi="Times New Roman" w:eastAsia="宋体" w:cs="Times New Roman"/>
                <w:color w:val="000000"/>
                <w:kern w:val="0"/>
                <w:sz w:val="21"/>
                <w:szCs w:val="21"/>
                <w:lang w:val="en-US" w:eastAsia="zh-CN" w:bidi="ar"/>
              </w:rPr>
              <w:t>^0.9</w:t>
            </w:r>
            <w:r>
              <w:rPr>
                <w:rFonts w:hint="eastAsia" w:ascii="Times New Roman" w:hAnsi="Times New Roman" w:eastAsia="宋体" w:cs="Times New Roman"/>
                <w:color w:val="000000"/>
                <w:kern w:val="0"/>
                <w:sz w:val="21"/>
                <w:szCs w:val="21"/>
                <w:lang w:val="en-US" w:eastAsia="zh-CN" w:bidi="ar"/>
              </w:rPr>
              <w:t>54</w:t>
            </w:r>
          </w:p>
        </w:tc>
      </w:tr>
      <w:tr w14:paraId="5C537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2042DBA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200C2A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C03E54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FFDEEC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305D00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bottom"/>
          </w:tcPr>
          <w:p w14:paraId="0FC1D328">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10403.265/(t+24.424)^0.911</w:t>
            </w:r>
          </w:p>
        </w:tc>
      </w:tr>
      <w:tr w14:paraId="29711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37297EC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BB1732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3C07FB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5F7977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6C61A6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bottom"/>
          </w:tcPr>
          <w:p w14:paraId="569CB819">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10939.669/(t+26.445)^0.889</w:t>
            </w:r>
          </w:p>
        </w:tc>
      </w:tr>
      <w:tr w14:paraId="5788F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1D47267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B568C6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1378D85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55FA98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7D0D66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bottom"/>
          </w:tcPr>
          <w:p w14:paraId="2A5FD2DA">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11516.821/(t+28.919)^0.862</w:t>
            </w:r>
          </w:p>
        </w:tc>
      </w:tr>
      <w:tr w14:paraId="0491D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22F75C1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F9985B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15C9C80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8CBCC6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3825A9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bottom"/>
          </w:tcPr>
          <w:p w14:paraId="1400E962">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10699.523/(t+30.544)^0.806</w:t>
            </w:r>
          </w:p>
        </w:tc>
      </w:tr>
      <w:tr w14:paraId="1BB87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D66F8D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1D7242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0B844E7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052FA18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66D4FB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bottom"/>
          </w:tcPr>
          <w:p w14:paraId="1CF05ED3">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10627.379/(t+33.376)^0.772</w:t>
            </w:r>
          </w:p>
        </w:tc>
      </w:tr>
      <w:tr w14:paraId="647C6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27DD31F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A60A3A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0BE209B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4E24E5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2CB242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bottom"/>
          </w:tcPr>
          <w:p w14:paraId="3BCCE274">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10591.474/(t+34.735)^0.755</w:t>
            </w:r>
          </w:p>
        </w:tc>
      </w:tr>
      <w:tr w14:paraId="7F061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5746C6E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F77D04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3EC5C3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C5804D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0AEC35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bottom"/>
          </w:tcPr>
          <w:p w14:paraId="2DB0FBBF">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10549.39/(t+36.314)^0.736</w:t>
            </w:r>
          </w:p>
        </w:tc>
      </w:tr>
      <w:tr w14:paraId="09B9B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3E0C4E7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6265D2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E953A5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A31AC3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25DC6E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bottom"/>
          </w:tcPr>
          <w:p w14:paraId="10B51F27">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10495.115/(t+38.335)^0.712</w:t>
            </w:r>
          </w:p>
        </w:tc>
      </w:tr>
      <w:tr w14:paraId="2712D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dxa"/>
            <w:vMerge w:val="restart"/>
            <w:tcBorders>
              <w:tl2br w:val="nil"/>
              <w:tr2bl w:val="nil"/>
            </w:tcBorders>
            <w:shd w:val="clear" w:color="auto" w:fill="auto"/>
            <w:noWrap/>
            <w:vAlign w:val="center"/>
          </w:tcPr>
          <w:p w14:paraId="3236DA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782" w:type="dxa"/>
            <w:vMerge w:val="restart"/>
            <w:tcBorders>
              <w:tl2br w:val="nil"/>
              <w:tr2bl w:val="nil"/>
            </w:tcBorders>
            <w:shd w:val="clear" w:color="auto" w:fill="auto"/>
            <w:noWrap/>
            <w:vAlign w:val="center"/>
          </w:tcPr>
          <w:p w14:paraId="69044FA4">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深圳市</w:t>
            </w:r>
          </w:p>
        </w:tc>
        <w:tc>
          <w:tcPr>
            <w:tcW w:w="748" w:type="dxa"/>
            <w:vMerge w:val="restart"/>
            <w:tcBorders>
              <w:tl2br w:val="nil"/>
              <w:tr2bl w:val="nil"/>
            </w:tcBorders>
            <w:shd w:val="clear" w:color="auto" w:fill="auto"/>
            <w:vAlign w:val="center"/>
          </w:tcPr>
          <w:p w14:paraId="2CCF7E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深圳市主城区</w:t>
            </w:r>
          </w:p>
        </w:tc>
        <w:tc>
          <w:tcPr>
            <w:tcW w:w="825" w:type="dxa"/>
            <w:tcBorders>
              <w:tl2br w:val="nil"/>
              <w:tr2bl w:val="nil"/>
            </w:tcBorders>
            <w:shd w:val="clear" w:color="auto" w:fill="auto"/>
            <w:noWrap/>
            <w:vAlign w:val="center"/>
          </w:tcPr>
          <w:p w14:paraId="65DCC3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597F4BB2">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28"/>
                <w:sz w:val="21"/>
                <w:szCs w:val="21"/>
                <w:u w:val="none"/>
                <w:lang w:eastAsia="zh-CN"/>
              </w:rPr>
              <w:object>
                <v:shape id="_x0000_i1030" o:spt="75" type="#_x0000_t75" style="height:33pt;width:148pt;" o:ole="t" filled="f" o:preferrelative="t" stroked="f" coordsize="21600,21600">
                  <v:path/>
                  <v:fill on="f" focussize="0,0"/>
                  <v:stroke on="f"/>
                  <v:imagedata r:id="rId24" o:title=""/>
                  <o:lock v:ext="edit" aspectratio="t"/>
                  <w10:wrap type="none"/>
                  <w10:anchorlock/>
                </v:shape>
                <o:OLEObject Type="Embed" ProgID="Equation.KSEE3" ShapeID="_x0000_i1030" DrawAspect="Content" ObjectID="_1468075730" r:id="rId23">
                  <o:LockedField>false</o:LockedField>
                </o:OLEObject>
              </w:object>
            </w:r>
          </w:p>
        </w:tc>
      </w:tr>
      <w:tr w14:paraId="1CE04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05F77AC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1FB6A5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385B56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restart"/>
            <w:tcBorders>
              <w:tl2br w:val="nil"/>
              <w:tr2bl w:val="nil"/>
            </w:tcBorders>
            <w:shd w:val="clear" w:color="auto" w:fill="auto"/>
            <w:noWrap/>
            <w:vAlign w:val="center"/>
          </w:tcPr>
          <w:p w14:paraId="74DCA1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vAlign w:val="center"/>
          </w:tcPr>
          <w:p w14:paraId="0338A8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14:paraId="79D86D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2461.413/（t+12.688）^0654</w:t>
            </w:r>
          </w:p>
        </w:tc>
      </w:tr>
      <w:tr w14:paraId="1982D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5DCAFF6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F6650F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CDEAC9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0C136D4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3A2A3D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14:paraId="7A6BAA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2473.103/（t+12.544）^0.629</w:t>
            </w:r>
          </w:p>
        </w:tc>
      </w:tr>
      <w:tr w14:paraId="19D74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0973BE1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F719A1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BBF4DE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CC31B4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40BB32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14:paraId="0E60EB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2485.628/（t+12.388）^0.602</w:t>
            </w:r>
          </w:p>
        </w:tc>
      </w:tr>
      <w:tr w14:paraId="7F947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57D4E5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CBB338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108D21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27B73A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532CB9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14:paraId="701723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2333.992/（t+11.305）^0.557</w:t>
            </w:r>
          </w:p>
        </w:tc>
      </w:tr>
      <w:tr w14:paraId="37C0B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231D819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495478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2A35945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841DC1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591B15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14:paraId="02E65C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2261.347/（t+10.178）^0.529</w:t>
            </w:r>
          </w:p>
        </w:tc>
      </w:tr>
      <w:tr w14:paraId="2C37C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4230ED6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E72F57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9944D4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FD07A9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61F653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14:paraId="627AA2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2219.597/（t+9.657）^0.514</w:t>
            </w:r>
          </w:p>
        </w:tc>
      </w:tr>
      <w:tr w14:paraId="0385F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3846D77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7AFF0E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4CBB0D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06AD942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08FBB1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14:paraId="7D2E73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2167.827/（t+9.058）^0.495</w:t>
            </w:r>
          </w:p>
        </w:tc>
      </w:tr>
      <w:tr w14:paraId="01AF2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14:paraId="5C80338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BDEEFC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F95ADA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484514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14:paraId="18AB30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14:paraId="7ED225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2097.854/（t+8.298）^0.47</w:t>
            </w:r>
          </w:p>
        </w:tc>
      </w:tr>
      <w:tr w14:paraId="76966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95" w:type="dxa"/>
            <w:vMerge w:val="restart"/>
            <w:tcBorders>
              <w:tl2br w:val="nil"/>
              <w:tr2bl w:val="nil"/>
            </w:tcBorders>
            <w:shd w:val="clear" w:color="auto" w:fill="auto"/>
            <w:noWrap/>
            <w:vAlign w:val="center"/>
          </w:tcPr>
          <w:p w14:paraId="565369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782" w:type="dxa"/>
            <w:vMerge w:val="restart"/>
            <w:tcBorders>
              <w:tl2br w:val="nil"/>
              <w:tr2bl w:val="nil"/>
            </w:tcBorders>
            <w:shd w:val="clear" w:color="auto" w:fill="auto"/>
            <w:noWrap/>
            <w:vAlign w:val="center"/>
          </w:tcPr>
          <w:p w14:paraId="272604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珠海市</w:t>
            </w:r>
          </w:p>
        </w:tc>
        <w:tc>
          <w:tcPr>
            <w:tcW w:w="748" w:type="dxa"/>
            <w:tcBorders>
              <w:tl2br w:val="nil"/>
              <w:tr2bl w:val="nil"/>
            </w:tcBorders>
            <w:shd w:val="clear" w:color="auto" w:fill="auto"/>
            <w:vAlign w:val="center"/>
          </w:tcPr>
          <w:p w14:paraId="4713E8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珠海市区</w:t>
            </w:r>
          </w:p>
        </w:tc>
        <w:tc>
          <w:tcPr>
            <w:tcW w:w="825" w:type="dxa"/>
            <w:tcBorders>
              <w:tl2br w:val="nil"/>
              <w:tr2bl w:val="nil"/>
            </w:tcBorders>
            <w:shd w:val="clear" w:color="auto" w:fill="auto"/>
            <w:noWrap/>
            <w:vAlign w:val="center"/>
          </w:tcPr>
          <w:p w14:paraId="041ACD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7B3F51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1" o:spt="75" type="#_x0000_t75" style="height:34pt;width:141pt;" o:ole="t" filled="f" o:preferrelative="t" stroked="f" coordsize="21600,21600">
                  <v:path/>
                  <v:fill on="f" focussize="0,0"/>
                  <v:stroke on="f"/>
                  <v:imagedata r:id="rId26" o:title=""/>
                  <o:lock v:ext="edit" aspectratio="t"/>
                  <w10:wrap type="none"/>
                  <w10:anchorlock/>
                </v:shape>
                <o:OLEObject Type="Embed" ProgID="Equation.KSEE3" ShapeID="_x0000_i1031" DrawAspect="Content" ObjectID="_1468075731" r:id="rId25">
                  <o:LockedField>false</o:LockedField>
                </o:OLEObject>
              </w:object>
            </w:r>
          </w:p>
        </w:tc>
      </w:tr>
      <w:tr w14:paraId="5CFF7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dxa"/>
            <w:vMerge w:val="continue"/>
            <w:tcBorders>
              <w:tl2br w:val="nil"/>
              <w:tr2bl w:val="nil"/>
            </w:tcBorders>
            <w:shd w:val="clear" w:color="auto" w:fill="auto"/>
            <w:noWrap/>
            <w:vAlign w:val="center"/>
          </w:tcPr>
          <w:p w14:paraId="7000530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0165ED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tcBorders>
              <w:tl2br w:val="nil"/>
              <w:tr2bl w:val="nil"/>
            </w:tcBorders>
            <w:shd w:val="clear" w:color="auto" w:fill="auto"/>
            <w:vAlign w:val="center"/>
          </w:tcPr>
          <w:p w14:paraId="129133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斗门区</w:t>
            </w:r>
          </w:p>
        </w:tc>
        <w:tc>
          <w:tcPr>
            <w:tcW w:w="825" w:type="dxa"/>
            <w:tcBorders>
              <w:tl2br w:val="nil"/>
              <w:tr2bl w:val="nil"/>
            </w:tcBorders>
            <w:shd w:val="clear" w:color="auto" w:fill="auto"/>
            <w:noWrap/>
            <w:vAlign w:val="center"/>
          </w:tcPr>
          <w:p w14:paraId="2A7F08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487AE6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2" o:spt="75" type="#_x0000_t75" style="height:34pt;width:148pt;" o:ole="t" filled="f" o:preferrelative="t" stroked="f" coordsize="21600,21600">
                  <v:path/>
                  <v:fill on="f" focussize="0,0"/>
                  <v:stroke on="f"/>
                  <v:imagedata r:id="rId28" o:title=""/>
                  <o:lock v:ext="edit" aspectratio="t"/>
                  <w10:wrap type="none"/>
                  <w10:anchorlock/>
                </v:shape>
                <o:OLEObject Type="Embed" ProgID="Equation.KSEE3" ShapeID="_x0000_i1032" DrawAspect="Content" ObjectID="_1468075732" r:id="rId27">
                  <o:LockedField>false</o:LockedField>
                </o:OLEObject>
              </w:object>
            </w:r>
          </w:p>
        </w:tc>
      </w:tr>
      <w:tr w14:paraId="417A6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dxa"/>
            <w:vMerge w:val="restart"/>
            <w:tcBorders>
              <w:tl2br w:val="nil"/>
              <w:tr2bl w:val="nil"/>
            </w:tcBorders>
            <w:shd w:val="clear" w:color="auto" w:fill="auto"/>
            <w:noWrap/>
            <w:vAlign w:val="center"/>
          </w:tcPr>
          <w:p w14:paraId="56B06D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w:t>
            </w:r>
          </w:p>
        </w:tc>
        <w:tc>
          <w:tcPr>
            <w:tcW w:w="782" w:type="dxa"/>
            <w:vMerge w:val="restart"/>
            <w:tcBorders>
              <w:tl2br w:val="nil"/>
              <w:tr2bl w:val="nil"/>
            </w:tcBorders>
            <w:shd w:val="clear" w:color="auto" w:fill="auto"/>
            <w:noWrap/>
            <w:vAlign w:val="center"/>
          </w:tcPr>
          <w:p w14:paraId="76A301B8">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汕头市</w:t>
            </w:r>
          </w:p>
        </w:tc>
        <w:tc>
          <w:tcPr>
            <w:tcW w:w="748" w:type="dxa"/>
            <w:vMerge w:val="restart"/>
            <w:tcBorders>
              <w:tl2br w:val="nil"/>
              <w:tr2bl w:val="nil"/>
            </w:tcBorders>
            <w:shd w:val="clear" w:color="auto" w:fill="auto"/>
            <w:vAlign w:val="center"/>
          </w:tcPr>
          <w:p w14:paraId="08B26433">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汕头市中心城区</w:t>
            </w:r>
          </w:p>
        </w:tc>
        <w:tc>
          <w:tcPr>
            <w:tcW w:w="825" w:type="dxa"/>
            <w:tcBorders>
              <w:tl2br w:val="nil"/>
              <w:tr2bl w:val="nil"/>
            </w:tcBorders>
            <w:shd w:val="clear" w:color="auto" w:fill="auto"/>
            <w:noWrap/>
            <w:vAlign w:val="center"/>
          </w:tcPr>
          <w:p w14:paraId="79D068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vAlign w:val="center"/>
          </w:tcPr>
          <w:p w14:paraId="24C445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28"/>
                <w:sz w:val="21"/>
                <w:szCs w:val="21"/>
                <w:u w:val="none"/>
                <w:lang w:val="en-US" w:eastAsia="zh-CN"/>
              </w:rPr>
            </w:pPr>
            <w:r>
              <w:rPr>
                <w:rFonts w:hint="eastAsia" w:ascii="Times New Roman" w:hAnsi="Times New Roman" w:eastAsia="宋体" w:cs="宋体"/>
                <w:i w:val="0"/>
                <w:iCs w:val="0"/>
                <w:color w:val="000000"/>
                <w:position w:val="-30"/>
                <w:sz w:val="21"/>
                <w:szCs w:val="21"/>
                <w:u w:val="none"/>
                <w:lang w:eastAsia="zh-CN"/>
              </w:rPr>
              <w:object>
                <v:shape id="_x0000_i1033" o:spt="75" type="#_x0000_t75" style="height:34pt;width:146pt;" o:ole="t" filled="f" o:preferrelative="t" stroked="f" coordsize="21600,21600">
                  <v:path/>
                  <v:fill on="f" focussize="0,0"/>
                  <v:stroke on="f"/>
                  <v:imagedata r:id="rId30" o:title=""/>
                  <o:lock v:ext="edit" aspectratio="t"/>
                  <w10:wrap type="none"/>
                  <w10:anchorlock/>
                </v:shape>
                <o:OLEObject Type="Embed" ProgID="Equation.KSEE3" ShapeID="_x0000_i1033" DrawAspect="Content" ObjectID="_1468075733" r:id="rId29">
                  <o:LockedField>false</o:LockedField>
                </o:OLEObject>
              </w:object>
            </w:r>
          </w:p>
        </w:tc>
      </w:tr>
      <w:tr w14:paraId="53583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20585A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606FD6D">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D86BE6C">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p>
        </w:tc>
        <w:tc>
          <w:tcPr>
            <w:tcW w:w="825" w:type="dxa"/>
            <w:vMerge w:val="restart"/>
            <w:tcBorders>
              <w:tl2br w:val="nil"/>
              <w:tr2bl w:val="nil"/>
            </w:tcBorders>
            <w:shd w:val="clear" w:color="auto" w:fill="auto"/>
            <w:noWrap/>
            <w:vAlign w:val="center"/>
          </w:tcPr>
          <w:p w14:paraId="4C05AC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vAlign w:val="center"/>
          </w:tcPr>
          <w:p w14:paraId="2DE03D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14:paraId="691F40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2798.419/（t+10.321）^0.695</w:t>
            </w:r>
          </w:p>
        </w:tc>
      </w:tr>
      <w:tr w14:paraId="6E6F0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2B16671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23D459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0B2E84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5183118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00AC95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14:paraId="49A779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2684.191/（t+9.172）^0.659</w:t>
            </w:r>
          </w:p>
        </w:tc>
      </w:tr>
      <w:tr w14:paraId="5D49A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188C73E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FB0AA7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0E89C3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4E237D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0484CC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14:paraId="7AE251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2551.092/（t+7.835）^0.619</w:t>
            </w:r>
          </w:p>
        </w:tc>
      </w:tr>
      <w:tr w14:paraId="79E12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28383C7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E5166C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9CD46C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0936409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51E741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14:paraId="64F752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2544.092/（t+6.744）^0.587</w:t>
            </w:r>
          </w:p>
        </w:tc>
      </w:tr>
      <w:tr w14:paraId="65914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59EF444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ACC435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0B4C38C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525F7D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56A43A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14:paraId="5146A3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2631.085/（t+6.169）^0.567</w:t>
            </w:r>
          </w:p>
        </w:tc>
      </w:tr>
      <w:tr w14:paraId="42246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472B805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932B9C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059C14C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2CCDDB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12D304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14:paraId="528F06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2681.519/（t+5.926）^0.559</w:t>
            </w:r>
          </w:p>
        </w:tc>
      </w:tr>
      <w:tr w14:paraId="42A37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4B796A2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1FA343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288484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679B9B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2A9A1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14:paraId="599401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2744.812/（t+5.653）^0.551</w:t>
            </w:r>
          </w:p>
        </w:tc>
      </w:tr>
      <w:tr w14:paraId="4A174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3FC570E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038898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7E554C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B79185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7D4BDD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14:paraId="2C48B0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2830.817/（t+5.313）^0.541</w:t>
            </w:r>
          </w:p>
        </w:tc>
      </w:tr>
      <w:tr w14:paraId="67251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restart"/>
            <w:tcBorders>
              <w:tl2br w:val="nil"/>
              <w:tr2bl w:val="nil"/>
            </w:tcBorders>
            <w:shd w:val="clear" w:color="auto" w:fill="auto"/>
            <w:noWrap/>
            <w:vAlign w:val="center"/>
          </w:tcPr>
          <w:p w14:paraId="268D35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782" w:type="dxa"/>
            <w:vMerge w:val="restart"/>
            <w:tcBorders>
              <w:tl2br w:val="nil"/>
              <w:tr2bl w:val="nil"/>
            </w:tcBorders>
            <w:shd w:val="clear" w:color="auto" w:fill="auto"/>
            <w:noWrap/>
            <w:vAlign w:val="center"/>
          </w:tcPr>
          <w:p w14:paraId="58D0E2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佛山市</w:t>
            </w:r>
          </w:p>
        </w:tc>
        <w:tc>
          <w:tcPr>
            <w:tcW w:w="748" w:type="dxa"/>
            <w:vMerge w:val="restart"/>
            <w:tcBorders>
              <w:tl2br w:val="nil"/>
              <w:tr2bl w:val="nil"/>
            </w:tcBorders>
            <w:shd w:val="clear" w:color="auto" w:fill="auto"/>
            <w:vAlign w:val="center"/>
          </w:tcPr>
          <w:p w14:paraId="17954A0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禅城区</w:t>
            </w:r>
          </w:p>
          <w:p w14:paraId="547FB33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p>
          <w:p w14:paraId="18B48B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南海区</w:t>
            </w:r>
          </w:p>
        </w:tc>
        <w:tc>
          <w:tcPr>
            <w:tcW w:w="825" w:type="dxa"/>
            <w:vMerge w:val="restart"/>
            <w:tcBorders>
              <w:tl2br w:val="nil"/>
              <w:tr2bl w:val="nil"/>
            </w:tcBorders>
            <w:shd w:val="clear" w:color="auto" w:fill="auto"/>
            <w:noWrap/>
            <w:vAlign w:val="center"/>
          </w:tcPr>
          <w:p w14:paraId="63215E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vAlign w:val="center"/>
          </w:tcPr>
          <w:p w14:paraId="618790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14:paraId="02501E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5647.272/（t+14.271）^0.829</w:t>
            </w:r>
          </w:p>
        </w:tc>
      </w:tr>
      <w:tr w14:paraId="65683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40A6467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60B1DE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A35C81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8CB059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C46E9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14:paraId="08534F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6399.941/（t+14.566）^0.832</w:t>
            </w:r>
          </w:p>
        </w:tc>
      </w:tr>
      <w:tr w14:paraId="185D5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5FE6AEB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A498D8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0AA5CF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E13B7B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5E4021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14:paraId="7EF51B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7288.214/（t+14.8778）^0.835</w:t>
            </w:r>
          </w:p>
        </w:tc>
      </w:tr>
      <w:tr w14:paraId="1DC03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5498586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1D3515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33A56D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9ABBDB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E6D24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14:paraId="3AF690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8221.41/（t+14.4660）^0.835</w:t>
            </w:r>
          </w:p>
        </w:tc>
      </w:tr>
      <w:tr w14:paraId="1A63E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169471D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8446EC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396EAA7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8AA350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2B8867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14:paraId="4208D7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8802.904/（t+13.6337）^0.832</w:t>
            </w:r>
          </w:p>
        </w:tc>
      </w:tr>
      <w:tr w14:paraId="30695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314C5C8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561CDD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250D774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95DA17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78DAFE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14:paraId="552D64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9141.914/（t+13.351）^0.831</w:t>
            </w:r>
          </w:p>
        </w:tc>
      </w:tr>
      <w:tr w14:paraId="75D63A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22B70E5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46E481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DE8BCA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56B694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16221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40</w:t>
            </w:r>
          </w:p>
        </w:tc>
        <w:tc>
          <w:tcPr>
            <w:tcW w:w="4290" w:type="dxa"/>
            <w:tcBorders>
              <w:tl2br w:val="nil"/>
              <w:tr2bl w:val="nil"/>
            </w:tcBorders>
            <w:shd w:val="clear" w:color="auto" w:fill="auto"/>
            <w:vAlign w:val="center"/>
          </w:tcPr>
          <w:p w14:paraId="1157AE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9382.06/（t+13.1774）^0.830</w:t>
            </w:r>
          </w:p>
        </w:tc>
      </w:tr>
      <w:tr w14:paraId="3B227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5C05222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B4450C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675739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95C125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49114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14:paraId="7DFFD3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9568.265/（t+13.045）^0.829</w:t>
            </w:r>
          </w:p>
        </w:tc>
      </w:tr>
      <w:tr w14:paraId="10C49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6A24976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7F7F65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61DCC1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302D34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57596E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4290" w:type="dxa"/>
            <w:tcBorders>
              <w:tl2br w:val="nil"/>
              <w:tr2bl w:val="nil"/>
            </w:tcBorders>
            <w:shd w:val="clear" w:color="auto" w:fill="auto"/>
            <w:vAlign w:val="center"/>
          </w:tcPr>
          <w:p w14:paraId="5E982B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9720.235/（t+12.944）^0.829</w:t>
            </w:r>
          </w:p>
        </w:tc>
      </w:tr>
      <w:tr w14:paraId="556D5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A630E9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52704C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C05145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83F081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2B5F53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70</w:t>
            </w:r>
          </w:p>
        </w:tc>
        <w:tc>
          <w:tcPr>
            <w:tcW w:w="4290" w:type="dxa"/>
            <w:tcBorders>
              <w:tl2br w:val="nil"/>
              <w:tr2bl w:val="nil"/>
            </w:tcBorders>
            <w:shd w:val="clear" w:color="auto" w:fill="auto"/>
            <w:vAlign w:val="center"/>
          </w:tcPr>
          <w:p w14:paraId="45AE3E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2848.825/（t+12.860）^0.829</w:t>
            </w:r>
          </w:p>
        </w:tc>
      </w:tr>
      <w:tr w14:paraId="135AB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6A668D7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5AE6FA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897661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537484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7CCDD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80</w:t>
            </w:r>
          </w:p>
        </w:tc>
        <w:tc>
          <w:tcPr>
            <w:tcW w:w="4290" w:type="dxa"/>
            <w:tcBorders>
              <w:tl2br w:val="nil"/>
              <w:tr2bl w:val="nil"/>
            </w:tcBorders>
            <w:shd w:val="clear" w:color="auto" w:fill="auto"/>
            <w:vAlign w:val="center"/>
          </w:tcPr>
          <w:p w14:paraId="016EC8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9960.047/（t+12.789）^0.828</w:t>
            </w:r>
          </w:p>
        </w:tc>
      </w:tr>
      <w:tr w14:paraId="01628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288FAB1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D178B4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1B6BD25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1546CF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5D3EC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w:t>
            </w:r>
          </w:p>
        </w:tc>
        <w:tc>
          <w:tcPr>
            <w:tcW w:w="4290" w:type="dxa"/>
            <w:tcBorders>
              <w:tl2br w:val="nil"/>
              <w:tr2bl w:val="nil"/>
            </w:tcBorders>
            <w:shd w:val="clear" w:color="auto" w:fill="auto"/>
            <w:vAlign w:val="center"/>
          </w:tcPr>
          <w:p w14:paraId="3E200C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10058.243/（t+12.7727）^0.828</w:t>
            </w:r>
          </w:p>
        </w:tc>
      </w:tr>
      <w:tr w14:paraId="04A7E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7345BF8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29CC4B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ECAD42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49720B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71732D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14:paraId="154777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10146.085/（t+12.6673）^0.828</w:t>
            </w:r>
          </w:p>
        </w:tc>
      </w:tr>
      <w:tr w14:paraId="77AA4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775B229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9A6552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noWrap/>
            <w:vAlign w:val="center"/>
          </w:tcPr>
          <w:p w14:paraId="3F8FC6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顺德区</w:t>
            </w:r>
          </w:p>
        </w:tc>
        <w:tc>
          <w:tcPr>
            <w:tcW w:w="825" w:type="dxa"/>
            <w:vMerge w:val="restart"/>
            <w:tcBorders>
              <w:tl2br w:val="nil"/>
              <w:tr2bl w:val="nil"/>
            </w:tcBorders>
            <w:shd w:val="clear" w:color="auto" w:fill="auto"/>
            <w:noWrap/>
            <w:vAlign w:val="center"/>
          </w:tcPr>
          <w:p w14:paraId="09E688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vAlign w:val="center"/>
          </w:tcPr>
          <w:p w14:paraId="51BB4D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14:paraId="4EAC99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4819.62/（t+13.6221）^0.803</w:t>
            </w:r>
          </w:p>
        </w:tc>
      </w:tr>
      <w:tr w14:paraId="613C9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1D40101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20EFBE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2E5F2E5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D468A0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07E9B8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14:paraId="7FD3C1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4526.535/（t+12.553）^0.766</w:t>
            </w:r>
          </w:p>
        </w:tc>
      </w:tr>
      <w:tr w14:paraId="3F888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28232E5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7A9674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670A376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D0B15F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2582C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14:paraId="4451BC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4185.02/（t+11.276）^0.721</w:t>
            </w:r>
          </w:p>
        </w:tc>
      </w:tr>
      <w:tr w14:paraId="5A3FD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2ED9A1E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AEF09B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6776B07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6B9325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2160E7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14:paraId="5A0843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3368.724/（t+8.630）^0.654</w:t>
            </w:r>
          </w:p>
        </w:tc>
      </w:tr>
      <w:tr w14:paraId="5642D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4DB793C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54A2A8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0FD2877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7CF51C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76C38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14:paraId="583B6D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2986.294/（t+6.718）^0.612</w:t>
            </w:r>
          </w:p>
        </w:tc>
      </w:tr>
      <w:tr w14:paraId="7EE88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4AEAE69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46CB48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2C03921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68E2EC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288C89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14:paraId="5FB707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2816.455/（t+5.834）^0.590</w:t>
            </w:r>
          </w:p>
        </w:tc>
      </w:tr>
      <w:tr w14:paraId="11C6F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5E29098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262D0E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653ADEE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A70319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6C4389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40</w:t>
            </w:r>
          </w:p>
        </w:tc>
        <w:tc>
          <w:tcPr>
            <w:tcW w:w="4290" w:type="dxa"/>
            <w:tcBorders>
              <w:tl2br w:val="nil"/>
              <w:tr2bl w:val="nil"/>
            </w:tcBorders>
            <w:shd w:val="clear" w:color="auto" w:fill="auto"/>
            <w:vAlign w:val="center"/>
          </w:tcPr>
          <w:p w14:paraId="74F43C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2706.068/（t+5.253）^0.575</w:t>
            </w:r>
          </w:p>
        </w:tc>
      </w:tr>
      <w:tr w14:paraId="32333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59827E3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70DAFA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0D93385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27142F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77012A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14:paraId="3C92D7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2623.904/（t+4.819）^0.563</w:t>
            </w:r>
          </w:p>
        </w:tc>
      </w:tr>
      <w:tr w14:paraId="2FA68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031BA8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7F8A6F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30ACF26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F08C55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0A8C7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4290" w:type="dxa"/>
            <w:tcBorders>
              <w:tl2br w:val="nil"/>
              <w:tr2bl w:val="nil"/>
            </w:tcBorders>
            <w:shd w:val="clear" w:color="auto" w:fill="auto"/>
            <w:vAlign w:val="center"/>
          </w:tcPr>
          <w:p w14:paraId="28B1BB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2558.607/（t+4.473）^0.554</w:t>
            </w:r>
          </w:p>
        </w:tc>
      </w:tr>
      <w:tr w14:paraId="59437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2D60CC4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47AFB9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053AA7F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33A86A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8A994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70</w:t>
            </w:r>
          </w:p>
        </w:tc>
        <w:tc>
          <w:tcPr>
            <w:tcW w:w="4290" w:type="dxa"/>
            <w:tcBorders>
              <w:tl2br w:val="nil"/>
              <w:tr2bl w:val="nil"/>
            </w:tcBorders>
            <w:shd w:val="clear" w:color="auto" w:fill="auto"/>
            <w:vAlign w:val="center"/>
          </w:tcPr>
          <w:p w14:paraId="335AD2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2504.332/（t+4.815）^0.546</w:t>
            </w:r>
          </w:p>
        </w:tc>
      </w:tr>
      <w:tr w14:paraId="25E40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7DEF00C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A06581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74D6328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70AE5CE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947AE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80</w:t>
            </w:r>
          </w:p>
        </w:tc>
        <w:tc>
          <w:tcPr>
            <w:tcW w:w="4290" w:type="dxa"/>
            <w:tcBorders>
              <w:tl2br w:val="nil"/>
              <w:tr2bl w:val="nil"/>
            </w:tcBorders>
            <w:shd w:val="clear" w:color="auto" w:fill="auto"/>
            <w:vAlign w:val="center"/>
          </w:tcPr>
          <w:p w14:paraId="361A7C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2457.906/（t+3.938）^0.539</w:t>
            </w:r>
          </w:p>
        </w:tc>
      </w:tr>
      <w:tr w14:paraId="207A8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7EB83D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D2A346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7E367D6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9A3A4D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6F5563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w:t>
            </w:r>
          </w:p>
        </w:tc>
        <w:tc>
          <w:tcPr>
            <w:tcW w:w="4290" w:type="dxa"/>
            <w:tcBorders>
              <w:tl2br w:val="nil"/>
              <w:tr2bl w:val="nil"/>
            </w:tcBorders>
            <w:shd w:val="clear" w:color="auto" w:fill="auto"/>
            <w:vAlign w:val="center"/>
          </w:tcPr>
          <w:p w14:paraId="715362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2417.492/（t+3.722）^0.534</w:t>
            </w:r>
          </w:p>
        </w:tc>
      </w:tr>
      <w:tr w14:paraId="593A0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2D5600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A9C965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6C99363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C39CBA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03FFA3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14:paraId="2EB64F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2381.42/（t+3.530）^0.528</w:t>
            </w:r>
          </w:p>
        </w:tc>
      </w:tr>
      <w:tr w14:paraId="7AE03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6D54C89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3D983E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vAlign w:val="center"/>
          </w:tcPr>
          <w:p w14:paraId="09E8C63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三水区</w:t>
            </w:r>
          </w:p>
          <w:p w14:paraId="4CC6203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imes New Roman" w:hAnsi="Times New Roman" w:eastAsia="宋体" w:cs="宋体"/>
                <w:i w:val="0"/>
                <w:iCs w:val="0"/>
                <w:color w:val="000000"/>
                <w:kern w:val="0"/>
                <w:sz w:val="21"/>
                <w:szCs w:val="21"/>
                <w:u w:val="none"/>
                <w:lang w:val="en-US" w:eastAsia="zh-CN" w:bidi="ar"/>
              </w:rPr>
            </w:pPr>
          </w:p>
          <w:p w14:paraId="2BC7CEC4">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高明区</w:t>
            </w:r>
          </w:p>
        </w:tc>
        <w:tc>
          <w:tcPr>
            <w:tcW w:w="825" w:type="dxa"/>
            <w:vMerge w:val="restart"/>
            <w:tcBorders>
              <w:tl2br w:val="nil"/>
              <w:tr2bl w:val="nil"/>
            </w:tcBorders>
            <w:shd w:val="clear" w:color="auto" w:fill="auto"/>
            <w:noWrap/>
            <w:vAlign w:val="center"/>
          </w:tcPr>
          <w:p w14:paraId="5E3BD9B3">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vAlign w:val="center"/>
          </w:tcPr>
          <w:p w14:paraId="5799C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vAlign w:val="center"/>
          </w:tcPr>
          <w:p w14:paraId="004028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2463.584/（t+7.363）^0.672</w:t>
            </w:r>
          </w:p>
        </w:tc>
      </w:tr>
      <w:tr w14:paraId="1AE33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4BFF74E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D78E53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1B06C0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4E1731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66FD99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14:paraId="3D552B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2820.296/（t+7.960）^0.674</w:t>
            </w:r>
          </w:p>
        </w:tc>
      </w:tr>
      <w:tr w14:paraId="2074A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894EE3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5DB497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12D9057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DB3993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E7259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14:paraId="41B7A0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3261.51/（t+8.589）^0.677</w:t>
            </w:r>
          </w:p>
        </w:tc>
      </w:tr>
      <w:tr w14:paraId="2CBC3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38E3B55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78D39B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112C81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691D27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024208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14:paraId="2F1E1B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3871.227/（t+9.354）^0.684</w:t>
            </w:r>
          </w:p>
        </w:tc>
      </w:tr>
      <w:tr w14:paraId="29287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66E58C5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FC3304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488CEA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28CE4C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9E83D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14:paraId="5AEBF7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4555.092/（t+9.826）^0.696</w:t>
            </w:r>
          </w:p>
        </w:tc>
      </w:tr>
      <w:tr w14:paraId="507E9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111C238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6ECECA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4742FE2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EBE745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12FDD1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14:paraId="46DDC6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4913.641/（t+9.990）^0.701</w:t>
            </w:r>
          </w:p>
        </w:tc>
      </w:tr>
      <w:tr w14:paraId="556E0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6547598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985146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244BF21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51F4E6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0530C1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40</w:t>
            </w:r>
          </w:p>
        </w:tc>
        <w:tc>
          <w:tcPr>
            <w:tcW w:w="4290" w:type="dxa"/>
            <w:tcBorders>
              <w:tl2br w:val="nil"/>
              <w:tr2bl w:val="nil"/>
            </w:tcBorders>
            <w:shd w:val="clear" w:color="auto" w:fill="auto"/>
            <w:vAlign w:val="center"/>
          </w:tcPr>
          <w:p w14:paraId="3F488C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5158.463/（t+10.091）^0.703</w:t>
            </w:r>
          </w:p>
        </w:tc>
      </w:tr>
      <w:tr w14:paraId="44CD2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0D7E6C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33177B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06320AB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5B217C0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55148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14:paraId="3DBA02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5344.501/（t+10.165）^0.705</w:t>
            </w:r>
          </w:p>
        </w:tc>
      </w:tr>
      <w:tr w14:paraId="462F5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0429BF5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23C03C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5D53F8C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C26488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620C18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4290" w:type="dxa"/>
            <w:tcBorders>
              <w:tl2br w:val="nil"/>
              <w:tr2bl w:val="nil"/>
            </w:tcBorders>
            <w:shd w:val="clear" w:color="auto" w:fill="auto"/>
            <w:vAlign w:val="center"/>
          </w:tcPr>
          <w:p w14:paraId="012ED1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5494.634/（t+10.224）^0.707</w:t>
            </w:r>
          </w:p>
        </w:tc>
      </w:tr>
      <w:tr w14:paraId="524F3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3698AC0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C62802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15BCD7B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69EC750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CBCDF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70</w:t>
            </w:r>
          </w:p>
        </w:tc>
        <w:tc>
          <w:tcPr>
            <w:tcW w:w="4290" w:type="dxa"/>
            <w:tcBorders>
              <w:tl2br w:val="nil"/>
              <w:tr2bl w:val="nil"/>
            </w:tcBorders>
            <w:shd w:val="clear" w:color="auto" w:fill="auto"/>
            <w:vAlign w:val="center"/>
          </w:tcPr>
          <w:p w14:paraId="204C15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5620.385/（t+10.271）^0.708</w:t>
            </w:r>
          </w:p>
        </w:tc>
      </w:tr>
      <w:tr w14:paraId="61A38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482EC86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840E6E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7BEAA4F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0BAB01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063034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80</w:t>
            </w:r>
          </w:p>
        </w:tc>
        <w:tc>
          <w:tcPr>
            <w:tcW w:w="4290" w:type="dxa"/>
            <w:tcBorders>
              <w:tl2br w:val="nil"/>
              <w:tr2bl w:val="nil"/>
            </w:tcBorders>
            <w:shd w:val="clear" w:color="auto" w:fill="auto"/>
            <w:vAlign w:val="center"/>
          </w:tcPr>
          <w:p w14:paraId="747A7D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5728.768/（t+10.312）^0.709</w:t>
            </w:r>
          </w:p>
        </w:tc>
      </w:tr>
      <w:tr w14:paraId="5F0E0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6E61D49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2BCCE2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61A9BBD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7A1D99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26C403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w:t>
            </w:r>
          </w:p>
        </w:tc>
        <w:tc>
          <w:tcPr>
            <w:tcW w:w="4290" w:type="dxa"/>
            <w:tcBorders>
              <w:tl2br w:val="nil"/>
              <w:tr2bl w:val="nil"/>
            </w:tcBorders>
            <w:shd w:val="clear" w:color="auto" w:fill="auto"/>
            <w:vAlign w:val="center"/>
          </w:tcPr>
          <w:p w14:paraId="396D8E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5823.791/（t+10.348）^0.710</w:t>
            </w:r>
          </w:p>
        </w:tc>
      </w:tr>
      <w:tr w14:paraId="1C47B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14:paraId="533BA4C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F80465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14:paraId="148E5CB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C2590B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1FB4B1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14:paraId="106342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5908.627/（t+10.379）^0.711</w:t>
            </w:r>
          </w:p>
        </w:tc>
      </w:tr>
      <w:tr w14:paraId="7281C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5" w:type="dxa"/>
            <w:vMerge w:val="restart"/>
            <w:tcBorders>
              <w:tl2br w:val="nil"/>
              <w:tr2bl w:val="nil"/>
            </w:tcBorders>
            <w:shd w:val="clear" w:color="auto" w:fill="auto"/>
            <w:noWrap/>
            <w:vAlign w:val="center"/>
          </w:tcPr>
          <w:p w14:paraId="3A7822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c>
          <w:tcPr>
            <w:tcW w:w="782" w:type="dxa"/>
            <w:vMerge w:val="restart"/>
            <w:tcBorders>
              <w:tl2br w:val="nil"/>
              <w:tr2bl w:val="nil"/>
            </w:tcBorders>
            <w:shd w:val="clear" w:color="auto" w:fill="auto"/>
            <w:noWrap/>
            <w:vAlign w:val="center"/>
          </w:tcPr>
          <w:p w14:paraId="21E1DF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韶关市</w:t>
            </w:r>
          </w:p>
        </w:tc>
        <w:tc>
          <w:tcPr>
            <w:tcW w:w="748" w:type="dxa"/>
            <w:vMerge w:val="restart"/>
            <w:tcBorders>
              <w:tl2br w:val="nil"/>
              <w:tr2bl w:val="nil"/>
            </w:tcBorders>
            <w:shd w:val="clear" w:color="auto" w:fill="auto"/>
            <w:vAlign w:val="center"/>
          </w:tcPr>
          <w:p w14:paraId="245138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韶关市主城区、乐昌市、南雄市</w:t>
            </w:r>
          </w:p>
        </w:tc>
        <w:tc>
          <w:tcPr>
            <w:tcW w:w="825" w:type="dxa"/>
            <w:tcBorders>
              <w:tl2br w:val="nil"/>
              <w:tr2bl w:val="nil"/>
            </w:tcBorders>
            <w:shd w:val="clear" w:color="auto" w:fill="auto"/>
            <w:noWrap/>
            <w:vAlign w:val="center"/>
          </w:tcPr>
          <w:p w14:paraId="6F89F6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16B256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4" o:spt="75" type="#_x0000_t75" style="height:34pt;width:161pt;" o:ole="t" filled="f" o:preferrelative="t" stroked="f" coordsize="21600,21600">
                  <v:path/>
                  <v:fill on="f" focussize="0,0"/>
                  <v:stroke on="f"/>
                  <v:imagedata r:id="rId32" o:title=""/>
                  <o:lock v:ext="edit" aspectratio="t"/>
                  <w10:wrap type="none"/>
                  <w10:anchorlock/>
                </v:shape>
                <o:OLEObject Type="Embed" ProgID="Equation.KSEE3" ShapeID="_x0000_i1034" DrawAspect="Content" ObjectID="_1468075734" r:id="rId31">
                  <o:LockedField>false</o:LockedField>
                </o:OLEObject>
              </w:object>
            </w:r>
          </w:p>
        </w:tc>
      </w:tr>
      <w:tr w14:paraId="48E88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495" w:type="dxa"/>
            <w:vMerge w:val="continue"/>
            <w:tcBorders>
              <w:tl2br w:val="nil"/>
              <w:tr2bl w:val="nil"/>
            </w:tcBorders>
            <w:shd w:val="clear" w:color="auto" w:fill="auto"/>
            <w:noWrap/>
            <w:vAlign w:val="center"/>
          </w:tcPr>
          <w:p w14:paraId="7ECFE3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782" w:type="dxa"/>
            <w:vMerge w:val="continue"/>
            <w:tcBorders>
              <w:tl2br w:val="nil"/>
              <w:tr2bl w:val="nil"/>
            </w:tcBorders>
            <w:shd w:val="clear" w:color="auto" w:fill="auto"/>
            <w:noWrap/>
            <w:vAlign w:val="center"/>
          </w:tcPr>
          <w:p w14:paraId="3041A8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748" w:type="dxa"/>
            <w:vMerge w:val="continue"/>
            <w:tcBorders>
              <w:tl2br w:val="nil"/>
              <w:tr2bl w:val="nil"/>
            </w:tcBorders>
            <w:shd w:val="clear" w:color="auto" w:fill="auto"/>
            <w:vAlign w:val="center"/>
          </w:tcPr>
          <w:p w14:paraId="31D838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825" w:type="dxa"/>
            <w:vMerge w:val="restart"/>
            <w:tcBorders>
              <w:tl2br w:val="nil"/>
              <w:tr2bl w:val="nil"/>
            </w:tcBorders>
            <w:shd w:val="clear" w:color="auto" w:fill="auto"/>
            <w:noWrap/>
            <w:vAlign w:val="center"/>
          </w:tcPr>
          <w:p w14:paraId="3B357A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14:paraId="3BF98C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30"/>
                <w:sz w:val="21"/>
                <w:szCs w:val="21"/>
                <w:u w:val="none"/>
                <w:lang w:val="en-US" w:eastAsia="zh-CN"/>
              </w:rPr>
            </w:pPr>
            <w:r>
              <w:rPr>
                <w:rFonts w:hint="eastAsia" w:ascii="Times New Roman" w:hAnsi="Times New Roman" w:eastAsia="宋体" w:cs="宋体"/>
                <w:i w:val="0"/>
                <w:iCs w:val="0"/>
                <w:color w:val="000000"/>
                <w:position w:val="-30"/>
                <w:sz w:val="21"/>
                <w:szCs w:val="21"/>
                <w:u w:val="none"/>
                <w:lang w:val="en-US" w:eastAsia="zh-CN"/>
              </w:rPr>
              <w:t>2≤P≤10</w:t>
            </w:r>
          </w:p>
        </w:tc>
        <w:tc>
          <w:tcPr>
            <w:tcW w:w="4290" w:type="dxa"/>
            <w:tcBorders>
              <w:tl2br w:val="nil"/>
              <w:tr2bl w:val="nil"/>
            </w:tcBorders>
            <w:shd w:val="clear" w:color="auto" w:fill="auto"/>
            <w:noWrap/>
            <w:vAlign w:val="center"/>
          </w:tcPr>
          <w:p w14:paraId="2E7152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3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5" o:spt="75" type="#_x0000_t75" style="height:34pt;width:166pt;" o:ole="t" filled="f" o:preferrelative="t" stroked="f" coordsize="21600,21600">
                  <v:path/>
                  <v:fill on="f" focussize="0,0"/>
                  <v:stroke on="f"/>
                  <v:imagedata r:id="rId34" o:title=""/>
                  <o:lock v:ext="edit" aspectratio="t"/>
                  <w10:wrap type="none"/>
                  <w10:anchorlock/>
                </v:shape>
                <o:OLEObject Type="Embed" ProgID="Equation.KSEE3" ShapeID="_x0000_i1035" DrawAspect="Content" ObjectID="_1468075735" r:id="rId33">
                  <o:LockedField>false</o:LockedField>
                </o:OLEObject>
              </w:object>
            </w:r>
          </w:p>
        </w:tc>
      </w:tr>
      <w:tr w14:paraId="4E592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5" w:type="dxa"/>
            <w:vMerge w:val="continue"/>
            <w:tcBorders>
              <w:tl2br w:val="nil"/>
              <w:tr2bl w:val="nil"/>
            </w:tcBorders>
            <w:shd w:val="clear" w:color="auto" w:fill="auto"/>
            <w:noWrap/>
            <w:vAlign w:val="center"/>
          </w:tcPr>
          <w:p w14:paraId="420E8F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782" w:type="dxa"/>
            <w:vMerge w:val="continue"/>
            <w:tcBorders>
              <w:tl2br w:val="nil"/>
              <w:tr2bl w:val="nil"/>
            </w:tcBorders>
            <w:shd w:val="clear" w:color="auto" w:fill="auto"/>
            <w:noWrap/>
            <w:vAlign w:val="center"/>
          </w:tcPr>
          <w:p w14:paraId="6D6BBC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748" w:type="dxa"/>
            <w:vMerge w:val="continue"/>
            <w:tcBorders>
              <w:tl2br w:val="nil"/>
              <w:tr2bl w:val="nil"/>
            </w:tcBorders>
            <w:shd w:val="clear" w:color="auto" w:fill="auto"/>
            <w:vAlign w:val="center"/>
          </w:tcPr>
          <w:p w14:paraId="7CBD91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825" w:type="dxa"/>
            <w:vMerge w:val="continue"/>
            <w:tcBorders>
              <w:tl2br w:val="nil"/>
              <w:tr2bl w:val="nil"/>
            </w:tcBorders>
            <w:shd w:val="clear" w:color="auto" w:fill="auto"/>
            <w:noWrap/>
            <w:vAlign w:val="center"/>
          </w:tcPr>
          <w:p w14:paraId="7D33E0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1155" w:type="dxa"/>
            <w:tcBorders>
              <w:tl2br w:val="nil"/>
              <w:tr2bl w:val="nil"/>
            </w:tcBorders>
            <w:shd w:val="clear" w:color="auto" w:fill="auto"/>
            <w:noWrap/>
            <w:vAlign w:val="center"/>
          </w:tcPr>
          <w:p w14:paraId="4F217D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30"/>
                <w:sz w:val="21"/>
                <w:szCs w:val="21"/>
                <w:u w:val="none"/>
                <w:lang w:val="en-US" w:eastAsia="zh-CN"/>
              </w:rPr>
            </w:pPr>
            <w:r>
              <w:rPr>
                <w:rFonts w:hint="eastAsia" w:ascii="Times New Roman" w:hAnsi="Times New Roman" w:eastAsia="宋体" w:cs="宋体"/>
                <w:i w:val="0"/>
                <w:iCs w:val="0"/>
                <w:color w:val="000000"/>
                <w:position w:val="-30"/>
                <w:sz w:val="21"/>
                <w:szCs w:val="21"/>
                <w:u w:val="none"/>
                <w:lang w:val="en-US" w:eastAsia="zh-CN"/>
              </w:rPr>
              <w:t>P＞10</w:t>
            </w:r>
          </w:p>
        </w:tc>
        <w:tc>
          <w:tcPr>
            <w:tcW w:w="4290" w:type="dxa"/>
            <w:tcBorders>
              <w:tl2br w:val="nil"/>
              <w:tr2bl w:val="nil"/>
            </w:tcBorders>
            <w:shd w:val="clear" w:color="auto" w:fill="auto"/>
            <w:noWrap/>
            <w:vAlign w:val="center"/>
          </w:tcPr>
          <w:p w14:paraId="057727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3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6" o:spt="75" type="#_x0000_t75" style="height:34pt;width:167pt;" o:ole="t" filled="f" o:preferrelative="t" stroked="f" coordsize="21600,21600">
                  <v:path/>
                  <v:fill on="f" focussize="0,0"/>
                  <v:stroke on="f"/>
                  <v:imagedata r:id="rId36" o:title=""/>
                  <o:lock v:ext="edit" aspectratio="t"/>
                  <w10:wrap type="none"/>
                  <w10:anchorlock/>
                </v:shape>
                <o:OLEObject Type="Embed" ProgID="Equation.KSEE3" ShapeID="_x0000_i1036" DrawAspect="Content" ObjectID="_1468075736" r:id="rId35">
                  <o:LockedField>false</o:LockedField>
                </o:OLEObject>
              </w:object>
            </w:r>
          </w:p>
        </w:tc>
      </w:tr>
      <w:tr w14:paraId="52C4A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95" w:type="dxa"/>
            <w:vMerge w:val="restart"/>
            <w:tcBorders>
              <w:tl2br w:val="nil"/>
              <w:tr2bl w:val="nil"/>
            </w:tcBorders>
            <w:shd w:val="clear" w:color="auto" w:fill="auto"/>
            <w:noWrap/>
            <w:vAlign w:val="center"/>
          </w:tcPr>
          <w:p w14:paraId="3F8821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w:t>
            </w:r>
          </w:p>
        </w:tc>
        <w:tc>
          <w:tcPr>
            <w:tcW w:w="782" w:type="dxa"/>
            <w:vMerge w:val="restart"/>
            <w:tcBorders>
              <w:tl2br w:val="nil"/>
              <w:tr2bl w:val="nil"/>
            </w:tcBorders>
            <w:shd w:val="clear" w:color="auto" w:fill="auto"/>
            <w:noWrap/>
            <w:vAlign w:val="center"/>
          </w:tcPr>
          <w:p w14:paraId="211C19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河源市</w:t>
            </w:r>
          </w:p>
        </w:tc>
        <w:tc>
          <w:tcPr>
            <w:tcW w:w="748" w:type="dxa"/>
            <w:vMerge w:val="restart"/>
            <w:tcBorders>
              <w:tl2br w:val="nil"/>
              <w:tr2bl w:val="nil"/>
            </w:tcBorders>
            <w:shd w:val="clear" w:color="auto" w:fill="auto"/>
            <w:noWrap/>
            <w:vAlign w:val="center"/>
          </w:tcPr>
          <w:p w14:paraId="38CD91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河源市区</w:t>
            </w:r>
          </w:p>
        </w:tc>
        <w:tc>
          <w:tcPr>
            <w:tcW w:w="825" w:type="dxa"/>
            <w:vMerge w:val="restart"/>
            <w:tcBorders>
              <w:tl2br w:val="nil"/>
              <w:tr2bl w:val="nil"/>
            </w:tcBorders>
            <w:shd w:val="clear" w:color="auto" w:fill="auto"/>
            <w:noWrap/>
            <w:vAlign w:val="center"/>
          </w:tcPr>
          <w:p w14:paraId="27AC22B7">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14:paraId="2774DB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14:paraId="4A1059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2260.345/(t+7.326)^0.658</w:t>
            </w:r>
          </w:p>
        </w:tc>
      </w:tr>
      <w:tr w14:paraId="0F005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95" w:type="dxa"/>
            <w:vMerge w:val="continue"/>
            <w:tcBorders>
              <w:tl2br w:val="nil"/>
              <w:tr2bl w:val="nil"/>
            </w:tcBorders>
            <w:shd w:val="clear" w:color="auto" w:fill="auto"/>
            <w:noWrap/>
            <w:vAlign w:val="center"/>
          </w:tcPr>
          <w:p w14:paraId="391F685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833853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275B3A6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B4C7E0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37462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14:paraId="51901D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2187.366/(t+6.477)^0.627</w:t>
            </w:r>
          </w:p>
        </w:tc>
      </w:tr>
      <w:tr w14:paraId="3B2BF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5" w:type="dxa"/>
            <w:vMerge w:val="continue"/>
            <w:tcBorders>
              <w:tl2br w:val="nil"/>
              <w:tr2bl w:val="nil"/>
            </w:tcBorders>
            <w:shd w:val="clear" w:color="auto" w:fill="auto"/>
            <w:noWrap/>
            <w:vAlign w:val="center"/>
          </w:tcPr>
          <w:p w14:paraId="29A248F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189968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18613D6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85AB82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09DD5C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14:paraId="2B9FA5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2099.023/(t+5.489)^0.591</w:t>
            </w:r>
          </w:p>
        </w:tc>
      </w:tr>
      <w:tr w14:paraId="2E407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5" w:type="dxa"/>
            <w:vMerge w:val="continue"/>
            <w:tcBorders>
              <w:tl2br w:val="nil"/>
              <w:tr2bl w:val="nil"/>
            </w:tcBorders>
            <w:shd w:val="clear" w:color="auto" w:fill="auto"/>
            <w:noWrap/>
            <w:vAlign w:val="center"/>
          </w:tcPr>
          <w:p w14:paraId="4DAFC03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CD1E6E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05955CE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E30622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44A7E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14:paraId="183E67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1997.320/(t+4.338)^0.552</w:t>
            </w:r>
          </w:p>
        </w:tc>
      </w:tr>
      <w:tr w14:paraId="4829D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95" w:type="dxa"/>
            <w:vMerge w:val="continue"/>
            <w:tcBorders>
              <w:tl2br w:val="nil"/>
              <w:tr2bl w:val="nil"/>
            </w:tcBorders>
            <w:shd w:val="clear" w:color="auto" w:fill="auto"/>
            <w:noWrap/>
            <w:vAlign w:val="center"/>
          </w:tcPr>
          <w:p w14:paraId="0FB08AD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3F3696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7F85BF0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8259F1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FA4DB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14:paraId="58B936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1962.083/(t+3.413)^0.526</w:t>
            </w:r>
          </w:p>
        </w:tc>
      </w:tr>
      <w:tr w14:paraId="194EA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5" w:type="dxa"/>
            <w:vMerge w:val="continue"/>
            <w:tcBorders>
              <w:tl2br w:val="nil"/>
              <w:tr2bl w:val="nil"/>
            </w:tcBorders>
            <w:shd w:val="clear" w:color="auto" w:fill="auto"/>
            <w:noWrap/>
            <w:vAlign w:val="center"/>
          </w:tcPr>
          <w:p w14:paraId="1C0A427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5DAE3FC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487C058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51B1921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0BD50D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14:paraId="72C25E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1947.888/(t+3.043)^0.513</w:t>
            </w:r>
          </w:p>
        </w:tc>
      </w:tr>
      <w:tr w14:paraId="63982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95" w:type="dxa"/>
            <w:vMerge w:val="continue"/>
            <w:tcBorders>
              <w:tl2br w:val="nil"/>
              <w:tr2bl w:val="nil"/>
            </w:tcBorders>
            <w:shd w:val="clear" w:color="auto" w:fill="auto"/>
            <w:noWrap/>
            <w:vAlign w:val="center"/>
          </w:tcPr>
          <w:p w14:paraId="35C53A9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71A5EC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43C1A5E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216BD8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097439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14:paraId="74D63A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1932.190/(t+2.634)^0.499</w:t>
            </w:r>
          </w:p>
        </w:tc>
      </w:tr>
      <w:tr w14:paraId="77207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495" w:type="dxa"/>
            <w:vMerge w:val="continue"/>
            <w:tcBorders>
              <w:tl2br w:val="nil"/>
              <w:tr2bl w:val="nil"/>
            </w:tcBorders>
            <w:shd w:val="clear" w:color="auto" w:fill="auto"/>
            <w:noWrap/>
            <w:vAlign w:val="center"/>
          </w:tcPr>
          <w:p w14:paraId="1469BD5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637C3D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7D8C846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E5D105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3CA75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14:paraId="392EA3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1912.818/(t+2.128)^0.480</w:t>
            </w:r>
          </w:p>
        </w:tc>
      </w:tr>
      <w:tr w14:paraId="67C00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95" w:type="dxa"/>
            <w:vMerge w:val="restart"/>
            <w:tcBorders>
              <w:tl2br w:val="nil"/>
              <w:tr2bl w:val="nil"/>
            </w:tcBorders>
            <w:shd w:val="clear" w:color="auto" w:fill="auto"/>
            <w:noWrap/>
            <w:vAlign w:val="center"/>
          </w:tcPr>
          <w:p w14:paraId="7450EE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w:t>
            </w:r>
          </w:p>
        </w:tc>
        <w:tc>
          <w:tcPr>
            <w:tcW w:w="782" w:type="dxa"/>
            <w:vMerge w:val="restart"/>
            <w:tcBorders>
              <w:tl2br w:val="nil"/>
              <w:tr2bl w:val="nil"/>
            </w:tcBorders>
            <w:shd w:val="clear" w:color="auto" w:fill="auto"/>
            <w:noWrap/>
            <w:vAlign w:val="center"/>
          </w:tcPr>
          <w:p w14:paraId="41A59F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梅州市</w:t>
            </w:r>
          </w:p>
        </w:tc>
        <w:tc>
          <w:tcPr>
            <w:tcW w:w="748" w:type="dxa"/>
            <w:vMerge w:val="restart"/>
            <w:tcBorders>
              <w:tl2br w:val="nil"/>
              <w:tr2bl w:val="nil"/>
            </w:tcBorders>
            <w:shd w:val="clear" w:color="auto" w:fill="auto"/>
            <w:noWrap/>
            <w:vAlign w:val="center"/>
          </w:tcPr>
          <w:p w14:paraId="30B152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梅州市区</w:t>
            </w:r>
          </w:p>
        </w:tc>
        <w:tc>
          <w:tcPr>
            <w:tcW w:w="825" w:type="dxa"/>
            <w:tcBorders>
              <w:tl2br w:val="nil"/>
              <w:tr2bl w:val="nil"/>
            </w:tcBorders>
            <w:shd w:val="clear" w:color="auto" w:fill="auto"/>
            <w:noWrap/>
            <w:vAlign w:val="center"/>
          </w:tcPr>
          <w:p w14:paraId="28889D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6B0E9A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7" o:spt="75" type="#_x0000_t75" style="height:34pt;width:146pt;" o:ole="t" filled="f" o:preferrelative="t" stroked="f" coordsize="21600,21600">
                  <v:path/>
                  <v:fill on="f" focussize="0,0"/>
                  <v:stroke on="f"/>
                  <v:imagedata r:id="rId38" o:title=""/>
                  <o:lock v:ext="edit" aspectratio="t"/>
                  <w10:wrap type="none"/>
                  <w10:anchorlock/>
                </v:shape>
                <o:OLEObject Type="Embed" ProgID="Equation.KSEE3" ShapeID="_x0000_i1037" DrawAspect="Content" ObjectID="_1468075737" r:id="rId37">
                  <o:LockedField>false</o:LockedField>
                </o:OLEObject>
              </w:object>
            </w:r>
          </w:p>
        </w:tc>
      </w:tr>
      <w:tr w14:paraId="10F2F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95" w:type="dxa"/>
            <w:vMerge w:val="continue"/>
            <w:tcBorders>
              <w:tl2br w:val="nil"/>
              <w:tr2bl w:val="nil"/>
            </w:tcBorders>
            <w:shd w:val="clear" w:color="auto" w:fill="auto"/>
            <w:noWrap/>
            <w:vAlign w:val="center"/>
          </w:tcPr>
          <w:p w14:paraId="5189442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82" w:type="dxa"/>
            <w:vMerge w:val="continue"/>
            <w:tcBorders>
              <w:tl2br w:val="nil"/>
              <w:tr2bl w:val="nil"/>
            </w:tcBorders>
            <w:shd w:val="clear" w:color="auto" w:fill="auto"/>
            <w:noWrap/>
            <w:vAlign w:val="center"/>
          </w:tcPr>
          <w:p w14:paraId="6A55E63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48" w:type="dxa"/>
            <w:vMerge w:val="continue"/>
            <w:tcBorders>
              <w:tl2br w:val="nil"/>
              <w:tr2bl w:val="nil"/>
            </w:tcBorders>
            <w:shd w:val="clear" w:color="auto" w:fill="auto"/>
            <w:noWrap/>
            <w:vAlign w:val="center"/>
          </w:tcPr>
          <w:p w14:paraId="021BD82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825" w:type="dxa"/>
            <w:vMerge w:val="restart"/>
            <w:tcBorders>
              <w:tl2br w:val="nil"/>
              <w:tr2bl w:val="nil"/>
            </w:tcBorders>
            <w:shd w:val="clear" w:color="auto" w:fill="auto"/>
            <w:noWrap/>
            <w:vAlign w:val="center"/>
          </w:tcPr>
          <w:p w14:paraId="368852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分公式</w:t>
            </w:r>
          </w:p>
        </w:tc>
        <w:tc>
          <w:tcPr>
            <w:tcW w:w="1155" w:type="dxa"/>
            <w:tcBorders>
              <w:tl2br w:val="nil"/>
              <w:tr2bl w:val="nil"/>
            </w:tcBorders>
            <w:shd w:val="clear" w:color="auto" w:fill="auto"/>
            <w:noWrap/>
            <w:vAlign w:val="center"/>
          </w:tcPr>
          <w:p w14:paraId="6DDE885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000000"/>
                <w:position w:val="-30"/>
                <w:sz w:val="21"/>
                <w:szCs w:val="21"/>
                <w:u w:val="none"/>
                <w:lang w:eastAsia="zh-CN"/>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14:paraId="39319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i w:val="0"/>
                <w:iCs w:val="0"/>
                <w:color w:val="000000"/>
                <w:position w:val="-3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9697.69/(t+21.515)^0.976</w:t>
            </w:r>
          </w:p>
        </w:tc>
      </w:tr>
      <w:tr w14:paraId="53BA4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3" w:hRule="atLeast"/>
        </w:trPr>
        <w:tc>
          <w:tcPr>
            <w:tcW w:w="495" w:type="dxa"/>
            <w:vMerge w:val="continue"/>
            <w:tcBorders>
              <w:tl2br w:val="nil"/>
              <w:tr2bl w:val="nil"/>
            </w:tcBorders>
            <w:shd w:val="clear" w:color="auto" w:fill="auto"/>
            <w:noWrap/>
            <w:vAlign w:val="center"/>
          </w:tcPr>
          <w:p w14:paraId="10302A7B">
            <w:pPr>
              <w:keepNext w:val="0"/>
              <w:keepLines w:val="0"/>
              <w:widowControl/>
              <w:suppressLineNumbers w:val="0"/>
              <w:spacing w:before="0" w:beforeAutospacing="0" w:after="0" w:afterAutospacing="0"/>
              <w:ind w:left="0" w:right="0"/>
              <w:jc w:val="center"/>
              <w:textAlignment w:val="center"/>
              <w:rPr>
                <w:rFonts w:hint="default"/>
              </w:rPr>
            </w:pPr>
          </w:p>
        </w:tc>
        <w:tc>
          <w:tcPr>
            <w:tcW w:w="782" w:type="dxa"/>
            <w:vMerge w:val="continue"/>
            <w:tcBorders>
              <w:tl2br w:val="nil"/>
              <w:tr2bl w:val="nil"/>
            </w:tcBorders>
            <w:shd w:val="clear" w:color="auto" w:fill="auto"/>
            <w:noWrap/>
            <w:vAlign w:val="center"/>
          </w:tcPr>
          <w:p w14:paraId="38B2FB33">
            <w:pPr>
              <w:keepNext w:val="0"/>
              <w:keepLines w:val="0"/>
              <w:widowControl/>
              <w:suppressLineNumbers w:val="0"/>
              <w:spacing w:before="0" w:beforeAutospacing="0" w:after="0" w:afterAutospacing="0"/>
              <w:ind w:left="0" w:right="0"/>
              <w:jc w:val="center"/>
              <w:textAlignment w:val="center"/>
              <w:rPr>
                <w:rFonts w:hint="default"/>
              </w:rPr>
            </w:pPr>
          </w:p>
        </w:tc>
        <w:tc>
          <w:tcPr>
            <w:tcW w:w="748" w:type="dxa"/>
            <w:vMerge w:val="continue"/>
            <w:tcBorders>
              <w:tl2br w:val="nil"/>
              <w:tr2bl w:val="nil"/>
            </w:tcBorders>
            <w:shd w:val="clear" w:color="auto" w:fill="auto"/>
            <w:noWrap/>
            <w:vAlign w:val="center"/>
          </w:tcPr>
          <w:p w14:paraId="7058BEE2">
            <w:pPr>
              <w:keepNext w:val="0"/>
              <w:keepLines w:val="0"/>
              <w:widowControl/>
              <w:suppressLineNumbers w:val="0"/>
              <w:spacing w:before="0" w:beforeAutospacing="0" w:after="0" w:afterAutospacing="0"/>
              <w:ind w:left="0" w:right="0"/>
              <w:jc w:val="center"/>
              <w:textAlignment w:val="center"/>
              <w:rPr>
                <w:rFonts w:hint="default"/>
              </w:rPr>
            </w:pPr>
          </w:p>
        </w:tc>
        <w:tc>
          <w:tcPr>
            <w:tcW w:w="825" w:type="dxa"/>
            <w:vMerge w:val="continue"/>
            <w:tcBorders>
              <w:tl2br w:val="nil"/>
              <w:tr2bl w:val="nil"/>
            </w:tcBorders>
            <w:shd w:val="clear" w:color="auto" w:fill="auto"/>
            <w:noWrap/>
            <w:vAlign w:val="center"/>
          </w:tcPr>
          <w:p w14:paraId="0586CE0B">
            <w:pPr>
              <w:keepNext w:val="0"/>
              <w:keepLines w:val="0"/>
              <w:widowControl/>
              <w:suppressLineNumbers w:val="0"/>
              <w:spacing w:before="0" w:beforeAutospacing="0" w:after="0" w:afterAutospacing="0"/>
              <w:ind w:left="0" w:right="0"/>
              <w:jc w:val="center"/>
              <w:textAlignment w:val="center"/>
              <w:rPr>
                <w:rFonts w:hint="default"/>
              </w:rPr>
            </w:pPr>
          </w:p>
        </w:tc>
        <w:tc>
          <w:tcPr>
            <w:tcW w:w="1155" w:type="dxa"/>
            <w:tcBorders>
              <w:tl2br w:val="nil"/>
              <w:tr2bl w:val="nil"/>
            </w:tcBorders>
            <w:shd w:val="clear" w:color="auto" w:fill="auto"/>
            <w:noWrap/>
            <w:vAlign w:val="center"/>
          </w:tcPr>
          <w:p w14:paraId="13570C48">
            <w:pPr>
              <w:keepNext w:val="0"/>
              <w:keepLines w:val="0"/>
              <w:widowControl/>
              <w:suppressLineNumbers w:val="0"/>
              <w:spacing w:before="0" w:beforeAutospacing="0" w:after="0" w:afterAutospacing="0"/>
              <w:ind w:left="0" w:leftChars="0" w:right="0" w:rightChars="0"/>
              <w:jc w:val="center"/>
              <w:textAlignment w:val="center"/>
              <w:rPr>
                <w:rFonts w:hint="default"/>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center"/>
          </w:tcPr>
          <w:p w14:paraId="675223FD">
            <w:pPr>
              <w:keepNext w:val="0"/>
              <w:keepLines w:val="0"/>
              <w:widowControl/>
              <w:suppressLineNumbers w:val="0"/>
              <w:spacing w:before="0" w:beforeAutospacing="0" w:after="0" w:afterAutospacing="0"/>
              <w:ind w:left="0" w:right="0"/>
              <w:jc w:val="center"/>
              <w:textAlignment w:val="center"/>
              <w:rPr>
                <w:rFonts w:hint="default"/>
                <w:lang w:val="en-US"/>
              </w:rPr>
            </w:pPr>
            <w:r>
              <w:rPr>
                <w:rFonts w:hint="eastAsia" w:ascii="Times New Roman" w:hAnsi="Times New Roman" w:eastAsia="宋体" w:cs="宋体"/>
                <w:i w:val="0"/>
                <w:iCs w:val="0"/>
                <w:color w:val="000000"/>
                <w:kern w:val="0"/>
                <w:sz w:val="21"/>
                <w:szCs w:val="21"/>
                <w:u w:val="none"/>
                <w:lang w:val="en-US" w:eastAsia="zh-CN" w:bidi="ar"/>
              </w:rPr>
              <w:t>11838.797/(t+23.310)^0.990</w:t>
            </w:r>
          </w:p>
        </w:tc>
      </w:tr>
      <w:tr w14:paraId="6BE46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95" w:type="dxa"/>
            <w:vMerge w:val="continue"/>
            <w:tcBorders>
              <w:tl2br w:val="nil"/>
              <w:tr2bl w:val="nil"/>
            </w:tcBorders>
            <w:shd w:val="clear" w:color="auto" w:fill="auto"/>
            <w:noWrap/>
            <w:vAlign w:val="center"/>
          </w:tcPr>
          <w:p w14:paraId="1AA8D7A7">
            <w:pPr>
              <w:keepNext w:val="0"/>
              <w:keepLines w:val="0"/>
              <w:widowControl/>
              <w:suppressLineNumbers w:val="0"/>
              <w:spacing w:before="0" w:beforeAutospacing="0" w:after="0" w:afterAutospacing="0"/>
              <w:ind w:left="0" w:right="0"/>
              <w:jc w:val="center"/>
              <w:textAlignment w:val="center"/>
              <w:rPr>
                <w:rFonts w:hint="default"/>
              </w:rPr>
            </w:pPr>
          </w:p>
        </w:tc>
        <w:tc>
          <w:tcPr>
            <w:tcW w:w="782" w:type="dxa"/>
            <w:vMerge w:val="continue"/>
            <w:tcBorders>
              <w:tl2br w:val="nil"/>
              <w:tr2bl w:val="nil"/>
            </w:tcBorders>
            <w:shd w:val="clear" w:color="auto" w:fill="auto"/>
            <w:noWrap/>
            <w:vAlign w:val="center"/>
          </w:tcPr>
          <w:p w14:paraId="6704AC1C">
            <w:pPr>
              <w:keepNext w:val="0"/>
              <w:keepLines w:val="0"/>
              <w:widowControl/>
              <w:suppressLineNumbers w:val="0"/>
              <w:spacing w:before="0" w:beforeAutospacing="0" w:after="0" w:afterAutospacing="0"/>
              <w:ind w:left="0" w:right="0"/>
              <w:jc w:val="center"/>
              <w:textAlignment w:val="center"/>
              <w:rPr>
                <w:rFonts w:hint="default"/>
              </w:rPr>
            </w:pPr>
          </w:p>
        </w:tc>
        <w:tc>
          <w:tcPr>
            <w:tcW w:w="748" w:type="dxa"/>
            <w:vMerge w:val="continue"/>
            <w:tcBorders>
              <w:tl2br w:val="nil"/>
              <w:tr2bl w:val="nil"/>
            </w:tcBorders>
            <w:shd w:val="clear" w:color="auto" w:fill="auto"/>
            <w:noWrap/>
            <w:vAlign w:val="center"/>
          </w:tcPr>
          <w:p w14:paraId="6606E8F8">
            <w:pPr>
              <w:keepNext w:val="0"/>
              <w:keepLines w:val="0"/>
              <w:widowControl/>
              <w:suppressLineNumbers w:val="0"/>
              <w:spacing w:before="0" w:beforeAutospacing="0" w:after="0" w:afterAutospacing="0"/>
              <w:ind w:left="0" w:right="0"/>
              <w:jc w:val="center"/>
              <w:textAlignment w:val="center"/>
              <w:rPr>
                <w:rFonts w:hint="default"/>
              </w:rPr>
            </w:pPr>
          </w:p>
        </w:tc>
        <w:tc>
          <w:tcPr>
            <w:tcW w:w="825" w:type="dxa"/>
            <w:vMerge w:val="continue"/>
            <w:tcBorders>
              <w:tl2br w:val="nil"/>
              <w:tr2bl w:val="nil"/>
            </w:tcBorders>
            <w:shd w:val="clear" w:color="auto" w:fill="auto"/>
            <w:noWrap/>
            <w:vAlign w:val="center"/>
          </w:tcPr>
          <w:p w14:paraId="744BADA9">
            <w:pPr>
              <w:keepNext w:val="0"/>
              <w:keepLines w:val="0"/>
              <w:widowControl/>
              <w:suppressLineNumbers w:val="0"/>
              <w:spacing w:before="0" w:beforeAutospacing="0" w:after="0" w:afterAutospacing="0"/>
              <w:ind w:left="0" w:right="0"/>
              <w:jc w:val="center"/>
              <w:textAlignment w:val="center"/>
              <w:rPr>
                <w:rFonts w:hint="default"/>
              </w:rPr>
            </w:pPr>
          </w:p>
        </w:tc>
        <w:tc>
          <w:tcPr>
            <w:tcW w:w="1155" w:type="dxa"/>
            <w:tcBorders>
              <w:tl2br w:val="nil"/>
              <w:tr2bl w:val="nil"/>
            </w:tcBorders>
            <w:shd w:val="clear" w:color="auto" w:fill="auto"/>
            <w:noWrap/>
            <w:vAlign w:val="center"/>
          </w:tcPr>
          <w:p w14:paraId="7D29694F">
            <w:pPr>
              <w:keepNext w:val="0"/>
              <w:keepLines w:val="0"/>
              <w:widowControl/>
              <w:suppressLineNumbers w:val="0"/>
              <w:spacing w:before="0" w:beforeAutospacing="0" w:after="0" w:afterAutospacing="0"/>
              <w:ind w:left="0" w:leftChars="0" w:right="0" w:rightChars="0"/>
              <w:jc w:val="center"/>
              <w:textAlignment w:val="center"/>
              <w:rPr>
                <w:rFonts w:hint="default"/>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center"/>
          </w:tcPr>
          <w:p w14:paraId="55DF599C">
            <w:pPr>
              <w:keepNext w:val="0"/>
              <w:keepLines w:val="0"/>
              <w:widowControl/>
              <w:suppressLineNumbers w:val="0"/>
              <w:spacing w:before="0" w:beforeAutospacing="0" w:after="0" w:afterAutospacing="0"/>
              <w:ind w:left="0" w:right="0"/>
              <w:jc w:val="center"/>
              <w:textAlignment w:val="center"/>
              <w:rPr>
                <w:rFonts w:hint="default"/>
                <w:lang w:val="en-US"/>
              </w:rPr>
            </w:pPr>
            <w:r>
              <w:rPr>
                <w:rFonts w:hint="eastAsia" w:ascii="Times New Roman" w:hAnsi="Times New Roman" w:eastAsia="宋体" w:cs="宋体"/>
                <w:i w:val="0"/>
                <w:iCs w:val="0"/>
                <w:color w:val="000000"/>
                <w:kern w:val="0"/>
                <w:sz w:val="21"/>
                <w:szCs w:val="21"/>
                <w:u w:val="none"/>
                <w:lang w:val="en-US" w:eastAsia="zh-CN" w:bidi="ar"/>
              </w:rPr>
              <w:t>14458.86/(t+25.204)^1.004</w:t>
            </w:r>
          </w:p>
        </w:tc>
      </w:tr>
      <w:tr w14:paraId="16B3A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95" w:type="dxa"/>
            <w:vMerge w:val="continue"/>
            <w:tcBorders>
              <w:tl2br w:val="nil"/>
              <w:tr2bl w:val="nil"/>
            </w:tcBorders>
            <w:shd w:val="clear" w:color="auto" w:fill="auto"/>
            <w:noWrap/>
            <w:vAlign w:val="center"/>
          </w:tcPr>
          <w:p w14:paraId="23E447F9">
            <w:pPr>
              <w:keepNext w:val="0"/>
              <w:keepLines w:val="0"/>
              <w:widowControl/>
              <w:suppressLineNumbers w:val="0"/>
              <w:spacing w:before="0" w:beforeAutospacing="0" w:after="0" w:afterAutospacing="0"/>
              <w:ind w:left="0" w:right="0"/>
              <w:jc w:val="center"/>
              <w:textAlignment w:val="center"/>
              <w:rPr>
                <w:rFonts w:hint="default"/>
              </w:rPr>
            </w:pPr>
          </w:p>
        </w:tc>
        <w:tc>
          <w:tcPr>
            <w:tcW w:w="782" w:type="dxa"/>
            <w:vMerge w:val="continue"/>
            <w:tcBorders>
              <w:tl2br w:val="nil"/>
              <w:tr2bl w:val="nil"/>
            </w:tcBorders>
            <w:shd w:val="clear" w:color="auto" w:fill="auto"/>
            <w:noWrap/>
            <w:vAlign w:val="center"/>
          </w:tcPr>
          <w:p w14:paraId="0602228B">
            <w:pPr>
              <w:keepNext w:val="0"/>
              <w:keepLines w:val="0"/>
              <w:widowControl/>
              <w:suppressLineNumbers w:val="0"/>
              <w:spacing w:before="0" w:beforeAutospacing="0" w:after="0" w:afterAutospacing="0"/>
              <w:ind w:left="0" w:right="0"/>
              <w:jc w:val="center"/>
              <w:textAlignment w:val="center"/>
              <w:rPr>
                <w:rFonts w:hint="default"/>
              </w:rPr>
            </w:pPr>
          </w:p>
        </w:tc>
        <w:tc>
          <w:tcPr>
            <w:tcW w:w="748" w:type="dxa"/>
            <w:vMerge w:val="continue"/>
            <w:tcBorders>
              <w:tl2br w:val="nil"/>
              <w:tr2bl w:val="nil"/>
            </w:tcBorders>
            <w:shd w:val="clear" w:color="auto" w:fill="auto"/>
            <w:noWrap/>
            <w:vAlign w:val="center"/>
          </w:tcPr>
          <w:p w14:paraId="221E2B35">
            <w:pPr>
              <w:keepNext w:val="0"/>
              <w:keepLines w:val="0"/>
              <w:widowControl/>
              <w:suppressLineNumbers w:val="0"/>
              <w:spacing w:before="0" w:beforeAutospacing="0" w:after="0" w:afterAutospacing="0"/>
              <w:ind w:left="0" w:right="0"/>
              <w:jc w:val="center"/>
              <w:textAlignment w:val="center"/>
              <w:rPr>
                <w:rFonts w:hint="default"/>
              </w:rPr>
            </w:pPr>
          </w:p>
        </w:tc>
        <w:tc>
          <w:tcPr>
            <w:tcW w:w="825" w:type="dxa"/>
            <w:vMerge w:val="continue"/>
            <w:tcBorders>
              <w:tl2br w:val="nil"/>
              <w:tr2bl w:val="nil"/>
            </w:tcBorders>
            <w:shd w:val="clear" w:color="auto" w:fill="auto"/>
            <w:noWrap/>
            <w:vAlign w:val="center"/>
          </w:tcPr>
          <w:p w14:paraId="7BF41086">
            <w:pPr>
              <w:keepNext w:val="0"/>
              <w:keepLines w:val="0"/>
              <w:widowControl/>
              <w:suppressLineNumbers w:val="0"/>
              <w:spacing w:before="0" w:beforeAutospacing="0" w:after="0" w:afterAutospacing="0"/>
              <w:ind w:left="0" w:right="0"/>
              <w:jc w:val="center"/>
              <w:textAlignment w:val="center"/>
              <w:rPr>
                <w:rFonts w:hint="default"/>
              </w:rPr>
            </w:pPr>
          </w:p>
        </w:tc>
        <w:tc>
          <w:tcPr>
            <w:tcW w:w="1155" w:type="dxa"/>
            <w:tcBorders>
              <w:tl2br w:val="nil"/>
              <w:tr2bl w:val="nil"/>
            </w:tcBorders>
            <w:shd w:val="clear" w:color="auto" w:fill="auto"/>
            <w:noWrap/>
            <w:vAlign w:val="center"/>
          </w:tcPr>
          <w:p w14:paraId="0078F2DE">
            <w:pPr>
              <w:keepNext w:val="0"/>
              <w:keepLines w:val="0"/>
              <w:widowControl/>
              <w:suppressLineNumbers w:val="0"/>
              <w:spacing w:before="0" w:beforeAutospacing="0" w:after="0" w:afterAutospacing="0"/>
              <w:ind w:left="0" w:leftChars="0" w:right="0" w:rightChars="0"/>
              <w:jc w:val="center"/>
              <w:textAlignment w:val="center"/>
              <w:rPr>
                <w:rFonts w:hint="default"/>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center"/>
          </w:tcPr>
          <w:p w14:paraId="082EC5AD">
            <w:pPr>
              <w:keepNext w:val="0"/>
              <w:keepLines w:val="0"/>
              <w:widowControl/>
              <w:suppressLineNumbers w:val="0"/>
              <w:spacing w:before="0" w:beforeAutospacing="0" w:after="0" w:afterAutospacing="0"/>
              <w:ind w:left="0" w:right="0"/>
              <w:jc w:val="center"/>
              <w:textAlignment w:val="center"/>
              <w:rPr>
                <w:rFonts w:hint="default"/>
                <w:lang w:val="en-US"/>
              </w:rPr>
            </w:pPr>
            <w:r>
              <w:rPr>
                <w:rFonts w:hint="eastAsia" w:ascii="Times New Roman" w:hAnsi="Times New Roman" w:eastAsia="宋体" w:cs="宋体"/>
                <w:i w:val="0"/>
                <w:iCs w:val="0"/>
                <w:color w:val="000000"/>
                <w:kern w:val="0"/>
                <w:sz w:val="21"/>
                <w:szCs w:val="21"/>
                <w:u w:val="none"/>
                <w:lang w:val="en-US" w:eastAsia="zh-CN" w:bidi="ar"/>
              </w:rPr>
              <w:t>17720.203/(t+26.714)^1.015</w:t>
            </w:r>
          </w:p>
        </w:tc>
      </w:tr>
      <w:tr w14:paraId="4748B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95" w:type="dxa"/>
            <w:vMerge w:val="continue"/>
            <w:tcBorders>
              <w:tl2br w:val="nil"/>
              <w:tr2bl w:val="nil"/>
            </w:tcBorders>
            <w:shd w:val="clear" w:color="auto" w:fill="auto"/>
            <w:noWrap/>
            <w:vAlign w:val="center"/>
          </w:tcPr>
          <w:p w14:paraId="15A11492">
            <w:pPr>
              <w:keepNext w:val="0"/>
              <w:keepLines w:val="0"/>
              <w:widowControl/>
              <w:suppressLineNumbers w:val="0"/>
              <w:spacing w:before="0" w:beforeAutospacing="0" w:after="0" w:afterAutospacing="0"/>
              <w:ind w:left="0" w:right="0"/>
              <w:jc w:val="center"/>
              <w:textAlignment w:val="center"/>
              <w:rPr>
                <w:rFonts w:hint="default"/>
              </w:rPr>
            </w:pPr>
          </w:p>
        </w:tc>
        <w:tc>
          <w:tcPr>
            <w:tcW w:w="782" w:type="dxa"/>
            <w:vMerge w:val="continue"/>
            <w:tcBorders>
              <w:tl2br w:val="nil"/>
              <w:tr2bl w:val="nil"/>
            </w:tcBorders>
            <w:shd w:val="clear" w:color="auto" w:fill="auto"/>
            <w:noWrap/>
            <w:vAlign w:val="center"/>
          </w:tcPr>
          <w:p w14:paraId="4E357A85">
            <w:pPr>
              <w:keepNext w:val="0"/>
              <w:keepLines w:val="0"/>
              <w:widowControl/>
              <w:suppressLineNumbers w:val="0"/>
              <w:spacing w:before="0" w:beforeAutospacing="0" w:after="0" w:afterAutospacing="0"/>
              <w:ind w:left="0" w:right="0"/>
              <w:jc w:val="center"/>
              <w:textAlignment w:val="center"/>
              <w:rPr>
                <w:rFonts w:hint="default"/>
              </w:rPr>
            </w:pPr>
          </w:p>
        </w:tc>
        <w:tc>
          <w:tcPr>
            <w:tcW w:w="748" w:type="dxa"/>
            <w:vMerge w:val="continue"/>
            <w:tcBorders>
              <w:tl2br w:val="nil"/>
              <w:tr2bl w:val="nil"/>
            </w:tcBorders>
            <w:shd w:val="clear" w:color="auto" w:fill="auto"/>
            <w:noWrap/>
            <w:vAlign w:val="center"/>
          </w:tcPr>
          <w:p w14:paraId="010BCDFD">
            <w:pPr>
              <w:keepNext w:val="0"/>
              <w:keepLines w:val="0"/>
              <w:widowControl/>
              <w:suppressLineNumbers w:val="0"/>
              <w:spacing w:before="0" w:beforeAutospacing="0" w:after="0" w:afterAutospacing="0"/>
              <w:ind w:left="0" w:right="0"/>
              <w:jc w:val="center"/>
              <w:textAlignment w:val="center"/>
              <w:rPr>
                <w:rFonts w:hint="default"/>
              </w:rPr>
            </w:pPr>
          </w:p>
        </w:tc>
        <w:tc>
          <w:tcPr>
            <w:tcW w:w="825" w:type="dxa"/>
            <w:vMerge w:val="continue"/>
            <w:tcBorders>
              <w:tl2br w:val="nil"/>
              <w:tr2bl w:val="nil"/>
            </w:tcBorders>
            <w:shd w:val="clear" w:color="auto" w:fill="auto"/>
            <w:noWrap/>
            <w:vAlign w:val="center"/>
          </w:tcPr>
          <w:p w14:paraId="50DD7344">
            <w:pPr>
              <w:keepNext w:val="0"/>
              <w:keepLines w:val="0"/>
              <w:widowControl/>
              <w:suppressLineNumbers w:val="0"/>
              <w:spacing w:before="0" w:beforeAutospacing="0" w:after="0" w:afterAutospacing="0"/>
              <w:ind w:left="0" w:right="0"/>
              <w:jc w:val="center"/>
              <w:textAlignment w:val="center"/>
              <w:rPr>
                <w:rFonts w:hint="default"/>
              </w:rPr>
            </w:pPr>
          </w:p>
        </w:tc>
        <w:tc>
          <w:tcPr>
            <w:tcW w:w="1155" w:type="dxa"/>
            <w:tcBorders>
              <w:tl2br w:val="nil"/>
              <w:tr2bl w:val="nil"/>
            </w:tcBorders>
            <w:shd w:val="clear" w:color="auto" w:fill="auto"/>
            <w:noWrap/>
            <w:vAlign w:val="center"/>
          </w:tcPr>
          <w:p w14:paraId="44F43F0F">
            <w:pPr>
              <w:keepNext w:val="0"/>
              <w:keepLines w:val="0"/>
              <w:widowControl/>
              <w:suppressLineNumbers w:val="0"/>
              <w:spacing w:before="0" w:beforeAutospacing="0" w:after="0" w:afterAutospacing="0"/>
              <w:ind w:left="0" w:leftChars="0" w:right="0" w:rightChars="0"/>
              <w:jc w:val="center"/>
              <w:textAlignment w:val="center"/>
              <w:rPr>
                <w:rFonts w:hint="default"/>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center"/>
          </w:tcPr>
          <w:p w14:paraId="3A713D2C">
            <w:pPr>
              <w:keepNext w:val="0"/>
              <w:keepLines w:val="0"/>
              <w:widowControl/>
              <w:suppressLineNumbers w:val="0"/>
              <w:spacing w:before="0" w:beforeAutospacing="0" w:after="0" w:afterAutospacing="0"/>
              <w:ind w:left="0" w:right="0"/>
              <w:jc w:val="center"/>
              <w:textAlignment w:val="center"/>
              <w:rPr>
                <w:rFonts w:hint="default"/>
              </w:rPr>
            </w:pPr>
            <w:r>
              <w:rPr>
                <w:rFonts w:hint="eastAsia" w:ascii="Times New Roman" w:hAnsi="Times New Roman" w:eastAsia="宋体" w:cs="宋体"/>
                <w:i w:val="0"/>
                <w:iCs w:val="0"/>
                <w:color w:val="000000"/>
                <w:kern w:val="0"/>
                <w:sz w:val="21"/>
                <w:szCs w:val="21"/>
                <w:u w:val="none"/>
                <w:lang w:val="en-US" w:eastAsia="zh-CN" w:bidi="ar"/>
              </w:rPr>
              <w:t>19200.324/(t+26.227)^1.009</w:t>
            </w:r>
          </w:p>
        </w:tc>
      </w:tr>
      <w:tr w14:paraId="4A6B4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95" w:type="dxa"/>
            <w:vMerge w:val="continue"/>
            <w:tcBorders>
              <w:tl2br w:val="nil"/>
              <w:tr2bl w:val="nil"/>
            </w:tcBorders>
            <w:shd w:val="clear" w:color="auto" w:fill="auto"/>
            <w:noWrap/>
            <w:vAlign w:val="center"/>
          </w:tcPr>
          <w:p w14:paraId="354C8D35">
            <w:pPr>
              <w:keepNext w:val="0"/>
              <w:keepLines w:val="0"/>
              <w:widowControl/>
              <w:suppressLineNumbers w:val="0"/>
              <w:spacing w:before="0" w:beforeAutospacing="0" w:after="0" w:afterAutospacing="0"/>
              <w:ind w:left="0" w:right="0"/>
              <w:jc w:val="center"/>
              <w:textAlignment w:val="center"/>
              <w:rPr>
                <w:rFonts w:hint="default"/>
              </w:rPr>
            </w:pPr>
          </w:p>
        </w:tc>
        <w:tc>
          <w:tcPr>
            <w:tcW w:w="782" w:type="dxa"/>
            <w:vMerge w:val="continue"/>
            <w:tcBorders>
              <w:tl2br w:val="nil"/>
              <w:tr2bl w:val="nil"/>
            </w:tcBorders>
            <w:shd w:val="clear" w:color="auto" w:fill="auto"/>
            <w:noWrap/>
            <w:vAlign w:val="center"/>
          </w:tcPr>
          <w:p w14:paraId="66ADC8F0">
            <w:pPr>
              <w:keepNext w:val="0"/>
              <w:keepLines w:val="0"/>
              <w:widowControl/>
              <w:suppressLineNumbers w:val="0"/>
              <w:spacing w:before="0" w:beforeAutospacing="0" w:after="0" w:afterAutospacing="0"/>
              <w:ind w:left="0" w:right="0"/>
              <w:jc w:val="center"/>
              <w:textAlignment w:val="center"/>
              <w:rPr>
                <w:rFonts w:hint="default"/>
              </w:rPr>
            </w:pPr>
          </w:p>
        </w:tc>
        <w:tc>
          <w:tcPr>
            <w:tcW w:w="748" w:type="dxa"/>
            <w:vMerge w:val="continue"/>
            <w:tcBorders>
              <w:tl2br w:val="nil"/>
              <w:tr2bl w:val="nil"/>
            </w:tcBorders>
            <w:shd w:val="clear" w:color="auto" w:fill="auto"/>
            <w:noWrap/>
            <w:vAlign w:val="center"/>
          </w:tcPr>
          <w:p w14:paraId="589DE391">
            <w:pPr>
              <w:keepNext w:val="0"/>
              <w:keepLines w:val="0"/>
              <w:widowControl/>
              <w:suppressLineNumbers w:val="0"/>
              <w:spacing w:before="0" w:beforeAutospacing="0" w:after="0" w:afterAutospacing="0"/>
              <w:ind w:left="0" w:right="0"/>
              <w:jc w:val="center"/>
              <w:textAlignment w:val="center"/>
              <w:rPr>
                <w:rFonts w:hint="default"/>
              </w:rPr>
            </w:pPr>
          </w:p>
        </w:tc>
        <w:tc>
          <w:tcPr>
            <w:tcW w:w="825" w:type="dxa"/>
            <w:vMerge w:val="continue"/>
            <w:tcBorders>
              <w:tl2br w:val="nil"/>
              <w:tr2bl w:val="nil"/>
            </w:tcBorders>
            <w:shd w:val="clear" w:color="auto" w:fill="auto"/>
            <w:noWrap/>
            <w:vAlign w:val="center"/>
          </w:tcPr>
          <w:p w14:paraId="2B8941CE">
            <w:pPr>
              <w:keepNext w:val="0"/>
              <w:keepLines w:val="0"/>
              <w:widowControl/>
              <w:suppressLineNumbers w:val="0"/>
              <w:spacing w:before="0" w:beforeAutospacing="0" w:after="0" w:afterAutospacing="0"/>
              <w:ind w:left="0" w:right="0"/>
              <w:jc w:val="center"/>
              <w:textAlignment w:val="center"/>
              <w:rPr>
                <w:rFonts w:hint="default"/>
              </w:rPr>
            </w:pPr>
          </w:p>
        </w:tc>
        <w:tc>
          <w:tcPr>
            <w:tcW w:w="1155" w:type="dxa"/>
            <w:tcBorders>
              <w:tl2br w:val="nil"/>
              <w:tr2bl w:val="nil"/>
            </w:tcBorders>
            <w:shd w:val="clear" w:color="auto" w:fill="auto"/>
            <w:noWrap/>
            <w:vAlign w:val="center"/>
          </w:tcPr>
          <w:p w14:paraId="6F2429DE">
            <w:pPr>
              <w:keepNext w:val="0"/>
              <w:keepLines w:val="0"/>
              <w:widowControl/>
              <w:suppressLineNumbers w:val="0"/>
              <w:spacing w:before="0" w:beforeAutospacing="0" w:after="0" w:afterAutospacing="0"/>
              <w:ind w:left="0" w:leftChars="0" w:right="0" w:rightChars="0"/>
              <w:jc w:val="center"/>
              <w:textAlignment w:val="center"/>
              <w:rPr>
                <w:rFonts w:hint="default"/>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center"/>
          </w:tcPr>
          <w:p w14:paraId="34D1EC9B">
            <w:pPr>
              <w:keepNext w:val="0"/>
              <w:keepLines w:val="0"/>
              <w:widowControl/>
              <w:suppressLineNumbers w:val="0"/>
              <w:spacing w:before="0" w:beforeAutospacing="0" w:after="0" w:afterAutospacing="0"/>
              <w:ind w:left="0" w:right="0"/>
              <w:jc w:val="center"/>
              <w:textAlignment w:val="center"/>
              <w:rPr>
                <w:rFonts w:hint="default"/>
              </w:rPr>
            </w:pPr>
            <w:r>
              <w:rPr>
                <w:rFonts w:hint="eastAsia" w:ascii="Times New Roman" w:hAnsi="Times New Roman" w:eastAsia="宋体" w:cs="宋体"/>
                <w:i w:val="0"/>
                <w:iCs w:val="0"/>
                <w:color w:val="000000"/>
                <w:kern w:val="0"/>
                <w:sz w:val="21"/>
                <w:szCs w:val="21"/>
                <w:u w:val="none"/>
                <w:lang w:val="en-US" w:eastAsia="zh-CN" w:bidi="ar"/>
              </w:rPr>
              <w:t>19976.874/(t+26.227)^1.007</w:t>
            </w:r>
          </w:p>
        </w:tc>
      </w:tr>
      <w:tr w14:paraId="43755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95" w:type="dxa"/>
            <w:vMerge w:val="continue"/>
            <w:tcBorders>
              <w:tl2br w:val="nil"/>
              <w:tr2bl w:val="nil"/>
            </w:tcBorders>
            <w:shd w:val="clear" w:color="auto" w:fill="auto"/>
            <w:noWrap/>
            <w:vAlign w:val="center"/>
          </w:tcPr>
          <w:p w14:paraId="598F39CB">
            <w:pPr>
              <w:keepNext w:val="0"/>
              <w:keepLines w:val="0"/>
              <w:widowControl/>
              <w:suppressLineNumbers w:val="0"/>
              <w:spacing w:before="0" w:beforeAutospacing="0" w:after="0" w:afterAutospacing="0"/>
              <w:ind w:left="0" w:right="0"/>
              <w:jc w:val="center"/>
              <w:textAlignment w:val="center"/>
              <w:rPr>
                <w:rFonts w:hint="default"/>
              </w:rPr>
            </w:pPr>
          </w:p>
        </w:tc>
        <w:tc>
          <w:tcPr>
            <w:tcW w:w="782" w:type="dxa"/>
            <w:vMerge w:val="continue"/>
            <w:tcBorders>
              <w:tl2br w:val="nil"/>
              <w:tr2bl w:val="nil"/>
            </w:tcBorders>
            <w:shd w:val="clear" w:color="auto" w:fill="auto"/>
            <w:noWrap/>
            <w:vAlign w:val="center"/>
          </w:tcPr>
          <w:p w14:paraId="6840A4A5">
            <w:pPr>
              <w:keepNext w:val="0"/>
              <w:keepLines w:val="0"/>
              <w:widowControl/>
              <w:suppressLineNumbers w:val="0"/>
              <w:spacing w:before="0" w:beforeAutospacing="0" w:after="0" w:afterAutospacing="0"/>
              <w:ind w:left="0" w:right="0"/>
              <w:jc w:val="center"/>
              <w:textAlignment w:val="center"/>
              <w:rPr>
                <w:rFonts w:hint="default"/>
              </w:rPr>
            </w:pPr>
          </w:p>
        </w:tc>
        <w:tc>
          <w:tcPr>
            <w:tcW w:w="748" w:type="dxa"/>
            <w:vMerge w:val="continue"/>
            <w:tcBorders>
              <w:tl2br w:val="nil"/>
              <w:tr2bl w:val="nil"/>
            </w:tcBorders>
            <w:shd w:val="clear" w:color="auto" w:fill="auto"/>
            <w:noWrap/>
            <w:vAlign w:val="center"/>
          </w:tcPr>
          <w:p w14:paraId="3CE2A142">
            <w:pPr>
              <w:keepNext w:val="0"/>
              <w:keepLines w:val="0"/>
              <w:widowControl/>
              <w:suppressLineNumbers w:val="0"/>
              <w:spacing w:before="0" w:beforeAutospacing="0" w:after="0" w:afterAutospacing="0"/>
              <w:ind w:left="0" w:right="0"/>
              <w:jc w:val="center"/>
              <w:textAlignment w:val="center"/>
              <w:rPr>
                <w:rFonts w:hint="default"/>
              </w:rPr>
            </w:pPr>
          </w:p>
        </w:tc>
        <w:tc>
          <w:tcPr>
            <w:tcW w:w="825" w:type="dxa"/>
            <w:vMerge w:val="continue"/>
            <w:tcBorders>
              <w:tl2br w:val="nil"/>
              <w:tr2bl w:val="nil"/>
            </w:tcBorders>
            <w:shd w:val="clear" w:color="auto" w:fill="auto"/>
            <w:noWrap/>
            <w:vAlign w:val="center"/>
          </w:tcPr>
          <w:p w14:paraId="4E8AE9F7">
            <w:pPr>
              <w:keepNext w:val="0"/>
              <w:keepLines w:val="0"/>
              <w:widowControl/>
              <w:suppressLineNumbers w:val="0"/>
              <w:spacing w:before="0" w:beforeAutospacing="0" w:after="0" w:afterAutospacing="0"/>
              <w:ind w:left="0" w:right="0"/>
              <w:jc w:val="center"/>
              <w:textAlignment w:val="center"/>
              <w:rPr>
                <w:rFonts w:hint="default"/>
              </w:rPr>
            </w:pPr>
          </w:p>
        </w:tc>
        <w:tc>
          <w:tcPr>
            <w:tcW w:w="1155" w:type="dxa"/>
            <w:tcBorders>
              <w:tl2br w:val="nil"/>
              <w:tr2bl w:val="nil"/>
            </w:tcBorders>
            <w:shd w:val="clear" w:color="auto" w:fill="auto"/>
            <w:noWrap/>
            <w:vAlign w:val="center"/>
          </w:tcPr>
          <w:p w14:paraId="1C01B6C6">
            <w:pPr>
              <w:keepNext w:val="0"/>
              <w:keepLines w:val="0"/>
              <w:widowControl/>
              <w:suppressLineNumbers w:val="0"/>
              <w:spacing w:before="0" w:beforeAutospacing="0" w:after="0" w:afterAutospacing="0"/>
              <w:ind w:left="0" w:leftChars="0" w:right="0" w:rightChars="0"/>
              <w:jc w:val="center"/>
              <w:textAlignment w:val="center"/>
              <w:rPr>
                <w:rFonts w:hint="default"/>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center"/>
          </w:tcPr>
          <w:p w14:paraId="19EC9C4D">
            <w:pPr>
              <w:keepNext w:val="0"/>
              <w:keepLines w:val="0"/>
              <w:widowControl/>
              <w:suppressLineNumbers w:val="0"/>
              <w:spacing w:before="0" w:beforeAutospacing="0" w:after="0" w:afterAutospacing="0"/>
              <w:ind w:left="0" w:right="0"/>
              <w:jc w:val="center"/>
              <w:textAlignment w:val="center"/>
              <w:rPr>
                <w:rFonts w:hint="default"/>
                <w:lang w:val="en-US"/>
              </w:rPr>
            </w:pPr>
            <w:r>
              <w:rPr>
                <w:rFonts w:hint="eastAsia" w:ascii="Times New Roman" w:hAnsi="Times New Roman" w:eastAsia="宋体" w:cs="宋体"/>
                <w:i w:val="0"/>
                <w:iCs w:val="0"/>
                <w:color w:val="000000"/>
                <w:kern w:val="0"/>
                <w:sz w:val="21"/>
                <w:szCs w:val="21"/>
                <w:u w:val="none"/>
                <w:lang w:val="en-US" w:eastAsia="zh-CN" w:bidi="ar"/>
              </w:rPr>
              <w:t>20909.569/(t+26.093)^1.004</w:t>
            </w:r>
          </w:p>
        </w:tc>
      </w:tr>
      <w:tr w14:paraId="7504A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95" w:type="dxa"/>
            <w:vMerge w:val="continue"/>
            <w:tcBorders>
              <w:tl2br w:val="nil"/>
              <w:tr2bl w:val="nil"/>
            </w:tcBorders>
            <w:shd w:val="clear" w:color="auto" w:fill="auto"/>
            <w:noWrap/>
            <w:vAlign w:val="center"/>
          </w:tcPr>
          <w:p w14:paraId="532CD2B5">
            <w:pPr>
              <w:keepNext w:val="0"/>
              <w:keepLines w:val="0"/>
              <w:widowControl/>
              <w:suppressLineNumbers w:val="0"/>
              <w:spacing w:before="0" w:beforeAutospacing="0" w:after="0" w:afterAutospacing="0"/>
              <w:ind w:left="0" w:right="0"/>
              <w:jc w:val="center"/>
              <w:textAlignment w:val="center"/>
              <w:rPr>
                <w:rFonts w:hint="default"/>
              </w:rPr>
            </w:pPr>
          </w:p>
        </w:tc>
        <w:tc>
          <w:tcPr>
            <w:tcW w:w="782" w:type="dxa"/>
            <w:vMerge w:val="continue"/>
            <w:tcBorders>
              <w:tl2br w:val="nil"/>
              <w:tr2bl w:val="nil"/>
            </w:tcBorders>
            <w:shd w:val="clear" w:color="auto" w:fill="auto"/>
            <w:noWrap/>
            <w:vAlign w:val="center"/>
          </w:tcPr>
          <w:p w14:paraId="35811732">
            <w:pPr>
              <w:keepNext w:val="0"/>
              <w:keepLines w:val="0"/>
              <w:widowControl/>
              <w:suppressLineNumbers w:val="0"/>
              <w:spacing w:before="0" w:beforeAutospacing="0" w:after="0" w:afterAutospacing="0"/>
              <w:ind w:left="0" w:right="0"/>
              <w:jc w:val="center"/>
              <w:textAlignment w:val="center"/>
              <w:rPr>
                <w:rFonts w:hint="default"/>
              </w:rPr>
            </w:pPr>
          </w:p>
        </w:tc>
        <w:tc>
          <w:tcPr>
            <w:tcW w:w="748" w:type="dxa"/>
            <w:vMerge w:val="continue"/>
            <w:tcBorders>
              <w:tl2br w:val="nil"/>
              <w:tr2bl w:val="nil"/>
            </w:tcBorders>
            <w:shd w:val="clear" w:color="auto" w:fill="auto"/>
            <w:noWrap/>
            <w:vAlign w:val="center"/>
          </w:tcPr>
          <w:p w14:paraId="5C0B8E9D">
            <w:pPr>
              <w:keepNext w:val="0"/>
              <w:keepLines w:val="0"/>
              <w:widowControl/>
              <w:suppressLineNumbers w:val="0"/>
              <w:spacing w:before="0" w:beforeAutospacing="0" w:after="0" w:afterAutospacing="0"/>
              <w:ind w:left="0" w:right="0"/>
              <w:jc w:val="center"/>
              <w:textAlignment w:val="center"/>
              <w:rPr>
                <w:rFonts w:hint="default"/>
              </w:rPr>
            </w:pPr>
          </w:p>
        </w:tc>
        <w:tc>
          <w:tcPr>
            <w:tcW w:w="825" w:type="dxa"/>
            <w:vMerge w:val="continue"/>
            <w:tcBorders>
              <w:tl2br w:val="nil"/>
              <w:tr2bl w:val="nil"/>
            </w:tcBorders>
            <w:shd w:val="clear" w:color="auto" w:fill="auto"/>
            <w:noWrap/>
            <w:vAlign w:val="center"/>
          </w:tcPr>
          <w:p w14:paraId="359FD811">
            <w:pPr>
              <w:keepNext w:val="0"/>
              <w:keepLines w:val="0"/>
              <w:widowControl/>
              <w:suppressLineNumbers w:val="0"/>
              <w:spacing w:before="0" w:beforeAutospacing="0" w:after="0" w:afterAutospacing="0"/>
              <w:ind w:left="0" w:right="0"/>
              <w:jc w:val="center"/>
              <w:textAlignment w:val="center"/>
              <w:rPr>
                <w:rFonts w:hint="default"/>
              </w:rPr>
            </w:pPr>
          </w:p>
        </w:tc>
        <w:tc>
          <w:tcPr>
            <w:tcW w:w="1155" w:type="dxa"/>
            <w:tcBorders>
              <w:tl2br w:val="nil"/>
              <w:tr2bl w:val="nil"/>
            </w:tcBorders>
            <w:shd w:val="clear" w:color="auto" w:fill="auto"/>
            <w:noWrap/>
            <w:vAlign w:val="center"/>
          </w:tcPr>
          <w:p w14:paraId="5B88E99D">
            <w:pPr>
              <w:keepNext w:val="0"/>
              <w:keepLines w:val="0"/>
              <w:widowControl/>
              <w:suppressLineNumbers w:val="0"/>
              <w:spacing w:before="0" w:beforeAutospacing="0" w:after="0" w:afterAutospacing="0"/>
              <w:ind w:left="0" w:leftChars="0" w:right="0" w:rightChars="0"/>
              <w:jc w:val="center"/>
              <w:textAlignment w:val="center"/>
              <w:rPr>
                <w:rFonts w:hint="default"/>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noWrap/>
            <w:vAlign w:val="center"/>
          </w:tcPr>
          <w:p w14:paraId="156614D7">
            <w:pPr>
              <w:keepNext w:val="0"/>
              <w:keepLines w:val="0"/>
              <w:widowControl/>
              <w:suppressLineNumbers w:val="0"/>
              <w:spacing w:before="0" w:beforeAutospacing="0" w:after="0" w:afterAutospacing="0"/>
              <w:ind w:left="0" w:right="0"/>
              <w:jc w:val="center"/>
              <w:textAlignment w:val="center"/>
              <w:rPr>
                <w:rFonts w:hint="default"/>
              </w:rPr>
            </w:pPr>
            <w:r>
              <w:rPr>
                <w:rFonts w:hint="eastAsia" w:ascii="Times New Roman" w:hAnsi="Times New Roman" w:eastAsia="宋体" w:cs="宋体"/>
                <w:i w:val="0"/>
                <w:iCs w:val="0"/>
                <w:color w:val="000000"/>
                <w:kern w:val="0"/>
                <w:sz w:val="21"/>
                <w:szCs w:val="21"/>
                <w:u w:val="none"/>
                <w:lang w:val="en-US" w:eastAsia="zh-CN" w:bidi="ar"/>
              </w:rPr>
              <w:t>22130.673/(t+25.930)^1.001</w:t>
            </w:r>
          </w:p>
        </w:tc>
      </w:tr>
      <w:tr w14:paraId="1E3F4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1" w:hRule="atLeast"/>
        </w:trPr>
        <w:tc>
          <w:tcPr>
            <w:tcW w:w="495" w:type="dxa"/>
            <w:tcBorders>
              <w:tl2br w:val="nil"/>
              <w:tr2bl w:val="nil"/>
            </w:tcBorders>
            <w:shd w:val="clear" w:color="auto" w:fill="auto"/>
            <w:noWrap/>
            <w:vAlign w:val="center"/>
          </w:tcPr>
          <w:p w14:paraId="0B97EE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w:t>
            </w:r>
          </w:p>
        </w:tc>
        <w:tc>
          <w:tcPr>
            <w:tcW w:w="782" w:type="dxa"/>
            <w:tcBorders>
              <w:tl2br w:val="nil"/>
              <w:tr2bl w:val="nil"/>
            </w:tcBorders>
            <w:shd w:val="clear" w:color="auto" w:fill="auto"/>
            <w:noWrap/>
            <w:vAlign w:val="center"/>
          </w:tcPr>
          <w:p w14:paraId="1F4EDD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惠州市</w:t>
            </w:r>
          </w:p>
        </w:tc>
        <w:tc>
          <w:tcPr>
            <w:tcW w:w="748" w:type="dxa"/>
            <w:tcBorders>
              <w:tl2br w:val="nil"/>
              <w:tr2bl w:val="nil"/>
            </w:tcBorders>
            <w:shd w:val="clear" w:color="auto" w:fill="auto"/>
            <w:noWrap/>
            <w:vAlign w:val="center"/>
          </w:tcPr>
          <w:p w14:paraId="0A096D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惠州市区</w:t>
            </w:r>
          </w:p>
        </w:tc>
        <w:tc>
          <w:tcPr>
            <w:tcW w:w="825" w:type="dxa"/>
            <w:tcBorders>
              <w:tl2br w:val="nil"/>
              <w:tr2bl w:val="nil"/>
            </w:tcBorders>
            <w:shd w:val="clear" w:color="auto" w:fill="auto"/>
            <w:noWrap/>
            <w:vAlign w:val="center"/>
          </w:tcPr>
          <w:p w14:paraId="5FDBD0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72EB1D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28"/>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8" o:spt="75" type="#_x0000_t75" style="height:34pt;width:145pt;" o:ole="t" filled="f" o:preferrelative="t" stroked="f" coordsize="21600,21600">
                  <v:path/>
                  <v:fill on="f" focussize="0,0"/>
                  <v:stroke on="f"/>
                  <v:imagedata r:id="rId40" o:title=""/>
                  <o:lock v:ext="edit" aspectratio="t"/>
                  <w10:wrap type="none"/>
                  <w10:anchorlock/>
                </v:shape>
                <o:OLEObject Type="Embed" ProgID="Equation.KSEE3" ShapeID="_x0000_i1038" DrawAspect="Content" ObjectID="_1468075738" r:id="rId39">
                  <o:LockedField>false</o:LockedField>
                </o:OLEObject>
              </w:object>
            </w:r>
          </w:p>
        </w:tc>
      </w:tr>
      <w:tr w14:paraId="50359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95" w:type="dxa"/>
            <w:tcBorders>
              <w:tl2br w:val="nil"/>
              <w:tr2bl w:val="nil"/>
            </w:tcBorders>
            <w:shd w:val="clear" w:color="auto" w:fill="auto"/>
            <w:noWrap/>
            <w:vAlign w:val="center"/>
          </w:tcPr>
          <w:p w14:paraId="7AF474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782" w:type="dxa"/>
            <w:tcBorders>
              <w:tl2br w:val="nil"/>
              <w:tr2bl w:val="nil"/>
            </w:tcBorders>
            <w:shd w:val="clear" w:color="auto" w:fill="auto"/>
            <w:noWrap/>
            <w:vAlign w:val="center"/>
          </w:tcPr>
          <w:p w14:paraId="221E1E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汕尾市</w:t>
            </w:r>
          </w:p>
        </w:tc>
        <w:tc>
          <w:tcPr>
            <w:tcW w:w="748" w:type="dxa"/>
            <w:tcBorders>
              <w:tl2br w:val="nil"/>
              <w:tr2bl w:val="nil"/>
            </w:tcBorders>
            <w:shd w:val="clear" w:color="auto" w:fill="auto"/>
            <w:vAlign w:val="center"/>
          </w:tcPr>
          <w:p w14:paraId="113B4A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汕尾市中心城区</w:t>
            </w:r>
          </w:p>
        </w:tc>
        <w:tc>
          <w:tcPr>
            <w:tcW w:w="825" w:type="dxa"/>
            <w:tcBorders>
              <w:tl2br w:val="nil"/>
              <w:tr2bl w:val="nil"/>
            </w:tcBorders>
            <w:shd w:val="clear" w:color="auto" w:fill="auto"/>
            <w:noWrap/>
            <w:vAlign w:val="center"/>
          </w:tcPr>
          <w:p w14:paraId="08BE39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72E0FB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9" o:spt="75" type="#_x0000_t75" style="height:34pt;width:120pt;" o:ole="t" filled="f" o:preferrelative="t" stroked="f" coordsize="21600,21600">
                  <v:path/>
                  <v:fill on="f" focussize="0,0"/>
                  <v:stroke on="f"/>
                  <v:imagedata r:id="rId42" o:title=""/>
                  <o:lock v:ext="edit" aspectratio="t"/>
                  <w10:wrap type="none"/>
                  <w10:anchorlock/>
                </v:shape>
                <o:OLEObject Type="Embed" ProgID="Equation.KSEE3" ShapeID="_x0000_i1039" DrawAspect="Content" ObjectID="_1468075739" r:id="rId41">
                  <o:LockedField>false</o:LockedField>
                </o:OLEObject>
              </w:object>
            </w:r>
          </w:p>
        </w:tc>
      </w:tr>
      <w:tr w14:paraId="7ADCF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95" w:type="dxa"/>
            <w:tcBorders>
              <w:tl2br w:val="nil"/>
              <w:tr2bl w:val="nil"/>
            </w:tcBorders>
            <w:shd w:val="clear" w:color="auto" w:fill="auto"/>
            <w:noWrap/>
            <w:vAlign w:val="center"/>
          </w:tcPr>
          <w:p w14:paraId="340EE3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w:t>
            </w:r>
          </w:p>
        </w:tc>
        <w:tc>
          <w:tcPr>
            <w:tcW w:w="782" w:type="dxa"/>
            <w:tcBorders>
              <w:tl2br w:val="nil"/>
              <w:tr2bl w:val="nil"/>
            </w:tcBorders>
            <w:shd w:val="clear" w:color="auto" w:fill="auto"/>
            <w:noWrap/>
            <w:vAlign w:val="center"/>
          </w:tcPr>
          <w:p w14:paraId="230173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东莞市</w:t>
            </w:r>
          </w:p>
        </w:tc>
        <w:tc>
          <w:tcPr>
            <w:tcW w:w="748" w:type="dxa"/>
            <w:tcBorders>
              <w:tl2br w:val="nil"/>
              <w:tr2bl w:val="nil"/>
            </w:tcBorders>
            <w:shd w:val="clear" w:color="auto" w:fill="auto"/>
            <w:noWrap/>
            <w:vAlign w:val="center"/>
          </w:tcPr>
          <w:p w14:paraId="075472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东莞市区</w:t>
            </w:r>
          </w:p>
        </w:tc>
        <w:tc>
          <w:tcPr>
            <w:tcW w:w="825" w:type="dxa"/>
            <w:tcBorders>
              <w:tl2br w:val="nil"/>
              <w:tr2bl w:val="nil"/>
            </w:tcBorders>
            <w:shd w:val="clear" w:color="auto" w:fill="auto"/>
            <w:noWrap/>
            <w:vAlign w:val="center"/>
          </w:tcPr>
          <w:p w14:paraId="6D5F75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5C95BF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40" o:spt="75" type="#_x0000_t75" style="height:34pt;width:146pt;" o:ole="t" filled="f" o:preferrelative="t" stroked="f" coordsize="21600,21600">
                  <v:path/>
                  <v:fill on="f" focussize="0,0"/>
                  <v:stroke on="f"/>
                  <v:imagedata r:id="rId44" o:title=""/>
                  <o:lock v:ext="edit" aspectratio="t"/>
                  <w10:wrap type="none"/>
                  <w10:anchorlock/>
                </v:shape>
                <o:OLEObject Type="Embed" ProgID="Equation.KSEE3" ShapeID="_x0000_i1040" DrawAspect="Content" ObjectID="_1468075740" r:id="rId43">
                  <o:LockedField>false</o:LockedField>
                </o:OLEObject>
              </w:object>
            </w:r>
          </w:p>
        </w:tc>
      </w:tr>
      <w:tr w14:paraId="617F1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5" w:type="dxa"/>
            <w:tcBorders>
              <w:tl2br w:val="nil"/>
              <w:tr2bl w:val="nil"/>
            </w:tcBorders>
            <w:shd w:val="clear" w:color="auto" w:fill="auto"/>
            <w:noWrap/>
            <w:vAlign w:val="center"/>
          </w:tcPr>
          <w:p w14:paraId="750859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w:t>
            </w:r>
          </w:p>
        </w:tc>
        <w:tc>
          <w:tcPr>
            <w:tcW w:w="782" w:type="dxa"/>
            <w:tcBorders>
              <w:tl2br w:val="nil"/>
              <w:tr2bl w:val="nil"/>
            </w:tcBorders>
            <w:shd w:val="clear" w:color="auto" w:fill="auto"/>
            <w:noWrap/>
            <w:vAlign w:val="center"/>
          </w:tcPr>
          <w:p w14:paraId="074A0C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中山市</w:t>
            </w:r>
          </w:p>
        </w:tc>
        <w:tc>
          <w:tcPr>
            <w:tcW w:w="748" w:type="dxa"/>
            <w:tcBorders>
              <w:tl2br w:val="nil"/>
              <w:tr2bl w:val="nil"/>
            </w:tcBorders>
            <w:shd w:val="clear" w:color="auto" w:fill="auto"/>
            <w:noWrap/>
            <w:vAlign w:val="center"/>
          </w:tcPr>
          <w:p w14:paraId="05E3AA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中山市五桂山以北地区、</w:t>
            </w:r>
          </w:p>
        </w:tc>
        <w:tc>
          <w:tcPr>
            <w:tcW w:w="825" w:type="dxa"/>
            <w:tcBorders>
              <w:tl2br w:val="nil"/>
              <w:tr2bl w:val="nil"/>
            </w:tcBorders>
            <w:shd w:val="clear" w:color="auto" w:fill="auto"/>
            <w:noWrap/>
            <w:vAlign w:val="center"/>
          </w:tcPr>
          <w:p w14:paraId="027F63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4B245E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41" o:spt="75" type="#_x0000_t75" style="height:34pt;width:146pt;" o:ole="t" filled="f" o:preferrelative="t" stroked="f" coordsize="21600,21600">
                  <v:path/>
                  <v:fill on="f" focussize="0,0"/>
                  <v:stroke on="f"/>
                  <v:imagedata r:id="rId46" o:title=""/>
                  <o:lock v:ext="edit" aspectratio="t"/>
                  <w10:wrap type="none"/>
                  <w10:anchorlock/>
                </v:shape>
                <o:OLEObject Type="Embed" ProgID="Equation.KSEE3" ShapeID="_x0000_i1041" DrawAspect="Content" ObjectID="_1468075741" r:id="rId45">
                  <o:LockedField>false</o:LockedField>
                </o:OLEObject>
              </w:object>
            </w:r>
          </w:p>
        </w:tc>
      </w:tr>
      <w:tr w14:paraId="49F0D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95" w:type="dxa"/>
            <w:vMerge w:val="restart"/>
            <w:tcBorders>
              <w:tl2br w:val="nil"/>
              <w:tr2bl w:val="nil"/>
            </w:tcBorders>
            <w:shd w:val="clear" w:color="auto" w:fill="auto"/>
            <w:noWrap/>
            <w:vAlign w:val="center"/>
          </w:tcPr>
          <w:p w14:paraId="2797EB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w:t>
            </w:r>
          </w:p>
        </w:tc>
        <w:tc>
          <w:tcPr>
            <w:tcW w:w="782" w:type="dxa"/>
            <w:vMerge w:val="restart"/>
            <w:tcBorders>
              <w:tl2br w:val="nil"/>
              <w:tr2bl w:val="nil"/>
            </w:tcBorders>
            <w:shd w:val="clear" w:color="auto" w:fill="auto"/>
            <w:noWrap/>
            <w:vAlign w:val="center"/>
          </w:tcPr>
          <w:p w14:paraId="1FD994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江门市</w:t>
            </w:r>
          </w:p>
        </w:tc>
        <w:tc>
          <w:tcPr>
            <w:tcW w:w="748" w:type="dxa"/>
            <w:vMerge w:val="restart"/>
            <w:tcBorders>
              <w:tl2br w:val="nil"/>
              <w:tr2bl w:val="nil"/>
            </w:tcBorders>
            <w:shd w:val="clear" w:color="auto" w:fill="auto"/>
            <w:noWrap/>
            <w:vAlign w:val="center"/>
          </w:tcPr>
          <w:p w14:paraId="76C3D3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江门市区</w:t>
            </w:r>
          </w:p>
        </w:tc>
        <w:tc>
          <w:tcPr>
            <w:tcW w:w="825" w:type="dxa"/>
            <w:tcBorders>
              <w:tl2br w:val="nil"/>
              <w:tr2bl w:val="nil"/>
            </w:tcBorders>
            <w:shd w:val="clear" w:color="auto" w:fill="auto"/>
            <w:noWrap/>
            <w:vAlign w:val="center"/>
          </w:tcPr>
          <w:p w14:paraId="468914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6D3941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2" o:spt="75" type="#_x0000_t75" style="height:34pt;width:146pt;" o:ole="t" filled="f" o:preferrelative="t" stroked="f" coordsize="21600,21600">
                  <v:path/>
                  <v:fill on="f" focussize="0,0"/>
                  <v:stroke on="f"/>
                  <v:imagedata r:id="rId48" o:title=""/>
                  <o:lock v:ext="edit" aspectratio="t"/>
                  <w10:wrap type="none"/>
                  <w10:anchorlock/>
                </v:shape>
                <o:OLEObject Type="Embed" ProgID="Equation.KSEE3" ShapeID="_x0000_i1042" DrawAspect="Content" ObjectID="_1468075742" r:id="rId47">
                  <o:LockedField>false</o:LockedField>
                </o:OLEObject>
              </w:object>
            </w:r>
          </w:p>
        </w:tc>
      </w:tr>
      <w:tr w14:paraId="4A641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5" w:type="dxa"/>
            <w:vMerge w:val="continue"/>
            <w:tcBorders>
              <w:tl2br w:val="nil"/>
              <w:tr2bl w:val="nil"/>
            </w:tcBorders>
            <w:shd w:val="clear" w:color="auto" w:fill="auto"/>
            <w:noWrap/>
            <w:vAlign w:val="center"/>
          </w:tcPr>
          <w:p w14:paraId="4E8B4C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C5317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3DA119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825" w:type="dxa"/>
            <w:vMerge w:val="restart"/>
            <w:tcBorders>
              <w:tl2br w:val="nil"/>
              <w:tr2bl w:val="nil"/>
            </w:tcBorders>
            <w:shd w:val="clear" w:color="auto" w:fill="auto"/>
            <w:noWrap/>
            <w:vAlign w:val="center"/>
          </w:tcPr>
          <w:p w14:paraId="13B194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14:paraId="68F612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14:paraId="27E028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4830.308/(t+17.044)^0.803</w:t>
            </w:r>
          </w:p>
        </w:tc>
      </w:tr>
      <w:tr w14:paraId="129D5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95" w:type="dxa"/>
            <w:vMerge w:val="continue"/>
            <w:tcBorders>
              <w:tl2br w:val="nil"/>
              <w:tr2bl w:val="nil"/>
            </w:tcBorders>
            <w:shd w:val="clear" w:color="auto" w:fill="auto"/>
            <w:noWrap/>
            <w:vAlign w:val="center"/>
          </w:tcPr>
          <w:p w14:paraId="2B6F851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0B88E1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707740A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A771B8C">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714C73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14:paraId="6A7892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4359.535/(t+15.633)^0.760</w:t>
            </w:r>
          </w:p>
        </w:tc>
      </w:tr>
      <w:tr w14:paraId="256EB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495" w:type="dxa"/>
            <w:vMerge w:val="continue"/>
            <w:tcBorders>
              <w:tl2br w:val="nil"/>
              <w:tr2bl w:val="nil"/>
            </w:tcBorders>
            <w:shd w:val="clear" w:color="auto" w:fill="auto"/>
            <w:noWrap/>
            <w:vAlign w:val="center"/>
          </w:tcPr>
          <w:p w14:paraId="421FB77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680666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2E96E2A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42B2045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AF990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14:paraId="00B2C9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3853.024/(t+13.926)^0.712</w:t>
            </w:r>
          </w:p>
        </w:tc>
      </w:tr>
      <w:tr w14:paraId="256D1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95" w:type="dxa"/>
            <w:vMerge w:val="continue"/>
            <w:tcBorders>
              <w:tl2br w:val="nil"/>
              <w:tr2bl w:val="nil"/>
            </w:tcBorders>
            <w:shd w:val="clear" w:color="auto" w:fill="auto"/>
            <w:noWrap/>
            <w:vAlign w:val="center"/>
          </w:tcPr>
          <w:p w14:paraId="7D8679F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350986E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11EF4E7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01F7E05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551F66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14:paraId="4B4CB5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3377.408/(t+11.547)^0.661</w:t>
            </w:r>
          </w:p>
        </w:tc>
      </w:tr>
      <w:tr w14:paraId="712AE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495" w:type="dxa"/>
            <w:vMerge w:val="continue"/>
            <w:tcBorders>
              <w:tl2br w:val="nil"/>
              <w:tr2bl w:val="nil"/>
            </w:tcBorders>
            <w:shd w:val="clear" w:color="auto" w:fill="auto"/>
            <w:noWrap/>
            <w:vAlign w:val="center"/>
          </w:tcPr>
          <w:p w14:paraId="2EEC260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4A13A0E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087C0A7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8CA62A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A9B26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14:paraId="36944C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3077.977/(t+9.235)^0.626</w:t>
            </w:r>
          </w:p>
        </w:tc>
      </w:tr>
      <w:tr w14:paraId="4DDB6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5" w:type="dxa"/>
            <w:vMerge w:val="continue"/>
            <w:tcBorders>
              <w:tl2br w:val="nil"/>
              <w:tr2bl w:val="nil"/>
            </w:tcBorders>
            <w:shd w:val="clear" w:color="auto" w:fill="auto"/>
            <w:noWrap/>
            <w:vAlign w:val="center"/>
          </w:tcPr>
          <w:p w14:paraId="60B1F55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1A98BF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10F6CD7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4F78A6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6E13BC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14:paraId="1D0FF4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2957.904/(t+8.256)^0.609</w:t>
            </w:r>
          </w:p>
        </w:tc>
      </w:tr>
      <w:tr w14:paraId="22458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95" w:type="dxa"/>
            <w:vMerge w:val="continue"/>
            <w:tcBorders>
              <w:tl2br w:val="nil"/>
              <w:tr2bl w:val="nil"/>
            </w:tcBorders>
            <w:shd w:val="clear" w:color="auto" w:fill="auto"/>
            <w:noWrap/>
            <w:vAlign w:val="center"/>
          </w:tcPr>
          <w:p w14:paraId="63E4D13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3BF14F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702815E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160B10A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3B4F0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14:paraId="784EDD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2825.473/(t+7.160)^0.589</w:t>
            </w:r>
          </w:p>
        </w:tc>
      </w:tr>
      <w:tr w14:paraId="734F3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vMerge w:val="continue"/>
            <w:tcBorders>
              <w:tl2br w:val="nil"/>
              <w:tr2bl w:val="nil"/>
            </w:tcBorders>
            <w:shd w:val="clear" w:color="auto" w:fill="auto"/>
            <w:noWrap/>
            <w:vAlign w:val="center"/>
          </w:tcPr>
          <w:p w14:paraId="2194B2C6">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684CC9D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2B79062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1F3853E">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6E9499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14:paraId="555980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2661.312/(t+5.792)^0.564</w:t>
            </w:r>
          </w:p>
        </w:tc>
      </w:tr>
      <w:tr w14:paraId="7C376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7" w:hRule="atLeast"/>
        </w:trPr>
        <w:tc>
          <w:tcPr>
            <w:tcW w:w="495" w:type="dxa"/>
            <w:tcBorders>
              <w:tl2br w:val="nil"/>
              <w:tr2bl w:val="nil"/>
            </w:tcBorders>
            <w:shd w:val="clear" w:color="auto" w:fill="auto"/>
            <w:noWrap/>
            <w:vAlign w:val="center"/>
          </w:tcPr>
          <w:p w14:paraId="51AF94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w:t>
            </w:r>
          </w:p>
        </w:tc>
        <w:tc>
          <w:tcPr>
            <w:tcW w:w="782" w:type="dxa"/>
            <w:tcBorders>
              <w:tl2br w:val="nil"/>
              <w:tr2bl w:val="nil"/>
            </w:tcBorders>
            <w:shd w:val="clear" w:color="auto" w:fill="auto"/>
            <w:noWrap/>
            <w:vAlign w:val="center"/>
          </w:tcPr>
          <w:p w14:paraId="672176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阳江市</w:t>
            </w:r>
          </w:p>
        </w:tc>
        <w:tc>
          <w:tcPr>
            <w:tcW w:w="748" w:type="dxa"/>
            <w:tcBorders>
              <w:tl2br w:val="nil"/>
              <w:tr2bl w:val="nil"/>
            </w:tcBorders>
            <w:shd w:val="clear" w:color="auto" w:fill="auto"/>
            <w:noWrap/>
            <w:vAlign w:val="center"/>
          </w:tcPr>
          <w:p w14:paraId="254E8A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阳江市区</w:t>
            </w:r>
          </w:p>
        </w:tc>
        <w:tc>
          <w:tcPr>
            <w:tcW w:w="825" w:type="dxa"/>
            <w:tcBorders>
              <w:tl2br w:val="nil"/>
              <w:tr2bl w:val="nil"/>
            </w:tcBorders>
            <w:shd w:val="clear" w:color="auto" w:fill="auto"/>
            <w:noWrap/>
            <w:vAlign w:val="center"/>
          </w:tcPr>
          <w:p w14:paraId="39EB20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277B6A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3" o:spt="75" type="#_x0000_t75" style="height:34pt;width:147pt;" o:ole="t" filled="f" o:preferrelative="t" stroked="f" coordsize="21600,21600">
                  <v:path/>
                  <v:fill on="f" focussize="0,0"/>
                  <v:stroke on="f"/>
                  <v:imagedata r:id="rId50" o:title=""/>
                  <o:lock v:ext="edit" aspectratio="t"/>
                  <w10:wrap type="none"/>
                  <w10:anchorlock/>
                </v:shape>
                <o:OLEObject Type="Embed" ProgID="Equation.KSEE3" ShapeID="_x0000_i1043" DrawAspect="Content" ObjectID="_1468075743" r:id="rId49">
                  <o:LockedField>false</o:LockedField>
                </o:OLEObject>
              </w:object>
            </w:r>
          </w:p>
        </w:tc>
      </w:tr>
      <w:tr w14:paraId="3432D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495" w:type="dxa"/>
            <w:tcBorders>
              <w:tl2br w:val="nil"/>
              <w:tr2bl w:val="nil"/>
            </w:tcBorders>
            <w:shd w:val="clear" w:color="auto" w:fill="auto"/>
            <w:noWrap/>
            <w:vAlign w:val="center"/>
          </w:tcPr>
          <w:p w14:paraId="504407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w:t>
            </w:r>
          </w:p>
        </w:tc>
        <w:tc>
          <w:tcPr>
            <w:tcW w:w="782" w:type="dxa"/>
            <w:tcBorders>
              <w:tl2br w:val="nil"/>
              <w:tr2bl w:val="nil"/>
            </w:tcBorders>
            <w:shd w:val="clear" w:color="auto" w:fill="auto"/>
            <w:noWrap/>
            <w:vAlign w:val="center"/>
          </w:tcPr>
          <w:p w14:paraId="269529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湛江市</w:t>
            </w:r>
          </w:p>
        </w:tc>
        <w:tc>
          <w:tcPr>
            <w:tcW w:w="748" w:type="dxa"/>
            <w:tcBorders>
              <w:tl2br w:val="nil"/>
              <w:tr2bl w:val="nil"/>
            </w:tcBorders>
            <w:shd w:val="clear" w:color="auto" w:fill="auto"/>
            <w:noWrap/>
            <w:vAlign w:val="center"/>
          </w:tcPr>
          <w:p w14:paraId="3848F1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湛江市区</w:t>
            </w:r>
          </w:p>
        </w:tc>
        <w:tc>
          <w:tcPr>
            <w:tcW w:w="825" w:type="dxa"/>
            <w:tcBorders>
              <w:tl2br w:val="nil"/>
              <w:tr2bl w:val="nil"/>
            </w:tcBorders>
            <w:shd w:val="clear" w:color="auto" w:fill="auto"/>
            <w:noWrap/>
            <w:vAlign w:val="center"/>
          </w:tcPr>
          <w:p w14:paraId="1E2445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5FF3CA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4" o:spt="75" type="#_x0000_t75" style="height:34pt;width:148pt;" o:ole="t" filled="f" o:preferrelative="t" stroked="f" coordsize="21600,21600">
                  <v:path/>
                  <v:fill on="f" focussize="0,0"/>
                  <v:stroke on="f"/>
                  <v:imagedata r:id="rId52" o:title=""/>
                  <o:lock v:ext="edit" aspectratio="t"/>
                  <w10:wrap type="none"/>
                  <w10:anchorlock/>
                </v:shape>
                <o:OLEObject Type="Embed" ProgID="Equation.KSEE3" ShapeID="_x0000_i1044" DrawAspect="Content" ObjectID="_1468075744" r:id="rId51">
                  <o:LockedField>false</o:LockedField>
                </o:OLEObject>
              </w:object>
            </w:r>
          </w:p>
        </w:tc>
      </w:tr>
      <w:tr w14:paraId="795F5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495" w:type="dxa"/>
            <w:tcBorders>
              <w:tl2br w:val="nil"/>
              <w:tr2bl w:val="nil"/>
            </w:tcBorders>
            <w:shd w:val="clear" w:color="auto" w:fill="auto"/>
            <w:noWrap/>
            <w:vAlign w:val="center"/>
          </w:tcPr>
          <w:p w14:paraId="3AC399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16</w:t>
            </w:r>
          </w:p>
        </w:tc>
        <w:tc>
          <w:tcPr>
            <w:tcW w:w="782" w:type="dxa"/>
            <w:tcBorders>
              <w:tl2br w:val="nil"/>
              <w:tr2bl w:val="nil"/>
            </w:tcBorders>
            <w:shd w:val="clear" w:color="auto" w:fill="auto"/>
            <w:noWrap/>
            <w:vAlign w:val="center"/>
          </w:tcPr>
          <w:p w14:paraId="6073B6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茂名市</w:t>
            </w:r>
          </w:p>
        </w:tc>
        <w:tc>
          <w:tcPr>
            <w:tcW w:w="748" w:type="dxa"/>
            <w:tcBorders>
              <w:tl2br w:val="nil"/>
              <w:tr2bl w:val="nil"/>
            </w:tcBorders>
            <w:shd w:val="clear" w:color="auto" w:fill="auto"/>
            <w:noWrap/>
            <w:vAlign w:val="center"/>
          </w:tcPr>
          <w:p w14:paraId="745132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茂名市区</w:t>
            </w:r>
          </w:p>
        </w:tc>
        <w:tc>
          <w:tcPr>
            <w:tcW w:w="825" w:type="dxa"/>
            <w:tcBorders>
              <w:tl2br w:val="nil"/>
              <w:tr2bl w:val="nil"/>
            </w:tcBorders>
            <w:shd w:val="clear" w:color="auto" w:fill="auto"/>
            <w:noWrap/>
            <w:vAlign w:val="center"/>
          </w:tcPr>
          <w:p w14:paraId="79CABE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78B4AD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5" o:spt="75" type="#_x0000_t75" style="height:34pt;width:146pt;" o:ole="t" filled="f" o:preferrelative="t" stroked="f" coordsize="21600,21600">
                  <v:path/>
                  <v:fill on="f" focussize="0,0"/>
                  <v:stroke on="f"/>
                  <v:imagedata r:id="rId54" o:title=""/>
                  <o:lock v:ext="edit" aspectratio="t"/>
                  <w10:wrap type="none"/>
                  <w10:anchorlock/>
                </v:shape>
                <o:OLEObject Type="Embed" ProgID="Equation.KSEE3" ShapeID="_x0000_i1045" DrawAspect="Content" ObjectID="_1468075745" r:id="rId53">
                  <o:LockedField>false</o:LockedField>
                </o:OLEObject>
              </w:object>
            </w:r>
          </w:p>
        </w:tc>
      </w:tr>
      <w:tr w14:paraId="3B548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495" w:type="dxa"/>
            <w:tcBorders>
              <w:tl2br w:val="nil"/>
              <w:tr2bl w:val="nil"/>
            </w:tcBorders>
            <w:shd w:val="clear" w:color="auto" w:fill="auto"/>
            <w:noWrap/>
            <w:vAlign w:val="center"/>
          </w:tcPr>
          <w:p w14:paraId="769378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w:t>
            </w:r>
          </w:p>
        </w:tc>
        <w:tc>
          <w:tcPr>
            <w:tcW w:w="782" w:type="dxa"/>
            <w:tcBorders>
              <w:tl2br w:val="nil"/>
              <w:tr2bl w:val="nil"/>
            </w:tcBorders>
            <w:shd w:val="clear" w:color="auto" w:fill="auto"/>
            <w:noWrap/>
            <w:vAlign w:val="center"/>
          </w:tcPr>
          <w:p w14:paraId="16084F5C">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肇庆市</w:t>
            </w:r>
          </w:p>
        </w:tc>
        <w:tc>
          <w:tcPr>
            <w:tcW w:w="748" w:type="dxa"/>
            <w:tcBorders>
              <w:tl2br w:val="nil"/>
              <w:tr2bl w:val="nil"/>
            </w:tcBorders>
            <w:shd w:val="clear" w:color="auto" w:fill="auto"/>
            <w:vAlign w:val="center"/>
          </w:tcPr>
          <w:p w14:paraId="67B2B262">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肇庆市中心城区</w:t>
            </w:r>
          </w:p>
        </w:tc>
        <w:tc>
          <w:tcPr>
            <w:tcW w:w="825" w:type="dxa"/>
            <w:tcBorders>
              <w:tl2br w:val="nil"/>
              <w:tr2bl w:val="nil"/>
            </w:tcBorders>
            <w:shd w:val="clear" w:color="auto" w:fill="auto"/>
            <w:noWrap/>
            <w:vAlign w:val="center"/>
          </w:tcPr>
          <w:p w14:paraId="674075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30A8D276">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6" o:spt="75" type="#_x0000_t75" style="height:34pt;width:147pt;" o:ole="t" filled="f" o:preferrelative="t" stroked="f" coordsize="21600,21600">
                  <v:path/>
                  <v:fill on="f" focussize="0,0"/>
                  <v:stroke on="f"/>
                  <v:imagedata r:id="rId56" o:title=""/>
                  <o:lock v:ext="edit" aspectratio="t"/>
                  <w10:wrap type="none"/>
                  <w10:anchorlock/>
                </v:shape>
                <o:OLEObject Type="Embed" ProgID="Equation.KSEE3" ShapeID="_x0000_i1046" DrawAspect="Content" ObjectID="_1468075746" r:id="rId55">
                  <o:LockedField>false</o:LockedField>
                </o:OLEObject>
              </w:object>
            </w:r>
          </w:p>
        </w:tc>
      </w:tr>
      <w:tr w14:paraId="3AB88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 w:hRule="atLeast"/>
        </w:trPr>
        <w:tc>
          <w:tcPr>
            <w:tcW w:w="495" w:type="dxa"/>
            <w:vMerge w:val="restart"/>
            <w:tcBorders>
              <w:tl2br w:val="nil"/>
              <w:tr2bl w:val="nil"/>
            </w:tcBorders>
            <w:shd w:val="clear" w:color="auto" w:fill="auto"/>
            <w:noWrap/>
            <w:vAlign w:val="center"/>
          </w:tcPr>
          <w:p w14:paraId="395DD9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w:t>
            </w:r>
          </w:p>
        </w:tc>
        <w:tc>
          <w:tcPr>
            <w:tcW w:w="782" w:type="dxa"/>
            <w:vMerge w:val="restart"/>
            <w:tcBorders>
              <w:tl2br w:val="nil"/>
              <w:tr2bl w:val="nil"/>
            </w:tcBorders>
            <w:shd w:val="clear" w:color="auto" w:fill="auto"/>
            <w:noWrap/>
            <w:vAlign w:val="center"/>
          </w:tcPr>
          <w:p w14:paraId="486207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清远市</w:t>
            </w:r>
          </w:p>
        </w:tc>
        <w:tc>
          <w:tcPr>
            <w:tcW w:w="748" w:type="dxa"/>
            <w:vMerge w:val="restart"/>
            <w:tcBorders>
              <w:tl2br w:val="nil"/>
              <w:tr2bl w:val="nil"/>
            </w:tcBorders>
            <w:shd w:val="clear" w:color="auto" w:fill="auto"/>
            <w:noWrap/>
            <w:vAlign w:val="center"/>
          </w:tcPr>
          <w:p w14:paraId="545AD9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清远市区</w:t>
            </w:r>
          </w:p>
        </w:tc>
        <w:tc>
          <w:tcPr>
            <w:tcW w:w="825" w:type="dxa"/>
            <w:vMerge w:val="restart"/>
            <w:tcBorders>
              <w:tl2br w:val="nil"/>
              <w:tr2bl w:val="nil"/>
            </w:tcBorders>
            <w:shd w:val="clear" w:color="auto" w:fill="auto"/>
            <w:noWrap/>
            <w:vAlign w:val="center"/>
          </w:tcPr>
          <w:p w14:paraId="7BA2A9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14:paraId="5D4301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w:t>
            </w:r>
          </w:p>
        </w:tc>
        <w:tc>
          <w:tcPr>
            <w:tcW w:w="4290" w:type="dxa"/>
            <w:tcBorders>
              <w:tl2br w:val="nil"/>
              <w:tr2bl w:val="nil"/>
            </w:tcBorders>
            <w:shd w:val="clear" w:color="auto" w:fill="auto"/>
            <w:noWrap/>
            <w:vAlign w:val="center"/>
          </w:tcPr>
          <w:p w14:paraId="6D638D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1981.622/(t+7.069)</w:t>
            </w:r>
            <w:r>
              <w:rPr>
                <w:rFonts w:hint="eastAsia" w:ascii="Times New Roman" w:hAnsi="Times New Roman" w:eastAsia="宋体" w:cs="宋体"/>
                <w:i w:val="0"/>
                <w:iCs w:val="0"/>
                <w:color w:val="000000"/>
                <w:kern w:val="0"/>
                <w:sz w:val="21"/>
                <w:szCs w:val="21"/>
                <w:u w:val="none"/>
                <w:lang w:val="en-US" w:eastAsia="zh-CN" w:bidi="ar"/>
              </w:rPr>
              <w:t>^0.650</w:t>
            </w:r>
          </w:p>
        </w:tc>
      </w:tr>
      <w:tr w14:paraId="153CF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95" w:type="dxa"/>
            <w:vMerge w:val="continue"/>
            <w:tcBorders>
              <w:tl2br w:val="nil"/>
              <w:tr2bl w:val="nil"/>
            </w:tcBorders>
            <w:shd w:val="clear" w:color="auto" w:fill="auto"/>
            <w:noWrap/>
            <w:vAlign w:val="center"/>
          </w:tcPr>
          <w:p w14:paraId="172B793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084A911D">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3C4ADA4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0233F544">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0B6424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2</w:t>
            </w:r>
          </w:p>
        </w:tc>
        <w:tc>
          <w:tcPr>
            <w:tcW w:w="4290" w:type="dxa"/>
            <w:tcBorders>
              <w:tl2br w:val="nil"/>
              <w:tr2bl w:val="nil"/>
            </w:tcBorders>
            <w:shd w:val="clear" w:color="auto" w:fill="auto"/>
            <w:vAlign w:val="center"/>
          </w:tcPr>
          <w:p w14:paraId="35D1C9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3148.618/(t+10.800)^0.687</w:t>
            </w:r>
          </w:p>
        </w:tc>
      </w:tr>
      <w:tr w14:paraId="663A7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5" w:type="dxa"/>
            <w:vMerge w:val="continue"/>
            <w:tcBorders>
              <w:tl2br w:val="nil"/>
              <w:tr2bl w:val="nil"/>
            </w:tcBorders>
            <w:shd w:val="clear" w:color="auto" w:fill="auto"/>
            <w:noWrap/>
            <w:vAlign w:val="center"/>
          </w:tcPr>
          <w:p w14:paraId="09408B22">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504973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3AB60B8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9B240B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484319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3</w:t>
            </w:r>
          </w:p>
        </w:tc>
        <w:tc>
          <w:tcPr>
            <w:tcW w:w="4290" w:type="dxa"/>
            <w:tcBorders>
              <w:tl2br w:val="nil"/>
              <w:tr2bl w:val="nil"/>
            </w:tcBorders>
            <w:shd w:val="clear" w:color="auto" w:fill="auto"/>
            <w:vAlign w:val="center"/>
          </w:tcPr>
          <w:p w14:paraId="53ECB2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3805.095/(t+11.981)^0.699</w:t>
            </w:r>
          </w:p>
        </w:tc>
      </w:tr>
      <w:tr w14:paraId="1A251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95" w:type="dxa"/>
            <w:vMerge w:val="continue"/>
            <w:tcBorders>
              <w:tl2br w:val="nil"/>
              <w:tr2bl w:val="nil"/>
            </w:tcBorders>
            <w:shd w:val="clear" w:color="auto" w:fill="auto"/>
            <w:noWrap/>
            <w:vAlign w:val="center"/>
          </w:tcPr>
          <w:p w14:paraId="638EB38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1E989D1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14C2568F">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28A65E1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5A9FAF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5</w:t>
            </w:r>
          </w:p>
        </w:tc>
        <w:tc>
          <w:tcPr>
            <w:tcW w:w="4290" w:type="dxa"/>
            <w:tcBorders>
              <w:tl2br w:val="nil"/>
              <w:tr2bl w:val="nil"/>
            </w:tcBorders>
            <w:shd w:val="clear" w:color="auto" w:fill="auto"/>
            <w:vAlign w:val="center"/>
          </w:tcPr>
          <w:p w14:paraId="5C973D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4617.550/(t+13.227)^0.711</w:t>
            </w:r>
          </w:p>
        </w:tc>
      </w:tr>
      <w:tr w14:paraId="7E8E8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95" w:type="dxa"/>
            <w:vMerge w:val="continue"/>
            <w:tcBorders>
              <w:tl2br w:val="nil"/>
              <w:tr2bl w:val="nil"/>
            </w:tcBorders>
            <w:shd w:val="clear" w:color="auto" w:fill="auto"/>
            <w:noWrap/>
            <w:vAlign w:val="center"/>
          </w:tcPr>
          <w:p w14:paraId="4695C2E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2C030F9B">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1F3D7B1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7E97B25">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7E05B4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10</w:t>
            </w:r>
          </w:p>
        </w:tc>
        <w:tc>
          <w:tcPr>
            <w:tcW w:w="4290" w:type="dxa"/>
            <w:tcBorders>
              <w:tl2br w:val="nil"/>
              <w:tr2bl w:val="nil"/>
            </w:tcBorders>
            <w:shd w:val="clear" w:color="auto" w:fill="auto"/>
            <w:vAlign w:val="center"/>
          </w:tcPr>
          <w:p w14:paraId="449E1C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5740.458/(t+14.543)^0.729</w:t>
            </w:r>
          </w:p>
        </w:tc>
      </w:tr>
      <w:tr w14:paraId="23CAB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vMerge w:val="continue"/>
            <w:tcBorders>
              <w:tl2br w:val="nil"/>
              <w:tr2bl w:val="nil"/>
            </w:tcBorders>
            <w:shd w:val="clear" w:color="auto" w:fill="auto"/>
            <w:noWrap/>
            <w:vAlign w:val="center"/>
          </w:tcPr>
          <w:p w14:paraId="0E86FCB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30C7A7A">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3E7C16C7">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09A12A03">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114D3E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20</w:t>
            </w:r>
          </w:p>
        </w:tc>
        <w:tc>
          <w:tcPr>
            <w:tcW w:w="4290" w:type="dxa"/>
            <w:tcBorders>
              <w:tl2br w:val="nil"/>
              <w:tr2bl w:val="nil"/>
            </w:tcBorders>
            <w:shd w:val="clear" w:color="auto" w:fill="auto"/>
            <w:vAlign w:val="center"/>
          </w:tcPr>
          <w:p w14:paraId="064FDA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6686.513/(t+14.913)^0.741</w:t>
            </w:r>
          </w:p>
        </w:tc>
      </w:tr>
      <w:tr w14:paraId="0D969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vMerge w:val="continue"/>
            <w:tcBorders>
              <w:tl2br w:val="nil"/>
              <w:tr2bl w:val="nil"/>
            </w:tcBorders>
            <w:shd w:val="clear" w:color="auto" w:fill="auto"/>
            <w:noWrap/>
            <w:vAlign w:val="center"/>
          </w:tcPr>
          <w:p w14:paraId="4C347988">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14:paraId="7B1F6120">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14:paraId="4CACD5D1">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14:paraId="36F35CC9">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14:paraId="3FBDAF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100</w:t>
            </w:r>
          </w:p>
        </w:tc>
        <w:tc>
          <w:tcPr>
            <w:tcW w:w="4290" w:type="dxa"/>
            <w:tcBorders>
              <w:tl2br w:val="nil"/>
              <w:tr2bl w:val="nil"/>
            </w:tcBorders>
            <w:shd w:val="clear" w:color="auto" w:fill="auto"/>
            <w:vAlign w:val="center"/>
          </w:tcPr>
          <w:p w14:paraId="21956C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8626.218/(t+15.346)^0.756</w:t>
            </w:r>
          </w:p>
        </w:tc>
      </w:tr>
      <w:tr w14:paraId="5954C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495" w:type="dxa"/>
            <w:tcBorders>
              <w:tl2br w:val="nil"/>
              <w:tr2bl w:val="nil"/>
            </w:tcBorders>
            <w:shd w:val="clear" w:color="auto" w:fill="auto"/>
            <w:noWrap/>
            <w:vAlign w:val="center"/>
          </w:tcPr>
          <w:p w14:paraId="0AECE1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w:t>
            </w:r>
          </w:p>
        </w:tc>
        <w:tc>
          <w:tcPr>
            <w:tcW w:w="782" w:type="dxa"/>
            <w:tcBorders>
              <w:tl2br w:val="nil"/>
              <w:tr2bl w:val="nil"/>
            </w:tcBorders>
            <w:shd w:val="clear" w:color="auto" w:fill="auto"/>
            <w:noWrap/>
            <w:vAlign w:val="center"/>
          </w:tcPr>
          <w:p w14:paraId="7328E9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潮州市</w:t>
            </w:r>
          </w:p>
        </w:tc>
        <w:tc>
          <w:tcPr>
            <w:tcW w:w="748" w:type="dxa"/>
            <w:tcBorders>
              <w:tl2br w:val="nil"/>
              <w:tr2bl w:val="nil"/>
            </w:tcBorders>
            <w:shd w:val="clear" w:color="auto" w:fill="auto"/>
            <w:noWrap/>
            <w:vAlign w:val="center"/>
          </w:tcPr>
          <w:p w14:paraId="2416CC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潮州市区</w:t>
            </w:r>
          </w:p>
        </w:tc>
        <w:tc>
          <w:tcPr>
            <w:tcW w:w="825" w:type="dxa"/>
            <w:tcBorders>
              <w:tl2br w:val="nil"/>
              <w:tr2bl w:val="nil"/>
            </w:tcBorders>
            <w:shd w:val="clear" w:color="auto" w:fill="auto"/>
            <w:noWrap/>
            <w:vAlign w:val="center"/>
          </w:tcPr>
          <w:p w14:paraId="093E3E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38F4EB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7" o:spt="75" type="#_x0000_t75" style="height:34pt;width:139pt;" o:ole="t" filled="f" o:preferrelative="t" stroked="f" coordsize="21600,21600">
                  <v:path/>
                  <v:fill on="f" focussize="0,0"/>
                  <v:stroke on="f"/>
                  <v:imagedata r:id="rId58" o:title=""/>
                  <o:lock v:ext="edit" aspectratio="t"/>
                  <w10:wrap type="none"/>
                  <w10:anchorlock/>
                </v:shape>
                <o:OLEObject Type="Embed" ProgID="Equation.KSEE3" ShapeID="_x0000_i1047" DrawAspect="Content" ObjectID="_1468075747" r:id="rId57">
                  <o:LockedField>false</o:LockedField>
                </o:OLEObject>
              </w:object>
            </w:r>
          </w:p>
        </w:tc>
      </w:tr>
      <w:tr w14:paraId="704DD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495" w:type="dxa"/>
            <w:tcBorders>
              <w:tl2br w:val="nil"/>
              <w:tr2bl w:val="nil"/>
            </w:tcBorders>
            <w:shd w:val="clear" w:color="auto" w:fill="auto"/>
            <w:noWrap/>
            <w:vAlign w:val="center"/>
          </w:tcPr>
          <w:p w14:paraId="1F9083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782" w:type="dxa"/>
            <w:tcBorders>
              <w:tl2br w:val="nil"/>
              <w:tr2bl w:val="nil"/>
            </w:tcBorders>
            <w:shd w:val="clear" w:color="auto" w:fill="auto"/>
            <w:noWrap/>
            <w:vAlign w:val="center"/>
          </w:tcPr>
          <w:p w14:paraId="2BEE0A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揭阳市</w:t>
            </w:r>
          </w:p>
        </w:tc>
        <w:tc>
          <w:tcPr>
            <w:tcW w:w="748" w:type="dxa"/>
            <w:tcBorders>
              <w:tl2br w:val="nil"/>
              <w:tr2bl w:val="nil"/>
            </w:tcBorders>
            <w:shd w:val="clear" w:color="auto" w:fill="auto"/>
            <w:noWrap/>
            <w:vAlign w:val="center"/>
          </w:tcPr>
          <w:p w14:paraId="64418A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揭阳市区</w:t>
            </w:r>
          </w:p>
        </w:tc>
        <w:tc>
          <w:tcPr>
            <w:tcW w:w="825" w:type="dxa"/>
            <w:tcBorders>
              <w:tl2br w:val="nil"/>
              <w:tr2bl w:val="nil"/>
            </w:tcBorders>
            <w:shd w:val="clear" w:color="auto" w:fill="auto"/>
            <w:noWrap/>
            <w:vAlign w:val="center"/>
          </w:tcPr>
          <w:p w14:paraId="63C229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602B51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8" o:spt="75" type="#_x0000_t75" style="height:34pt;width:147pt;" o:ole="t" filled="f" o:preferrelative="t" stroked="f" coordsize="21600,21600">
                  <v:path/>
                  <v:fill on="f" focussize="0,0"/>
                  <v:stroke on="f"/>
                  <v:imagedata r:id="rId60" o:title=""/>
                  <o:lock v:ext="edit" aspectratio="t"/>
                  <w10:wrap type="none"/>
                  <w10:anchorlock/>
                </v:shape>
                <o:OLEObject Type="Embed" ProgID="Equation.KSEE3" ShapeID="_x0000_i1048" DrawAspect="Content" ObjectID="_1468075748" r:id="rId59">
                  <o:LockedField>false</o:LockedField>
                </o:OLEObject>
              </w:object>
            </w:r>
          </w:p>
        </w:tc>
      </w:tr>
      <w:tr w14:paraId="46F27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95" w:type="dxa"/>
            <w:tcBorders>
              <w:tl2br w:val="nil"/>
              <w:tr2bl w:val="nil"/>
            </w:tcBorders>
            <w:shd w:val="clear" w:color="auto" w:fill="auto"/>
            <w:noWrap/>
            <w:vAlign w:val="center"/>
          </w:tcPr>
          <w:p w14:paraId="40A31A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w:t>
            </w:r>
          </w:p>
        </w:tc>
        <w:tc>
          <w:tcPr>
            <w:tcW w:w="782" w:type="dxa"/>
            <w:tcBorders>
              <w:tl2br w:val="nil"/>
              <w:tr2bl w:val="nil"/>
            </w:tcBorders>
            <w:shd w:val="clear" w:color="auto" w:fill="auto"/>
            <w:noWrap/>
            <w:vAlign w:val="center"/>
          </w:tcPr>
          <w:p w14:paraId="6B83B2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云浮市</w:t>
            </w:r>
          </w:p>
        </w:tc>
        <w:tc>
          <w:tcPr>
            <w:tcW w:w="748" w:type="dxa"/>
            <w:tcBorders>
              <w:tl2br w:val="nil"/>
              <w:tr2bl w:val="nil"/>
            </w:tcBorders>
            <w:shd w:val="clear" w:color="auto" w:fill="auto"/>
            <w:vAlign w:val="center"/>
          </w:tcPr>
          <w:p w14:paraId="105F7E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云浮市中心城区</w:t>
            </w:r>
          </w:p>
        </w:tc>
        <w:tc>
          <w:tcPr>
            <w:tcW w:w="825" w:type="dxa"/>
            <w:tcBorders>
              <w:tl2br w:val="nil"/>
              <w:tr2bl w:val="nil"/>
            </w:tcBorders>
            <w:shd w:val="clear" w:color="auto" w:fill="auto"/>
            <w:noWrap/>
            <w:vAlign w:val="center"/>
          </w:tcPr>
          <w:p w14:paraId="4D42A0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14:paraId="0DAE43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9" o:spt="75" type="#_x0000_t75" style="height:34pt;width:148pt;" o:ole="t" filled="f" o:preferrelative="t" stroked="f" coordsize="21600,21600">
                  <v:path/>
                  <v:fill on="f" focussize="0,0"/>
                  <v:stroke on="f"/>
                  <v:imagedata r:id="rId62" o:title=""/>
                  <o:lock v:ext="edit" aspectratio="t"/>
                  <w10:wrap type="none"/>
                  <w10:anchorlock/>
                </v:shape>
                <o:OLEObject Type="Embed" ProgID="Equation.KSEE3" ShapeID="_x0000_i1049" DrawAspect="Content" ObjectID="_1468075749" r:id="rId61">
                  <o:LockedField>false</o:LockedField>
                </o:OLEObject>
              </w:object>
            </w:r>
          </w:p>
        </w:tc>
      </w:tr>
    </w:tbl>
    <w:p w14:paraId="0F92AE5B">
      <w:pPr>
        <w:rPr>
          <w:rFonts w:hint="default" w:ascii="Times New Roman" w:hAnsi="Times New Roman" w:eastAsia="宋体" w:cs="宋体"/>
          <w:b w:val="0"/>
          <w:bCs/>
          <w:color w:val="auto"/>
          <w:sz w:val="21"/>
          <w:szCs w:val="21"/>
          <w:lang w:val="en-US" w:eastAsia="zh-CN"/>
        </w:rPr>
      </w:pPr>
      <w:r>
        <w:rPr>
          <w:rFonts w:hint="eastAsia" w:ascii="Times New Roman" w:hAnsi="Times New Roman" w:eastAsia="宋体" w:cs="宋体"/>
          <w:b w:val="0"/>
          <w:bCs/>
          <w:color w:val="auto"/>
          <w:sz w:val="21"/>
          <w:szCs w:val="21"/>
          <w:lang w:val="en-US" w:eastAsia="zh-CN"/>
        </w:rPr>
        <w:t>注：暴雨强度公式以当地主管部门发布最新暴雨强度公式为准。</w:t>
      </w:r>
    </w:p>
    <w:p w14:paraId="5CB1ACFF">
      <w:pPr>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br w:type="page"/>
      </w:r>
    </w:p>
    <w:p w14:paraId="47D63509">
      <w:pPr>
        <w:rPr>
          <w:rFonts w:hint="eastAsia" w:ascii="Times New Roman" w:hAnsi="Times New Roman" w:eastAsia="宋体" w:cs="宋体"/>
          <w:b w:val="0"/>
          <w:bCs/>
          <w:color w:val="auto"/>
          <w:sz w:val="24"/>
          <w:szCs w:val="24"/>
          <w:lang w:val="en-US" w:eastAsia="zh-CN"/>
        </w:rPr>
      </w:pPr>
    </w:p>
    <w:p w14:paraId="46F8D6AE">
      <w:pPr>
        <w:pStyle w:val="2"/>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114" w:name="_Toc119050666"/>
      <w:bookmarkStart w:id="115" w:name="_Toc10930"/>
      <w:bookmarkStart w:id="116" w:name="_Toc17493"/>
      <w:bookmarkStart w:id="117" w:name="_Toc23189"/>
      <w:r>
        <w:rPr>
          <w:rFonts w:hint="eastAsia" w:ascii="Times New Roman" w:hAnsi="Times New Roman" w:eastAsia="宋体" w:cs="宋体"/>
          <w:color w:val="000000" w:themeColor="text1"/>
          <w:sz w:val="32"/>
          <w:szCs w:val="32"/>
          <w:lang w:val="en-US" w:eastAsia="zh-CN"/>
          <w14:textFill>
            <w14:solidFill>
              <w14:schemeClr w14:val="tx1"/>
            </w14:solidFill>
          </w14:textFill>
        </w:rPr>
        <w:t>本标准用词说明</w:t>
      </w:r>
      <w:bookmarkEnd w:id="114"/>
      <w:bookmarkEnd w:id="115"/>
      <w:bookmarkEnd w:id="116"/>
      <w:bookmarkEnd w:id="117"/>
    </w:p>
    <w:p w14:paraId="24BF990C">
      <w:pPr>
        <w:spacing w:line="360" w:lineRule="auto"/>
        <w:ind w:firstLine="482" w:firstLineChars="200"/>
        <w:rPr>
          <w:rFonts w:hint="default" w:ascii="Times New Roman" w:hAnsi="Times New Roman"/>
          <w:b w:val="0"/>
          <w:bCs w:val="0"/>
          <w:color w:val="000000"/>
          <w:sz w:val="24"/>
        </w:rPr>
      </w:pPr>
      <w:r>
        <w:rPr>
          <w:rFonts w:hint="default" w:ascii="Times New Roman" w:hAnsi="Times New Roman"/>
          <w:b/>
          <w:bCs/>
          <w:color w:val="000000"/>
          <w:sz w:val="24"/>
        </w:rPr>
        <w:t>1</w:t>
      </w:r>
      <w:r>
        <w:rPr>
          <w:rFonts w:hint="default" w:ascii="Times New Roman" w:hAnsi="Times New Roman"/>
          <w:b w:val="0"/>
          <w:bCs w:val="0"/>
          <w:color w:val="000000"/>
          <w:sz w:val="24"/>
        </w:rPr>
        <w:t xml:space="preserve">  为便于在执行本标准条文时区别对待，对于要求严格程度不同的用词说明如下：</w:t>
      </w:r>
    </w:p>
    <w:p w14:paraId="43F0D79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480" w:firstLineChars="200"/>
        <w:textAlignment w:val="auto"/>
        <w:rPr>
          <w:rFonts w:hint="default" w:ascii="Times New Roman" w:hAnsi="Times New Roman"/>
          <w:b w:val="0"/>
          <w:bCs w:val="0"/>
          <w:color w:val="000000"/>
          <w:sz w:val="24"/>
        </w:rPr>
      </w:pPr>
      <w:bookmarkStart w:id="118" w:name="_Toc6516"/>
      <w:r>
        <w:rPr>
          <w:rFonts w:hint="eastAsia" w:ascii="Times New Roman" w:hAnsi="Times New Roman"/>
          <w:b w:val="0"/>
          <w:bCs w:val="0"/>
          <w:color w:val="000000"/>
          <w:sz w:val="24"/>
          <w:lang w:val="en-US" w:eastAsia="zh-CN"/>
        </w:rPr>
        <w:t xml:space="preserve"> </w:t>
      </w:r>
      <w:r>
        <w:rPr>
          <w:rFonts w:hint="default" w:ascii="Times New Roman" w:hAnsi="Times New Roman"/>
          <w:b w:val="0"/>
          <w:bCs w:val="0"/>
          <w:color w:val="000000"/>
          <w:sz w:val="24"/>
        </w:rPr>
        <w:t>表示很严格，非这样做不可的：</w:t>
      </w:r>
      <w:bookmarkEnd w:id="118"/>
    </w:p>
    <w:p w14:paraId="4A3A799A">
      <w:pPr>
        <w:keepNext w:val="0"/>
        <w:keepLines w:val="0"/>
        <w:pageBreakBefore w:val="0"/>
        <w:widowControl w:val="0"/>
        <w:kinsoku/>
        <w:wordWrap/>
        <w:overflowPunct/>
        <w:topLinePunct w:val="0"/>
        <w:autoSpaceDE/>
        <w:autoSpaceDN/>
        <w:bidi w:val="0"/>
        <w:adjustRightInd/>
        <w:snapToGrid/>
        <w:spacing w:line="360" w:lineRule="auto"/>
        <w:ind w:left="840" w:leftChars="400" w:firstLine="480" w:firstLineChars="200"/>
        <w:textAlignment w:val="auto"/>
        <w:rPr>
          <w:rFonts w:hint="default" w:ascii="Times New Roman" w:hAnsi="Times New Roman"/>
          <w:b w:val="0"/>
          <w:bCs w:val="0"/>
          <w:color w:val="000000"/>
          <w:sz w:val="24"/>
        </w:rPr>
      </w:pPr>
      <w:r>
        <w:rPr>
          <w:rFonts w:hint="default" w:ascii="Times New Roman" w:hAnsi="Times New Roman"/>
          <w:b w:val="0"/>
          <w:bCs w:val="0"/>
          <w:color w:val="000000"/>
          <w:sz w:val="24"/>
        </w:rPr>
        <w:t>正面词采用“必须”，反面词采用“严禁”；</w:t>
      </w:r>
    </w:p>
    <w:p w14:paraId="199C4264">
      <w:pPr>
        <w:spacing w:line="360" w:lineRule="auto"/>
        <w:ind w:left="420" w:leftChars="200" w:firstLine="480" w:firstLineChars="200"/>
        <w:rPr>
          <w:rFonts w:hint="default" w:ascii="Times New Roman" w:hAnsi="Times New Roman"/>
          <w:b w:val="0"/>
          <w:bCs w:val="0"/>
          <w:color w:val="000000"/>
          <w:sz w:val="24"/>
        </w:rPr>
      </w:pPr>
      <w:bookmarkStart w:id="119" w:name="_Toc16514"/>
      <w:r>
        <w:rPr>
          <w:rFonts w:hint="default" w:ascii="Times New Roman" w:hAnsi="Times New Roman"/>
          <w:b w:val="0"/>
          <w:bCs w:val="0"/>
          <w:color w:val="000000"/>
          <w:sz w:val="24"/>
          <w:lang w:val="en-US" w:eastAsia="zh-CN"/>
        </w:rPr>
        <w:t>2</w:t>
      </w:r>
      <w:r>
        <w:rPr>
          <w:rFonts w:hint="eastAsia" w:ascii="Times New Roman" w:hAnsi="Times New Roman"/>
          <w:b w:val="0"/>
          <w:bCs w:val="0"/>
          <w:color w:val="000000"/>
          <w:sz w:val="24"/>
          <w:lang w:val="en-US" w:eastAsia="zh-CN"/>
        </w:rPr>
        <w:t>)</w:t>
      </w:r>
      <w:r>
        <w:rPr>
          <w:rFonts w:hint="default" w:ascii="Times New Roman" w:hAnsi="Times New Roman"/>
          <w:b w:val="0"/>
          <w:bCs w:val="0"/>
          <w:color w:val="000000"/>
          <w:sz w:val="24"/>
          <w:lang w:val="en-US" w:eastAsia="zh-CN"/>
        </w:rPr>
        <w:t xml:space="preserve">  </w:t>
      </w:r>
      <w:r>
        <w:rPr>
          <w:rFonts w:hint="default" w:ascii="Times New Roman" w:hAnsi="Times New Roman"/>
          <w:b w:val="0"/>
          <w:bCs w:val="0"/>
          <w:color w:val="000000"/>
          <w:sz w:val="24"/>
        </w:rPr>
        <w:t>表示严格，在正常情况下均应这样做的：</w:t>
      </w:r>
      <w:bookmarkEnd w:id="119"/>
    </w:p>
    <w:p w14:paraId="44A98B4E">
      <w:pPr>
        <w:spacing w:line="360" w:lineRule="auto"/>
        <w:ind w:left="840" w:leftChars="400" w:firstLine="480" w:firstLineChars="200"/>
        <w:rPr>
          <w:rFonts w:hint="default" w:ascii="Times New Roman" w:hAnsi="Times New Roman"/>
          <w:b w:val="0"/>
          <w:bCs w:val="0"/>
          <w:color w:val="000000"/>
          <w:sz w:val="24"/>
        </w:rPr>
      </w:pPr>
      <w:r>
        <w:rPr>
          <w:rFonts w:hint="default" w:ascii="Times New Roman" w:hAnsi="Times New Roman"/>
          <w:b w:val="0"/>
          <w:bCs w:val="0"/>
          <w:color w:val="000000"/>
          <w:sz w:val="24"/>
        </w:rPr>
        <w:t>正面词采用“应”，反面词采用“不应”或“不得”；</w:t>
      </w:r>
    </w:p>
    <w:p w14:paraId="173196B0">
      <w:pPr>
        <w:spacing w:line="360" w:lineRule="auto"/>
        <w:ind w:left="420" w:leftChars="200" w:firstLine="480" w:firstLineChars="200"/>
        <w:rPr>
          <w:rFonts w:hint="default" w:ascii="Times New Roman" w:hAnsi="Times New Roman"/>
          <w:b w:val="0"/>
          <w:bCs w:val="0"/>
          <w:color w:val="000000"/>
          <w:sz w:val="24"/>
        </w:rPr>
      </w:pPr>
      <w:bookmarkStart w:id="120" w:name="_Toc20585"/>
      <w:r>
        <w:rPr>
          <w:rFonts w:hint="default" w:ascii="Times New Roman" w:hAnsi="Times New Roman"/>
          <w:b w:val="0"/>
          <w:bCs w:val="0"/>
          <w:color w:val="000000"/>
          <w:sz w:val="24"/>
        </w:rPr>
        <w:t>3</w:t>
      </w:r>
      <w:r>
        <w:rPr>
          <w:rFonts w:hint="eastAsia" w:ascii="Times New Roman" w:hAnsi="Times New Roman"/>
          <w:b w:val="0"/>
          <w:bCs w:val="0"/>
          <w:color w:val="000000"/>
          <w:sz w:val="24"/>
          <w:lang w:val="en-US" w:eastAsia="zh-CN"/>
        </w:rPr>
        <w:t>)</w:t>
      </w:r>
      <w:r>
        <w:rPr>
          <w:rFonts w:hint="default" w:ascii="Times New Roman" w:hAnsi="Times New Roman"/>
          <w:b w:val="0"/>
          <w:bCs w:val="0"/>
          <w:color w:val="000000"/>
          <w:sz w:val="24"/>
        </w:rPr>
        <w:t xml:space="preserve">  表示允许稍有选择，在条件许可时，首先应这样做的：</w:t>
      </w:r>
      <w:bookmarkEnd w:id="120"/>
    </w:p>
    <w:p w14:paraId="51D7EF91">
      <w:pPr>
        <w:spacing w:line="360" w:lineRule="auto"/>
        <w:ind w:left="840" w:leftChars="400" w:firstLine="480" w:firstLineChars="200"/>
        <w:rPr>
          <w:rFonts w:hint="default" w:ascii="Times New Roman" w:hAnsi="Times New Roman"/>
          <w:b w:val="0"/>
          <w:bCs w:val="0"/>
          <w:color w:val="000000"/>
          <w:sz w:val="24"/>
        </w:rPr>
      </w:pPr>
      <w:r>
        <w:rPr>
          <w:rFonts w:hint="default" w:ascii="Times New Roman" w:hAnsi="Times New Roman"/>
          <w:b w:val="0"/>
          <w:bCs w:val="0"/>
          <w:color w:val="000000"/>
          <w:sz w:val="24"/>
        </w:rPr>
        <w:t>正面词采用“宜”，反面词采用“不宜”；</w:t>
      </w:r>
    </w:p>
    <w:p w14:paraId="45578EBD">
      <w:pPr>
        <w:spacing w:line="360" w:lineRule="auto"/>
        <w:ind w:left="420" w:leftChars="200" w:firstLine="480" w:firstLineChars="200"/>
        <w:rPr>
          <w:rFonts w:hint="default" w:ascii="Times New Roman" w:hAnsi="Times New Roman"/>
          <w:b w:val="0"/>
          <w:bCs w:val="0"/>
          <w:color w:val="000000"/>
          <w:sz w:val="24"/>
        </w:rPr>
      </w:pPr>
      <w:bookmarkStart w:id="121" w:name="_Toc5546"/>
      <w:r>
        <w:rPr>
          <w:rFonts w:hint="default" w:ascii="Times New Roman" w:hAnsi="Times New Roman"/>
          <w:b w:val="0"/>
          <w:bCs w:val="0"/>
          <w:color w:val="000000"/>
          <w:sz w:val="24"/>
        </w:rPr>
        <w:t>4</w:t>
      </w:r>
      <w:r>
        <w:rPr>
          <w:rFonts w:hint="eastAsia" w:ascii="Times New Roman" w:hAnsi="Times New Roman"/>
          <w:b w:val="0"/>
          <w:bCs w:val="0"/>
          <w:color w:val="000000"/>
          <w:sz w:val="24"/>
          <w:lang w:val="en-US" w:eastAsia="zh-CN"/>
        </w:rPr>
        <w:t>)</w:t>
      </w:r>
      <w:r>
        <w:rPr>
          <w:rFonts w:hint="default" w:ascii="Times New Roman" w:hAnsi="Times New Roman"/>
          <w:b w:val="0"/>
          <w:bCs w:val="0"/>
          <w:color w:val="000000"/>
          <w:sz w:val="24"/>
        </w:rPr>
        <w:t xml:space="preserve">  表示有选择，在一定条件下可以这样做的，采用“可”。</w:t>
      </w:r>
      <w:bookmarkEnd w:id="121"/>
    </w:p>
    <w:p w14:paraId="0841DD8F">
      <w:pPr>
        <w:spacing w:line="360" w:lineRule="auto"/>
        <w:ind w:firstLine="482" w:firstLineChars="200"/>
        <w:rPr>
          <w:rFonts w:hint="default" w:ascii="Times New Roman" w:hAnsi="Times New Roman"/>
          <w:b w:val="0"/>
          <w:bCs w:val="0"/>
          <w:color w:val="000000"/>
          <w:sz w:val="28"/>
        </w:rPr>
      </w:pPr>
      <w:r>
        <w:rPr>
          <w:rFonts w:hint="default" w:ascii="Times New Roman" w:hAnsi="Times New Roman"/>
          <w:b/>
          <w:bCs/>
          <w:color w:val="000000"/>
          <w:sz w:val="24"/>
        </w:rPr>
        <w:t>2</w:t>
      </w:r>
      <w:r>
        <w:rPr>
          <w:rFonts w:hint="default" w:ascii="Times New Roman" w:hAnsi="Times New Roman"/>
          <w:b w:val="0"/>
          <w:bCs w:val="0"/>
          <w:color w:val="000000"/>
          <w:sz w:val="24"/>
        </w:rPr>
        <w:t xml:space="preserve">  本标准中指明应按其他有关标准、规范执行的写法为“应符合……</w:t>
      </w:r>
      <w:r>
        <w:rPr>
          <w:rFonts w:hint="eastAsia" w:ascii="Times New Roman" w:hAnsi="Times New Roman"/>
          <w:b w:val="0"/>
          <w:bCs w:val="0"/>
          <w:color w:val="000000"/>
          <w:sz w:val="24"/>
          <w:lang w:val="en-US" w:eastAsia="zh-CN"/>
        </w:rPr>
        <w:t>的</w:t>
      </w:r>
      <w:r>
        <w:rPr>
          <w:rFonts w:hint="default" w:ascii="Times New Roman" w:hAnsi="Times New Roman"/>
          <w:b w:val="0"/>
          <w:bCs w:val="0"/>
          <w:color w:val="000000"/>
          <w:sz w:val="24"/>
        </w:rPr>
        <w:t>要求或规定”或“应按……执行”。</w:t>
      </w:r>
    </w:p>
    <w:p w14:paraId="63846CC7">
      <w:pPr>
        <w:widowControl w:val="0"/>
        <w:numPr>
          <w:ilvl w:val="0"/>
          <w:numId w:val="0"/>
        </w:numPr>
        <w:spacing w:line="360" w:lineRule="auto"/>
        <w:ind w:leftChars="0" w:firstLine="480" w:firstLineChars="200"/>
        <w:jc w:val="both"/>
        <w:rPr>
          <w:rFonts w:hint="eastAsia" w:ascii="Times New Roman" w:hAnsi="Times New Roman" w:eastAsia="宋体" w:cs="宋体"/>
          <w:b w:val="0"/>
          <w:bCs/>
          <w:color w:val="auto"/>
          <w:sz w:val="24"/>
          <w:szCs w:val="24"/>
          <w:lang w:val="en-US" w:eastAsia="zh-CN"/>
        </w:rPr>
      </w:pPr>
    </w:p>
    <w:p w14:paraId="149EFCC4">
      <w:pPr>
        <w:widowControl w:val="0"/>
        <w:numPr>
          <w:ilvl w:val="0"/>
          <w:numId w:val="0"/>
        </w:numPr>
        <w:spacing w:line="360" w:lineRule="auto"/>
        <w:ind w:leftChars="0" w:firstLine="480" w:firstLineChars="200"/>
        <w:jc w:val="both"/>
        <w:rPr>
          <w:rFonts w:hint="eastAsia" w:ascii="Times New Roman" w:hAnsi="Times New Roman" w:eastAsia="宋体" w:cs="宋体"/>
          <w:b w:val="0"/>
          <w:bCs/>
          <w:color w:val="auto"/>
          <w:sz w:val="24"/>
          <w:szCs w:val="24"/>
          <w:lang w:val="en-US" w:eastAsia="zh-CN"/>
        </w:rPr>
      </w:pPr>
    </w:p>
    <w:p w14:paraId="01218F93">
      <w:pPr>
        <w:widowControl w:val="0"/>
        <w:numPr>
          <w:ilvl w:val="0"/>
          <w:numId w:val="0"/>
        </w:numPr>
        <w:spacing w:line="360" w:lineRule="auto"/>
        <w:ind w:leftChars="0" w:firstLine="480" w:firstLineChars="200"/>
        <w:jc w:val="both"/>
        <w:rPr>
          <w:rFonts w:hint="eastAsia" w:ascii="Times New Roman" w:hAnsi="Times New Roman" w:eastAsia="宋体" w:cs="宋体"/>
          <w:b w:val="0"/>
          <w:bCs/>
          <w:color w:val="auto"/>
          <w:sz w:val="24"/>
          <w:szCs w:val="24"/>
          <w:lang w:val="en-US" w:eastAsia="zh-CN"/>
        </w:rPr>
      </w:pPr>
    </w:p>
    <w:p w14:paraId="48290927">
      <w:pPr>
        <w:widowControl w:val="0"/>
        <w:numPr>
          <w:ilvl w:val="0"/>
          <w:numId w:val="0"/>
        </w:numPr>
        <w:spacing w:line="360" w:lineRule="auto"/>
        <w:ind w:leftChars="0" w:firstLine="480" w:firstLineChars="200"/>
        <w:jc w:val="both"/>
        <w:rPr>
          <w:rFonts w:hint="eastAsia" w:ascii="Times New Roman" w:hAnsi="Times New Roman" w:eastAsia="宋体" w:cs="宋体"/>
          <w:b w:val="0"/>
          <w:bCs/>
          <w:color w:val="auto"/>
          <w:sz w:val="24"/>
          <w:szCs w:val="24"/>
          <w:lang w:val="en-US" w:eastAsia="zh-CN"/>
        </w:rPr>
      </w:pPr>
    </w:p>
    <w:p w14:paraId="6E7C08E2">
      <w:pPr>
        <w:widowControl w:val="0"/>
        <w:numPr>
          <w:ilvl w:val="0"/>
          <w:numId w:val="0"/>
        </w:numPr>
        <w:spacing w:line="360" w:lineRule="auto"/>
        <w:ind w:leftChars="0" w:firstLine="480" w:firstLineChars="200"/>
        <w:jc w:val="both"/>
        <w:rPr>
          <w:rFonts w:hint="eastAsia" w:ascii="Times New Roman" w:hAnsi="Times New Roman" w:eastAsia="宋体" w:cs="宋体"/>
          <w:b w:val="0"/>
          <w:bCs/>
          <w:color w:val="auto"/>
          <w:sz w:val="24"/>
          <w:szCs w:val="24"/>
          <w:lang w:val="en-US" w:eastAsia="zh-CN"/>
        </w:rPr>
      </w:pPr>
    </w:p>
    <w:p w14:paraId="0D26E982">
      <w:pPr>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br w:type="page"/>
      </w:r>
    </w:p>
    <w:p w14:paraId="2E313980">
      <w:pPr>
        <w:pStyle w:val="2"/>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122" w:name="_Toc15738"/>
      <w:bookmarkStart w:id="123" w:name="_Toc11772"/>
      <w:bookmarkStart w:id="124" w:name="_Toc13485"/>
      <w:r>
        <w:rPr>
          <w:rFonts w:hint="eastAsia" w:ascii="Times New Roman" w:hAnsi="Times New Roman" w:eastAsia="宋体" w:cs="宋体"/>
          <w:color w:val="000000" w:themeColor="text1"/>
          <w:sz w:val="32"/>
          <w:szCs w:val="32"/>
          <w:lang w:val="en-US" w:eastAsia="zh-CN"/>
          <w14:textFill>
            <w14:solidFill>
              <w14:schemeClr w14:val="tx1"/>
            </w14:solidFill>
          </w14:textFill>
        </w:rPr>
        <w:t>引用标准名录</w:t>
      </w:r>
      <w:bookmarkEnd w:id="122"/>
      <w:bookmarkEnd w:id="123"/>
      <w:bookmarkEnd w:id="124"/>
    </w:p>
    <w:p w14:paraId="29D618F8">
      <w:pPr>
        <w:numPr>
          <w:ilvl w:val="0"/>
          <w:numId w:val="0"/>
        </w:num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《城乡排水工程项目规范》GB 55027</w:t>
      </w:r>
    </w:p>
    <w:p w14:paraId="1712BA25">
      <w:pPr>
        <w:numPr>
          <w:ilvl w:val="0"/>
          <w:numId w:val="0"/>
        </w:num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《城镇内涝防治技术规范》GB 51222</w:t>
      </w:r>
    </w:p>
    <w:p w14:paraId="043D1A39">
      <w:pPr>
        <w:widowControl w:val="0"/>
        <w:numPr>
          <w:ilvl w:val="0"/>
          <w:numId w:val="0"/>
        </w:numPr>
        <w:spacing w:line="360" w:lineRule="auto"/>
        <w:ind w:leftChars="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《室外排水设计标准》GB 50014</w:t>
      </w:r>
    </w:p>
    <w:p w14:paraId="2FAB833A">
      <w:pPr>
        <w:widowControl w:val="0"/>
        <w:numPr>
          <w:ilvl w:val="0"/>
          <w:numId w:val="0"/>
        </w:numPr>
        <w:spacing w:line="360" w:lineRule="auto"/>
        <w:ind w:leftChars="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《城镇雨水调蓄工程技术规范》GB 51174</w:t>
      </w:r>
    </w:p>
    <w:p w14:paraId="1B482884">
      <w:pPr>
        <w:numPr>
          <w:ilvl w:val="0"/>
          <w:numId w:val="0"/>
        </w:num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《地铁设计规范》GB 50157</w:t>
      </w:r>
    </w:p>
    <w:p w14:paraId="6AEA1FB3">
      <w:pPr>
        <w:widowControl w:val="0"/>
        <w:numPr>
          <w:ilvl w:val="0"/>
          <w:numId w:val="0"/>
        </w:numPr>
        <w:spacing w:line="360" w:lineRule="auto"/>
        <w:ind w:leftChars="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《城市轨道交通给水排水系统技术标准》GB/T 51293</w:t>
      </w:r>
    </w:p>
    <w:p w14:paraId="788F48E1">
      <w:pPr>
        <w:widowControl w:val="0"/>
        <w:numPr>
          <w:ilvl w:val="0"/>
          <w:numId w:val="0"/>
        </w:numPr>
        <w:spacing w:line="360" w:lineRule="auto"/>
        <w:ind w:leftChars="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《泵站设计标准》GB 50265</w:t>
      </w:r>
    </w:p>
    <w:p w14:paraId="02735A1D">
      <w:pPr>
        <w:widowControl w:val="0"/>
        <w:numPr>
          <w:ilvl w:val="0"/>
          <w:numId w:val="0"/>
        </w:numPr>
        <w:spacing w:line="360" w:lineRule="auto"/>
        <w:ind w:leftChars="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《城市内涝风险普查技术规范》GB/T 39195</w:t>
      </w:r>
    </w:p>
    <w:p w14:paraId="4262691D">
      <w:pPr>
        <w:widowControl w:val="0"/>
        <w:numPr>
          <w:ilvl w:val="0"/>
          <w:numId w:val="0"/>
        </w:numPr>
        <w:spacing w:line="360" w:lineRule="auto"/>
        <w:ind w:leftChars="0"/>
        <w:jc w:val="both"/>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《水文情报预报规范》GB/T 22482</w:t>
      </w:r>
    </w:p>
    <w:p w14:paraId="0F6EA7C2">
      <w:pPr>
        <w:widowControl w:val="0"/>
        <w:numPr>
          <w:ilvl w:val="0"/>
          <w:numId w:val="0"/>
        </w:numPr>
        <w:spacing w:line="360" w:lineRule="auto"/>
        <w:ind w:leftChars="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《城镇排水管渠与泵站运行、维护及安全技术规程》CJJ 68</w:t>
      </w:r>
    </w:p>
    <w:p w14:paraId="1F4E3417">
      <w:pPr>
        <w:widowControl w:val="0"/>
        <w:numPr>
          <w:ilvl w:val="0"/>
          <w:numId w:val="0"/>
        </w:numPr>
        <w:spacing w:line="360" w:lineRule="auto"/>
        <w:ind w:leftChars="0"/>
        <w:jc w:val="both"/>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《城镇内涝防治系统数学模型构建和应用规程》T/CECS 647</w:t>
      </w:r>
    </w:p>
    <w:p w14:paraId="6A0DD682">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《智慧排水建设技术规范》DBJ/T 15-212</w:t>
      </w:r>
    </w:p>
    <w:p w14:paraId="43EDC21E">
      <w:pPr>
        <w:spacing w:line="360" w:lineRule="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val="0"/>
          <w:bCs/>
          <w:color w:val="auto"/>
          <w:sz w:val="24"/>
          <w:szCs w:val="24"/>
          <w:highlight w:val="none"/>
          <w:lang w:val="en-US" w:eastAsia="zh-CN"/>
        </w:rPr>
        <w:t>《海绵城市建设技术规程》DBJ/T 15-261</w:t>
      </w:r>
    </w:p>
    <w:p w14:paraId="1E73FF2F">
      <w:pPr>
        <w:jc w:val="center"/>
        <w:outlineLvl w:val="9"/>
        <w:rPr>
          <w:rFonts w:hint="eastAsia" w:eastAsia="黑体"/>
          <w:sz w:val="48"/>
          <w:szCs w:val="48"/>
          <w:lang w:val="en-US" w:eastAsia="zh-CN"/>
        </w:rPr>
      </w:pPr>
    </w:p>
    <w:p w14:paraId="42096D19">
      <w:pPr>
        <w:widowControl w:val="0"/>
        <w:numPr>
          <w:ilvl w:val="0"/>
          <w:numId w:val="0"/>
        </w:numPr>
        <w:spacing w:line="360" w:lineRule="auto"/>
        <w:ind w:leftChars="0"/>
        <w:jc w:val="both"/>
        <w:rPr>
          <w:rFonts w:hint="default" w:ascii="Times New Roman" w:hAnsi="Times New Roman" w:eastAsia="宋体" w:cs="宋体"/>
          <w:b w:val="0"/>
          <w:bCs/>
          <w:color w:val="FF0000"/>
          <w:sz w:val="24"/>
          <w:szCs w:val="24"/>
          <w:highlight w:val="yellow"/>
          <w:lang w:val="en-US" w:eastAsia="zh-CN"/>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D3E0447">
      <w:pPr>
        <w:jc w:val="center"/>
        <w:outlineLvl w:val="9"/>
        <w:rPr>
          <w:rFonts w:hint="eastAsia" w:eastAsia="黑体"/>
          <w:sz w:val="48"/>
          <w:szCs w:val="48"/>
          <w:lang w:val="en-US" w:eastAsia="zh-CN"/>
        </w:rPr>
      </w:pPr>
    </w:p>
    <w:p w14:paraId="698AD682">
      <w:pPr>
        <w:jc w:val="center"/>
        <w:outlineLvl w:val="9"/>
        <w:rPr>
          <w:rFonts w:hint="eastAsia" w:eastAsia="黑体"/>
          <w:sz w:val="48"/>
          <w:szCs w:val="48"/>
          <w:lang w:val="en-US" w:eastAsia="zh-CN"/>
        </w:rPr>
      </w:pPr>
      <w:bookmarkStart w:id="125" w:name="_Toc22539"/>
      <w:bookmarkStart w:id="126" w:name="_Toc12875"/>
      <w:bookmarkStart w:id="127" w:name="_Toc16549"/>
      <w:r>
        <w:rPr>
          <w:rFonts w:hint="eastAsia" w:eastAsia="黑体"/>
          <w:sz w:val="48"/>
          <w:szCs w:val="48"/>
          <w:lang w:val="en-US" w:eastAsia="zh-CN"/>
        </w:rPr>
        <w:t>广东省标准</w:t>
      </w:r>
      <w:bookmarkEnd w:id="125"/>
      <w:bookmarkEnd w:id="126"/>
      <w:bookmarkEnd w:id="127"/>
    </w:p>
    <w:p w14:paraId="601BF4C1">
      <w:pPr>
        <w:jc w:val="center"/>
        <w:outlineLvl w:val="9"/>
        <w:rPr>
          <w:rFonts w:hint="eastAsia" w:eastAsia="黑体"/>
          <w:sz w:val="48"/>
          <w:szCs w:val="48"/>
          <w:lang w:val="en-US" w:eastAsia="zh-CN"/>
        </w:rPr>
      </w:pPr>
    </w:p>
    <w:p w14:paraId="5C3E634A">
      <w:pPr>
        <w:jc w:val="center"/>
        <w:outlineLvl w:val="9"/>
        <w:rPr>
          <w:rFonts w:ascii="宋体" w:hAnsi="宋体"/>
          <w:b/>
          <w:sz w:val="48"/>
          <w:szCs w:val="48"/>
        </w:rPr>
      </w:pPr>
      <w:bookmarkStart w:id="128" w:name="_Toc19121"/>
      <w:bookmarkStart w:id="129" w:name="_Toc9905"/>
      <w:bookmarkStart w:id="130" w:name="_Toc6153"/>
      <w:r>
        <w:rPr>
          <w:rFonts w:hint="eastAsia" w:ascii="Times New Roman" w:hAnsi="Times New Roman" w:eastAsia="宋体" w:cs="宋体"/>
          <w:b/>
          <w:bCs/>
          <w:kern w:val="0"/>
          <w:sz w:val="48"/>
          <w:szCs w:val="48"/>
          <w:highlight w:val="none"/>
        </w:rPr>
        <w:t>城镇内涝风险评估与治理技术标准</w:t>
      </w:r>
      <w:bookmarkEnd w:id="128"/>
      <w:bookmarkEnd w:id="129"/>
      <w:bookmarkEnd w:id="130"/>
    </w:p>
    <w:p w14:paraId="00E99B3D"/>
    <w:p w14:paraId="6E98320D">
      <w:pPr>
        <w:jc w:val="center"/>
        <w:rPr>
          <w:rFonts w:hint="default" w:eastAsiaTheme="minorEastAsia"/>
          <w:b/>
          <w:sz w:val="28"/>
          <w:szCs w:val="28"/>
          <w:lang w:val="en-US" w:eastAsia="zh-CN"/>
        </w:rPr>
      </w:pPr>
      <w:r>
        <w:rPr>
          <w:rFonts w:hint="eastAsia"/>
          <w:b/>
          <w:sz w:val="28"/>
          <w:szCs w:val="28"/>
          <w:lang w:val="en-US" w:eastAsia="zh-CN"/>
        </w:rPr>
        <w:t>DBJ/T 15-XXX-202X</w:t>
      </w:r>
    </w:p>
    <w:p w14:paraId="0398B44C">
      <w:pPr>
        <w:jc w:val="center"/>
        <w:rPr>
          <w:b/>
          <w:color w:val="000000"/>
          <w:sz w:val="36"/>
          <w:szCs w:val="36"/>
        </w:rPr>
      </w:pPr>
      <w:r>
        <w:rPr>
          <w:rFonts w:hint="eastAsia"/>
          <w:b/>
          <w:color w:val="000000"/>
          <w:sz w:val="36"/>
          <w:szCs w:val="36"/>
          <w:lang w:val="en-US" w:eastAsia="zh-CN"/>
        </w:rPr>
        <w:t>条 文 说 明</w:t>
      </w:r>
    </w:p>
    <w:p w14:paraId="7F909853"/>
    <w:p w14:paraId="56EE0C91"/>
    <w:p w14:paraId="329585D3"/>
    <w:p w14:paraId="1D050F89"/>
    <w:p w14:paraId="76C14BF7"/>
    <w:p w14:paraId="679CF1E5"/>
    <w:p w14:paraId="7004FE9B"/>
    <w:p w14:paraId="7AAC4F82"/>
    <w:p w14:paraId="123BC982">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4F533C18">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2E73F797">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12D13C6E">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582BB876">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0829A01E">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3945E388">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0C58A6F4">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76005278">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08F16D97">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5F62DFA9">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6E6D527D">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2CE79097">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6DB59FC4">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5529B7DC">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1AC559A3">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15BFAA87">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14:paraId="62241A26">
      <w:pPr>
        <w:numPr>
          <w:ilvl w:val="0"/>
          <w:numId w:val="0"/>
        </w:numPr>
        <w:spacing w:line="360" w:lineRule="auto"/>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r>
        <w:rPr>
          <w:rFonts w:hint="eastAsia" w:ascii="Times New Roman" w:hAnsi="Times New Roman" w:eastAsia="宋体" w:cs="宋体"/>
          <w:color w:val="000000" w:themeColor="text1"/>
          <w:sz w:val="32"/>
          <w:szCs w:val="32"/>
          <w:lang w:val="en-US" w:eastAsia="zh-CN"/>
          <w14:textFill>
            <w14:solidFill>
              <w14:schemeClr w14:val="tx1"/>
            </w14:solidFill>
          </w14:textFill>
        </w:rPr>
        <w:t>制定说明</w:t>
      </w:r>
    </w:p>
    <w:p w14:paraId="26BCD300">
      <w:pPr>
        <w:numPr>
          <w:ilvl w:val="0"/>
          <w:numId w:val="0"/>
        </w:num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《城镇内涝风险评估与治理技术标准》DBJ/T 15-XXX-202X，经广东省住房和城乡建设厅202X年XX月XX日以第XX号公告批准发布。</w:t>
      </w:r>
    </w:p>
    <w:p w14:paraId="2314F569">
      <w:pPr>
        <w:numPr>
          <w:ilvl w:val="0"/>
          <w:numId w:val="0"/>
        </w:num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本标准在制定过程中，编制组进行了深入调查研究，总结实践经验，认真分析了有关资料和数据，参考了有关国家、行业标准，在广泛征求意见的基础上，最后经审查定稿形成了本标准。</w:t>
      </w:r>
    </w:p>
    <w:p w14:paraId="64FA1241">
      <w:pPr>
        <w:numPr>
          <w:ilvl w:val="0"/>
          <w:numId w:val="0"/>
        </w:num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为便于广大规划、设计、施工、科研、学校和管理等有关单位人员在使用本标准时能正确理解和执行条文规定，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0903EBA6">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bookmarkStart w:id="131" w:name="_Toc10829"/>
      <w:bookmarkStart w:id="132" w:name="_Toc29651"/>
      <w:bookmarkStart w:id="133" w:name="_Toc24813"/>
      <w:bookmarkStart w:id="134" w:name="_Toc32390"/>
    </w:p>
    <w:p w14:paraId="618DB3AD">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6AF37BDD">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283E7126">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0471AA8A">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237C9CEB">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23D7ADE8">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430FBD90">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3505E625">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5F7426F2">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1B494CC1">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14:paraId="3484B6B5">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宋体"/>
          <w:color w:val="000000" w:themeColor="text1"/>
          <w:sz w:val="32"/>
          <w:szCs w:val="32"/>
          <w:highlight w:val="none"/>
          <w:lang w:val="en-US" w:eastAsia="zh-CN"/>
          <w14:textFill>
            <w14:solidFill>
              <w14:schemeClr w14:val="tx1"/>
            </w14:solidFill>
          </w14:textFill>
        </w:rPr>
      </w:pPr>
      <w:bookmarkStart w:id="135" w:name="_Toc23104"/>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目  次</w:t>
      </w:r>
      <w:bookmarkEnd w:id="135"/>
    </w:p>
    <w:p w14:paraId="5947654A">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TOC \o "1-3" \h \z \u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_Toc23104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目  次</w:t>
      </w:r>
      <w:r>
        <w:rPr>
          <w:sz w:val="28"/>
          <w:szCs w:val="28"/>
        </w:rPr>
        <w:tab/>
      </w:r>
      <w:r>
        <w:rPr>
          <w:sz w:val="28"/>
          <w:szCs w:val="28"/>
        </w:rPr>
        <w:fldChar w:fldCharType="begin"/>
      </w:r>
      <w:r>
        <w:rPr>
          <w:sz w:val="28"/>
          <w:szCs w:val="28"/>
        </w:rPr>
        <w:instrText xml:space="preserve"> PAGEREF _Toc23104 \h </w:instrText>
      </w:r>
      <w:r>
        <w:rPr>
          <w:sz w:val="28"/>
          <w:szCs w:val="28"/>
        </w:rPr>
        <w:fldChar w:fldCharType="separate"/>
      </w:r>
      <w:r>
        <w:rPr>
          <w:sz w:val="28"/>
          <w:szCs w:val="28"/>
        </w:rPr>
        <w:t>32</w:t>
      </w:r>
      <w:r>
        <w:rPr>
          <w:sz w:val="28"/>
          <w:szCs w:val="28"/>
        </w:rPr>
        <w:fldChar w:fldCharType="end"/>
      </w:r>
      <w:r>
        <w:rPr>
          <w:rFonts w:hint="default" w:ascii="Times New Roman" w:hAnsi="Times New Roman" w:eastAsia="宋体" w:cs="Times New Roman"/>
          <w:sz w:val="28"/>
          <w:szCs w:val="28"/>
        </w:rPr>
        <w:fldChar w:fldCharType="end"/>
      </w:r>
    </w:p>
    <w:p w14:paraId="380010E4">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_Toc24506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1 总  则</w:t>
      </w:r>
      <w:r>
        <w:rPr>
          <w:sz w:val="28"/>
          <w:szCs w:val="28"/>
        </w:rPr>
        <w:tab/>
      </w:r>
      <w:r>
        <w:rPr>
          <w:sz w:val="28"/>
          <w:szCs w:val="28"/>
        </w:rPr>
        <w:fldChar w:fldCharType="begin"/>
      </w:r>
      <w:r>
        <w:rPr>
          <w:sz w:val="28"/>
          <w:szCs w:val="28"/>
        </w:rPr>
        <w:instrText xml:space="preserve"> PAGEREF _Toc24506 \h </w:instrText>
      </w:r>
      <w:r>
        <w:rPr>
          <w:sz w:val="28"/>
          <w:szCs w:val="28"/>
        </w:rPr>
        <w:fldChar w:fldCharType="separate"/>
      </w:r>
      <w:r>
        <w:rPr>
          <w:sz w:val="28"/>
          <w:szCs w:val="28"/>
        </w:rPr>
        <w:t>33</w:t>
      </w:r>
      <w:r>
        <w:rPr>
          <w:sz w:val="28"/>
          <w:szCs w:val="28"/>
        </w:rPr>
        <w:fldChar w:fldCharType="end"/>
      </w:r>
      <w:r>
        <w:rPr>
          <w:rFonts w:hint="default" w:ascii="Times New Roman" w:hAnsi="Times New Roman" w:eastAsia="宋体" w:cs="Times New Roman"/>
          <w:sz w:val="28"/>
          <w:szCs w:val="28"/>
        </w:rPr>
        <w:fldChar w:fldCharType="end"/>
      </w:r>
    </w:p>
    <w:p w14:paraId="3589BA5B">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_Toc27243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2 条文说明</w:t>
      </w:r>
      <w:r>
        <w:rPr>
          <w:sz w:val="28"/>
          <w:szCs w:val="28"/>
        </w:rPr>
        <w:tab/>
      </w:r>
      <w:r>
        <w:rPr>
          <w:sz w:val="28"/>
          <w:szCs w:val="28"/>
        </w:rPr>
        <w:fldChar w:fldCharType="begin"/>
      </w:r>
      <w:r>
        <w:rPr>
          <w:sz w:val="28"/>
          <w:szCs w:val="28"/>
        </w:rPr>
        <w:instrText xml:space="preserve"> PAGEREF _Toc27243 \h </w:instrText>
      </w:r>
      <w:r>
        <w:rPr>
          <w:sz w:val="28"/>
          <w:szCs w:val="28"/>
        </w:rPr>
        <w:fldChar w:fldCharType="separate"/>
      </w:r>
      <w:r>
        <w:rPr>
          <w:sz w:val="28"/>
          <w:szCs w:val="28"/>
        </w:rPr>
        <w:t>34</w:t>
      </w:r>
      <w:r>
        <w:rPr>
          <w:sz w:val="28"/>
          <w:szCs w:val="28"/>
        </w:rPr>
        <w:fldChar w:fldCharType="end"/>
      </w:r>
      <w:r>
        <w:rPr>
          <w:rFonts w:hint="default" w:ascii="Times New Roman" w:hAnsi="Times New Roman" w:eastAsia="宋体" w:cs="Times New Roman"/>
          <w:sz w:val="28"/>
          <w:szCs w:val="28"/>
        </w:rPr>
        <w:fldChar w:fldCharType="end"/>
      </w:r>
    </w:p>
    <w:p w14:paraId="4728DD8D">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_Toc2858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rPr>
        <w:t>3 基本规定</w:t>
      </w:r>
      <w:r>
        <w:rPr>
          <w:sz w:val="28"/>
          <w:szCs w:val="28"/>
        </w:rPr>
        <w:tab/>
      </w:r>
      <w:r>
        <w:rPr>
          <w:sz w:val="28"/>
          <w:szCs w:val="28"/>
        </w:rPr>
        <w:fldChar w:fldCharType="begin"/>
      </w:r>
      <w:r>
        <w:rPr>
          <w:sz w:val="28"/>
          <w:szCs w:val="28"/>
        </w:rPr>
        <w:instrText xml:space="preserve"> PAGEREF _Toc2858 \h </w:instrText>
      </w:r>
      <w:r>
        <w:rPr>
          <w:sz w:val="28"/>
          <w:szCs w:val="28"/>
        </w:rPr>
        <w:fldChar w:fldCharType="separate"/>
      </w:r>
      <w:r>
        <w:rPr>
          <w:sz w:val="28"/>
          <w:szCs w:val="28"/>
        </w:rPr>
        <w:t>35</w:t>
      </w:r>
      <w:r>
        <w:rPr>
          <w:sz w:val="28"/>
          <w:szCs w:val="28"/>
        </w:rPr>
        <w:fldChar w:fldCharType="end"/>
      </w:r>
      <w:r>
        <w:rPr>
          <w:rFonts w:hint="default" w:ascii="Times New Roman" w:hAnsi="Times New Roman" w:eastAsia="宋体" w:cs="Times New Roman"/>
          <w:sz w:val="28"/>
          <w:szCs w:val="28"/>
        </w:rPr>
        <w:fldChar w:fldCharType="end"/>
      </w:r>
    </w:p>
    <w:p w14:paraId="37DA36B2">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_Toc28643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3</w:t>
      </w:r>
      <w:r>
        <w:rPr>
          <w:rFonts w:hint="eastAsia" w:ascii="Times New Roman" w:hAnsi="Times New Roman" w:eastAsia="宋体" w:cs="宋体"/>
          <w:sz w:val="28"/>
          <w:szCs w:val="28"/>
        </w:rPr>
        <w:t>.1</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一般规定</w:t>
      </w:r>
      <w:r>
        <w:rPr>
          <w:sz w:val="28"/>
          <w:szCs w:val="28"/>
        </w:rPr>
        <w:tab/>
      </w:r>
      <w:r>
        <w:rPr>
          <w:sz w:val="28"/>
          <w:szCs w:val="28"/>
        </w:rPr>
        <w:fldChar w:fldCharType="begin"/>
      </w:r>
      <w:r>
        <w:rPr>
          <w:sz w:val="28"/>
          <w:szCs w:val="28"/>
        </w:rPr>
        <w:instrText xml:space="preserve"> PAGEREF _Toc28643 \h </w:instrText>
      </w:r>
      <w:r>
        <w:rPr>
          <w:sz w:val="28"/>
          <w:szCs w:val="28"/>
        </w:rPr>
        <w:fldChar w:fldCharType="separate"/>
      </w:r>
      <w:r>
        <w:rPr>
          <w:sz w:val="28"/>
          <w:szCs w:val="28"/>
        </w:rPr>
        <w:t>35</w:t>
      </w:r>
      <w:r>
        <w:rPr>
          <w:sz w:val="28"/>
          <w:szCs w:val="28"/>
        </w:rPr>
        <w:fldChar w:fldCharType="end"/>
      </w:r>
      <w:r>
        <w:rPr>
          <w:rFonts w:hint="default" w:ascii="Times New Roman" w:hAnsi="Times New Roman" w:eastAsia="宋体" w:cs="Times New Roman"/>
          <w:sz w:val="28"/>
          <w:szCs w:val="28"/>
        </w:rPr>
        <w:fldChar w:fldCharType="end"/>
      </w:r>
    </w:p>
    <w:p w14:paraId="26CDFE36">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_Toc4235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3</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eastAsia="zh-CN"/>
        </w:rPr>
        <w:t>2 工作程序</w:t>
      </w:r>
      <w:r>
        <w:rPr>
          <w:sz w:val="28"/>
          <w:szCs w:val="28"/>
        </w:rPr>
        <w:tab/>
      </w:r>
      <w:r>
        <w:rPr>
          <w:sz w:val="28"/>
          <w:szCs w:val="28"/>
        </w:rPr>
        <w:fldChar w:fldCharType="begin"/>
      </w:r>
      <w:r>
        <w:rPr>
          <w:sz w:val="28"/>
          <w:szCs w:val="28"/>
        </w:rPr>
        <w:instrText xml:space="preserve"> PAGEREF _Toc4235 \h </w:instrText>
      </w:r>
      <w:r>
        <w:rPr>
          <w:sz w:val="28"/>
          <w:szCs w:val="28"/>
        </w:rPr>
        <w:fldChar w:fldCharType="separate"/>
      </w:r>
      <w:r>
        <w:rPr>
          <w:sz w:val="28"/>
          <w:szCs w:val="28"/>
        </w:rPr>
        <w:t>38</w:t>
      </w:r>
      <w:r>
        <w:rPr>
          <w:sz w:val="28"/>
          <w:szCs w:val="28"/>
        </w:rPr>
        <w:fldChar w:fldCharType="end"/>
      </w:r>
      <w:r>
        <w:rPr>
          <w:rFonts w:hint="default" w:ascii="Times New Roman" w:hAnsi="Times New Roman" w:eastAsia="宋体" w:cs="Times New Roman"/>
          <w:sz w:val="28"/>
          <w:szCs w:val="28"/>
        </w:rPr>
        <w:fldChar w:fldCharType="end"/>
      </w:r>
    </w:p>
    <w:p w14:paraId="1ADF16B9">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_Toc5905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3.3 设计流量计算</w:t>
      </w:r>
      <w:r>
        <w:rPr>
          <w:sz w:val="28"/>
          <w:szCs w:val="28"/>
        </w:rPr>
        <w:tab/>
      </w:r>
      <w:r>
        <w:rPr>
          <w:sz w:val="28"/>
          <w:szCs w:val="28"/>
        </w:rPr>
        <w:fldChar w:fldCharType="begin"/>
      </w:r>
      <w:r>
        <w:rPr>
          <w:sz w:val="28"/>
          <w:szCs w:val="28"/>
        </w:rPr>
        <w:instrText xml:space="preserve"> PAGEREF _Toc5905 \h </w:instrText>
      </w:r>
      <w:r>
        <w:rPr>
          <w:sz w:val="28"/>
          <w:szCs w:val="28"/>
        </w:rPr>
        <w:fldChar w:fldCharType="separate"/>
      </w:r>
      <w:r>
        <w:rPr>
          <w:sz w:val="28"/>
          <w:szCs w:val="28"/>
        </w:rPr>
        <w:t>40</w:t>
      </w:r>
      <w:r>
        <w:rPr>
          <w:sz w:val="28"/>
          <w:szCs w:val="28"/>
        </w:rPr>
        <w:fldChar w:fldCharType="end"/>
      </w:r>
      <w:r>
        <w:rPr>
          <w:rFonts w:hint="default" w:ascii="Times New Roman" w:hAnsi="Times New Roman" w:eastAsia="宋体" w:cs="Times New Roman"/>
          <w:sz w:val="28"/>
          <w:szCs w:val="28"/>
        </w:rPr>
        <w:fldChar w:fldCharType="end"/>
      </w:r>
    </w:p>
    <w:p w14:paraId="4DB745B0">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_Toc2866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4 内涝风险评估</w:t>
      </w:r>
      <w:r>
        <w:rPr>
          <w:sz w:val="28"/>
          <w:szCs w:val="28"/>
        </w:rPr>
        <w:tab/>
      </w:r>
      <w:r>
        <w:rPr>
          <w:sz w:val="28"/>
          <w:szCs w:val="28"/>
        </w:rPr>
        <w:fldChar w:fldCharType="begin"/>
      </w:r>
      <w:r>
        <w:rPr>
          <w:sz w:val="28"/>
          <w:szCs w:val="28"/>
        </w:rPr>
        <w:instrText xml:space="preserve"> PAGEREF _Toc2866 \h </w:instrText>
      </w:r>
      <w:r>
        <w:rPr>
          <w:sz w:val="28"/>
          <w:szCs w:val="28"/>
        </w:rPr>
        <w:fldChar w:fldCharType="separate"/>
      </w:r>
      <w:r>
        <w:rPr>
          <w:sz w:val="28"/>
          <w:szCs w:val="28"/>
        </w:rPr>
        <w:t>42</w:t>
      </w:r>
      <w:r>
        <w:rPr>
          <w:sz w:val="28"/>
          <w:szCs w:val="28"/>
        </w:rPr>
        <w:fldChar w:fldCharType="end"/>
      </w:r>
      <w:r>
        <w:rPr>
          <w:rFonts w:hint="default" w:ascii="Times New Roman" w:hAnsi="Times New Roman" w:eastAsia="宋体" w:cs="Times New Roman"/>
          <w:sz w:val="28"/>
          <w:szCs w:val="28"/>
        </w:rPr>
        <w:fldChar w:fldCharType="end"/>
      </w:r>
    </w:p>
    <w:p w14:paraId="7C830823">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_Toc5153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.1</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一般规定</w:t>
      </w:r>
      <w:r>
        <w:rPr>
          <w:sz w:val="28"/>
          <w:szCs w:val="28"/>
        </w:rPr>
        <w:tab/>
      </w:r>
      <w:r>
        <w:rPr>
          <w:sz w:val="28"/>
          <w:szCs w:val="28"/>
        </w:rPr>
        <w:fldChar w:fldCharType="begin"/>
      </w:r>
      <w:r>
        <w:rPr>
          <w:sz w:val="28"/>
          <w:szCs w:val="28"/>
        </w:rPr>
        <w:instrText xml:space="preserve"> PAGEREF _Toc5153 \h </w:instrText>
      </w:r>
      <w:r>
        <w:rPr>
          <w:sz w:val="28"/>
          <w:szCs w:val="28"/>
        </w:rPr>
        <w:fldChar w:fldCharType="separate"/>
      </w:r>
      <w:r>
        <w:rPr>
          <w:sz w:val="28"/>
          <w:szCs w:val="28"/>
        </w:rPr>
        <w:t>42</w:t>
      </w:r>
      <w:r>
        <w:rPr>
          <w:sz w:val="28"/>
          <w:szCs w:val="28"/>
        </w:rPr>
        <w:fldChar w:fldCharType="end"/>
      </w:r>
      <w:r>
        <w:rPr>
          <w:rFonts w:hint="default" w:ascii="Times New Roman" w:hAnsi="Times New Roman" w:eastAsia="宋体" w:cs="Times New Roman"/>
          <w:sz w:val="28"/>
          <w:szCs w:val="28"/>
        </w:rPr>
        <w:fldChar w:fldCharType="end"/>
      </w:r>
      <w:bookmarkStart w:id="238" w:name="_GoBack"/>
      <w:bookmarkEnd w:id="238"/>
    </w:p>
    <w:p w14:paraId="243BFD4C">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_Toc5133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eastAsia="zh-CN"/>
        </w:rPr>
        <w:t>2 评估方法</w:t>
      </w:r>
      <w:r>
        <w:rPr>
          <w:sz w:val="28"/>
          <w:szCs w:val="28"/>
        </w:rPr>
        <w:tab/>
      </w:r>
      <w:r>
        <w:rPr>
          <w:sz w:val="28"/>
          <w:szCs w:val="28"/>
        </w:rPr>
        <w:fldChar w:fldCharType="begin"/>
      </w:r>
      <w:r>
        <w:rPr>
          <w:sz w:val="28"/>
          <w:szCs w:val="28"/>
        </w:rPr>
        <w:instrText xml:space="preserve"> PAGEREF _Toc5133 \h </w:instrText>
      </w:r>
      <w:r>
        <w:rPr>
          <w:sz w:val="28"/>
          <w:szCs w:val="28"/>
        </w:rPr>
        <w:fldChar w:fldCharType="separate"/>
      </w:r>
      <w:r>
        <w:rPr>
          <w:sz w:val="28"/>
          <w:szCs w:val="28"/>
        </w:rPr>
        <w:t>43</w:t>
      </w:r>
      <w:r>
        <w:rPr>
          <w:sz w:val="28"/>
          <w:szCs w:val="28"/>
        </w:rPr>
        <w:fldChar w:fldCharType="end"/>
      </w:r>
      <w:r>
        <w:rPr>
          <w:rFonts w:hint="default" w:ascii="Times New Roman" w:hAnsi="Times New Roman" w:eastAsia="宋体" w:cs="Times New Roman"/>
          <w:sz w:val="28"/>
          <w:szCs w:val="28"/>
        </w:rPr>
        <w:fldChar w:fldCharType="end"/>
      </w:r>
    </w:p>
    <w:p w14:paraId="4C0D87E2">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_Toc9235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eastAsia="zh-CN"/>
        </w:rPr>
        <w:t>3 技术状况评定</w:t>
      </w:r>
      <w:r>
        <w:rPr>
          <w:sz w:val="28"/>
          <w:szCs w:val="28"/>
        </w:rPr>
        <w:tab/>
      </w:r>
      <w:r>
        <w:rPr>
          <w:sz w:val="28"/>
          <w:szCs w:val="28"/>
        </w:rPr>
        <w:fldChar w:fldCharType="begin"/>
      </w:r>
      <w:r>
        <w:rPr>
          <w:sz w:val="28"/>
          <w:szCs w:val="28"/>
        </w:rPr>
        <w:instrText xml:space="preserve"> PAGEREF _Toc9235 \h </w:instrText>
      </w:r>
      <w:r>
        <w:rPr>
          <w:sz w:val="28"/>
          <w:szCs w:val="28"/>
        </w:rPr>
        <w:fldChar w:fldCharType="separate"/>
      </w:r>
      <w:r>
        <w:rPr>
          <w:sz w:val="28"/>
          <w:szCs w:val="28"/>
        </w:rPr>
        <w:t>45</w:t>
      </w:r>
      <w:r>
        <w:rPr>
          <w:sz w:val="28"/>
          <w:szCs w:val="28"/>
        </w:rPr>
        <w:fldChar w:fldCharType="end"/>
      </w:r>
      <w:r>
        <w:rPr>
          <w:rFonts w:hint="default" w:ascii="Times New Roman" w:hAnsi="Times New Roman" w:eastAsia="宋体" w:cs="Times New Roman"/>
          <w:sz w:val="28"/>
          <w:szCs w:val="28"/>
        </w:rPr>
        <w:fldChar w:fldCharType="end"/>
      </w:r>
    </w:p>
    <w:p w14:paraId="633483FB">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_Toc25809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 xml:space="preserve">5 </w:t>
      </w:r>
      <w:r>
        <w:rPr>
          <w:rFonts w:hint="eastAsia" w:ascii="Times New Roman" w:hAnsi="Times New Roman" w:eastAsia="宋体" w:cs="宋体"/>
          <w:sz w:val="28"/>
          <w:szCs w:val="28"/>
          <w:highlight w:val="none"/>
        </w:rPr>
        <w:t>内涝</w:t>
      </w:r>
      <w:r>
        <w:rPr>
          <w:rFonts w:hint="eastAsia" w:ascii="Times New Roman" w:hAnsi="Times New Roman" w:eastAsia="宋体" w:cs="宋体"/>
          <w:sz w:val="28"/>
          <w:szCs w:val="28"/>
          <w:highlight w:val="none"/>
          <w:lang w:val="en-US" w:eastAsia="zh-CN"/>
        </w:rPr>
        <w:t>治理</w:t>
      </w:r>
      <w:r>
        <w:rPr>
          <w:sz w:val="28"/>
          <w:szCs w:val="28"/>
        </w:rPr>
        <w:tab/>
      </w:r>
      <w:r>
        <w:rPr>
          <w:sz w:val="28"/>
          <w:szCs w:val="28"/>
        </w:rPr>
        <w:fldChar w:fldCharType="begin"/>
      </w:r>
      <w:r>
        <w:rPr>
          <w:sz w:val="28"/>
          <w:szCs w:val="28"/>
        </w:rPr>
        <w:instrText xml:space="preserve"> PAGEREF _Toc25809 \h </w:instrText>
      </w:r>
      <w:r>
        <w:rPr>
          <w:sz w:val="28"/>
          <w:szCs w:val="28"/>
        </w:rPr>
        <w:fldChar w:fldCharType="separate"/>
      </w:r>
      <w:r>
        <w:rPr>
          <w:sz w:val="28"/>
          <w:szCs w:val="28"/>
        </w:rPr>
        <w:t>47</w:t>
      </w:r>
      <w:r>
        <w:rPr>
          <w:sz w:val="28"/>
          <w:szCs w:val="28"/>
        </w:rPr>
        <w:fldChar w:fldCharType="end"/>
      </w:r>
      <w:r>
        <w:rPr>
          <w:rFonts w:hint="default" w:ascii="Times New Roman" w:hAnsi="Times New Roman" w:eastAsia="宋体" w:cs="Times New Roman"/>
          <w:sz w:val="28"/>
          <w:szCs w:val="28"/>
        </w:rPr>
        <w:fldChar w:fldCharType="end"/>
      </w:r>
    </w:p>
    <w:p w14:paraId="7C115AB1">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_Toc12180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5.1 一般规定</w:t>
      </w:r>
      <w:r>
        <w:rPr>
          <w:sz w:val="28"/>
          <w:szCs w:val="28"/>
        </w:rPr>
        <w:tab/>
      </w:r>
      <w:r>
        <w:rPr>
          <w:sz w:val="28"/>
          <w:szCs w:val="28"/>
        </w:rPr>
        <w:fldChar w:fldCharType="begin"/>
      </w:r>
      <w:r>
        <w:rPr>
          <w:sz w:val="28"/>
          <w:szCs w:val="28"/>
        </w:rPr>
        <w:instrText xml:space="preserve"> PAGEREF _Toc12180 \h </w:instrText>
      </w:r>
      <w:r>
        <w:rPr>
          <w:sz w:val="28"/>
          <w:szCs w:val="28"/>
        </w:rPr>
        <w:fldChar w:fldCharType="separate"/>
      </w:r>
      <w:r>
        <w:rPr>
          <w:sz w:val="28"/>
          <w:szCs w:val="28"/>
        </w:rPr>
        <w:t>47</w:t>
      </w:r>
      <w:r>
        <w:rPr>
          <w:sz w:val="28"/>
          <w:szCs w:val="28"/>
        </w:rPr>
        <w:fldChar w:fldCharType="end"/>
      </w:r>
      <w:r>
        <w:rPr>
          <w:rFonts w:hint="default" w:ascii="Times New Roman" w:hAnsi="Times New Roman" w:eastAsia="宋体" w:cs="Times New Roman"/>
          <w:sz w:val="28"/>
          <w:szCs w:val="28"/>
        </w:rPr>
        <w:fldChar w:fldCharType="end"/>
      </w:r>
    </w:p>
    <w:p w14:paraId="74621E6D">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_Toc18949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5.2 源头减排设施</w:t>
      </w:r>
      <w:r>
        <w:rPr>
          <w:sz w:val="28"/>
          <w:szCs w:val="28"/>
        </w:rPr>
        <w:tab/>
      </w:r>
      <w:r>
        <w:rPr>
          <w:sz w:val="28"/>
          <w:szCs w:val="28"/>
        </w:rPr>
        <w:fldChar w:fldCharType="begin"/>
      </w:r>
      <w:r>
        <w:rPr>
          <w:sz w:val="28"/>
          <w:szCs w:val="28"/>
        </w:rPr>
        <w:instrText xml:space="preserve"> PAGEREF _Toc18949 \h </w:instrText>
      </w:r>
      <w:r>
        <w:rPr>
          <w:sz w:val="28"/>
          <w:szCs w:val="28"/>
        </w:rPr>
        <w:fldChar w:fldCharType="separate"/>
      </w:r>
      <w:r>
        <w:rPr>
          <w:sz w:val="28"/>
          <w:szCs w:val="28"/>
        </w:rPr>
        <w:t>48</w:t>
      </w:r>
      <w:r>
        <w:rPr>
          <w:sz w:val="28"/>
          <w:szCs w:val="28"/>
        </w:rPr>
        <w:fldChar w:fldCharType="end"/>
      </w:r>
      <w:r>
        <w:rPr>
          <w:rFonts w:hint="default" w:ascii="Times New Roman" w:hAnsi="Times New Roman" w:eastAsia="宋体" w:cs="Times New Roman"/>
          <w:sz w:val="28"/>
          <w:szCs w:val="28"/>
        </w:rPr>
        <w:fldChar w:fldCharType="end"/>
      </w:r>
    </w:p>
    <w:p w14:paraId="36191AE1">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_Toc25973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5.3 排水管渠设施</w:t>
      </w:r>
      <w:r>
        <w:rPr>
          <w:sz w:val="28"/>
          <w:szCs w:val="28"/>
        </w:rPr>
        <w:tab/>
      </w:r>
      <w:r>
        <w:rPr>
          <w:sz w:val="28"/>
          <w:szCs w:val="28"/>
        </w:rPr>
        <w:fldChar w:fldCharType="begin"/>
      </w:r>
      <w:r>
        <w:rPr>
          <w:sz w:val="28"/>
          <w:szCs w:val="28"/>
        </w:rPr>
        <w:instrText xml:space="preserve"> PAGEREF _Toc25973 \h </w:instrText>
      </w:r>
      <w:r>
        <w:rPr>
          <w:sz w:val="28"/>
          <w:szCs w:val="28"/>
        </w:rPr>
        <w:fldChar w:fldCharType="separate"/>
      </w:r>
      <w:r>
        <w:rPr>
          <w:sz w:val="28"/>
          <w:szCs w:val="28"/>
        </w:rPr>
        <w:t>49</w:t>
      </w:r>
      <w:r>
        <w:rPr>
          <w:sz w:val="28"/>
          <w:szCs w:val="28"/>
        </w:rPr>
        <w:fldChar w:fldCharType="end"/>
      </w:r>
      <w:r>
        <w:rPr>
          <w:rFonts w:hint="default" w:ascii="Times New Roman" w:hAnsi="Times New Roman" w:eastAsia="宋体" w:cs="Times New Roman"/>
          <w:sz w:val="28"/>
          <w:szCs w:val="28"/>
        </w:rPr>
        <w:fldChar w:fldCharType="end"/>
      </w:r>
    </w:p>
    <w:p w14:paraId="69FEEF7B">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_Toc528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5.4 排涝除险设施</w:t>
      </w:r>
      <w:r>
        <w:rPr>
          <w:sz w:val="28"/>
          <w:szCs w:val="28"/>
        </w:rPr>
        <w:tab/>
      </w:r>
      <w:r>
        <w:rPr>
          <w:sz w:val="28"/>
          <w:szCs w:val="28"/>
        </w:rPr>
        <w:fldChar w:fldCharType="begin"/>
      </w:r>
      <w:r>
        <w:rPr>
          <w:sz w:val="28"/>
          <w:szCs w:val="28"/>
        </w:rPr>
        <w:instrText xml:space="preserve"> PAGEREF _Toc528 \h </w:instrText>
      </w:r>
      <w:r>
        <w:rPr>
          <w:sz w:val="28"/>
          <w:szCs w:val="28"/>
        </w:rPr>
        <w:fldChar w:fldCharType="separate"/>
      </w:r>
      <w:r>
        <w:rPr>
          <w:sz w:val="28"/>
          <w:szCs w:val="28"/>
        </w:rPr>
        <w:t>50</w:t>
      </w:r>
      <w:r>
        <w:rPr>
          <w:sz w:val="28"/>
          <w:szCs w:val="28"/>
        </w:rPr>
        <w:fldChar w:fldCharType="end"/>
      </w:r>
      <w:r>
        <w:rPr>
          <w:rFonts w:hint="default" w:ascii="Times New Roman" w:hAnsi="Times New Roman" w:eastAsia="宋体" w:cs="Times New Roman"/>
          <w:sz w:val="28"/>
          <w:szCs w:val="28"/>
        </w:rPr>
        <w:fldChar w:fldCharType="end"/>
      </w:r>
    </w:p>
    <w:p w14:paraId="63A68829">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_Toc4593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5.5 地下空间防淹</w:t>
      </w:r>
      <w:r>
        <w:rPr>
          <w:sz w:val="28"/>
          <w:szCs w:val="28"/>
        </w:rPr>
        <w:tab/>
      </w:r>
      <w:r>
        <w:rPr>
          <w:sz w:val="28"/>
          <w:szCs w:val="28"/>
        </w:rPr>
        <w:fldChar w:fldCharType="begin"/>
      </w:r>
      <w:r>
        <w:rPr>
          <w:sz w:val="28"/>
          <w:szCs w:val="28"/>
        </w:rPr>
        <w:instrText xml:space="preserve"> PAGEREF _Toc4593 \h </w:instrText>
      </w:r>
      <w:r>
        <w:rPr>
          <w:sz w:val="28"/>
          <w:szCs w:val="28"/>
        </w:rPr>
        <w:fldChar w:fldCharType="separate"/>
      </w:r>
      <w:r>
        <w:rPr>
          <w:sz w:val="28"/>
          <w:szCs w:val="28"/>
        </w:rPr>
        <w:t>51</w:t>
      </w:r>
      <w:r>
        <w:rPr>
          <w:sz w:val="28"/>
          <w:szCs w:val="28"/>
        </w:rPr>
        <w:fldChar w:fldCharType="end"/>
      </w:r>
      <w:r>
        <w:rPr>
          <w:rFonts w:hint="default" w:ascii="Times New Roman" w:hAnsi="Times New Roman" w:eastAsia="宋体" w:cs="Times New Roman"/>
          <w:sz w:val="28"/>
          <w:szCs w:val="28"/>
        </w:rPr>
        <w:fldChar w:fldCharType="end"/>
      </w:r>
    </w:p>
    <w:p w14:paraId="45DCFAB6">
      <w:pPr>
        <w:pStyle w:val="11"/>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_Toc23014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6 运行维护及管理</w:t>
      </w:r>
      <w:r>
        <w:rPr>
          <w:sz w:val="28"/>
          <w:szCs w:val="28"/>
        </w:rPr>
        <w:tab/>
      </w:r>
      <w:r>
        <w:rPr>
          <w:sz w:val="28"/>
          <w:szCs w:val="28"/>
        </w:rPr>
        <w:fldChar w:fldCharType="begin"/>
      </w:r>
      <w:r>
        <w:rPr>
          <w:sz w:val="28"/>
          <w:szCs w:val="28"/>
        </w:rPr>
        <w:instrText xml:space="preserve"> PAGEREF _Toc23014 \h </w:instrText>
      </w:r>
      <w:r>
        <w:rPr>
          <w:sz w:val="28"/>
          <w:szCs w:val="28"/>
        </w:rPr>
        <w:fldChar w:fldCharType="separate"/>
      </w:r>
      <w:r>
        <w:rPr>
          <w:sz w:val="28"/>
          <w:szCs w:val="28"/>
        </w:rPr>
        <w:t>54</w:t>
      </w:r>
      <w:r>
        <w:rPr>
          <w:sz w:val="28"/>
          <w:szCs w:val="28"/>
        </w:rPr>
        <w:fldChar w:fldCharType="end"/>
      </w:r>
      <w:r>
        <w:rPr>
          <w:rFonts w:hint="default" w:ascii="Times New Roman" w:hAnsi="Times New Roman" w:eastAsia="宋体" w:cs="Times New Roman"/>
          <w:sz w:val="28"/>
          <w:szCs w:val="28"/>
        </w:rPr>
        <w:fldChar w:fldCharType="end"/>
      </w:r>
    </w:p>
    <w:p w14:paraId="535DBB7A">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_Toc24876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6</w:t>
      </w:r>
      <w:r>
        <w:rPr>
          <w:rFonts w:hint="eastAsia" w:ascii="Times New Roman" w:hAnsi="Times New Roman" w:eastAsia="宋体" w:cs="宋体"/>
          <w:sz w:val="28"/>
          <w:szCs w:val="28"/>
        </w:rPr>
        <w:t>.1</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一般规定</w:t>
      </w:r>
      <w:r>
        <w:rPr>
          <w:sz w:val="28"/>
          <w:szCs w:val="28"/>
        </w:rPr>
        <w:tab/>
      </w:r>
      <w:r>
        <w:rPr>
          <w:sz w:val="28"/>
          <w:szCs w:val="28"/>
        </w:rPr>
        <w:fldChar w:fldCharType="begin"/>
      </w:r>
      <w:r>
        <w:rPr>
          <w:sz w:val="28"/>
          <w:szCs w:val="28"/>
        </w:rPr>
        <w:instrText xml:space="preserve"> PAGEREF _Toc24876 \h </w:instrText>
      </w:r>
      <w:r>
        <w:rPr>
          <w:sz w:val="28"/>
          <w:szCs w:val="28"/>
        </w:rPr>
        <w:fldChar w:fldCharType="separate"/>
      </w:r>
      <w:r>
        <w:rPr>
          <w:sz w:val="28"/>
          <w:szCs w:val="28"/>
        </w:rPr>
        <w:t>54</w:t>
      </w:r>
      <w:r>
        <w:rPr>
          <w:sz w:val="28"/>
          <w:szCs w:val="28"/>
        </w:rPr>
        <w:fldChar w:fldCharType="end"/>
      </w:r>
      <w:r>
        <w:rPr>
          <w:rFonts w:hint="default" w:ascii="Times New Roman" w:hAnsi="Times New Roman" w:eastAsia="宋体" w:cs="Times New Roman"/>
          <w:sz w:val="28"/>
          <w:szCs w:val="28"/>
        </w:rPr>
        <w:fldChar w:fldCharType="end"/>
      </w:r>
    </w:p>
    <w:p w14:paraId="027FC90A">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_Toc7191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6</w:t>
      </w:r>
      <w:r>
        <w:rPr>
          <w:rFonts w:hint="eastAsia" w:ascii="Times New Roman" w:hAnsi="Times New Roman" w:eastAsia="宋体" w:cs="宋体"/>
          <w:sz w:val="28"/>
          <w:szCs w:val="28"/>
        </w:rPr>
        <w:t>.</w:t>
      </w:r>
      <w:r>
        <w:rPr>
          <w:rFonts w:hint="eastAsia" w:ascii="Times New Roman" w:hAnsi="Times New Roman" w:eastAsia="宋体" w:cs="宋体"/>
          <w:sz w:val="28"/>
          <w:szCs w:val="28"/>
          <w:lang w:val="en-US" w:eastAsia="zh-CN"/>
        </w:rPr>
        <w:t>2 日常维护</w:t>
      </w:r>
      <w:r>
        <w:rPr>
          <w:sz w:val="28"/>
          <w:szCs w:val="28"/>
        </w:rPr>
        <w:tab/>
      </w:r>
      <w:r>
        <w:rPr>
          <w:sz w:val="28"/>
          <w:szCs w:val="28"/>
        </w:rPr>
        <w:fldChar w:fldCharType="begin"/>
      </w:r>
      <w:r>
        <w:rPr>
          <w:sz w:val="28"/>
          <w:szCs w:val="28"/>
        </w:rPr>
        <w:instrText xml:space="preserve"> PAGEREF _Toc7191 \h </w:instrText>
      </w:r>
      <w:r>
        <w:rPr>
          <w:sz w:val="28"/>
          <w:szCs w:val="28"/>
        </w:rPr>
        <w:fldChar w:fldCharType="separate"/>
      </w:r>
      <w:r>
        <w:rPr>
          <w:sz w:val="28"/>
          <w:szCs w:val="28"/>
        </w:rPr>
        <w:t>54</w:t>
      </w:r>
      <w:r>
        <w:rPr>
          <w:sz w:val="28"/>
          <w:szCs w:val="28"/>
        </w:rPr>
        <w:fldChar w:fldCharType="end"/>
      </w:r>
      <w:r>
        <w:rPr>
          <w:rFonts w:hint="default" w:ascii="Times New Roman" w:hAnsi="Times New Roman" w:eastAsia="宋体" w:cs="Times New Roman"/>
          <w:sz w:val="28"/>
          <w:szCs w:val="28"/>
        </w:rPr>
        <w:fldChar w:fldCharType="end"/>
      </w:r>
    </w:p>
    <w:p w14:paraId="3E7BC479">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_Toc28299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6.3 监测预警</w:t>
      </w:r>
      <w:r>
        <w:rPr>
          <w:sz w:val="28"/>
          <w:szCs w:val="28"/>
        </w:rPr>
        <w:tab/>
      </w:r>
      <w:r>
        <w:rPr>
          <w:sz w:val="28"/>
          <w:szCs w:val="28"/>
        </w:rPr>
        <w:fldChar w:fldCharType="begin"/>
      </w:r>
      <w:r>
        <w:rPr>
          <w:sz w:val="28"/>
          <w:szCs w:val="28"/>
        </w:rPr>
        <w:instrText xml:space="preserve"> PAGEREF _Toc28299 \h </w:instrText>
      </w:r>
      <w:r>
        <w:rPr>
          <w:sz w:val="28"/>
          <w:szCs w:val="28"/>
        </w:rPr>
        <w:fldChar w:fldCharType="separate"/>
      </w:r>
      <w:r>
        <w:rPr>
          <w:sz w:val="28"/>
          <w:szCs w:val="28"/>
        </w:rPr>
        <w:t>59</w:t>
      </w:r>
      <w:r>
        <w:rPr>
          <w:sz w:val="28"/>
          <w:szCs w:val="28"/>
        </w:rPr>
        <w:fldChar w:fldCharType="end"/>
      </w:r>
      <w:r>
        <w:rPr>
          <w:rFonts w:hint="default" w:ascii="Times New Roman" w:hAnsi="Times New Roman" w:eastAsia="宋体" w:cs="Times New Roman"/>
          <w:sz w:val="28"/>
          <w:szCs w:val="28"/>
        </w:rPr>
        <w:fldChar w:fldCharType="end"/>
      </w:r>
    </w:p>
    <w:p w14:paraId="01EC570B">
      <w:pPr>
        <w:pStyle w:val="7"/>
        <w:keepNext w:val="0"/>
        <w:keepLines w:val="0"/>
        <w:pageBreakBefore w:val="0"/>
        <w:widowControl w:val="0"/>
        <w:tabs>
          <w:tab w:val="right" w:leader="dot" w:pos="8306"/>
          <w:tab w:val="clear" w:pos="9241"/>
        </w:tabs>
        <w:kinsoku/>
        <w:wordWrap/>
        <w:overflowPunct/>
        <w:topLinePunct w:val="0"/>
        <w:autoSpaceDE/>
        <w:autoSpaceDN/>
        <w:bidi w:val="0"/>
        <w:adjustRightInd/>
        <w:snapToGrid/>
        <w:spacing w:line="500" w:lineRule="exact"/>
        <w:textAlignment w:val="auto"/>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_Toc19781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highlight w:val="none"/>
          <w:lang w:val="en-US" w:eastAsia="zh-CN"/>
        </w:rPr>
        <w:t>6</w:t>
      </w:r>
      <w:r>
        <w:rPr>
          <w:rFonts w:hint="eastAsia" w:ascii="Times New Roman" w:hAnsi="Times New Roman" w:eastAsia="宋体" w:cs="宋体"/>
          <w:sz w:val="28"/>
          <w:szCs w:val="28"/>
          <w:highlight w:val="none"/>
        </w:rPr>
        <w:t>.</w:t>
      </w:r>
      <w:r>
        <w:rPr>
          <w:rFonts w:hint="eastAsia" w:ascii="Times New Roman" w:hAnsi="Times New Roman" w:eastAsia="宋体" w:cs="宋体"/>
          <w:sz w:val="28"/>
          <w:szCs w:val="28"/>
          <w:highlight w:val="none"/>
          <w:lang w:val="en-US" w:eastAsia="zh-CN"/>
        </w:rPr>
        <w:t>4 应急管理</w:t>
      </w:r>
      <w:r>
        <w:rPr>
          <w:sz w:val="28"/>
          <w:szCs w:val="28"/>
        </w:rPr>
        <w:tab/>
      </w:r>
      <w:r>
        <w:rPr>
          <w:sz w:val="28"/>
          <w:szCs w:val="28"/>
        </w:rPr>
        <w:fldChar w:fldCharType="begin"/>
      </w:r>
      <w:r>
        <w:rPr>
          <w:sz w:val="28"/>
          <w:szCs w:val="28"/>
        </w:rPr>
        <w:instrText xml:space="preserve"> PAGEREF _Toc19781 \h </w:instrText>
      </w:r>
      <w:r>
        <w:rPr>
          <w:sz w:val="28"/>
          <w:szCs w:val="28"/>
        </w:rPr>
        <w:fldChar w:fldCharType="separate"/>
      </w:r>
      <w:r>
        <w:rPr>
          <w:sz w:val="28"/>
          <w:szCs w:val="28"/>
        </w:rPr>
        <w:t>61</w:t>
      </w:r>
      <w:r>
        <w:rPr>
          <w:sz w:val="28"/>
          <w:szCs w:val="28"/>
        </w:rPr>
        <w:fldChar w:fldCharType="end"/>
      </w:r>
      <w:r>
        <w:rPr>
          <w:rFonts w:hint="default" w:ascii="Times New Roman" w:hAnsi="Times New Roman" w:eastAsia="宋体" w:cs="Times New Roman"/>
          <w:sz w:val="28"/>
          <w:szCs w:val="28"/>
        </w:rPr>
        <w:fldChar w:fldCharType="end"/>
      </w:r>
    </w:p>
    <w:p w14:paraId="3F0E40D2">
      <w:pPr>
        <w:pStyle w:val="11"/>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_Toc20428 </w:instrText>
      </w:r>
      <w:r>
        <w:rPr>
          <w:rFonts w:hint="default" w:ascii="Times New Roman" w:hAnsi="Times New Roman" w:eastAsia="宋体" w:cs="Times New Roman"/>
          <w:sz w:val="28"/>
          <w:szCs w:val="28"/>
        </w:rPr>
        <w:fldChar w:fldCharType="separate"/>
      </w:r>
      <w:r>
        <w:rPr>
          <w:rFonts w:hint="eastAsia" w:ascii="Times New Roman" w:hAnsi="Times New Roman" w:eastAsia="宋体" w:cs="宋体"/>
          <w:sz w:val="28"/>
          <w:szCs w:val="28"/>
          <w:lang w:val="en-US" w:eastAsia="zh-CN"/>
        </w:rPr>
        <w:t>附录A 各地暴雨强度公式</w:t>
      </w:r>
      <w:r>
        <w:rPr>
          <w:sz w:val="28"/>
          <w:szCs w:val="28"/>
        </w:rPr>
        <w:tab/>
      </w:r>
      <w:r>
        <w:rPr>
          <w:sz w:val="28"/>
          <w:szCs w:val="28"/>
        </w:rPr>
        <w:fldChar w:fldCharType="begin"/>
      </w:r>
      <w:r>
        <w:rPr>
          <w:sz w:val="28"/>
          <w:szCs w:val="28"/>
        </w:rPr>
        <w:instrText xml:space="preserve"> PAGEREF _Toc20428 \h </w:instrText>
      </w:r>
      <w:r>
        <w:rPr>
          <w:sz w:val="28"/>
          <w:szCs w:val="28"/>
        </w:rPr>
        <w:fldChar w:fldCharType="separate"/>
      </w:r>
      <w:r>
        <w:rPr>
          <w:sz w:val="28"/>
          <w:szCs w:val="28"/>
        </w:rPr>
        <w:t>63</w:t>
      </w:r>
      <w:r>
        <w:rPr>
          <w:sz w:val="28"/>
          <w:szCs w:val="28"/>
        </w:rPr>
        <w:fldChar w:fldCharType="end"/>
      </w:r>
      <w:r>
        <w:rPr>
          <w:rFonts w:hint="default" w:ascii="Times New Roman" w:hAnsi="Times New Roman" w:eastAsia="宋体" w:cs="Times New Roman"/>
          <w:sz w:val="28"/>
          <w:szCs w:val="28"/>
        </w:rPr>
        <w:fldChar w:fldCharType="end"/>
      </w:r>
    </w:p>
    <w:p w14:paraId="464118B6"/>
    <w:p w14:paraId="2C939E99"/>
    <w:p w14:paraId="0BBDCF07">
      <w:pPr>
        <w:pStyle w:val="2"/>
        <w:jc w:val="center"/>
        <w:rPr>
          <w:rFonts w:hint="eastAsia" w:ascii="Times New Roman" w:hAnsi="Times New Roman" w:eastAsia="宋体" w:cs="宋体"/>
          <w:color w:val="000000" w:themeColor="text1"/>
          <w:sz w:val="32"/>
          <w:szCs w:val="32"/>
          <w:lang w:eastAsia="zh-CN"/>
          <w14:textFill>
            <w14:solidFill>
              <w14:schemeClr w14:val="tx1"/>
            </w14:solidFill>
          </w14:textFill>
        </w:rPr>
      </w:pPr>
      <w:bookmarkStart w:id="136" w:name="_Toc24506"/>
      <w:r>
        <w:rPr>
          <w:rFonts w:hint="default" w:ascii="Times New Roman" w:hAnsi="Times New Roman" w:eastAsia="宋体" w:cs="Times New Roman"/>
          <w:szCs w:val="24"/>
        </w:rPr>
        <w:fldChar w:fldCharType="end"/>
      </w:r>
      <w:r>
        <w:rPr>
          <w:rFonts w:hint="eastAsia" w:ascii="Times New Roman" w:hAnsi="Times New Roman" w:eastAsia="宋体" w:cs="宋体"/>
          <w:color w:val="000000" w:themeColor="text1"/>
          <w:sz w:val="32"/>
          <w:szCs w:val="32"/>
          <w:lang w:val="en-US" w:eastAsia="zh-CN"/>
          <w14:textFill>
            <w14:solidFill>
              <w14:schemeClr w14:val="tx1"/>
            </w14:solidFill>
          </w14:textFill>
        </w:rPr>
        <w:t>1 总  则</w:t>
      </w:r>
      <w:bookmarkEnd w:id="131"/>
      <w:bookmarkEnd w:id="132"/>
      <w:bookmarkEnd w:id="133"/>
      <w:bookmarkEnd w:id="134"/>
      <w:bookmarkEnd w:id="136"/>
    </w:p>
    <w:p w14:paraId="5AB089DD">
      <w:pPr>
        <w:spacing w:line="360" w:lineRule="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 xml:space="preserve">1.0.2 </w:t>
      </w:r>
      <w:r>
        <w:rPr>
          <w:rFonts w:hint="eastAsia" w:ascii="Times New Roman" w:hAnsi="Times New Roman" w:eastAsia="宋体" w:cs="宋体"/>
          <w:b w:val="0"/>
          <w:bCs/>
          <w:color w:val="auto"/>
          <w:sz w:val="24"/>
          <w:szCs w:val="24"/>
          <w:highlight w:val="none"/>
          <w:lang w:val="en-US" w:eastAsia="zh-CN"/>
        </w:rPr>
        <w:t>本标准仅考虑城镇范围内内涝风险和治理。</w:t>
      </w:r>
    </w:p>
    <w:p w14:paraId="664966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auto"/>
          <w:sz w:val="24"/>
          <w:szCs w:val="24"/>
          <w:highlight w:val="none"/>
          <w:lang w:val="en-US" w:eastAsia="zh-CN"/>
        </w:rPr>
        <w:t>广</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东省城镇排水防涝设施的新建、改建、扩建，可参照本标准的相关规定执行。</w:t>
      </w:r>
    </w:p>
    <w:p w14:paraId="306696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val="0"/>
          <w:bCs/>
          <w:color w:val="auto"/>
          <w:sz w:val="24"/>
          <w:szCs w:val="24"/>
          <w:highlight w:val="none"/>
          <w:lang w:val="en-US" w:eastAsia="zh-CN"/>
        </w:rPr>
        <w:t>本标准仅考虑城镇因暴雨引起的内涝，不包含因洪水倒灌引起的城镇内涝。</w:t>
      </w:r>
    </w:p>
    <w:p w14:paraId="7AA24C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color w:val="auto"/>
          <w:sz w:val="24"/>
          <w:szCs w:val="24"/>
          <w:highlight w:val="none"/>
          <w:lang w:val="en-US" w:eastAsia="zh-CN"/>
        </w:rPr>
      </w:pPr>
      <w:r>
        <w:rPr>
          <w:rFonts w:hint="default" w:ascii="Times New Roman" w:hAnsi="Times New Roman" w:eastAsia="宋体" w:cs="宋体"/>
          <w:b w:val="0"/>
          <w:bCs/>
          <w:color w:val="auto"/>
          <w:sz w:val="24"/>
          <w:szCs w:val="24"/>
          <w:highlight w:val="none"/>
          <w:lang w:val="en-US" w:eastAsia="zh-CN"/>
        </w:rPr>
        <w:t>依据《统计上划分城乡的规定》（国函〔2008〕60号）</w:t>
      </w:r>
      <w:r>
        <w:rPr>
          <w:rFonts w:hint="eastAsia" w:ascii="Times New Roman" w:hAnsi="Times New Roman" w:eastAsia="宋体" w:cs="宋体"/>
          <w:b w:val="0"/>
          <w:bCs/>
          <w:color w:val="auto"/>
          <w:sz w:val="24"/>
          <w:szCs w:val="24"/>
          <w:highlight w:val="none"/>
          <w:lang w:val="en-US" w:eastAsia="zh-CN"/>
        </w:rPr>
        <w:t>，城镇包括城区和镇区。城区是指在市辖区和不设区的市，区、市政府驻地的实际建设连接到的居民委员会和其他区域。镇区是指在城区以外的县人民政府驻地和其他镇，政府驻地的实际建设连接到的居民委员会和其他区域。与政府驻地的实际建设不连接，且常住人口在3000人以上的独立的工矿区、开发区、科研单位、大专院校等特殊区域及农场、林场的场部驻地视为镇区。</w:t>
      </w:r>
    </w:p>
    <w:p w14:paraId="3FEE4691">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auto"/>
          <w:sz w:val="24"/>
          <w:szCs w:val="24"/>
          <w:highlight w:val="none"/>
          <w:lang w:val="en-US" w:eastAsia="zh-CN"/>
        </w:rPr>
        <w:t xml:space="preserve">1.0.4 </w:t>
      </w:r>
      <w:r>
        <w:rPr>
          <w:rFonts w:hint="eastAsia" w:ascii="Times New Roman" w:hAnsi="Times New Roman" w:eastAsia="宋体" w:cs="宋体"/>
          <w:b w:val="0"/>
          <w:bCs/>
          <w:color w:val="auto"/>
          <w:sz w:val="24"/>
          <w:szCs w:val="24"/>
          <w:highlight w:val="none"/>
          <w:lang w:val="en-US" w:eastAsia="zh-CN"/>
        </w:rPr>
        <w:t>“绿灰结合”是指绿色设施和灰色设施的结合。一般情况下，绿色设施主要指的是植被、湿地、雨水花园等自然系统；“灰色设施”主要</w:t>
      </w:r>
      <w:r>
        <w:rPr>
          <w:rFonts w:hint="default" w:ascii="Times New Roman" w:hAnsi="Times New Roman" w:eastAsia="宋体" w:cs="宋体"/>
          <w:color w:val="000000" w:themeColor="text1"/>
          <w:sz w:val="24"/>
          <w:szCs w:val="24"/>
          <w:lang w:val="en-US" w:eastAsia="zh-CN"/>
          <w14:textFill>
            <w14:solidFill>
              <w14:schemeClr w14:val="tx1"/>
            </w14:solidFill>
          </w14:textFill>
        </w:rPr>
        <w:t>指的是传统的工程设施，如管道、水泵、水库、护岸等</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宋体"/>
          <w:color w:val="000000" w:themeColor="text1"/>
          <w:sz w:val="24"/>
          <w:szCs w:val="24"/>
          <w:lang w:val="en-US" w:eastAsia="zh-CN"/>
          <w14:textFill>
            <w14:solidFill>
              <w14:schemeClr w14:val="tx1"/>
            </w14:solidFill>
          </w14:textFill>
        </w:rPr>
        <w:t>虽然绿色设施在海绵城市建设</w:t>
      </w:r>
      <w:r>
        <w:rPr>
          <w:rFonts w:hint="eastAsia" w:ascii="Times New Roman" w:hAnsi="Times New Roman" w:eastAsia="宋体" w:cs="宋体"/>
          <w:color w:val="000000" w:themeColor="text1"/>
          <w:sz w:val="24"/>
          <w:szCs w:val="24"/>
          <w:lang w:val="en-US" w:eastAsia="zh-CN"/>
          <w14:textFill>
            <w14:solidFill>
              <w14:schemeClr w14:val="tx1"/>
            </w14:solidFill>
          </w14:textFill>
        </w:rPr>
        <w:t>和内涝治理</w:t>
      </w:r>
      <w:r>
        <w:rPr>
          <w:rFonts w:hint="default" w:ascii="Times New Roman" w:hAnsi="Times New Roman" w:eastAsia="宋体" w:cs="宋体"/>
          <w:color w:val="000000" w:themeColor="text1"/>
          <w:sz w:val="24"/>
          <w:szCs w:val="24"/>
          <w:lang w:val="en-US" w:eastAsia="zh-CN"/>
          <w14:textFill>
            <w14:solidFill>
              <w14:schemeClr w14:val="tx1"/>
            </w14:solidFill>
          </w14:textFill>
        </w:rPr>
        <w:t>中扮演了重要的角色，但是灰色设施的建设和管理同样不可忽视。</w:t>
      </w:r>
    </w:p>
    <w:p w14:paraId="04A10B26">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p>
    <w:p w14:paraId="33D6F69A">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14:paraId="2901471E">
      <w:pPr>
        <w:spacing w:line="360" w:lineRule="auto"/>
        <w:rPr>
          <w:rFonts w:hint="eastAsia" w:ascii="Times New Roman" w:hAnsi="Times New Roman" w:eastAsia="宋体" w:cs="宋体"/>
          <w:color w:val="000000" w:themeColor="text1"/>
          <w:sz w:val="24"/>
          <w:szCs w:val="24"/>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C442A65">
      <w:pPr>
        <w:pStyle w:val="2"/>
        <w:jc w:val="center"/>
        <w:rPr>
          <w:rFonts w:hint="eastAsia" w:ascii="Times New Roman" w:hAnsi="Times New Roman" w:eastAsia="宋体" w:cs="宋体"/>
          <w:color w:val="000000" w:themeColor="text1"/>
          <w:sz w:val="32"/>
          <w:szCs w:val="32"/>
          <w:lang w:eastAsia="zh-CN"/>
          <w14:textFill>
            <w14:solidFill>
              <w14:schemeClr w14:val="tx1"/>
            </w14:solidFill>
          </w14:textFill>
        </w:rPr>
      </w:pPr>
      <w:bookmarkStart w:id="137" w:name="_Toc27243"/>
      <w:r>
        <w:rPr>
          <w:rFonts w:hint="eastAsia" w:ascii="Times New Roman" w:hAnsi="Times New Roman" w:eastAsia="宋体" w:cs="宋体"/>
          <w:color w:val="000000" w:themeColor="text1"/>
          <w:sz w:val="32"/>
          <w:szCs w:val="32"/>
          <w:lang w:val="en-US" w:eastAsia="zh-CN"/>
          <w14:textFill>
            <w14:solidFill>
              <w14:schemeClr w14:val="tx1"/>
            </w14:solidFill>
          </w14:textFill>
        </w:rPr>
        <w:t>2 条文说明</w:t>
      </w:r>
      <w:bookmarkEnd w:id="137"/>
    </w:p>
    <w:p w14:paraId="44F32B4D">
      <w:pPr>
        <w:spacing w:line="360" w:lineRule="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auto"/>
          <w:sz w:val="24"/>
          <w:szCs w:val="24"/>
          <w:highlight w:val="none"/>
          <w:lang w:val="en-US" w:eastAsia="zh-CN"/>
        </w:rPr>
        <w:t xml:space="preserve">2.0.1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积水深度是决定人行、车行便利性及一层建筑物安全的关键因素。根据积水对人和车辆的影响程度，本标准将积水深度分为四个等级：首先，3厘米的积水对行人基本通行无碍；其次，15厘米的积水开始影响机动车辆的通行；接着，40厘米的积水可能导致一层建筑物进水；最后，60厘米的积水对人身安全构成威胁。这种划分有助于更清晰地识别和应对不同级别的积水情况，确保人行、车行安全及建筑物保护。</w:t>
      </w:r>
    </w:p>
    <w:p w14:paraId="6159029E">
      <w:pPr>
        <w:spacing w:line="360" w:lineRule="auto"/>
        <w:jc w:val="left"/>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2.0.6</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本标准中内涝风险等级分为高风险、中风险、低风险。</w:t>
      </w:r>
    </w:p>
    <w:p w14:paraId="7F69EE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000000" w:themeColor="text1"/>
          <w:sz w:val="24"/>
          <w:szCs w:val="24"/>
          <w14:textFill>
            <w14:solidFill>
              <w14:schemeClr w14:val="tx1"/>
            </w14:solidFill>
          </w14:textFill>
        </w:rPr>
      </w:pPr>
    </w:p>
    <w:p w14:paraId="4986CD6F">
      <w:pPr>
        <w:spacing w:line="360" w:lineRule="auto"/>
        <w:jc w:val="left"/>
        <w:rPr>
          <w:rFonts w:hint="eastAsia" w:ascii="Times New Roman" w:hAnsi="Times New Roman" w:eastAsia="宋体" w:cs="宋体"/>
          <w:color w:val="000000" w:themeColor="text1"/>
          <w:sz w:val="24"/>
          <w:szCs w:val="24"/>
          <w14:textFill>
            <w14:solidFill>
              <w14:schemeClr w14:val="tx1"/>
            </w14:solidFill>
          </w14:textFill>
        </w:rPr>
      </w:pPr>
    </w:p>
    <w:p w14:paraId="316E949B">
      <w:pPr>
        <w:spacing w:line="360" w:lineRule="auto"/>
        <w:jc w:val="left"/>
        <w:rPr>
          <w:rFonts w:hint="eastAsia" w:ascii="Times New Roman" w:hAnsi="Times New Roman" w:eastAsia="宋体" w:cs="宋体"/>
          <w:color w:val="000000" w:themeColor="text1"/>
          <w:sz w:val="24"/>
          <w:szCs w:val="24"/>
          <w14:textFill>
            <w14:solidFill>
              <w14:schemeClr w14:val="tx1"/>
            </w14:solidFill>
          </w14:textFill>
        </w:rPr>
      </w:pPr>
    </w:p>
    <w:p w14:paraId="60C1B8EB">
      <w:pPr>
        <w:spacing w:line="360" w:lineRule="auto"/>
        <w:jc w:val="left"/>
        <w:rPr>
          <w:rFonts w:hint="eastAsia" w:ascii="Times New Roman" w:hAnsi="Times New Roman" w:eastAsia="宋体" w:cs="宋体"/>
          <w:color w:val="000000" w:themeColor="text1"/>
          <w:sz w:val="24"/>
          <w:szCs w:val="24"/>
          <w14:textFill>
            <w14:solidFill>
              <w14:schemeClr w14:val="tx1"/>
            </w14:solidFill>
          </w14:textFill>
        </w:rPr>
      </w:pPr>
    </w:p>
    <w:p w14:paraId="2639D38F">
      <w:pPr>
        <w:spacing w:line="360" w:lineRule="auto"/>
        <w:jc w:val="left"/>
        <w:rPr>
          <w:rFonts w:hint="eastAsia" w:ascii="Times New Roman" w:hAnsi="Times New Roman" w:eastAsia="宋体" w:cs="宋体"/>
          <w:color w:val="000000" w:themeColor="text1"/>
          <w:sz w:val="24"/>
          <w:szCs w:val="24"/>
          <w14:textFill>
            <w14:solidFill>
              <w14:schemeClr w14:val="tx1"/>
            </w14:solidFill>
          </w14:textFill>
        </w:rPr>
      </w:pPr>
    </w:p>
    <w:p w14:paraId="1E67F7C6">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14:paraId="0A69CC45">
      <w:pPr>
        <w:spacing w:line="360" w:lineRule="auto"/>
        <w:rPr>
          <w:rFonts w:hint="eastAsia" w:ascii="Times New Roman" w:hAnsi="Times New Roman" w:eastAsia="宋体" w:cs="宋体"/>
          <w:color w:val="000000" w:themeColor="text1"/>
          <w:sz w:val="24"/>
          <w:szCs w:val="24"/>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B9D116">
      <w:pPr>
        <w:pStyle w:val="2"/>
        <w:jc w:val="cente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bookmarkStart w:id="138" w:name="_Toc2858"/>
      <w:bookmarkStart w:id="139" w:name="_Toc12391"/>
      <w:bookmarkStart w:id="140" w:name="_Toc18427"/>
      <w:bookmarkStart w:id="141" w:name="_Toc20860"/>
      <w:bookmarkStart w:id="142" w:name="_Toc18616"/>
      <w:r>
        <w:rPr>
          <w:rFonts w:hint="eastAsia" w:ascii="Times New Roman" w:hAnsi="Times New Roman" w:eastAsia="宋体" w:cs="宋体"/>
          <w:color w:val="000000" w:themeColor="text1"/>
          <w:sz w:val="32"/>
          <w:szCs w:val="32"/>
          <w14:textFill>
            <w14:solidFill>
              <w14:schemeClr w14:val="tx1"/>
            </w14:solidFill>
          </w14:textFill>
        </w:rPr>
        <w:t>3 基本规定</w:t>
      </w:r>
      <w:bookmarkEnd w:id="138"/>
      <w:bookmarkEnd w:id="139"/>
      <w:bookmarkEnd w:id="140"/>
      <w:bookmarkEnd w:id="141"/>
      <w:bookmarkEnd w:id="142"/>
    </w:p>
    <w:p w14:paraId="047AB1B0">
      <w:pPr>
        <w:pStyle w:val="4"/>
        <w:spacing w:beforeLines="0" w:after="156" w:afterLines="50"/>
        <w:jc w:val="center"/>
        <w:rPr>
          <w:rFonts w:hint="eastAsia" w:ascii="Times New Roman" w:hAnsi="Times New Roman" w:eastAsia="宋体" w:cs="宋体"/>
          <w:color w:val="000000" w:themeColor="text1"/>
          <w:sz w:val="28"/>
          <w:szCs w:val="28"/>
          <w14:textFill>
            <w14:solidFill>
              <w14:schemeClr w14:val="tx1"/>
            </w14:solidFill>
          </w14:textFill>
        </w:rPr>
      </w:pPr>
      <w:bookmarkStart w:id="143" w:name="_Toc7176"/>
      <w:bookmarkStart w:id="144" w:name="_Toc12862"/>
      <w:bookmarkStart w:id="145" w:name="_Toc28643"/>
      <w:bookmarkStart w:id="146" w:name="_Toc19574"/>
      <w:bookmarkStart w:id="147" w:name="_Toc15818"/>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143"/>
      <w:bookmarkEnd w:id="144"/>
      <w:bookmarkEnd w:id="145"/>
      <w:bookmarkEnd w:id="146"/>
      <w:bookmarkEnd w:id="147"/>
    </w:p>
    <w:p w14:paraId="2EAA54F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仿宋"/>
          <w:b/>
          <w:bCs/>
          <w:strike w:val="0"/>
          <w:dstrike w:val="0"/>
          <w:color w:val="auto"/>
          <w:sz w:val="24"/>
          <w:szCs w:val="24"/>
          <w:lang w:val="en-US" w:eastAsia="zh-CN"/>
        </w:rPr>
        <w:t>3.1.1</w:t>
      </w:r>
      <w:r>
        <w:rPr>
          <w:rFonts w:hint="eastAsia" w:ascii="Times New Roman" w:hAnsi="Times New Roman" w:eastAsia="宋体" w:cs="仿宋"/>
          <w:b w:val="0"/>
          <w:bCs w:val="0"/>
          <w:strike w:val="0"/>
          <w:dstrike w:val="0"/>
          <w:color w:val="0000FF"/>
          <w:sz w:val="24"/>
          <w:szCs w:val="24"/>
          <w:lang w:val="en-US" w:eastAsia="zh-CN"/>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本标准中的排水系统泛指雨水（合流）系统，排水管渠泛指雨水、合流管渠。城镇的运行维护及管理与内涝治理是一项周期性、持续性的工作。运行维护及管理过程发现的问题是内涝治理的依据，内涝治理的成效推动城镇更好的运行和维护。本质上，城镇内涝风险评估是服务于城镇的运行维护及管理的，因此要求城镇的运行维护及管理过程中应开展内涝风险评估与治理工作。</w:t>
      </w:r>
    </w:p>
    <w:p w14:paraId="17456DB8">
      <w:pPr>
        <w:spacing w:line="360" w:lineRule="auto"/>
        <w:ind w:firstLine="480" w:firstLineChars="200"/>
        <w:rPr>
          <w:rFonts w:hint="eastAsia"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城镇应定期和不定期进行内涝风险评估，结合本标准3.1.2和3.1.3开展内涝风险评估。在中高风险区域内进行城市开发建设项目建设时，需在项目建设方案中制定内涝应对措施，并予以落实。</w:t>
      </w:r>
    </w:p>
    <w:p w14:paraId="609DBED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3.1.2</w:t>
      </w:r>
      <w:r>
        <w:rPr>
          <w:rFonts w:hint="eastAsia" w:ascii="Times New Roman" w:hAnsi="Times New Roman" w:eastAsia="宋体" w:cs="仿宋"/>
          <w:b w:val="0"/>
          <w:bCs w:val="0"/>
          <w:strike w:val="0"/>
          <w:dstrike w:val="0"/>
          <w:color w:val="0000FF"/>
          <w:sz w:val="24"/>
          <w:szCs w:val="24"/>
          <w:lang w:val="en-US" w:eastAsia="zh-CN"/>
        </w:rPr>
        <w:t xml:space="preserve"> </w:t>
      </w:r>
      <w:r>
        <w:rPr>
          <w:rFonts w:hint="eastAsia" w:ascii="Times New Roman" w:hAnsi="Times New Roman" w:eastAsia="宋体" w:cs="仿宋"/>
          <w:b w:val="0"/>
          <w:bCs w:val="0"/>
          <w:strike w:val="0"/>
          <w:dstrike w:val="0"/>
          <w:color w:val="auto"/>
          <w:sz w:val="24"/>
          <w:szCs w:val="24"/>
          <w:lang w:val="en-US" w:eastAsia="zh-CN"/>
        </w:rPr>
        <w:t>本条为强制性条文，必须严格执行。本条规定了应立即开展内涝风险评估的情形。</w:t>
      </w:r>
    </w:p>
    <w:p w14:paraId="7ABB9C5D">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根据《广东省“十四五”城市排水防涝体系建设行动方案》（粤建城〔2023〕36号）中提出各地市基本建成城市内涝风险评估体系，编制并鼓励向公众发布涵盖不同标准降雨下内涝积水范围、深度及时间等要素的城市内涝风险图。</w:t>
      </w:r>
    </w:p>
    <w:p w14:paraId="0BA76CDA">
      <w:pPr>
        <w:spacing w:line="360" w:lineRule="auto"/>
        <w:ind w:firstLine="480" w:firstLineChars="200"/>
        <w:rPr>
          <w:rFonts w:hint="default" w:ascii="Times New Roman" w:hAnsi="Times New Roman" w:eastAsia="宋体" w:cs="仿宋"/>
          <w:b w:val="0"/>
          <w:bCs w:val="0"/>
          <w:strike w:val="0"/>
          <w:dstrike w:val="0"/>
          <w:color w:val="auto"/>
          <w:sz w:val="24"/>
          <w:szCs w:val="24"/>
          <w:lang w:val="en-US" w:eastAsia="zh-CN"/>
        </w:rPr>
      </w:pPr>
      <w:r>
        <w:rPr>
          <w:rFonts w:hint="default" w:ascii="Times New Roman" w:hAnsi="Times New Roman" w:eastAsia="宋体" w:cs="仿宋"/>
          <w:b w:val="0"/>
          <w:bCs w:val="0"/>
          <w:strike w:val="0"/>
          <w:dstrike w:val="0"/>
          <w:color w:val="auto"/>
          <w:sz w:val="24"/>
          <w:szCs w:val="24"/>
          <w:lang w:val="en-US" w:eastAsia="zh-CN"/>
        </w:rPr>
        <w:t>建立内涝风险评估体系。衔接城市的防洪</w:t>
      </w:r>
      <w:r>
        <w:rPr>
          <w:rFonts w:hint="eastAsia" w:ascii="Times New Roman" w:hAnsi="Times New Roman" w:eastAsia="宋体" w:cs="仿宋"/>
          <w:b w:val="0"/>
          <w:bCs w:val="0"/>
          <w:strike w:val="0"/>
          <w:dstrike w:val="0"/>
          <w:color w:val="auto"/>
          <w:sz w:val="24"/>
          <w:szCs w:val="24"/>
          <w:lang w:val="en-US" w:eastAsia="zh-CN"/>
        </w:rPr>
        <w:t>（</w:t>
      </w:r>
      <w:r>
        <w:rPr>
          <w:rFonts w:hint="default" w:ascii="Times New Roman" w:hAnsi="Times New Roman" w:eastAsia="宋体" w:cs="仿宋"/>
          <w:b w:val="0"/>
          <w:bCs w:val="0"/>
          <w:strike w:val="0"/>
          <w:dstrike w:val="0"/>
          <w:color w:val="auto"/>
          <w:sz w:val="24"/>
          <w:szCs w:val="24"/>
          <w:lang w:val="en-US" w:eastAsia="zh-CN"/>
        </w:rPr>
        <w:t>潮</w:t>
      </w:r>
      <w:r>
        <w:rPr>
          <w:rFonts w:hint="eastAsia" w:ascii="Times New Roman" w:hAnsi="Times New Roman" w:eastAsia="宋体" w:cs="仿宋"/>
          <w:b w:val="0"/>
          <w:bCs w:val="0"/>
          <w:strike w:val="0"/>
          <w:dstrike w:val="0"/>
          <w:color w:val="auto"/>
          <w:sz w:val="24"/>
          <w:szCs w:val="24"/>
          <w:lang w:val="en-US" w:eastAsia="zh-CN"/>
        </w:rPr>
        <w:t>）</w:t>
      </w:r>
      <w:r>
        <w:rPr>
          <w:rFonts w:hint="default" w:ascii="Times New Roman" w:hAnsi="Times New Roman" w:eastAsia="宋体" w:cs="仿宋"/>
          <w:b w:val="0"/>
          <w:bCs w:val="0"/>
          <w:strike w:val="0"/>
          <w:dstrike w:val="0"/>
          <w:color w:val="auto"/>
          <w:sz w:val="24"/>
          <w:szCs w:val="24"/>
          <w:lang w:val="en-US" w:eastAsia="zh-CN"/>
        </w:rPr>
        <w:t>标准设计水位和堤防等级，分析不同标准降雨下城市内涝积水的范围深度及时间，结合实际降雨事件的内涝积水情况，划定城市内涝风险区，研判城市可应对的最大小时降雨量和最大24小时降雨量，在降雨事件发生前分析可能引发灾害的风险区域。</w:t>
      </w:r>
    </w:p>
    <w:p w14:paraId="1E282B18">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现行国家标准《城乡排水工程项目规范》GB 55027规定，排水工程相关专业规划应在评估系统现状的基础上，结合城乡发展趋势，根据排水安全和水环境目标编制并定期更新。各类建设项目应编制排水设计方案，评估项目对所处地区内涝防治和污水收集的影响，不得超出既有雨水系统和污水系统的设计负荷。</w:t>
      </w:r>
    </w:p>
    <w:p w14:paraId="5D230658">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地块开发中，应对建设项目所在区域的雨水系统的负荷进行分析，在此基础上对建成后排到市政雨水的水量进行预测评估，通过合理的项目排水设计，控制雨水系统的年径流总量控制率、年径流污染控制率和径流峰值符合规划的要求，避免超过既有雨水系统的设计负荷。</w:t>
      </w:r>
    </w:p>
    <w:p w14:paraId="1C376F30">
      <w:pPr>
        <w:spacing w:line="360" w:lineRule="auto"/>
        <w:ind w:firstLine="482"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2</w:t>
      </w:r>
      <w:r>
        <w:rPr>
          <w:rFonts w:hint="eastAsia" w:ascii="Times New Roman" w:hAnsi="Times New Roman" w:eastAsia="宋体" w:cs="仿宋"/>
          <w:b w:val="0"/>
          <w:bCs w:val="0"/>
          <w:strike w:val="0"/>
          <w:dstrike w:val="0"/>
          <w:color w:val="auto"/>
          <w:sz w:val="24"/>
          <w:szCs w:val="24"/>
          <w:lang w:val="en-US" w:eastAsia="zh-CN"/>
        </w:rPr>
        <w:t xml:space="preserve"> 中心城区范围或评估单元排水发生重大变化的情形主要有：因国土空间规划等上位规划导致中心城区范围发生变化，因工程建设导致评估单元的高程、河道、管线等发生显著变化。</w:t>
      </w:r>
    </w:p>
    <w:p w14:paraId="021199BC">
      <w:pPr>
        <w:spacing w:line="360" w:lineRule="auto"/>
        <w:ind w:firstLine="482"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5</w:t>
      </w:r>
      <w:r>
        <w:rPr>
          <w:rFonts w:hint="eastAsia" w:ascii="Times New Roman" w:hAnsi="Times New Roman" w:eastAsia="宋体" w:cs="仿宋"/>
          <w:b w:val="0"/>
          <w:bCs w:val="0"/>
          <w:strike w:val="0"/>
          <w:dstrike w:val="0"/>
          <w:color w:val="auto"/>
          <w:sz w:val="24"/>
          <w:szCs w:val="24"/>
          <w:lang w:val="en-US" w:eastAsia="zh-CN"/>
        </w:rPr>
        <w:t xml:space="preserve"> 法定规划主要指国土空间规划、控制性详细规划等。</w:t>
      </w:r>
    </w:p>
    <w:p w14:paraId="775409CC">
      <w:pPr>
        <w:spacing w:line="360" w:lineRule="auto"/>
        <w:ind w:firstLine="482" w:firstLineChars="200"/>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仿宋"/>
          <w:b/>
          <w:bCs/>
          <w:strike w:val="0"/>
          <w:dstrike w:val="0"/>
          <w:color w:val="auto"/>
          <w:sz w:val="24"/>
          <w:szCs w:val="24"/>
          <w:lang w:val="en-US" w:eastAsia="zh-CN"/>
        </w:rPr>
        <w:t>6</w:t>
      </w:r>
      <w:r>
        <w:rPr>
          <w:rFonts w:hint="eastAsia" w:ascii="Times New Roman" w:hAnsi="Times New Roman" w:eastAsia="宋体" w:cs="仿宋"/>
          <w:b w:val="0"/>
          <w:bCs w:val="0"/>
          <w:strike w:val="0"/>
          <w:dstrike w:val="0"/>
          <w:color w:val="auto"/>
          <w:sz w:val="24"/>
          <w:szCs w:val="24"/>
          <w:lang w:val="en-US" w:eastAsia="zh-CN"/>
        </w:rPr>
        <w:t xml:space="preserve"> 重要基础设施主要包含：地下交通枢纽出入口、地下商业聚集区、生命线工程控制中心、下穿隧道和关键节点等。</w:t>
      </w:r>
    </w:p>
    <w:p w14:paraId="745439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仿宋" w:cs="仿宋"/>
          <w:b/>
          <w:bCs/>
          <w:color w:val="auto"/>
          <w:sz w:val="24"/>
          <w:szCs w:val="24"/>
          <w:highlight w:val="none"/>
          <w:lang w:val="en-US" w:eastAsia="zh-CN"/>
        </w:rPr>
        <w:t>3.1.3</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宋体" w:cs="仿宋"/>
          <w:b w:val="0"/>
          <w:bCs w:val="0"/>
          <w:strike w:val="0"/>
          <w:dstrike w:val="0"/>
          <w:color w:val="auto"/>
          <w:sz w:val="24"/>
          <w:szCs w:val="24"/>
          <w:lang w:val="en-US" w:eastAsia="zh-CN"/>
        </w:rPr>
        <w:t>本条为强制性条文，必须严格执行。本条规定了应立即开展内涝治理，采取措施降低风险等级的情形。</w:t>
      </w:r>
    </w:p>
    <w:p w14:paraId="5E7B19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仿宋"/>
          <w:color w:val="auto"/>
          <w:sz w:val="24"/>
          <w:szCs w:val="24"/>
          <w:highlight w:val="none"/>
          <w:lang w:val="en-US" w:eastAsia="zh-CN"/>
        </w:rPr>
      </w:pPr>
      <w:r>
        <w:rPr>
          <w:rFonts w:hint="eastAsia" w:ascii="Times New Roman" w:hAnsi="Times New Roman" w:eastAsia="宋体" w:cs="仿宋"/>
          <w:color w:val="auto"/>
          <w:sz w:val="24"/>
          <w:szCs w:val="24"/>
          <w:highlight w:val="none"/>
          <w:lang w:val="en-US" w:eastAsia="zh-CN"/>
        </w:rPr>
        <w:t>根据《国务院办公厅关于加强城市内涝治理的实施意见》（国办发〔2021〕11号）中提出各城市应能有效应对城市内涝防治标准内的降雨，老城区雨停后能够及时排干积水，低洼地区防洪排涝能力大幅提升，历史上严重影响生产生活秩序的易涝积水点全面消除，新城区不再出现“城市看海”现象；在超出城市内涝防治标准的降雨条件下，城市生命线工程等重要市政基础设施功能不丧失，基本保障城市安全运行；有条件的地方积极推进海绵城市建设。</w:t>
      </w:r>
    </w:p>
    <w:p w14:paraId="4427B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仿宋"/>
          <w:color w:val="auto"/>
          <w:sz w:val="24"/>
          <w:szCs w:val="24"/>
          <w:highlight w:val="none"/>
          <w:lang w:val="en-US" w:eastAsia="zh-CN"/>
        </w:rPr>
      </w:pPr>
      <w:r>
        <w:rPr>
          <w:rFonts w:hint="eastAsia" w:ascii="Times New Roman" w:hAnsi="Times New Roman" w:eastAsia="宋体" w:cs="仿宋"/>
          <w:color w:val="auto"/>
          <w:sz w:val="24"/>
          <w:szCs w:val="24"/>
          <w:highlight w:val="none"/>
          <w:lang w:val="en-US" w:eastAsia="zh-CN"/>
        </w:rPr>
        <w:t>根据《广东省“十四五”城市排水防涝体系建设行动方案》（粤建城〔2023〕36号）中提出全省城市因地制宜基本形成“源头减排、管网排放、蓄排并举、超标应急”的排水防涝工程体系，“历史上严重影响生产生活秩序的易涝积水点”全面消除或不再造成严重影响新城区不再出现“城市看海”现象：在发生超出城市内涝防治标准的降雨条件下，城市供水、供电、通信等重要城市基础设施功能不丧失，应急措施及时有效，城市内涝防治水平全面提升。</w:t>
      </w:r>
    </w:p>
    <w:p w14:paraId="1393E9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仿宋"/>
          <w:color w:val="auto"/>
          <w:sz w:val="24"/>
          <w:szCs w:val="24"/>
          <w:highlight w:val="none"/>
          <w:lang w:val="en-US" w:eastAsia="zh-CN"/>
        </w:rPr>
      </w:pPr>
      <w:r>
        <w:rPr>
          <w:rFonts w:hint="eastAsia" w:ascii="Times New Roman" w:hAnsi="Times New Roman" w:eastAsia="宋体" w:cs="仿宋"/>
          <w:color w:val="auto"/>
          <w:sz w:val="24"/>
          <w:szCs w:val="24"/>
          <w:highlight w:val="none"/>
          <w:lang w:val="en-US" w:eastAsia="zh-CN"/>
        </w:rPr>
        <w:t>参照《河南省城镇排水与污水处理条例》（2024年9月28日河南省第十四届人民代表大会常务委员会第十一次会议通过，自2025年2月1日起施行）第二十八条相关规定，市、县级人民政府城镇排水与污水处理主管部门应当组织城镇排水设施普查检测，定期开展城市排水防涝专项体检，对排水设施进行周期性检测评估，在汛前对城镇排水设施进行全面检査。对发现的问题，督促有关单位限期整改，并加强城镇广场、立交桥涵、地下构筑物、棚户区等易涝点治理，强化排涝措施，增加必要的强制排水设施和装备。</w:t>
      </w:r>
    </w:p>
    <w:p w14:paraId="4B88476F">
      <w:pPr>
        <w:spacing w:line="360" w:lineRule="auto"/>
        <w:rPr>
          <w:rFonts w:hint="eastAsia" w:ascii="Times New Roman" w:hAnsi="Times New Roman" w:eastAsia="宋体" w:cs="仿宋"/>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3.1.4</w:t>
      </w:r>
      <w:r>
        <w:rPr>
          <w:rFonts w:hint="eastAsia" w:ascii="Times New Roman" w:hAnsi="Times New Roman" w:eastAsia="宋体" w:cs="仿宋"/>
          <w:color w:val="auto"/>
          <w:sz w:val="24"/>
          <w:szCs w:val="24"/>
          <w:highlight w:val="none"/>
          <w:lang w:val="en-US" w:eastAsia="zh-CN"/>
        </w:rPr>
        <w:t xml:space="preserve"> 表3.1.4中的风险等级为最近一次内涝风险评估结果。</w:t>
      </w:r>
    </w:p>
    <w:p w14:paraId="22B21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仿宋"/>
          <w:color w:val="auto"/>
          <w:sz w:val="24"/>
          <w:szCs w:val="24"/>
          <w:highlight w:val="none"/>
          <w:lang w:val="en-US" w:eastAsia="zh-CN"/>
        </w:rPr>
        <w:t>现行相关国家和行业标准针对内涝风险评估周期尚无相关规定。《城镇排水管渠与泵站运行、维护及安全技术规程》CJJ68中规定了雨水、合流管渠养护频率：特大型为0.3次/年，大型为0.5次/年，中型为1次/年，小型为2次/年；检查井、雨水口养护频率为4次/年。广州市要求在城市建设开发项目的策划方案阶段、控制性详细规划阶段应开展洪涝安全评估。参照不同城市安全管理规定，地级以上市的城市体检工作周期为“一年一体检、五年一评估”；《深圳市安全风险管控暂行办法》中要求各区每三年开展1次区域风险评估，并持续辨识并管控城市风险。《常州市城市安全风险评估工作办法（试行）》中规定每三年集中评估一次城市安全风险，期间，若风险发生较大改变，会即时进行临时性评估。</w:t>
      </w:r>
    </w:p>
    <w:p w14:paraId="342CF7B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仿宋"/>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3.1.5</w:t>
      </w:r>
      <w:r>
        <w:rPr>
          <w:rFonts w:hint="eastAsia" w:ascii="Times New Roman" w:hAnsi="Times New Roman" w:eastAsia="宋体" w:cs="仿宋"/>
          <w:color w:val="auto"/>
          <w:sz w:val="24"/>
          <w:szCs w:val="24"/>
          <w:highlight w:val="none"/>
          <w:lang w:val="en-US" w:eastAsia="zh-CN"/>
        </w:rPr>
        <w:t xml:space="preserve"> 影响城镇内涝的因素有多种，例如低洼区域雨水口位置不合理、数量不够、排水管渠容量不足、落叶和垃圾堵塞雨水口或施工造成的雨水口和管渠损坏都可能引发内涝。如果城镇排水管渠系统设计重现期不高，排水能力有限，不一定能满足内涝防治设计重现期下的排涝需求。为确保城镇安全，需评估内涝防治设计重现期下相应评估单元的内涝风险。此外，同一评估区域在不同的内涝防治设计重现期下的评估结果也会不同，因此，城镇内涝风险评估工作及相应的评估报告应首先明确具体选用的内涝防治设计重现期。</w:t>
      </w:r>
    </w:p>
    <w:p w14:paraId="047CFD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仿宋"/>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1</w:t>
      </w:r>
      <w:r>
        <w:rPr>
          <w:rFonts w:hint="eastAsia" w:ascii="Times New Roman" w:hAnsi="Times New Roman" w:eastAsia="宋体" w:cs="仿宋"/>
          <w:color w:val="auto"/>
          <w:sz w:val="24"/>
          <w:szCs w:val="24"/>
          <w:highlight w:val="none"/>
          <w:lang w:val="en-US" w:eastAsia="zh-CN"/>
        </w:rPr>
        <w:t xml:space="preserve"> 近几年极端天气与气候事件频发，一场极端暴雨就有可能改变之前某重现期下的设计雨量，故对于有实测资料的地区，不同重现期的设计雨量应根据当地实测降雨资料成果统计分析确定，不同重现期的设计雨型亦应根据各地实测降雨资料成果统计分析得到。本标准的内涝防治设计重现期根据《城镇内涝防治技术规范》GB 51222和《室外排水设计标准》GB 50014相关要求制定。</w:t>
      </w:r>
    </w:p>
    <w:p w14:paraId="7EF6EA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仿宋"/>
          <w:color w:val="auto"/>
          <w:sz w:val="24"/>
          <w:szCs w:val="24"/>
          <w:highlight w:val="none"/>
          <w:lang w:val="en-US" w:eastAsia="zh-CN"/>
        </w:rPr>
      </w:pPr>
      <w:r>
        <w:rPr>
          <w:rFonts w:hint="eastAsia" w:ascii="Times New Roman" w:hAnsi="Times New Roman" w:eastAsia="宋体" w:cs="仿宋"/>
          <w:color w:val="auto"/>
          <w:sz w:val="24"/>
          <w:szCs w:val="24"/>
          <w:highlight w:val="none"/>
          <w:lang w:val="en-US" w:eastAsia="zh-CN"/>
        </w:rPr>
        <w:t>有条件地区宜增设历史典型暴雨雨型评估内涝风险。基于典型雨型的内涝风险评估，进行情景分析，探讨气候变化背景下极端降雨事件增加的可能影响。据此制定或调整城市排水系统改造、绿地建设、雨水管理等适应性规划措施以降低未来内涝风险。</w:t>
      </w:r>
    </w:p>
    <w:p w14:paraId="78DA38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仿宋"/>
          <w:color w:val="auto"/>
          <w:sz w:val="24"/>
          <w:szCs w:val="24"/>
          <w:highlight w:val="none"/>
          <w:lang w:val="en-US" w:eastAsia="zh-CN"/>
        </w:rPr>
      </w:pPr>
      <w:r>
        <w:rPr>
          <w:rFonts w:hint="eastAsia" w:ascii="Times New Roman" w:hAnsi="Times New Roman" w:eastAsia="宋体" w:cs="仿宋"/>
          <w:color w:val="auto"/>
          <w:sz w:val="24"/>
          <w:szCs w:val="24"/>
          <w:highlight w:val="none"/>
          <w:lang w:val="en-US" w:eastAsia="zh-CN"/>
        </w:rPr>
        <w:t>本标准根据第七次人口普查地区人口量划分城镇类型，后续地区人口变化引起城镇类型变化，以国家发布的消息为准。</w:t>
      </w:r>
    </w:p>
    <w:p w14:paraId="73FEEB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 xml:space="preserve">2 </w:t>
      </w:r>
      <w:r>
        <w:rPr>
          <w:rFonts w:hint="eastAsia" w:ascii="Times New Roman" w:hAnsi="Times New Roman" w:eastAsia="宋体" w:cs="仿宋"/>
          <w:color w:val="auto"/>
          <w:sz w:val="24"/>
          <w:szCs w:val="24"/>
          <w:highlight w:val="none"/>
          <w:lang w:val="en-US" w:eastAsia="zh-CN"/>
        </w:rPr>
        <w:t>本条规定雨水管渠设计重现期的选用范围。城镇雨水管渠的建设是为了减少暴雨对城镇造成的灾害损失，理论上，重现期取值越高，雨水管渠的投入越大，灾害损失相对越小，但过高的资金投入显然不太合适。有条件的城镇可采取损益分析法，即通过不同重现期下雨水管渠投资与设施服务年限范围内内涝损失之和最小化，来确定合适的雨水管渠设计重现期，但根据损益分析法确定的重现期不得低于本规定的下限。执行时，雨水管渠应按满管、无压计算。</w:t>
      </w:r>
    </w:p>
    <w:p w14:paraId="2BD3AF5E">
      <w:pPr>
        <w:pStyle w:val="4"/>
        <w:spacing w:beforeLines="0" w:after="156" w:afterLines="50"/>
        <w:jc w:val="center"/>
        <w:rPr>
          <w:rFonts w:hint="default" w:ascii="Times New Roman" w:hAnsi="Times New Roman" w:eastAsia="宋体" w:cs="宋体"/>
          <w:color w:val="000000" w:themeColor="text1"/>
          <w:sz w:val="28"/>
          <w:szCs w:val="28"/>
          <w:lang w:val="en-US"/>
          <w14:textFill>
            <w14:solidFill>
              <w14:schemeClr w14:val="tx1"/>
            </w14:solidFill>
          </w14:textFill>
        </w:rPr>
      </w:pPr>
      <w:bookmarkStart w:id="148" w:name="_Toc21924"/>
      <w:bookmarkStart w:id="149" w:name="_Toc3344"/>
      <w:bookmarkStart w:id="150" w:name="_Toc6896"/>
      <w:bookmarkStart w:id="151" w:name="_Toc11802"/>
      <w:bookmarkStart w:id="152" w:name="_Toc4235"/>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2 </w:t>
      </w:r>
      <w:bookmarkEnd w:id="148"/>
      <w:bookmarkEnd w:id="149"/>
      <w:bookmarkEnd w:id="150"/>
      <w:bookmarkEnd w:id="151"/>
      <w:r>
        <w:rPr>
          <w:rFonts w:hint="eastAsia" w:ascii="Times New Roman" w:hAnsi="Times New Roman" w:eastAsia="宋体" w:cs="宋体"/>
          <w:color w:val="000000" w:themeColor="text1"/>
          <w:sz w:val="28"/>
          <w:szCs w:val="28"/>
          <w:lang w:val="en-US" w:eastAsia="zh-CN"/>
          <w14:textFill>
            <w14:solidFill>
              <w14:schemeClr w14:val="tx1"/>
            </w14:solidFill>
          </w14:textFill>
        </w:rPr>
        <w:t>工作程序</w:t>
      </w:r>
      <w:bookmarkEnd w:id="152"/>
    </w:p>
    <w:p w14:paraId="5631FB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3.2.1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主要规定了城镇内涝风险评估及治理工作的一般工作程序。对于中心城区重要区域，必要时可补充检测、监测作为评估依据；采用数学模型法进行内涝风险评估时，可通过必要的监测数据进行模型率定。</w:t>
      </w:r>
    </w:p>
    <w:p w14:paraId="4E099E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3.2.2</w:t>
      </w:r>
      <w:r>
        <w:rPr>
          <w:rFonts w:hint="eastAsia" w:ascii="Times New Roman" w:hAnsi="Times New Roman" w:eastAsia="宋体" w:cs="仿宋"/>
          <w:b w:val="0"/>
          <w:bCs w:val="0"/>
          <w:strike w:val="0"/>
          <w:dstrike w:val="0"/>
          <w:color w:val="auto"/>
          <w:sz w:val="24"/>
          <w:szCs w:val="24"/>
          <w:lang w:val="en-US" w:eastAsia="zh-CN"/>
        </w:rPr>
        <w:t xml:space="preserve"> 城镇内涝风险评估工作应基于相对固定的评估区域开展，宜依据流域特征、排水分区特征等科学、合理划分评估单元。</w:t>
      </w:r>
    </w:p>
    <w:p w14:paraId="40CAD001">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河流的集水区域，称之为流域。地面高低不平，当地形向两侧倾斜时，降落到地面的雨水分别向两侧流动，雨水分别汇集到不同的河流中去。这一地形上的脊线起着分水的作用，称为分水线或称分水岭。分水线是流域的边界线，可根据地形图勾绘，它一般通过山岭脊背的高处。</w:t>
      </w:r>
    </w:p>
    <w:p w14:paraId="571ED63A">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每条较大的流域根据其水系等级可分成数个小流域，小流域又可分成更小的流域，流域内又根据其排水排涝的要求划分了一级排水分区和二级排水分区，内涝风险评估应根据所研究或评估的城镇地理位置、城区类型、气候条件、范围、面积等因素选择合适的排水分区进行。此外，《城镇内涝防治技术规范》GB 51222中明确了当评估区域跨行政区划时，不应以行政区划作为界限。</w:t>
      </w:r>
    </w:p>
    <w:p w14:paraId="32B0E8B1">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本标准中城区类型的划分主要参考当前国土空间规划的划分方式以及《室外排水设计标准》GB 50014的相关规定。即将城区类型划分为中心城区重要地区、中心城区、非中心城区。中心城区是以城镇主城区为主体，包括邻近各功能组团以及需要加强土地用途管制的空间区域，是城镇的政治、经济、文化中心；非中心城区是城镇内除中心城区以外的区域；中心城区重要地区主要指行政中心、交通枢纽、学校、医院、商业聚集区及重要市政基础设施。</w:t>
      </w:r>
    </w:p>
    <w:p w14:paraId="39D30899">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划分斑块状单元及连片状单元的主要目的是使本标准的评估范围既适用中心城区、非中心城区等呈连续、区域性的大型评估单元的内涝风险评估，也适用中心城区重要地区，隧道、道路、建构筑物等呈离散、斑块状的小型评估单元内涝风险评估。</w:t>
      </w:r>
    </w:p>
    <w:p w14:paraId="7E8F3A0A">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生命线工程”主要是指维持城市生存功能系统和对国计民生有重大影响的工程，主要包括供水、排水系统的工程；电力、燃气及石油管线等能源供给系统的工程；电话和广播电视等情报通信系统的工程；大型医疗系统的工程以及公路、铁路等交通系统的工程等。研究“生命线工程”的基本目标是实现生命线工程的抗灾设计与智能化控制。</w:t>
      </w:r>
    </w:p>
    <w:p w14:paraId="08017C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3.2.3</w:t>
      </w:r>
      <w:r>
        <w:rPr>
          <w:rFonts w:hint="eastAsia" w:ascii="Times New Roman" w:hAnsi="Times New Roman" w:eastAsia="宋体" w:cs="仿宋"/>
          <w:b w:val="0"/>
          <w:bCs w:val="0"/>
          <w:strike w:val="0"/>
          <w:dstrike w:val="0"/>
          <w:color w:val="auto"/>
          <w:sz w:val="24"/>
          <w:szCs w:val="24"/>
          <w:lang w:val="en-US" w:eastAsia="zh-CN"/>
        </w:rPr>
        <w:t xml:space="preserve"> 规定了现场情况调查和资料收集的主要内容。</w:t>
      </w:r>
    </w:p>
    <w:p w14:paraId="5DC86E30">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采用数学模型法进行内涝风险评估时，模型参数主要分为确定性参数和不确定性参数。确定性参数可以直接获取或通过GIS工具间接提取，例如集水区面积、管道长度、管径、管道起点和终点及其埋深可以通过管网测绘数据获得；检查井的地面高程、集水区的坡度与不透水率等属性信息通过GIS统计计算方法获得。不确定性参数无法直接测量，主要通过相关文献、模型手册中的经验值进行获取，例如管道的粗糙系数、不同集水区的地表渗透参数、地表洼地蓄积量和污染物的累积与冲刷参数等。这类参数需要在模型参数识别过程中，基于模拟值和监测值之间的差异进行调整优化，使模型更为真实地描述现实排水规律。</w:t>
      </w:r>
    </w:p>
    <w:p w14:paraId="364904A4">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对于斑块状的评估单元，当无法通过图纸、GIS等信息直接获取地面高程数据时，可通过三维激光扫描的方式获取。</w:t>
      </w:r>
    </w:p>
    <w:p w14:paraId="6C4365B5">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管渠检测对内涝风险评估的准确性和可靠性至关重要。因此，中心城区重要地区开展内涝风险评估应提供现状排水管道、暗渠的检测报告；其他区域开展内涝风险评估宜提供现状排水管道、暗渠的检测报告。</w:t>
      </w:r>
    </w:p>
    <w:p w14:paraId="15C670CA">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运维资料主要包括附属构筑物的类型及参数，例如泵站、泵房、闸门等的运行模式、切换原则、养护记录、运行日志等资料。</w:t>
      </w:r>
    </w:p>
    <w:p w14:paraId="08D7ED44">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资料具体要求可参照《城市内涝风险普查技术规范》GB/T39195规范的相关要求。</w:t>
      </w:r>
    </w:p>
    <w:p w14:paraId="7A70C58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3.2.4</w:t>
      </w:r>
      <w:r>
        <w:rPr>
          <w:rFonts w:hint="eastAsia" w:ascii="Times New Roman" w:hAnsi="Times New Roman" w:eastAsia="宋体" w:cs="仿宋"/>
          <w:b w:val="0"/>
          <w:bCs w:val="0"/>
          <w:strike w:val="0"/>
          <w:dstrike w:val="0"/>
          <w:color w:val="auto"/>
          <w:sz w:val="24"/>
          <w:szCs w:val="24"/>
          <w:lang w:val="en-US" w:eastAsia="zh-CN"/>
        </w:rPr>
        <w:t xml:space="preserve"> 浙江省工程建设标准《城镇内涝防治技术标准》DB 33/T 1109以及河北省工程建设地方标准《城镇内涝防治技术标准》DB 13(J)/T 8438将内涝风险等级分为低、中、高三个风险等级；《广州市防洪排涝系统建设标准指引》将城市内涝分为积水、内涝、严重内涝三个等级；《广州市城市开发建设项目海绵城市建设——洪涝安全评估技术指引（试行）》将城市建设用地洪涝风险等级分为低、中、高三个风险等级；《广州市城镇内涝等级划分标准（2022版）》将城镇内涝分为轻度内涝、中度内涝、重度内涝三个等级。</w:t>
      </w:r>
    </w:p>
    <w:p w14:paraId="757D818D">
      <w:pPr>
        <w:spacing w:line="360" w:lineRule="auto"/>
        <w:ind w:firstLine="480"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val="0"/>
          <w:bCs w:val="0"/>
          <w:strike w:val="0"/>
          <w:dstrike w:val="0"/>
          <w:color w:val="auto"/>
          <w:sz w:val="24"/>
          <w:szCs w:val="24"/>
          <w:lang w:val="en-US" w:eastAsia="zh-CN"/>
        </w:rPr>
        <w:t>综上，参照浙江、河北、北京、上海、天津、武汉、香港等地以及广州市的划分标准，本标准将城镇斑块状评估单元的内涝风险等级划分为低风险、中风险、高风险三个等级。</w:t>
      </w:r>
    </w:p>
    <w:p w14:paraId="1F1487E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3.2.5</w:t>
      </w:r>
      <w:r>
        <w:rPr>
          <w:rFonts w:hint="eastAsia" w:ascii="Times New Roman" w:hAnsi="Times New Roman" w:eastAsia="宋体" w:cs="仿宋"/>
          <w:b w:val="0"/>
          <w:bCs w:val="0"/>
          <w:strike w:val="0"/>
          <w:dstrike w:val="0"/>
          <w:color w:val="auto"/>
          <w:sz w:val="24"/>
          <w:szCs w:val="24"/>
          <w:lang w:val="en-US" w:eastAsia="zh-CN"/>
        </w:rPr>
        <w:t xml:space="preserve"> 连片状评估单元面积一般比较大，不能简单地将其按照斑块状评估单元的评估方式进行划分。本条规定，根据连片状评估单元的特征先将其细分为不同斑块状单元，各斑块内的内涝风险等级按照3.2.4的规定进行评定，然后以数理统计的形式统计该连片状评估单元内包含的各斑块状评估单元的风险等级、风险点数量、面积等信息，最后进行该连片状评估单元的风险区划。</w:t>
      </w:r>
    </w:p>
    <w:p w14:paraId="5110B3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3.2.7</w:t>
      </w:r>
      <w:r>
        <w:rPr>
          <w:rFonts w:hint="eastAsia" w:ascii="Times New Roman" w:hAnsi="Times New Roman" w:eastAsia="宋体" w:cs="仿宋"/>
          <w:b w:val="0"/>
          <w:bCs w:val="0"/>
          <w:strike w:val="0"/>
          <w:dstrike w:val="0"/>
          <w:color w:val="auto"/>
          <w:sz w:val="24"/>
          <w:szCs w:val="24"/>
          <w:lang w:val="en-US" w:eastAsia="zh-CN"/>
        </w:rPr>
        <w:t xml:space="preserve"> 城镇内涝风险评估报告为独立文件，应保证依据充分、过程清晰、结论明确，其深度要求应能作为指导下一步开展风险应对和内涝治理的基础。</w:t>
      </w:r>
    </w:p>
    <w:p w14:paraId="078778EC">
      <w:pPr>
        <w:spacing w:line="360" w:lineRule="auto"/>
        <w:ind w:firstLine="482" w:firstLineChars="200"/>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5</w:t>
      </w:r>
      <w:r>
        <w:rPr>
          <w:rFonts w:hint="eastAsia" w:ascii="Times New Roman" w:hAnsi="Times New Roman" w:eastAsia="宋体" w:cs="仿宋"/>
          <w:b w:val="0"/>
          <w:bCs w:val="0"/>
          <w:strike w:val="0"/>
          <w:dstrike w:val="0"/>
          <w:color w:val="auto"/>
          <w:sz w:val="24"/>
          <w:szCs w:val="24"/>
          <w:lang w:val="en-US" w:eastAsia="zh-CN"/>
        </w:rPr>
        <w:t xml:space="preserve"> 资料不全时，水力模型可适当简化；历史灾情法进行内涝风险评估时，无需水力模型。</w:t>
      </w:r>
    </w:p>
    <w:p w14:paraId="7E5BF1C4">
      <w:pPr>
        <w:spacing w:line="360" w:lineRule="auto"/>
        <w:ind w:firstLine="482" w:firstLineChars="200"/>
        <w:rPr>
          <w:rFonts w:hint="default"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8</w:t>
      </w:r>
      <w:r>
        <w:rPr>
          <w:rFonts w:hint="eastAsia" w:ascii="Times New Roman" w:hAnsi="Times New Roman" w:eastAsia="宋体" w:cs="仿宋"/>
          <w:b w:val="0"/>
          <w:bCs w:val="0"/>
          <w:strike w:val="0"/>
          <w:dstrike w:val="0"/>
          <w:color w:val="auto"/>
          <w:sz w:val="24"/>
          <w:szCs w:val="24"/>
          <w:lang w:val="en-US" w:eastAsia="zh-CN"/>
        </w:rPr>
        <w:t xml:space="preserve"> 一般情况下，报告应附内涝风险图。条件具备的，应基于地理信息系统（GIS）生成表达风险评估结果的电子地图。</w:t>
      </w:r>
    </w:p>
    <w:p w14:paraId="51F3800A">
      <w:pPr>
        <w:pStyle w:val="4"/>
        <w:spacing w:beforeLines="0" w:after="156" w:afterLines="50"/>
        <w:jc w:val="center"/>
        <w:rPr>
          <w:rFonts w:hint="default" w:ascii="Times New Roman" w:hAnsi="Times New Roman" w:eastAsia="宋体" w:cs="宋体"/>
          <w:color w:val="000000" w:themeColor="text1"/>
          <w:sz w:val="28"/>
          <w:szCs w:val="28"/>
          <w:highlight w:val="none"/>
          <w:lang w:val="en-US" w:eastAsia="zh-CN"/>
          <w14:textFill>
            <w14:solidFill>
              <w14:schemeClr w14:val="tx1"/>
            </w14:solidFill>
          </w14:textFill>
        </w:rPr>
      </w:pPr>
      <w:bookmarkStart w:id="153" w:name="_Toc28783"/>
      <w:bookmarkStart w:id="154" w:name="_Toc31436"/>
      <w:bookmarkStart w:id="155" w:name="_Toc1375"/>
      <w:bookmarkStart w:id="156" w:name="_Toc30588"/>
      <w:bookmarkStart w:id="157" w:name="_Toc5905"/>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3.3 设计</w:t>
      </w:r>
      <w:bookmarkEnd w:id="153"/>
      <w:bookmarkEnd w:id="154"/>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流量计算</w:t>
      </w:r>
      <w:bookmarkEnd w:id="155"/>
      <w:bookmarkEnd w:id="156"/>
      <w:bookmarkEnd w:id="157"/>
    </w:p>
    <w:p w14:paraId="60AC0E3B">
      <w:pPr>
        <w:spacing w:line="360" w:lineRule="auto"/>
        <w:rPr>
          <w:rFonts w:hint="eastAsia" w:ascii="Times New Roman" w:hAnsi="Times New Roman" w:eastAsia="宋体" w:cs="仿宋"/>
          <w:b w:val="0"/>
          <w:bCs w:val="0"/>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3.3.1</w:t>
      </w:r>
      <w:r>
        <w:rPr>
          <w:rFonts w:hint="eastAsia" w:ascii="Times New Roman" w:hAnsi="Times New Roman" w:eastAsia="仿宋" w:cs="仿宋"/>
          <w:b/>
          <w:bCs/>
          <w:color w:val="auto"/>
          <w:sz w:val="24"/>
          <w:szCs w:val="24"/>
          <w:highlight w:val="none"/>
          <w:lang w:val="en-US" w:eastAsia="zh-CN"/>
        </w:rPr>
        <w:t xml:space="preserve"> </w:t>
      </w:r>
      <w:r>
        <w:rPr>
          <w:rFonts w:hint="eastAsia" w:ascii="Times New Roman" w:hAnsi="Times New Roman" w:eastAsia="宋体" w:cs="仿宋"/>
          <w:b w:val="0"/>
          <w:bCs w:val="0"/>
          <w:strike w:val="0"/>
          <w:dstrike w:val="0"/>
          <w:color w:val="auto"/>
          <w:sz w:val="24"/>
          <w:szCs w:val="24"/>
          <w:lang w:val="en-US" w:eastAsia="zh-CN"/>
        </w:rPr>
        <w:t>设计暴雨采用的设计雨量、设计雨型宜根据实测降雨资料分析确定并宜对取样进行一致性和代表性分析，对统计参数、设计成果等进行合理性分析和频率计算。长历时设计暴雨计算资料应搜集当地不少于30年的长历时降雨资料，若雨量资料少于30年，应对资料进行插补展延；短历时暴雨雨量资料不宜少于20年。</w:t>
      </w:r>
    </w:p>
    <w:p w14:paraId="28ACDA2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auto"/>
          <w:sz w:val="24"/>
          <w:szCs w:val="24"/>
          <w:highlight w:val="none"/>
          <w:lang w:val="en-US" w:eastAsia="zh-CN"/>
        </w:rPr>
        <w:t>3.3</w:t>
      </w:r>
      <w:r>
        <w:rPr>
          <w:rFonts w:hint="eastAsia" w:ascii="Times New Roman" w:hAnsi="Times New Roman" w:eastAsia="仿宋" w:cs="仿宋"/>
          <w:b/>
          <w:bCs/>
          <w:color w:val="auto"/>
          <w:sz w:val="24"/>
          <w:szCs w:val="24"/>
          <w:highlight w:val="none"/>
          <w:lang w:eastAsia="zh-CN"/>
        </w:rPr>
        <w:t>.</w:t>
      </w:r>
      <w:r>
        <w:rPr>
          <w:rFonts w:hint="eastAsia" w:ascii="Times New Roman" w:hAnsi="Times New Roman" w:eastAsia="仿宋" w:cs="仿宋"/>
          <w:b/>
          <w:bCs/>
          <w:color w:val="auto"/>
          <w:sz w:val="24"/>
          <w:szCs w:val="24"/>
          <w:highlight w:val="none"/>
          <w:lang w:val="en-US" w:eastAsia="zh-CN"/>
        </w:rPr>
        <w:t xml:space="preserve">2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长历时降雨设计雨量计算方法：可采用当地水务部门计算成果或采用广东省水文手册推荐的基础数据，按照当地水利部门推荐雨型、最大长历时（24h）降雨过程线样本系列，采用同频率分析法计算确定。</w:t>
      </w:r>
    </w:p>
    <w:p w14:paraId="236C4DEE">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短历时设计暴雨量计算方法：可采用各地区暴雨强度公式计算得出，雨型可采用芝加哥雨型，芝加哥雨型雨峰位置参数r可根据区域降雨统计特征确定，根据设计降雨采样资料计算求得。</w:t>
      </w:r>
    </w:p>
    <w:p w14:paraId="29CFE060">
      <w:pPr>
        <w:spacing w:line="360" w:lineRule="auto"/>
        <w:ind w:left="0" w:leftChars="0" w:firstLine="0" w:firstLineChars="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auto"/>
          <w:sz w:val="24"/>
          <w:szCs w:val="24"/>
          <w:highlight w:val="none"/>
          <w:lang w:val="en-US" w:eastAsia="zh-CN"/>
        </w:rPr>
        <w:t xml:space="preserve">3.3.3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根据水文计算原理，设计暴雨总历时不应小于城市汇流时间。城镇汇流时间主要取决于城市下垫面特性，包括汇水面积、地面坡度、土地利用性质、河湖调蓄容积等，一般不会超过24h。进行内涝防治设计重现期校核时，由于需要计算渗透、调蓄等设施对雨水的滞蓄作用，因此宜采用较长历时降雨，应考虑降雨历程，即雨型的影响。对于汇水范围小的区域，降雨通常在1h～2h内发生，汇流及排水时间在2h～4h内，内涝及排水基本在3h～6h内发生和结束，在部分山区城市和部分易涝积水点，内涝发生和结束的时间更短。</w:t>
      </w:r>
    </w:p>
    <w:p w14:paraId="50A1707E">
      <w:pPr>
        <w:spacing w:line="360" w:lineRule="auto"/>
        <w:ind w:firstLine="480"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短历时设计暴雨历时通常取2h-3h，长历时降雨分为6h、12h、24h，地市平坦地区可选择24h降雨历时，坡度大的地区，可依据当地实际情况，选择6h或12h的降雨历时。</w:t>
      </w:r>
    </w:p>
    <w:p w14:paraId="0B5745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auto"/>
          <w:sz w:val="24"/>
          <w:szCs w:val="24"/>
          <w:highlight w:val="none"/>
          <w:lang w:val="en-US" w:eastAsia="zh-CN"/>
        </w:rPr>
        <w:t>3.3</w:t>
      </w:r>
      <w:r>
        <w:rPr>
          <w:rFonts w:hint="eastAsia" w:ascii="Times New Roman" w:hAnsi="Times New Roman" w:eastAsia="仿宋" w:cs="仿宋"/>
          <w:b/>
          <w:bCs/>
          <w:color w:val="auto"/>
          <w:sz w:val="24"/>
          <w:szCs w:val="24"/>
          <w:highlight w:val="none"/>
          <w:lang w:eastAsia="zh-CN"/>
        </w:rPr>
        <w:t>.</w:t>
      </w:r>
      <w:r>
        <w:rPr>
          <w:rFonts w:hint="eastAsia" w:ascii="Times New Roman" w:hAnsi="Times New Roman" w:eastAsia="仿宋" w:cs="仿宋"/>
          <w:b/>
          <w:bCs/>
          <w:color w:val="auto"/>
          <w:sz w:val="24"/>
          <w:szCs w:val="24"/>
          <w:highlight w:val="none"/>
          <w:lang w:val="en-US" w:eastAsia="zh-CN"/>
        </w:rPr>
        <w:t xml:space="preserve">4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一般情况下，典型雨型的选取原则为：典型暴雨过程应在暴雨特性一致的气候区内选择有代表性的面雨量过程，若资料不足且区域面积不大时，也可以由点暴雨量过程来代替，通常选取出现机会多、雨量集中并尽可能接近设计暴雨量的雨型。</w:t>
      </w:r>
    </w:p>
    <w:p w14:paraId="1A8660EE">
      <w:pPr>
        <w:spacing w:line="360" w:lineRule="auto"/>
        <w:ind w:firstLine="480"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目前我国许多城镇和地区尚未建立设计雨型，特别是缺乏对长历时降雨资料的总结。同频率法一种是针对若干指定设计时段采用不同的倍比对典型暴雨过程进行缩放的计算方法，同倍比放大法和同频率放大法在我国的水利领域应用较广，目前北京等城市已据此建立了24h设计雨型。</w:t>
      </w:r>
    </w:p>
    <w:p w14:paraId="18259AA6">
      <w:pPr>
        <w:spacing w:line="360" w:lineRule="auto"/>
        <w:ind w:firstLine="480" w:firstLineChars="200"/>
        <w:rPr>
          <w:rFonts w:hint="eastAsia" w:ascii="Times New Roman" w:hAnsi="Times New Roman" w:eastAsia="宋体" w:cs="宋体"/>
          <w:b w:val="0"/>
          <w:bCs/>
          <w:strike w:val="0"/>
          <w:dstrike w:val="0"/>
          <w:color w:val="auto"/>
          <w:sz w:val="24"/>
          <w:szCs w:val="24"/>
          <w:highlight w:val="none"/>
          <w:lang w:val="en-US" w:eastAsia="zh-CN"/>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当设计降雨历时较短（小于3h）时，可参考当地的暴雨强度公式，人工合成雨型。一般常用的设计雨型有芝加哥雨型、均匀雨型、Huff、Yen和Chou雨型及三角形雨型等。研究结果表明，我国雨强大且均匀的降雨所占比例较小，双峰或多峰的雨型也比较少，单峰降雨中雨峰在后部的也较少。芝加哥雨型是根据强度-历时-频率关系得出的一种不均匀雨型，目前被国内外广泛采用，故本标准推荐芝加哥雨型作为短历时设计降雨雨型。</w:t>
      </w:r>
    </w:p>
    <w:p w14:paraId="14724E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Theme="minorEastAsia" w:cstheme="minorEastAsia"/>
          <w:color w:val="000000" w:themeColor="text1"/>
          <w:sz w:val="24"/>
          <w:szCs w:val="24"/>
          <w:highlight w:val="none"/>
          <w:lang w:val="en-US" w:eastAsia="zh-CN"/>
          <w14:textFill>
            <w14:solidFill>
              <w14:schemeClr w14:val="tx1"/>
            </w14:solidFill>
          </w14:textFill>
        </w:rPr>
      </w:pPr>
    </w:p>
    <w:p w14:paraId="0EDE4C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Theme="minorEastAsia" w:cstheme="minorEastAsia"/>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88AA34B">
      <w:pPr>
        <w:pStyle w:val="2"/>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158" w:name="_Toc11445"/>
      <w:bookmarkStart w:id="159" w:name="_Toc28094"/>
      <w:bookmarkStart w:id="160" w:name="_Toc16538"/>
      <w:bookmarkStart w:id="161" w:name="_Toc18414"/>
      <w:bookmarkStart w:id="162" w:name="_Toc2866"/>
      <w:r>
        <w:rPr>
          <w:rFonts w:hint="eastAsia" w:ascii="Times New Roman" w:hAnsi="Times New Roman" w:eastAsia="宋体" w:cs="宋体"/>
          <w:color w:val="000000" w:themeColor="text1"/>
          <w:sz w:val="32"/>
          <w:szCs w:val="32"/>
          <w:lang w:val="en-US" w:eastAsia="zh-CN"/>
          <w14:textFill>
            <w14:solidFill>
              <w14:schemeClr w14:val="tx1"/>
            </w14:solidFill>
          </w14:textFill>
        </w:rPr>
        <w:t>4 内涝风险评估</w:t>
      </w:r>
      <w:bookmarkEnd w:id="158"/>
      <w:bookmarkEnd w:id="159"/>
      <w:bookmarkEnd w:id="160"/>
      <w:bookmarkEnd w:id="161"/>
      <w:bookmarkEnd w:id="162"/>
    </w:p>
    <w:p w14:paraId="05F64B36">
      <w:pPr>
        <w:pStyle w:val="4"/>
        <w:spacing w:beforeLines="0" w:after="156" w:afterLines="50"/>
        <w:jc w:val="center"/>
        <w:rPr>
          <w:rFonts w:hint="eastAsia" w:ascii="Times New Roman" w:hAnsi="Times New Roman" w:eastAsia="宋体" w:cs="宋体"/>
          <w:color w:val="000000" w:themeColor="text1"/>
          <w:sz w:val="28"/>
          <w:szCs w:val="28"/>
          <w14:textFill>
            <w14:solidFill>
              <w14:schemeClr w14:val="tx1"/>
            </w14:solidFill>
          </w14:textFill>
        </w:rPr>
      </w:pPr>
      <w:bookmarkStart w:id="163" w:name="_Toc11814"/>
      <w:bookmarkStart w:id="164" w:name="_Toc5153"/>
      <w:bookmarkStart w:id="165" w:name="_Toc14714"/>
      <w:bookmarkStart w:id="166" w:name="_Toc16421"/>
      <w:bookmarkStart w:id="167" w:name="_Toc11150"/>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163"/>
      <w:bookmarkEnd w:id="164"/>
      <w:bookmarkEnd w:id="165"/>
      <w:bookmarkEnd w:id="166"/>
      <w:bookmarkEnd w:id="167"/>
    </w:p>
    <w:p w14:paraId="22FA44D0">
      <w:pPr>
        <w:spacing w:line="360" w:lineRule="auto"/>
        <w:rPr>
          <w:rFonts w:hint="default" w:ascii="Times New Roman" w:hAnsi="Times New Roman" w:eastAsia="宋体" w:cs="宋体"/>
          <w:color w:val="auto"/>
          <w:sz w:val="24"/>
          <w:szCs w:val="24"/>
          <w:lang w:val="en-US" w:eastAsia="zh-CN"/>
        </w:rPr>
      </w:pPr>
      <w:r>
        <w:rPr>
          <w:rFonts w:hint="eastAsia" w:ascii="Times New Roman" w:hAnsi="Times New Roman" w:eastAsia="宋体" w:cs="仿宋"/>
          <w:b/>
          <w:bCs/>
          <w:color w:val="auto"/>
          <w:sz w:val="24"/>
          <w:szCs w:val="24"/>
          <w:highlight w:val="none"/>
          <w:lang w:val="en-US" w:eastAsia="zh-CN"/>
        </w:rPr>
        <w:t>4.1.1</w:t>
      </w:r>
      <w:r>
        <w:rPr>
          <w:rFonts w:hint="eastAsia" w:ascii="Times New Roman" w:hAnsi="Times New Roman" w:eastAsia="宋体" w:cs="仿宋"/>
          <w:color w:val="auto"/>
          <w:sz w:val="24"/>
          <w:szCs w:val="24"/>
          <w:highlight w:val="none"/>
          <w:lang w:val="en-US" w:eastAsia="zh-CN"/>
        </w:rPr>
        <w:t xml:space="preserve"> </w:t>
      </w:r>
      <w:r>
        <w:rPr>
          <w:rFonts w:hint="eastAsia" w:ascii="Times New Roman" w:hAnsi="Times New Roman" w:eastAsia="宋体" w:cs="宋体"/>
          <w:color w:val="auto"/>
          <w:sz w:val="24"/>
          <w:szCs w:val="24"/>
          <w:lang w:val="en-US" w:eastAsia="zh-CN"/>
        </w:rPr>
        <w:t>目前，城镇内涝风险评估尚处在研究与探索中，评估的方法也很多，但用的较多的主要有数学模型法、历史灾情法、指标体系法和洼地识别法。本标准的评估体系主要是从积水深度、积水时间、积水范围、水流速度四因素构建，宜采用数学模型法和历史灾情法，不宜采用指标体系法和洼地识别法。</w:t>
      </w:r>
    </w:p>
    <w:p w14:paraId="526AC0F0">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bCs/>
          <w:color w:val="auto"/>
          <w:sz w:val="24"/>
          <w:szCs w:val="24"/>
          <w:lang w:val="en-US" w:eastAsia="zh-CN"/>
        </w:rPr>
        <w:t>1</w:t>
      </w:r>
      <w:r>
        <w:rPr>
          <w:rFonts w:hint="eastAsia" w:ascii="Times New Roman" w:hAnsi="Times New Roman" w:eastAsia="宋体" w:cs="宋体"/>
          <w:color w:val="auto"/>
          <w:sz w:val="24"/>
          <w:szCs w:val="24"/>
          <w:lang w:val="en-US" w:eastAsia="zh-CN"/>
        </w:rPr>
        <w:t xml:space="preserve"> 数学模型法</w:t>
      </w:r>
    </w:p>
    <w:p w14:paraId="061BA7FE">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数学模型法是借助于GIS技术、计算机技术和通讯技术，建立降雨产流模型、汇流模型、一维管网水动力模型、一维河道水动力模型和二维坡面漫流模型，模拟内涝在发生时的情景，是一种高精度、可视化且动态的内涝风险评估方法。数学模型法能直观、高精度地反映一定概率的致灾因子导致灾害事件的影响范围与程度，能高精度地反映灾害风险的空间分布特征。但该方法的不足在于对区域地理资料和排水资料要求高、计算复杂以及工作量大。采用数学模型法时应注意：</w:t>
      </w:r>
    </w:p>
    <w:p w14:paraId="561FF221">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1）应考虑管网出现满管而溢流、河道水位过高顶托管网、河道漫堤等情况，建立地表汇流、管网汇流、河道汇流、地表二维洪水演进等多过程间的耦合，不同过程间互为边界，实时反馈和交换水文（力）要素信息；</w:t>
      </w:r>
    </w:p>
    <w:p w14:paraId="0F334B17">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2）实际工作中，可通过自主开发的方式构建城市洪涝多过程水文水动力学耦合模拟模型，也可使用有关部门和业主单位认可的公开或商业软件进行模型构建。搭建好的模型，应通过实测暴雨洪涝事件的模拟分析对参数进行率定验证，模型精度应符合《水文情报预报规范》GB/T 22482有关要求；</w:t>
      </w:r>
    </w:p>
    <w:p w14:paraId="1A612D47">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3）城镇内涝防治系统数学模型的构建和应用可参考现行中国工程建设标准化协会标准《城镇内涝防治系统数学模型构建和应用规程》T/CECS 647的规定。</w:t>
      </w:r>
    </w:p>
    <w:p w14:paraId="70642E83">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bCs/>
          <w:color w:val="auto"/>
          <w:sz w:val="24"/>
          <w:szCs w:val="24"/>
          <w:lang w:val="en-US" w:eastAsia="zh-CN"/>
        </w:rPr>
        <w:t>2</w:t>
      </w:r>
      <w:r>
        <w:rPr>
          <w:rFonts w:hint="eastAsia" w:ascii="Times New Roman" w:hAnsi="Times New Roman" w:eastAsia="宋体" w:cs="宋体"/>
          <w:color w:val="auto"/>
          <w:sz w:val="24"/>
          <w:szCs w:val="24"/>
          <w:lang w:val="en-US" w:eastAsia="zh-CN"/>
        </w:rPr>
        <w:t xml:space="preserve"> 历史灾情法</w:t>
      </w:r>
    </w:p>
    <w:p w14:paraId="1D7A2AEF">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历史灾情法是基于历史灾情数理统计的内涝灾害评估方法。该方法虽然思路清晰、计算简单，不需要详尽的地理数据，但要求有长时间序列的历史灾情数据资料，一般城镇难以获得。且这种方法评估结果是区域性风险，不能反映灾害风险的空间差异，不适合在小尺度区域的评估。</w:t>
      </w:r>
    </w:p>
    <w:p w14:paraId="49EF9AD6">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根据全省2022年各地市上报的内涝灾害统计情况，剔除其中无内涝的地市数据，共获得19个地市164个内涝点数据。统计数据包括小时降水量、24小时降水量、最大积水深度、最大积水面积、持续时长等。测算过程中，对于处于桥洞、涵洞、立交桥底、下穿隧道的内涝点，其水流速度技术状况值取2，其余均取1；城区类型系数根据内涝点所在位置合理取值。</w:t>
      </w:r>
    </w:p>
    <w:p w14:paraId="32E99FE6">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参与测算的164个内涝点中，高风险74个，占45.1%，中风险89个，占54.3%，低风险1个，占0.6%。所有测算结果均无明显异常偏离，风险等级占比基本符合各地数据上报的实际。表明本标准内涝风险评估体系科学性合理，且具有较强的可操作性。</w:t>
      </w:r>
    </w:p>
    <w:p w14:paraId="3271EE00">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仿宋"/>
          <w:b/>
          <w:bCs/>
          <w:color w:val="auto"/>
          <w:sz w:val="24"/>
          <w:szCs w:val="24"/>
          <w:highlight w:val="none"/>
          <w:lang w:val="en-US" w:eastAsia="zh-CN"/>
        </w:rPr>
        <w:t>4.1.2</w:t>
      </w:r>
      <w:r>
        <w:rPr>
          <w:rFonts w:hint="eastAsia" w:ascii="Times New Roman" w:hAnsi="Times New Roman" w:eastAsia="宋体" w:cs="仿宋"/>
          <w:color w:val="auto"/>
          <w:sz w:val="24"/>
          <w:szCs w:val="24"/>
          <w:highlight w:val="none"/>
          <w:lang w:val="en-US" w:eastAsia="zh-CN"/>
        </w:rPr>
        <w:t xml:space="preserve"> 参照</w:t>
      </w:r>
      <w:r>
        <w:rPr>
          <w:rFonts w:hint="eastAsia" w:ascii="Times New Roman" w:hAnsi="Times New Roman" w:eastAsia="宋体" w:cs="宋体"/>
          <w:b w:val="0"/>
          <w:bCs/>
          <w:color w:val="auto"/>
          <w:sz w:val="24"/>
          <w:szCs w:val="24"/>
          <w:lang w:val="en-US" w:eastAsia="zh-CN"/>
        </w:rPr>
        <w:t>浙江、河北、北京、上海、天津、武汉、香港等地以及广州市的内涝风险评估做法，将</w:t>
      </w:r>
      <w:r>
        <w:rPr>
          <w:rFonts w:hint="eastAsia" w:ascii="Times New Roman" w:hAnsi="Times New Roman" w:eastAsia="宋体" w:cs="宋体"/>
          <w:color w:val="auto"/>
          <w:sz w:val="24"/>
          <w:szCs w:val="24"/>
          <w:lang w:val="en-US" w:eastAsia="zh-CN"/>
        </w:rPr>
        <w:t>积水深度、积水时间、积水范围作为评价内涝风险的重要影响因子；参照重庆市工程建设标准《山地城市内涝防治技术标准》DBJ50/T-427相关规定，将水流速度纳入内涝风险评级影响因子之一。此外，城镇内涝造成的损失大小也应该作为评价城镇内涝风险等级的重要影响之一，因此根据</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《城镇内涝防治技术规范》GB 51222和《室外排水设计标准》GB 50014对于城镇类型的相关要求，规定了开展城镇内涝风险评估时，应充分考虑城区类型的影响。</w:t>
      </w:r>
    </w:p>
    <w:p w14:paraId="168A2C9E">
      <w:pPr>
        <w:pStyle w:val="4"/>
        <w:spacing w:beforeLines="0" w:after="156" w:afterLines="50"/>
        <w:jc w:val="center"/>
        <w:rPr>
          <w:rFonts w:hint="default" w:ascii="Times New Roman" w:hAnsi="Times New Roman" w:eastAsia="宋体" w:cs="宋体"/>
          <w:color w:val="000000" w:themeColor="text1"/>
          <w:sz w:val="28"/>
          <w:szCs w:val="28"/>
          <w:lang w:val="en-US" w:eastAsia="zh-CN"/>
          <w14:textFill>
            <w14:solidFill>
              <w14:schemeClr w14:val="tx1"/>
            </w14:solidFill>
          </w14:textFill>
        </w:rPr>
      </w:pPr>
      <w:bookmarkStart w:id="168" w:name="_Toc5133"/>
      <w:bookmarkStart w:id="169" w:name="_Toc3371"/>
      <w:bookmarkStart w:id="170" w:name="_Toc958"/>
      <w:bookmarkStart w:id="171" w:name="_Toc12073"/>
      <w:bookmarkStart w:id="172" w:name="_Toc16486"/>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2 评估方法</w:t>
      </w:r>
      <w:bookmarkEnd w:id="168"/>
      <w:bookmarkEnd w:id="169"/>
      <w:bookmarkEnd w:id="170"/>
      <w:bookmarkEnd w:id="171"/>
      <w:bookmarkEnd w:id="172"/>
    </w:p>
    <w:p w14:paraId="12A2467D">
      <w:pPr>
        <w:spacing w:line="360" w:lineRule="auto"/>
        <w:rPr>
          <w:rFonts w:hint="default" w:ascii="Times New Roman" w:hAnsi="Times New Roman" w:eastAsia="宋体" w:cs="仿宋"/>
          <w:b/>
          <w:bCs/>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4.2.1</w:t>
      </w:r>
      <w:r>
        <w:rPr>
          <w:rFonts w:hint="eastAsia" w:ascii="Times New Roman" w:hAnsi="Times New Roman" w:eastAsia="宋体" w:cs="仿宋"/>
          <w:color w:val="auto"/>
          <w:sz w:val="24"/>
          <w:szCs w:val="24"/>
          <w:highlight w:val="none"/>
          <w:lang w:val="en-US" w:eastAsia="zh-CN"/>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当汇水面积大于2km</w:t>
      </w:r>
      <w:r>
        <w:rPr>
          <w:rFonts w:hint="eastAsia" w:ascii="Times New Roman" w:hAnsi="Times New Roman" w:eastAsia="宋体" w:cs="宋体"/>
          <w:b w:val="0"/>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宋体"/>
          <w:b w:val="0"/>
          <w:bCs/>
          <w:color w:val="000000" w:themeColor="text1"/>
          <w:sz w:val="24"/>
          <w:szCs w:val="24"/>
          <w:highlight w:val="none"/>
          <w:vertAlign w:val="baseline"/>
          <w:lang w:val="en-US" w:eastAsia="zh-CN"/>
          <w14:textFill>
            <w14:solidFill>
              <w14:schemeClr w14:val="tx1"/>
            </w14:solidFill>
          </w14:textFill>
        </w:rPr>
        <w:t>时，推理公式法的精度已无法满足要求，应</w:t>
      </w:r>
      <w:r>
        <w:rPr>
          <w:rFonts w:hint="eastAsia" w:ascii="Times New Roman" w:hAnsi="Times New Roman" w:eastAsia="宋体" w:cs="宋体"/>
          <w:color w:val="000000" w:themeColor="text1"/>
          <w:sz w:val="24"/>
          <w:szCs w:val="24"/>
          <w:highlight w:val="none"/>
          <w14:textFill>
            <w14:solidFill>
              <w14:schemeClr w14:val="tx1"/>
            </w14:solidFill>
          </w14:textFill>
        </w:rPr>
        <w:t>采用数学模型法</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进行内涝风险评估。</w:t>
      </w:r>
    </w:p>
    <w:p w14:paraId="0169B322">
      <w:pPr>
        <w:spacing w:line="360" w:lineRule="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4.2.2</w:t>
      </w:r>
      <w:r>
        <w:rPr>
          <w:rFonts w:hint="eastAsia" w:ascii="Times New Roman" w:hAnsi="Times New Roman" w:eastAsia="宋体" w:cs="仿宋"/>
          <w:color w:val="auto"/>
          <w:sz w:val="24"/>
          <w:szCs w:val="24"/>
          <w:highlight w:val="none"/>
          <w:lang w:val="en-US" w:eastAsia="zh-CN"/>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数学模型构建与应用可依据《城镇内涝防治系统数学模型构建与应用规程》T/CECS 647的规定执行。</w:t>
      </w:r>
    </w:p>
    <w:p w14:paraId="27EAFADC">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城镇内涝形成的物理过程可概括为降雨在地表经水文产汇流过程形成管道入流或河道入流，进入管道或河道的径流水体若超过其排水能力会溢出到地表形成地表积水过程。因此，为准确评估城镇内涝风险的分布与等级，需对上述水流交互与演进过程进行定量化的分析计算。</w:t>
      </w:r>
    </w:p>
    <w:p w14:paraId="71B3966E">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传统的经验性水文模型把汇水流域当作黑箱或灰箱系统通过建立流域水量输入与流域出口处径流输出间的经验关系进行汇流计算：水力学方法基于水文过程的物理规律，采用数值算法求解水流运动的质量和动量守恒的偏微分方程，得出详尽的汇流演进过程。</w:t>
      </w:r>
    </w:p>
    <w:p w14:paraId="699E46B8">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降雨径流模型的目的是生成降雨流量过程线（入流流量-时间曲线），为后续的地表产汇流模型、管渠模型或河道模型提供上游边界条件。</w:t>
      </w:r>
    </w:p>
    <w:p w14:paraId="577B7111">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地表汇流水文学计算常用的方法包括推理公式法、等流时线法、瞬时单位线法和非线性水库法；水力学方法的数学模型属于物理性模型，模型参数具有明确的物理意义，主要根据地形和地貌数据经量测和分析获取，结合历史洪水资料进行率定和验证，其计算结果较为准确、可靠。</w:t>
      </w:r>
    </w:p>
    <w:p w14:paraId="3043D996">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地表二维模型通过求解二维圣维南方程较好地模拟水流在二维空间内的物理运动过程，计算可为城镇规划或相关决策提供雨洪水流演进过程中的水力要素值的变化情况。城镇地表二维模型在构建时需要考虑地形和建筑物分布特点、土地利用条件、下垫面透水特性、排水系统运行条件、排水构筑物调度原则、流域产汇流特征等因素。模型概化包括地形概化、网格划分和边界条件设置：地形概化以等高线、高程点、DEM数据等为基础数据通过空间分析工具为模型单元网格设置高程、坡降等地形属性的过程，在城镇区域除考虑自然地形会对地表水流的影响之外，还应对建筑物进行概化处理，利用概化参数模拟水流因受建筑物影响而产生的变向和回水效应；计算网格可分为结构化网格和非结构化网格；广义的模型边界条件包括降雨、流量和水位等，边界条件应结合区域的水文资料和气象资料设置。</w:t>
      </w:r>
    </w:p>
    <w:p w14:paraId="4E8F108F">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管网水流模型可选的求解方法包括扩散波法、运动波法，应用表明扩散波法在多数条件下与动力波的计算结果差异较小，精度高且计算较动力波法简单。运动波法由于忽略了扩散项，其计算的峰值与实际过程不相符，可应用于对精度要求不高的雨水管道汇流演算。城镇排水管道中水流形态可以是无压的非满管流和有压的满管流，管网中的水流在达到设计流量之前，通常为非恒定无压管流，达到设计流量之后便可能出现非恒定有压管流。</w:t>
      </w:r>
    </w:p>
    <w:p w14:paraId="3AD31B1D">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基础资料不完善的城镇，可适当简化模型。</w:t>
      </w:r>
    </w:p>
    <w:p w14:paraId="54901760">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系统整体分析对象包括系统降雨总量、下渗总量、地表径流总量、蓄水总量、蒸发总量、积水点个数等；集水区分析对象包括集水区降雨量、下渗量、径流量、蓄水量、蒸发量等；节点分析对象包括节点进水量、出水量、积水量、积水深度、积水时间等；管道分析对象包括管道流量、水力坡度、负荷状态等；河道（明渠）分析对象包括河道（明渠）流量、水位等；蓄水设施分析对象包括蓄水设施进流量、出流量、蓄水量、水位等；泵站分析对象包括泵站进流量、出流量、前池水位、启停泵时间等；内涝状况评估对象包括地面内涝范围、内涝深度、内涝流速、内涝时间等。</w:t>
      </w:r>
    </w:p>
    <w:p w14:paraId="6AF1DBA6">
      <w:pPr>
        <w:spacing w:line="360" w:lineRule="auto"/>
        <w:ind w:firstLine="482" w:firstLineChars="200"/>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数学模型法应进行模型参数的率定和验证，以保证模型结果的准确性和可靠性。</w:t>
      </w:r>
    </w:p>
    <w:p w14:paraId="45A2057C">
      <w:pPr>
        <w:spacing w:line="360" w:lineRule="auto"/>
        <w:ind w:firstLine="482" w:firstLineChars="200"/>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数学模型中降雨与洪、潮的遭遇方式应根据其历史遭遇规律分析确定，但特别重要的城镇或地区宜考虑最不利遭遇情况。遭遇分析方法详见现行《城市防洪工程设计规范》GB/T 50805。</w:t>
      </w:r>
    </w:p>
    <w:p w14:paraId="427E6F6A">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4.2.3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规定了历史灾情法的相关要求。</w:t>
      </w:r>
    </w:p>
    <w:p w14:paraId="2583D8D4">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采用历史灾情法进行内涝风险评估时，应尽量收集全发生时间、降雨情况、内涝防治系统情况、淹没情况、受灾情况等灾情信息，用于后续的灾情对比分析。降雨情况包括降雨量、降雨历时及降雨强度等；内涝防治系统情况包括城镇的平面及竖向控制、雨水管渠、雨水泵站等；淹没情况包括淹没范围、深度及时间等：受灾情况包括受灾损失及影响等。</w:t>
      </w:r>
    </w:p>
    <w:p w14:paraId="4170A882">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历史灾情法是基于历史灾情数理统计的内涝灾害评估方法。该方法有数据资料难以获得、难以反映灾害风险空间差异等缺点，但该方法的评估结果是数学模型评估法的重要率定与验证资料。</w:t>
      </w:r>
    </w:p>
    <w:p w14:paraId="0DC4FA08">
      <w:pPr>
        <w:pStyle w:val="4"/>
        <w:spacing w:beforeLines="0" w:after="156" w:afterLines="50"/>
        <w:jc w:val="center"/>
        <w:rPr>
          <w:rFonts w:hint="default" w:ascii="Times New Roman" w:hAnsi="Times New Roman" w:eastAsia="宋体" w:cs="宋体"/>
          <w:color w:val="000000" w:themeColor="text1"/>
          <w:sz w:val="28"/>
          <w:szCs w:val="28"/>
          <w:lang w:val="en-US" w:eastAsia="zh-CN"/>
          <w14:textFill>
            <w14:solidFill>
              <w14:schemeClr w14:val="tx1"/>
            </w14:solidFill>
          </w14:textFill>
        </w:rPr>
      </w:pPr>
      <w:bookmarkStart w:id="173" w:name="_Toc12405"/>
      <w:bookmarkStart w:id="174" w:name="_Toc29108"/>
      <w:bookmarkStart w:id="175" w:name="_Toc6100"/>
      <w:bookmarkStart w:id="176" w:name="_Toc9235"/>
      <w:bookmarkStart w:id="177" w:name="_Toc24780"/>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3 技术状况评定</w:t>
      </w:r>
      <w:bookmarkEnd w:id="173"/>
      <w:bookmarkEnd w:id="174"/>
      <w:bookmarkEnd w:id="175"/>
      <w:bookmarkEnd w:id="176"/>
      <w:bookmarkEnd w:id="177"/>
    </w:p>
    <w:p w14:paraId="0FD52CDA">
      <w:pPr>
        <w:spacing w:line="360" w:lineRule="auto"/>
        <w:ind w:firstLine="482"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仿宋"/>
          <w:b/>
          <w:bCs/>
          <w:color w:val="auto"/>
          <w:sz w:val="24"/>
          <w:szCs w:val="24"/>
          <w:highlight w:val="none"/>
          <w:lang w:val="en-US" w:eastAsia="zh-CN"/>
        </w:rPr>
        <w:t>4.3.1</w:t>
      </w:r>
      <w:r>
        <w:rPr>
          <w:rFonts w:hint="eastAsia" w:ascii="Times New Roman" w:hAnsi="Times New Roman" w:eastAsia="宋体" w:cs="宋体"/>
          <w:b w:val="0"/>
          <w:bCs/>
          <w:color w:val="auto"/>
          <w:sz w:val="24"/>
          <w:szCs w:val="24"/>
          <w:lang w:val="en-US" w:eastAsia="zh-CN"/>
        </w:rPr>
        <w:t>积水深度是影响人行、车行及一层建筑物进水的主要因素，其判断阈值制定为3厘米、15厘米、40厘米和60厘米，主要是基于几个方面的考虑。</w:t>
      </w:r>
    </w:p>
    <w:p w14:paraId="3BE40FCA">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路面积水超过3厘米，积水会超过行人脚面，影响基本通行。将15厘米作为积水和内涝区分的界限。积水深度小于15厘米的判定为轻微积水，大于等于15厘米的判定为内涝，因为市政道路路缘石的高度通常15-20厘米左右，积水不超过15厘米时不影响行人和机动车辆通行，基本不会对公众出行产生灾害，积水大于15厘米时，行人和汽车驾驶员难以辨别地面情况和车道位置，容易造成行人安全和驾驶隐患，因此定义为内涝，这也与《室外排水设计标准》（GB 50014-2021）和《城镇内涝防治技术规范》（GB 51222-2017）的规定保持一致。</w:t>
      </w:r>
    </w:p>
    <w:p w14:paraId="31B8956B">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将40厘米作为中等风险和较高风险区分的界限。因为积水深度超过40厘米可能造成部分一层建筑进水。根据《民用建筑设计统一标准》（GB50352-2019），民用建筑场地设计标高一般高出道路20厘米，一层建筑踏步距离地面不宜超过15厘米，加上路缘石15-20厘米的高度，基本上高于道路最低处40厘米以上。因此积水深度超过40厘米时一层建筑有进水风险。</w:t>
      </w:r>
    </w:p>
    <w:p w14:paraId="6E2D799E">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将65厘米作为较高风险和高风险区分的界限。因为积水深度超过60厘米可能对人身安全造成威胁，造成汽车进气口进水、地铁进水。一般情况下，水深超过65厘米成年人难以站稳，摔倒坐立时口鼻位于水面以下，导致人身安全受到极大威胁。汽车行驶安全方面，普通轿车进气口高度为65-80厘米左右，水深超过65厘米时进气口容易进水，会导致车辆熄火，甚至将水吸进发动机而造成永久性损坏。此外，《地铁设计规范》（GB 50157）规定地铁出入口地面标高应出该处室外地面30-45厘米，加上人行道高度高于道路15-20厘米，当积水深度高于65厘米时，地铁存在进水风险。</w:t>
      </w:r>
    </w:p>
    <w:p w14:paraId="6C70710D">
      <w:pPr>
        <w:spacing w:line="360" w:lineRule="auto"/>
        <w:rPr>
          <w:rFonts w:hint="eastAsia" w:ascii="Times New Roman" w:hAnsi="Times New Roman" w:eastAsia="宋体" w:cs="仿宋"/>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4.3.4</w:t>
      </w:r>
      <w:r>
        <w:rPr>
          <w:rFonts w:hint="eastAsia" w:ascii="Times New Roman" w:hAnsi="Times New Roman" w:eastAsia="宋体" w:cs="仿宋"/>
          <w:color w:val="auto"/>
          <w:sz w:val="24"/>
          <w:szCs w:val="24"/>
          <w:highlight w:val="none"/>
          <w:lang w:val="en-US" w:eastAsia="zh-CN"/>
        </w:rPr>
        <w:t xml:space="preserve"> 关于坡面水流速度和水力坡度的关系，很多学者做了大量的理论分析和实验研究，研究表明坡面水流速度与坡度、流量、水深、表面糙率等因素相关。文献“杨大明，高佩玲，刘小媛，等.坡面薄层水流流速研究[J].水土保持学报， 2019.”根据试验实测数据，利用相关公式计算得到不同流量和坡度条件下的水流前沿流速的范围为0.237～1.290m/s，其变化过程见图4-1。</w:t>
      </w:r>
    </w:p>
    <w:p w14:paraId="258FEBEC">
      <w:pPr>
        <w:spacing w:line="360" w:lineRule="auto"/>
        <w:jc w:val="center"/>
        <w:rPr>
          <w:rFonts w:hint="eastAsia" w:ascii="Times New Roman" w:hAnsi="Times New Roman" w:eastAsia="宋体" w:cs="仿宋"/>
          <w:color w:val="auto"/>
          <w:sz w:val="24"/>
          <w:szCs w:val="24"/>
          <w:highlight w:val="none"/>
          <w:lang w:val="en-US" w:eastAsia="zh-CN"/>
        </w:rPr>
      </w:pPr>
      <w:r>
        <w:drawing>
          <wp:inline distT="0" distB="0" distL="114300" distR="114300">
            <wp:extent cx="4121785" cy="2327910"/>
            <wp:effectExtent l="0" t="0" r="12065" b="15240"/>
            <wp:docPr id="1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7"/>
                    <pic:cNvPicPr>
                      <a:picLocks noChangeAspect="1"/>
                    </pic:cNvPicPr>
                  </pic:nvPicPr>
                  <pic:blipFill>
                    <a:blip r:embed="rId63"/>
                    <a:stretch>
                      <a:fillRect/>
                    </a:stretch>
                  </pic:blipFill>
                  <pic:spPr>
                    <a:xfrm>
                      <a:off x="0" y="0"/>
                      <a:ext cx="4121785" cy="2327910"/>
                    </a:xfrm>
                    <a:prstGeom prst="rect">
                      <a:avLst/>
                    </a:prstGeom>
                    <a:noFill/>
                    <a:ln>
                      <a:noFill/>
                    </a:ln>
                  </pic:spPr>
                </pic:pic>
              </a:graphicData>
            </a:graphic>
          </wp:inline>
        </w:drawing>
      </w:r>
    </w:p>
    <w:p w14:paraId="65C936C2">
      <w:pPr>
        <w:spacing w:line="360" w:lineRule="auto"/>
        <w:jc w:val="center"/>
        <w:rPr>
          <w:rFonts w:hint="default" w:ascii="Times New Roman" w:hAnsi="Times New Roman" w:eastAsia="宋体" w:cs="仿宋"/>
          <w:color w:val="auto"/>
          <w:sz w:val="21"/>
          <w:szCs w:val="21"/>
          <w:highlight w:val="none"/>
          <w:lang w:val="en-US" w:eastAsia="zh-CN"/>
        </w:rPr>
      </w:pPr>
      <w:r>
        <w:rPr>
          <w:rFonts w:hint="eastAsia" w:ascii="Times New Roman" w:hAnsi="Times New Roman" w:eastAsia="宋体" w:cs="仿宋"/>
          <w:color w:val="auto"/>
          <w:sz w:val="21"/>
          <w:szCs w:val="21"/>
          <w:highlight w:val="none"/>
          <w:lang w:val="en-US" w:eastAsia="zh-CN"/>
        </w:rPr>
        <w:t>图4-1 前沿流速随坡度和流量的变化规律</w:t>
      </w:r>
    </w:p>
    <w:p w14:paraId="1303FE4A">
      <w:pPr>
        <w:spacing w:line="360" w:lineRule="auto"/>
        <w:ind w:firstLine="480" w:firstLineChars="200"/>
        <w:rPr>
          <w:rFonts w:hint="eastAsia" w:ascii="Times New Roman" w:hAnsi="Times New Roman" w:eastAsia="宋体" w:cs="仿宋"/>
          <w:color w:val="auto"/>
          <w:sz w:val="24"/>
          <w:szCs w:val="24"/>
          <w:highlight w:val="none"/>
          <w:lang w:val="en-US" w:eastAsia="zh-CN"/>
        </w:rPr>
      </w:pPr>
      <w:r>
        <w:rPr>
          <w:rFonts w:hint="eastAsia" w:ascii="Times New Roman" w:hAnsi="Times New Roman" w:eastAsia="宋体" w:cs="仿宋"/>
          <w:color w:val="auto"/>
          <w:sz w:val="24"/>
          <w:szCs w:val="24"/>
          <w:highlight w:val="none"/>
          <w:lang w:val="en-US" w:eastAsia="zh-CN"/>
        </w:rPr>
        <w:t>上述</w:t>
      </w:r>
      <w:r>
        <w:rPr>
          <w:rFonts w:hint="default" w:ascii="Times New Roman" w:hAnsi="Times New Roman" w:eastAsia="宋体" w:cs="仿宋"/>
          <w:color w:val="auto"/>
          <w:sz w:val="24"/>
          <w:szCs w:val="24"/>
          <w:highlight w:val="none"/>
          <w:lang w:val="en-US" w:eastAsia="zh-CN"/>
        </w:rPr>
        <w:t>试验条件下的前沿流速均随着坡度和流量的增大呈增大趋势，但随着坡度的增加，前沿流速的增量有明显的变化。当坡度在５°～１５°时前沿流速的增长明显，而当坡度增加到１５°～２５°时，前沿流速的增长量比小坡度时明显减少。此规律与</w:t>
      </w:r>
      <w:r>
        <w:rPr>
          <w:rFonts w:hint="eastAsia" w:ascii="Times New Roman" w:hAnsi="Times New Roman" w:eastAsia="宋体" w:cs="仿宋"/>
          <w:color w:val="auto"/>
          <w:sz w:val="24"/>
          <w:szCs w:val="24"/>
          <w:highlight w:val="none"/>
          <w:lang w:val="en-US" w:eastAsia="zh-CN"/>
        </w:rPr>
        <w:t>其他学者</w:t>
      </w:r>
      <w:r>
        <w:rPr>
          <w:rFonts w:hint="default" w:ascii="Times New Roman" w:hAnsi="Times New Roman" w:eastAsia="宋体" w:cs="仿宋"/>
          <w:color w:val="auto"/>
          <w:sz w:val="24"/>
          <w:szCs w:val="24"/>
          <w:highlight w:val="none"/>
          <w:lang w:val="en-US" w:eastAsia="zh-CN"/>
        </w:rPr>
        <w:t>在细沟水流中研究结果基本一致</w:t>
      </w:r>
      <w:r>
        <w:rPr>
          <w:rFonts w:hint="eastAsia" w:ascii="Times New Roman" w:hAnsi="Times New Roman" w:eastAsia="宋体" w:cs="仿宋"/>
          <w:color w:val="auto"/>
          <w:sz w:val="24"/>
          <w:szCs w:val="24"/>
          <w:highlight w:val="none"/>
          <w:lang w:val="en-US" w:eastAsia="zh-CN"/>
        </w:rPr>
        <w:t>。</w:t>
      </w:r>
    </w:p>
    <w:p w14:paraId="2761A3FA">
      <w:pPr>
        <w:spacing w:line="360" w:lineRule="auto"/>
        <w:ind w:firstLine="480" w:firstLineChars="200"/>
        <w:rPr>
          <w:rFonts w:hint="default" w:ascii="Times New Roman" w:hAnsi="Times New Roman" w:eastAsia="宋体" w:cs="仿宋"/>
          <w:color w:val="auto"/>
          <w:sz w:val="24"/>
          <w:szCs w:val="24"/>
          <w:highlight w:val="none"/>
          <w:lang w:val="en-US" w:eastAsia="zh-CN"/>
        </w:rPr>
      </w:pPr>
      <w:r>
        <w:rPr>
          <w:rFonts w:hint="eastAsia" w:ascii="Times New Roman" w:hAnsi="Times New Roman" w:eastAsia="宋体" w:cs="仿宋"/>
          <w:color w:val="auto"/>
          <w:sz w:val="24"/>
          <w:szCs w:val="24"/>
          <w:highlight w:val="none"/>
          <w:lang w:val="en-US" w:eastAsia="zh-CN"/>
        </w:rPr>
        <w:t>基于上述试验结果，结合其他学者的研究，建立了本条文中水流速度和坡度的近似关系值，用以计算不同方法中的水流速度技术状况值。</w:t>
      </w:r>
    </w:p>
    <w:p w14:paraId="60A02A41">
      <w:pPr>
        <w:pStyle w:val="2"/>
        <w:jc w:val="center"/>
        <w:rPr>
          <w:rFonts w:hint="eastAsia" w:ascii="Times New Roman" w:hAnsi="Times New Roman" w:eastAsia="宋体" w:cs="宋体"/>
          <w:color w:val="auto"/>
          <w:sz w:val="32"/>
          <w:szCs w:val="32"/>
          <w:highlight w:val="none"/>
          <w:lang w:val="en-US" w:eastAsia="zh-CN"/>
        </w:rPr>
      </w:pPr>
      <w:bookmarkStart w:id="178" w:name="_Toc943"/>
      <w:bookmarkStart w:id="179" w:name="_Toc18746"/>
      <w:bookmarkStart w:id="180" w:name="_Toc18073"/>
      <w:bookmarkStart w:id="181" w:name="_Toc15949"/>
      <w:bookmarkStart w:id="182" w:name="_Toc25809"/>
      <w:r>
        <w:rPr>
          <w:rFonts w:hint="eastAsia" w:ascii="Times New Roman" w:hAnsi="Times New Roman" w:eastAsia="宋体" w:cs="宋体"/>
          <w:color w:val="auto"/>
          <w:sz w:val="32"/>
          <w:szCs w:val="32"/>
          <w:highlight w:val="none"/>
          <w:lang w:val="en-US" w:eastAsia="zh-CN"/>
        </w:rPr>
        <w:t xml:space="preserve">5 </w:t>
      </w:r>
      <w:r>
        <w:rPr>
          <w:rFonts w:hint="eastAsia" w:ascii="Times New Roman" w:hAnsi="Times New Roman" w:eastAsia="宋体" w:cs="宋体"/>
          <w:color w:val="auto"/>
          <w:sz w:val="32"/>
          <w:szCs w:val="32"/>
          <w:highlight w:val="none"/>
        </w:rPr>
        <w:t>内涝</w:t>
      </w:r>
      <w:r>
        <w:rPr>
          <w:rFonts w:hint="eastAsia" w:ascii="Times New Roman" w:hAnsi="Times New Roman" w:eastAsia="宋体" w:cs="宋体"/>
          <w:color w:val="auto"/>
          <w:sz w:val="32"/>
          <w:szCs w:val="32"/>
          <w:highlight w:val="none"/>
          <w:lang w:val="en-US" w:eastAsia="zh-CN"/>
        </w:rPr>
        <w:t>治理</w:t>
      </w:r>
      <w:bookmarkEnd w:id="178"/>
      <w:bookmarkEnd w:id="179"/>
      <w:bookmarkEnd w:id="180"/>
      <w:bookmarkEnd w:id="181"/>
      <w:bookmarkEnd w:id="182"/>
    </w:p>
    <w:p w14:paraId="0578DBED">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183" w:name="_Toc28201"/>
      <w:bookmarkStart w:id="184" w:name="_Toc20962"/>
      <w:bookmarkStart w:id="185" w:name="_Toc27679"/>
      <w:bookmarkStart w:id="186" w:name="_Toc11491"/>
      <w:bookmarkStart w:id="187" w:name="_Toc12180"/>
      <w:r>
        <w:rPr>
          <w:rFonts w:hint="eastAsia" w:ascii="Times New Roman" w:hAnsi="Times New Roman" w:eastAsia="宋体" w:cs="宋体"/>
          <w:color w:val="auto"/>
          <w:sz w:val="28"/>
          <w:szCs w:val="28"/>
          <w:highlight w:val="none"/>
          <w:lang w:val="en-US" w:eastAsia="zh-CN"/>
        </w:rPr>
        <w:t>5.1 一般规定</w:t>
      </w:r>
      <w:bookmarkEnd w:id="183"/>
      <w:bookmarkEnd w:id="184"/>
      <w:bookmarkEnd w:id="185"/>
      <w:bookmarkEnd w:id="186"/>
      <w:bookmarkEnd w:id="187"/>
    </w:p>
    <w:p w14:paraId="6867CC05">
      <w:pPr>
        <w:spacing w:line="360" w:lineRule="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5.1.1</w:t>
      </w:r>
      <w:r>
        <w:rPr>
          <w:rFonts w:hint="eastAsia" w:ascii="Times New Roman" w:hAnsi="Times New Roman" w:eastAsia="宋体" w:cs="仿宋"/>
          <w:b w:val="0"/>
          <w:bCs w:val="0"/>
          <w:color w:val="auto"/>
          <w:sz w:val="24"/>
          <w:szCs w:val="24"/>
          <w:highlight w:val="none"/>
          <w:lang w:val="en-US" w:eastAsia="zh-CN"/>
        </w:rPr>
        <w:t xml:space="preserve"> 《城镇内涝防治技术规范》GB 51222 规定了城镇内涝防治系统应包括工程性设施和非工程性措施并与防洪设施相衔接</w:t>
      </w:r>
      <w:r>
        <w:rPr>
          <w:rFonts w:hint="eastAsia" w:ascii="Times New Roman" w:hAnsi="Times New Roman" w:eastAsia="宋体" w:cs="宋体"/>
          <w:b w:val="0"/>
          <w:bCs/>
          <w:color w:val="auto"/>
          <w:sz w:val="24"/>
          <w:szCs w:val="24"/>
          <w:highlight w:val="none"/>
          <w:lang w:val="en-US" w:eastAsia="zh-CN"/>
        </w:rPr>
        <w:t>。针对本标准提出的“内涝风险逐级降”的治理目标，结合广东省内涝治理工作的实际，提出内涝治理应选择工程性措施。</w:t>
      </w:r>
    </w:p>
    <w:p w14:paraId="12D40EA7">
      <w:pPr>
        <w:spacing w:line="360" w:lineRule="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 xml:space="preserve">5.1.3 </w:t>
      </w:r>
      <w:r>
        <w:rPr>
          <w:rFonts w:hint="eastAsia" w:ascii="Times New Roman" w:hAnsi="Times New Roman" w:eastAsia="宋体" w:cs="宋体"/>
          <w:b w:val="0"/>
          <w:bCs/>
          <w:color w:val="auto"/>
          <w:sz w:val="24"/>
          <w:szCs w:val="24"/>
          <w:highlight w:val="none"/>
          <w:lang w:val="en-US" w:eastAsia="zh-CN"/>
        </w:rPr>
        <w:t>《国务院办公厅关于加强城市内涝治理的实施意见》（国办发〔2021〕11号）明确提出内涝治理的工作目标：</w:t>
      </w:r>
    </w:p>
    <w:p w14:paraId="31A0D7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val="0"/>
          <w:bCs/>
          <w:color w:val="auto"/>
          <w:sz w:val="24"/>
          <w:szCs w:val="24"/>
          <w:highlight w:val="none"/>
          <w:lang w:val="en-US" w:eastAsia="zh-CN"/>
        </w:rPr>
        <w:t>到2025年，各城市因地制宜基本形成“源头减排、管网排放、蓄排并举、超标应急”的城市排水防涝工程体系，排水防涝能力显著提升，内涝治理工作取得明显成效；有效应对城市内涝防治标准内的降雨，老城区雨停后能够及时排干积水，低洼地区防洪排涝能力大幅提升，历史上严重影响生产生活秩序的易涝积水点全面消除，新城区不再出现“城市看海”现象；在超出城市内涝防治标准的降雨条件下，城市生命线工程等重要市政基础设施功能不丧失，基本保障城市安全运行；有条件的地方积极推进海绵城市建设。到2035年，各城市排水防涝工程体系进一步完善，排水防涝能力与建设海绵城市、韧性城市要求更加匹配，总体消除防治标准内降雨条件下的城市内涝现象。</w:t>
      </w:r>
    </w:p>
    <w:p w14:paraId="27378CEA">
      <w:pPr>
        <w:spacing w:line="360" w:lineRule="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5.1.4</w:t>
      </w:r>
      <w:r>
        <w:rPr>
          <w:rFonts w:hint="eastAsia" w:ascii="Times New Roman" w:hAnsi="Times New Roman" w:eastAsia="宋体" w:cs="宋体"/>
          <w:b w:val="0"/>
          <w:bCs/>
          <w:color w:val="auto"/>
          <w:sz w:val="24"/>
          <w:szCs w:val="24"/>
          <w:highlight w:val="none"/>
          <w:lang w:val="en-US" w:eastAsia="zh-CN"/>
        </w:rPr>
        <w:t xml:space="preserve"> 城镇内涝治理应根据城镇内涝风险评估成果制定方案，方案宜包括工程性措施、非工程性措施。其中工程性措施包括源头减排、雨水管渠、雨水泵站、内河水系（含泵闸）、调蓄设施、行泄通道和排涝泵站等；非工程措施包括应急管理、内涝监测等。</w:t>
      </w:r>
    </w:p>
    <w:p w14:paraId="4A573D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val="0"/>
          <w:bCs/>
          <w:color w:val="auto"/>
          <w:sz w:val="24"/>
          <w:szCs w:val="24"/>
          <w:highlight w:val="none"/>
          <w:lang w:val="en-US" w:eastAsia="zh-CN"/>
        </w:rPr>
        <w:t>城镇内涝治理建设计划，可因地制宜、统筹安排，对近期难以达到内涝防治设计重现期的地区，可结合地区的整体改造和城镇易涝积水点治理，分期实施，逐步实现城镇内涝治理目标。优先安排严重易涝积水点整治项目、系统骨干性工程，重点关注信息化管理调度和应急抢险能力建设。</w:t>
      </w:r>
    </w:p>
    <w:p w14:paraId="3E157100">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188" w:name="_Toc28658"/>
      <w:bookmarkStart w:id="189" w:name="_Toc53"/>
      <w:bookmarkStart w:id="190" w:name="_Toc20813"/>
      <w:bookmarkStart w:id="191" w:name="_Toc16940"/>
      <w:bookmarkStart w:id="192" w:name="_Toc18949"/>
      <w:r>
        <w:rPr>
          <w:rFonts w:hint="eastAsia" w:ascii="Times New Roman" w:hAnsi="Times New Roman" w:eastAsia="宋体" w:cs="宋体"/>
          <w:color w:val="auto"/>
          <w:sz w:val="28"/>
          <w:szCs w:val="28"/>
          <w:highlight w:val="none"/>
          <w:lang w:val="en-US" w:eastAsia="zh-CN"/>
        </w:rPr>
        <w:t>5.2 源头减排设施</w:t>
      </w:r>
      <w:bookmarkEnd w:id="188"/>
      <w:bookmarkEnd w:id="189"/>
      <w:bookmarkEnd w:id="190"/>
      <w:bookmarkEnd w:id="191"/>
      <w:bookmarkEnd w:id="192"/>
    </w:p>
    <w:p w14:paraId="30719C83">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仿宋"/>
          <w:b/>
          <w:bCs/>
          <w:color w:val="auto"/>
          <w:sz w:val="24"/>
          <w:szCs w:val="24"/>
          <w:highlight w:val="none"/>
          <w:lang w:val="en-US" w:eastAsia="zh-CN"/>
        </w:rPr>
        <w:t>5.2.1</w:t>
      </w:r>
      <w:r>
        <w:rPr>
          <w:rFonts w:hint="eastAsia" w:ascii="Times New Roman" w:hAnsi="Times New Roman" w:eastAsia="宋体" w:cs="仿宋"/>
          <w:b w:val="0"/>
          <w:bCs w:val="0"/>
          <w:color w:val="auto"/>
          <w:sz w:val="24"/>
          <w:szCs w:val="24"/>
          <w:highlight w:val="none"/>
          <w:lang w:val="en-US" w:eastAsia="zh-CN"/>
        </w:rPr>
        <w:t xml:space="preserve"> </w:t>
      </w:r>
      <w:r>
        <w:rPr>
          <w:rFonts w:hint="eastAsia" w:ascii="Times New Roman" w:hAnsi="Times New Roman" w:eastAsia="宋体" w:cs="宋体"/>
          <w:b w:val="0"/>
          <w:bCs/>
          <w:color w:val="auto"/>
          <w:sz w:val="24"/>
          <w:szCs w:val="24"/>
          <w:lang w:val="en-US" w:eastAsia="zh-CN"/>
        </w:rPr>
        <w:t>源头减排设施包括渗透、调蓄、转输和雨水利用等设施。</w:t>
      </w:r>
    </w:p>
    <w:p w14:paraId="400C9E5F">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对于内涝风险区，完善源头减排设施，是内涝治理的一种有效措施。根据广东省人民政府办公厅《广东省人民政府办公厅关于推进海绵城市建设的实施意见》（粤府办〔2016〕53号），通过海绵城市建设，综合采取“渗、滞、蓄、净、用、排”等措施，最大限度减少城市开发建设对生态环境的影响，将70%以上的降雨就地消纳和利用；到2030年，城市建成区80%以上的面积达到目标要求。全省排水防涝能力得到有效提升，城市内涝积水问题得到基本解决，山水林田湖等生态空间得到有效保护，水生态、水资源、水环境、水安全得到全面改善。</w:t>
      </w:r>
    </w:p>
    <w:p w14:paraId="1AD448F4">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根据海绵城市建设的相关要求，各项源头减排设施包括：海绵型绿地系统、海绵型道路与广场、海绵型小区与建筑、城市生态水网等。</w:t>
      </w:r>
    </w:p>
    <w:p w14:paraId="44DB46D5">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val="0"/>
          <w:bCs/>
          <w:color w:val="auto"/>
          <w:sz w:val="24"/>
          <w:szCs w:val="24"/>
          <w:lang w:val="en-US" w:eastAsia="zh-CN"/>
        </w:rPr>
        <w:t>海绵型绿地系统建设，可采取下凹式绿地、雨水花园、植草沟、人工湿地等多种源头减排措施。</w:t>
      </w:r>
    </w:p>
    <w:p w14:paraId="77487655">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val="0"/>
          <w:bCs/>
          <w:color w:val="auto"/>
          <w:sz w:val="24"/>
          <w:szCs w:val="24"/>
          <w:lang w:val="en-US" w:eastAsia="zh-CN"/>
        </w:rPr>
        <w:t>海绵型道路与广场建设，在满足道路交通安全等基本功能的基础上，应充分提升道路、广场及相邻空间对雨水的消纳和净化功能。</w:t>
      </w:r>
    </w:p>
    <w:p w14:paraId="687FB9F1">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val="0"/>
          <w:bCs/>
          <w:color w:val="auto"/>
          <w:sz w:val="24"/>
          <w:szCs w:val="24"/>
          <w:lang w:val="en-US" w:eastAsia="zh-CN"/>
        </w:rPr>
        <w:t>海绵型小区与建筑建设，宜采用绿色屋顶、雨水调蓄与收集利用、透水铺装等措施，提高建筑与小区的雨水积存与蓄滞能力；鼓励既有建筑和小区实施源头减排设施改造。</w:t>
      </w:r>
    </w:p>
    <w:p w14:paraId="062AC3C5">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val="0"/>
          <w:bCs/>
          <w:color w:val="auto"/>
          <w:sz w:val="24"/>
          <w:szCs w:val="24"/>
          <w:lang w:val="en-US" w:eastAsia="zh-CN"/>
        </w:rPr>
        <w:t>城镇生态水网建设，应保护和利用城镇坑塘、河湖、湿地等自然水体形态，对城镇河湖水系岸线进行生态修复，恢复和保持河湖水系的自然连通，构建良性水循环系统。</w:t>
      </w:r>
    </w:p>
    <w:p w14:paraId="05501C10">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仿宋"/>
          <w:b/>
          <w:bCs/>
          <w:color w:val="auto"/>
          <w:sz w:val="24"/>
          <w:szCs w:val="24"/>
          <w:highlight w:val="none"/>
          <w:lang w:val="en-US" w:eastAsia="zh-CN"/>
        </w:rPr>
        <w:t>5.2.2</w:t>
      </w:r>
      <w:r>
        <w:rPr>
          <w:rFonts w:hint="eastAsia" w:ascii="Times New Roman" w:hAnsi="Times New Roman" w:eastAsia="宋体" w:cs="仿宋"/>
          <w:b w:val="0"/>
          <w:bCs w:val="0"/>
          <w:color w:val="auto"/>
          <w:sz w:val="24"/>
          <w:szCs w:val="24"/>
          <w:highlight w:val="none"/>
          <w:lang w:val="en-US" w:eastAsia="zh-CN"/>
        </w:rPr>
        <w:t xml:space="preserve"> </w:t>
      </w:r>
      <w:r>
        <w:rPr>
          <w:rFonts w:hint="eastAsia" w:ascii="Times New Roman" w:hAnsi="Times New Roman" w:eastAsia="宋体" w:cs="宋体"/>
          <w:b w:val="0"/>
          <w:bCs/>
          <w:color w:val="auto"/>
          <w:sz w:val="24"/>
          <w:szCs w:val="24"/>
          <w:lang w:val="en-US" w:eastAsia="zh-CN"/>
        </w:rPr>
        <w:t>源头减排设施可用于径流总量控制、雨水利用和雨水径流峰值削减。</w:t>
      </w:r>
    </w:p>
    <w:p w14:paraId="63754460">
      <w:pPr>
        <w:spacing w:line="360" w:lineRule="auto"/>
        <w:ind w:firstLine="482"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1</w:t>
      </w:r>
      <w:r>
        <w:rPr>
          <w:rFonts w:hint="eastAsia" w:ascii="Times New Roman" w:hAnsi="Times New Roman" w:eastAsia="宋体" w:cs="宋体"/>
          <w:b w:val="0"/>
          <w:bCs/>
          <w:color w:val="auto"/>
          <w:sz w:val="24"/>
          <w:szCs w:val="24"/>
          <w:lang w:val="en-US" w:eastAsia="zh-CN"/>
        </w:rPr>
        <w:t xml:space="preserve"> 年径流总量控制率的“控制”，指的是“总量控制”，即包括径流污染物总量和径流体积。对于具有底部出流的生物滞留设施、延时调节塘等，雨水主要通过渗滤、排空时间控制（延时排放以增加污染物停留时间）实现污染物总量控制，雨水并未直接外排，而是经过控制（即污染物经过处理）并达到相关规定的效果后外排，由于径流污染是总量控制的重要内容，故而该情形也属于总量控制的范畴。</w:t>
      </w:r>
    </w:p>
    <w:p w14:paraId="4C5E64A2">
      <w:pPr>
        <w:spacing w:line="360" w:lineRule="auto"/>
        <w:ind w:firstLine="482"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bCs w:val="0"/>
          <w:color w:val="auto"/>
          <w:sz w:val="24"/>
          <w:szCs w:val="24"/>
          <w:lang w:val="en-US" w:eastAsia="zh-CN"/>
        </w:rPr>
        <w:t>3</w:t>
      </w:r>
      <w:r>
        <w:rPr>
          <w:rFonts w:hint="eastAsia" w:ascii="Times New Roman" w:hAnsi="Times New Roman" w:eastAsia="宋体" w:cs="宋体"/>
          <w:b w:val="0"/>
          <w:bCs/>
          <w:color w:val="auto"/>
          <w:sz w:val="24"/>
          <w:szCs w:val="24"/>
          <w:lang w:val="en-US" w:eastAsia="zh-CN"/>
        </w:rPr>
        <w:t xml:space="preserve"> </w:t>
      </w:r>
      <w:r>
        <w:rPr>
          <w:rFonts w:hint="default" w:ascii="Times New Roman" w:hAnsi="Times New Roman" w:eastAsia="宋体" w:cs="宋体"/>
          <w:b w:val="0"/>
          <w:bCs/>
          <w:color w:val="auto"/>
          <w:sz w:val="24"/>
          <w:szCs w:val="24"/>
          <w:lang w:val="en-US" w:eastAsia="zh-CN"/>
        </w:rPr>
        <w:t>本</w:t>
      </w:r>
      <w:r>
        <w:rPr>
          <w:rFonts w:hint="eastAsia" w:ascii="Times New Roman" w:hAnsi="Times New Roman" w:eastAsia="宋体" w:cs="宋体"/>
          <w:b w:val="0"/>
          <w:bCs/>
          <w:color w:val="auto"/>
          <w:sz w:val="24"/>
          <w:szCs w:val="24"/>
          <w:lang w:val="en-US" w:eastAsia="zh-CN"/>
        </w:rPr>
        <w:t>标准</w:t>
      </w:r>
      <w:r>
        <w:rPr>
          <w:rFonts w:hint="default" w:ascii="Times New Roman" w:hAnsi="Times New Roman" w:eastAsia="宋体" w:cs="宋体"/>
          <w:b w:val="0"/>
          <w:bCs/>
          <w:color w:val="auto"/>
          <w:sz w:val="24"/>
          <w:szCs w:val="24"/>
          <w:lang w:val="en-US" w:eastAsia="zh-CN"/>
        </w:rPr>
        <w:t>规定以径流量作为地区整体改建控制指标。地区整体改建应充分体现海绵城市建设理念</w:t>
      </w:r>
      <w:r>
        <w:rPr>
          <w:rFonts w:hint="eastAsia" w:ascii="Times New Roman" w:hAnsi="Times New Roman" w:eastAsia="宋体" w:cs="宋体"/>
          <w:b w:val="0"/>
          <w:bCs/>
          <w:color w:val="auto"/>
          <w:sz w:val="24"/>
          <w:szCs w:val="24"/>
          <w:lang w:val="en-US" w:eastAsia="zh-CN"/>
        </w:rPr>
        <w:t>，</w:t>
      </w:r>
      <w:r>
        <w:rPr>
          <w:rFonts w:hint="default" w:ascii="Times New Roman" w:hAnsi="Times New Roman" w:eastAsia="宋体" w:cs="宋体"/>
          <w:b w:val="0"/>
          <w:bCs/>
          <w:color w:val="auto"/>
          <w:sz w:val="24"/>
          <w:szCs w:val="24"/>
          <w:lang w:val="en-US" w:eastAsia="zh-CN"/>
        </w:rPr>
        <w:t>除应执行规划控制的综合径流系数指标外</w:t>
      </w:r>
      <w:r>
        <w:rPr>
          <w:rFonts w:hint="eastAsia" w:ascii="Times New Roman" w:hAnsi="Times New Roman" w:eastAsia="宋体" w:cs="宋体"/>
          <w:b w:val="0"/>
          <w:bCs/>
          <w:color w:val="auto"/>
          <w:sz w:val="24"/>
          <w:szCs w:val="24"/>
          <w:lang w:val="en-US" w:eastAsia="zh-CN"/>
        </w:rPr>
        <w:t>，</w:t>
      </w:r>
      <w:r>
        <w:rPr>
          <w:rFonts w:hint="default" w:ascii="Times New Roman" w:hAnsi="Times New Roman" w:eastAsia="宋体" w:cs="宋体"/>
          <w:b w:val="0"/>
          <w:bCs/>
          <w:color w:val="auto"/>
          <w:sz w:val="24"/>
          <w:szCs w:val="24"/>
          <w:lang w:val="en-US" w:eastAsia="zh-CN"/>
        </w:rPr>
        <w:t>还应执行径流量控制指标。规定整体改建地区应采取措施确保改建后的径流量不超过原有径流量。</w:t>
      </w:r>
    </w:p>
    <w:p w14:paraId="236E28EE">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val="0"/>
          <w:bCs/>
          <w:color w:val="auto"/>
          <w:sz w:val="24"/>
          <w:szCs w:val="24"/>
          <w:lang w:val="en-US" w:eastAsia="zh-CN"/>
        </w:rPr>
        <w:t>本条所指的径流量为设计雨水径流量峰值</w:t>
      </w:r>
      <w:r>
        <w:rPr>
          <w:rFonts w:hint="eastAsia" w:ascii="Times New Roman" w:hAnsi="Times New Roman" w:eastAsia="宋体" w:cs="宋体"/>
          <w:b w:val="0"/>
          <w:bCs/>
          <w:color w:val="auto"/>
          <w:sz w:val="24"/>
          <w:szCs w:val="24"/>
          <w:lang w:val="en-US" w:eastAsia="zh-CN"/>
        </w:rPr>
        <w:t>，</w:t>
      </w:r>
      <w:r>
        <w:rPr>
          <w:rFonts w:hint="default" w:ascii="Times New Roman" w:hAnsi="Times New Roman" w:eastAsia="宋体" w:cs="宋体"/>
          <w:b w:val="0"/>
          <w:bCs/>
          <w:color w:val="auto"/>
          <w:sz w:val="24"/>
          <w:szCs w:val="24"/>
          <w:lang w:val="en-US" w:eastAsia="zh-CN"/>
        </w:rPr>
        <w:t>设计重现期包括雨水管渠设计重现期和内涝防治设计重现期。</w:t>
      </w:r>
    </w:p>
    <w:p w14:paraId="5DBF366F">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仿宋"/>
          <w:b/>
          <w:bCs/>
          <w:color w:val="auto"/>
          <w:sz w:val="24"/>
          <w:szCs w:val="24"/>
          <w:highlight w:val="none"/>
          <w:lang w:val="en-US" w:eastAsia="zh-CN"/>
        </w:rPr>
        <w:t>5.2.3</w:t>
      </w:r>
      <w:r>
        <w:rPr>
          <w:rFonts w:hint="eastAsia" w:ascii="Times New Roman" w:hAnsi="Times New Roman" w:eastAsia="宋体" w:cs="仿宋"/>
          <w:b w:val="0"/>
          <w:bCs w:val="0"/>
          <w:color w:val="auto"/>
          <w:sz w:val="24"/>
          <w:szCs w:val="24"/>
          <w:highlight w:val="none"/>
          <w:lang w:val="en-US" w:eastAsia="zh-CN"/>
        </w:rPr>
        <w:t xml:space="preserve"> 规定了</w:t>
      </w:r>
      <w:r>
        <w:rPr>
          <w:rFonts w:hint="eastAsia" w:ascii="Times New Roman" w:hAnsi="Times New Roman" w:eastAsia="宋体" w:cs="宋体"/>
          <w:b w:val="0"/>
          <w:bCs/>
          <w:color w:val="auto"/>
          <w:sz w:val="24"/>
          <w:szCs w:val="24"/>
          <w:lang w:val="en-US" w:eastAsia="zh-CN"/>
        </w:rPr>
        <w:t>源头减排设施设置的相关要求。</w:t>
      </w:r>
    </w:p>
    <w:p w14:paraId="52D7E7BB">
      <w:pPr>
        <w:spacing w:line="360" w:lineRule="auto"/>
        <w:ind w:firstLine="482" w:firstLineChars="200"/>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1</w:t>
      </w:r>
      <w:r>
        <w:rPr>
          <w:rFonts w:hint="eastAsia" w:ascii="Times New Roman" w:hAnsi="Times New Roman" w:eastAsia="宋体" w:cs="宋体"/>
          <w:b w:val="0"/>
          <w:bCs/>
          <w:color w:val="auto"/>
          <w:sz w:val="24"/>
          <w:szCs w:val="24"/>
          <w:lang w:val="en-US" w:eastAsia="zh-CN"/>
        </w:rPr>
        <w:t xml:space="preserve"> 采取雨水渗透、调蓄等措施，可以从源头降低雨水径流产生量，延缓出流时间，同时可以控制径流污染；</w:t>
      </w:r>
    </w:p>
    <w:p w14:paraId="7F4F9B77">
      <w:pPr>
        <w:spacing w:line="360" w:lineRule="auto"/>
        <w:ind w:firstLine="482"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2</w:t>
      </w:r>
      <w:r>
        <w:rPr>
          <w:rFonts w:hint="eastAsia" w:ascii="Times New Roman" w:hAnsi="Times New Roman" w:eastAsia="宋体" w:cs="宋体"/>
          <w:b w:val="0"/>
          <w:bCs/>
          <w:color w:val="auto"/>
          <w:sz w:val="24"/>
          <w:szCs w:val="24"/>
          <w:lang w:val="en-US" w:eastAsia="zh-CN"/>
        </w:rPr>
        <w:t xml:space="preserve"> 源头减排设施的设置宜保持或模拟原有的自然水文特征充分利用现有自然条件对雨水的渗透、蒸发和储存功能，从源头开始全程控制地表径流。具有天然水文和生态特性的源头减排设施不仅能有效地消除雨水径流的不利影响，还对促进区域良性水文循环，改善当地生态环境有显著作用；</w:t>
      </w:r>
    </w:p>
    <w:p w14:paraId="15565818">
      <w:pPr>
        <w:spacing w:line="360" w:lineRule="auto"/>
        <w:ind w:firstLine="482" w:firstLineChars="200"/>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3</w:t>
      </w:r>
      <w:r>
        <w:rPr>
          <w:rFonts w:hint="eastAsia" w:ascii="Times New Roman" w:hAnsi="Times New Roman" w:eastAsia="宋体" w:cs="宋体"/>
          <w:b w:val="0"/>
          <w:bCs/>
          <w:color w:val="auto"/>
          <w:sz w:val="24"/>
          <w:szCs w:val="24"/>
          <w:lang w:val="en-US" w:eastAsia="zh-CN"/>
        </w:rPr>
        <w:t xml:space="preserve"> 加油站、修车厂、危险废物和化学品的储存和处置地点、污染严重的重工业场地等，严禁采用渗透设施，以免污染物质渗入地下，造成土壤和地下水污染。</w:t>
      </w:r>
    </w:p>
    <w:p w14:paraId="75EC49E4">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193" w:name="_Toc31254"/>
      <w:bookmarkStart w:id="194" w:name="_Toc6869"/>
      <w:bookmarkStart w:id="195" w:name="_Toc1187"/>
      <w:bookmarkStart w:id="196" w:name="_Toc25973"/>
      <w:bookmarkStart w:id="197" w:name="_Toc22960"/>
      <w:r>
        <w:rPr>
          <w:rFonts w:hint="eastAsia" w:ascii="Times New Roman" w:hAnsi="Times New Roman" w:eastAsia="宋体" w:cs="宋体"/>
          <w:color w:val="auto"/>
          <w:sz w:val="28"/>
          <w:szCs w:val="28"/>
          <w:highlight w:val="none"/>
          <w:lang w:val="en-US" w:eastAsia="zh-CN"/>
        </w:rPr>
        <w:t>5.3 排水管渠设施</w:t>
      </w:r>
      <w:bookmarkEnd w:id="193"/>
      <w:bookmarkEnd w:id="194"/>
      <w:bookmarkEnd w:id="195"/>
      <w:bookmarkEnd w:id="196"/>
      <w:bookmarkEnd w:id="197"/>
    </w:p>
    <w:p w14:paraId="1A34F60C">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5.3.1</w:t>
      </w:r>
      <w:r>
        <w:rPr>
          <w:rFonts w:hint="eastAsia" w:ascii="Times New Roman" w:hAnsi="Times New Roman" w:eastAsia="宋体" w:cs="仿宋"/>
          <w:b w:val="0"/>
          <w:bCs w:val="0"/>
          <w:color w:val="0000FF"/>
          <w:sz w:val="24"/>
          <w:szCs w:val="24"/>
          <w:highlight w:val="none"/>
          <w:lang w:val="en-US" w:eastAsia="zh-CN"/>
        </w:rPr>
        <w:t xml:space="preserve"> </w:t>
      </w:r>
      <w:r>
        <w:rPr>
          <w:rFonts w:hint="eastAsia" w:ascii="Times New Roman" w:hAnsi="Times New Roman" w:eastAsia="宋体" w:cs="宋体"/>
          <w:color w:val="000000" w:themeColor="text1"/>
          <w:sz w:val="24"/>
          <w:szCs w:val="24"/>
          <w:lang w:val="en-US" w:eastAsia="zh-CN"/>
          <w14:textFill>
            <w14:solidFill>
              <w14:schemeClr w14:val="tx1"/>
            </w14:solidFill>
          </w14:textFill>
        </w:rPr>
        <w:t>排水管渠设计中应考虑受纳水体水位的最不利情况，以避免下游顶托造成雨水无法正常排出。</w:t>
      </w:r>
    </w:p>
    <w:p w14:paraId="13FE1EEB">
      <w:pPr>
        <w:spacing w:line="360" w:lineRule="auto"/>
        <w:ind w:firstLine="480" w:firstLineChars="200"/>
        <w:rPr>
          <w:rFonts w:hint="eastAsia" w:ascii="Times New Roman" w:hAnsi="Times New Roman" w:eastAsia="宋体" w:cs="宋体"/>
          <w:color w:val="FF0000"/>
          <w:sz w:val="24"/>
          <w:szCs w:val="24"/>
          <w:lang w:val="en-US" w:eastAsia="zh-CN"/>
        </w:rPr>
      </w:pPr>
      <w:r>
        <w:rPr>
          <w:rFonts w:hint="eastAsia" w:ascii="Times New Roman" w:hAnsi="Times New Roman" w:eastAsia="宋体" w:cs="宋体"/>
          <w:color w:val="000000" w:themeColor="text1"/>
          <w:sz w:val="24"/>
          <w:szCs w:val="24"/>
          <w:lang w:val="en-US" w:eastAsia="zh-CN"/>
          <w14:textFill>
            <w14:solidFill>
              <w14:schemeClr w14:val="tx1"/>
            </w14:solidFill>
          </w14:textFill>
        </w:rPr>
        <w:t>当受纳水体水位高于排水管渠出水口水位时，受纳水体的水会倒灌。因此，排水管渠的出水口处应设置涵闸、鸭嘴阀等防倒灌设施，有条件的可在回水范围内设置回水堤，设置</w:t>
      </w:r>
      <w:r>
        <w:rPr>
          <w:rFonts w:hint="eastAsia" w:ascii="Times New Roman" w:hAnsi="Times New Roman" w:eastAsia="宋体" w:cs="宋体"/>
          <w:color w:val="auto"/>
          <w:sz w:val="24"/>
          <w:szCs w:val="24"/>
          <w:lang w:val="en-US" w:eastAsia="zh-CN"/>
        </w:rPr>
        <w:t>涵闸</w:t>
      </w:r>
      <w:r>
        <w:rPr>
          <w:rFonts w:hint="eastAsia" w:ascii="Times New Roman" w:hAnsi="Times New Roman" w:eastAsia="宋体" w:cs="宋体"/>
          <w:color w:val="000000" w:themeColor="text1"/>
          <w:sz w:val="24"/>
          <w:szCs w:val="24"/>
          <w:lang w:val="en-US" w:eastAsia="zh-CN"/>
          <w14:textFill>
            <w14:solidFill>
              <w14:schemeClr w14:val="tx1"/>
            </w14:solidFill>
          </w14:textFill>
        </w:rPr>
        <w:t>，在关闸时用水泵排水，防止产生内涝灾害。</w:t>
      </w:r>
    </w:p>
    <w:p w14:paraId="7A099D08">
      <w:pPr>
        <w:spacing w:line="360" w:lineRule="auto"/>
        <w:rPr>
          <w:rFonts w:hint="eastAsia"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5.3.3</w:t>
      </w:r>
      <w:r>
        <w:rPr>
          <w:rFonts w:hint="eastAsia" w:ascii="Times New Roman" w:hAnsi="Times New Roman" w:eastAsia="宋体" w:cs="宋体"/>
          <w:color w:val="auto"/>
          <w:sz w:val="24"/>
          <w:szCs w:val="24"/>
          <w:highlight w:val="none"/>
          <w:lang w:val="en-US" w:eastAsia="zh-CN"/>
        </w:rPr>
        <w:t xml:space="preserve"> 规定了排水管渠建设的总体思路，强调“污涝同治”和系统治理理念。</w:t>
      </w:r>
    </w:p>
    <w:p w14:paraId="126E576E">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排水管渠汇水区域划分原则与城镇雨水排水分区相一致并应处理好局部与整体的协调关系，与上下游的衔接关系。对于局部低洼位置不能自流排放也难以片区加高地形的区域，汇水分区划分应优先贯彻“高水高排、低水强排”的原则，宜尽量缩小强排的低水区域。</w:t>
      </w:r>
    </w:p>
    <w:p w14:paraId="0DD79C99">
      <w:pPr>
        <w:spacing w:line="360" w:lineRule="auto"/>
        <w:ind w:firstLine="480" w:firstLineChars="200"/>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经济发达地区、中心城区重要地区、内涝风险等级为中高风险的地区，应适当提高排水管道建设标准。</w:t>
      </w:r>
    </w:p>
    <w:p w14:paraId="44F3A65D">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5.3.4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规定了排水管渠设施中雨水口、排水泵站、管渠调蓄设施的设置的相关规定及要求。</w:t>
      </w:r>
    </w:p>
    <w:p w14:paraId="7785BCF4">
      <w:pPr>
        <w:spacing w:line="360" w:lineRule="auto"/>
        <w:ind w:firstLine="482" w:firstLineChars="200"/>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表</w:t>
      </w:r>
      <w:r>
        <w:rPr>
          <w:rFonts w:hint="eastAsia" w:ascii="Times New Roman" w:hAnsi="Times New Roman" w:eastAsia="宋体" w:cs="Times New Roman"/>
          <w:color w:val="auto"/>
          <w:sz w:val="24"/>
          <w:szCs w:val="24"/>
          <w:highlight w:val="none"/>
          <w:lang w:val="en-US" w:eastAsia="zh-CN"/>
        </w:rPr>
        <w:t>5-1</w:t>
      </w:r>
      <w:r>
        <w:rPr>
          <w:rFonts w:hint="default" w:ascii="Times New Roman" w:hAnsi="Times New Roman" w:eastAsia="宋体" w:cs="Times New Roman"/>
          <w:color w:val="auto"/>
          <w:sz w:val="24"/>
          <w:szCs w:val="24"/>
          <w:highlight w:val="none"/>
          <w:lang w:val="en-US" w:eastAsia="zh-CN"/>
        </w:rPr>
        <w:t>列出了我国目前常用的雨水口泄水能力。表中的数据是在一定水力条件下（道路纵坡 3.0％～3.5％，横坡 1.5％，箅前水深40mm）以1</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水工模型经过试验确定的，在应用时应根据实际工程情况加以调整。</w:t>
      </w:r>
    </w:p>
    <w:p w14:paraId="3A545F5F">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Times New Roman"/>
          <w:b/>
          <w:bCs w:val="0"/>
          <w:color w:val="auto"/>
          <w:sz w:val="21"/>
          <w:szCs w:val="21"/>
          <w:lang w:val="en-US"/>
        </w:rPr>
      </w:pPr>
      <w:r>
        <w:rPr>
          <w:rFonts w:hint="default" w:ascii="Times New Roman" w:hAnsi="Times New Roman" w:eastAsia="宋体" w:cs="Times New Roman"/>
          <w:b/>
          <w:bCs w:val="0"/>
          <w:color w:val="auto"/>
          <w:sz w:val="21"/>
          <w:szCs w:val="21"/>
        </w:rPr>
        <w:t>表</w:t>
      </w:r>
      <w:r>
        <w:rPr>
          <w:rFonts w:hint="eastAsia" w:ascii="Times New Roman" w:hAnsi="Times New Roman" w:eastAsia="宋体" w:cs="Times New Roman"/>
          <w:b/>
          <w:bCs w:val="0"/>
          <w:color w:val="auto"/>
          <w:sz w:val="21"/>
          <w:szCs w:val="21"/>
          <w:lang w:val="en-US" w:eastAsia="zh-CN"/>
        </w:rPr>
        <w:t>5-1</w:t>
      </w:r>
      <w:r>
        <w:rPr>
          <w:rFonts w:hint="default" w:ascii="Times New Roman" w:hAnsi="Times New Roman" w:eastAsia="宋体" w:cs="Times New Roman"/>
          <w:b/>
          <w:bCs w:val="0"/>
          <w:color w:val="auto"/>
          <w:sz w:val="21"/>
          <w:szCs w:val="21"/>
          <w:lang w:val="en-US" w:eastAsia="zh-CN"/>
        </w:rPr>
        <w:t xml:space="preserve"> 雨水口泄水能力（L/s）</w:t>
      </w:r>
    </w:p>
    <w:tbl>
      <w:tblPr>
        <w:tblStyle w:val="17"/>
        <w:tblW w:w="79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2718"/>
        <w:gridCol w:w="2718"/>
      </w:tblGrid>
      <w:tr w14:paraId="55FF3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275" w:type="dxa"/>
            <w:gridSpan w:val="2"/>
            <w:vAlign w:val="center"/>
          </w:tcPr>
          <w:p w14:paraId="6BDD02A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雨水口型式</w:t>
            </w:r>
          </w:p>
        </w:tc>
        <w:tc>
          <w:tcPr>
            <w:tcW w:w="2718" w:type="dxa"/>
            <w:vAlign w:val="center"/>
          </w:tcPr>
          <w:p w14:paraId="7511EBB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泄水能力</w:t>
            </w:r>
          </w:p>
        </w:tc>
      </w:tr>
      <w:tr w14:paraId="075D3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Merge w:val="restart"/>
            <w:vAlign w:val="center"/>
          </w:tcPr>
          <w:p w14:paraId="4726FA2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平箅式雨水口</w:t>
            </w:r>
          </w:p>
          <w:p w14:paraId="7710989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偏沟式雨水口</w:t>
            </w:r>
          </w:p>
          <w:p w14:paraId="43B8378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立箅式雨水口</w:t>
            </w:r>
          </w:p>
        </w:tc>
        <w:tc>
          <w:tcPr>
            <w:tcW w:w="2718" w:type="dxa"/>
            <w:vAlign w:val="center"/>
          </w:tcPr>
          <w:p w14:paraId="5538461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单箅</w:t>
            </w:r>
          </w:p>
        </w:tc>
        <w:tc>
          <w:tcPr>
            <w:tcW w:w="2718" w:type="dxa"/>
            <w:vAlign w:val="center"/>
          </w:tcPr>
          <w:p w14:paraId="08FC979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20</w:t>
            </w:r>
          </w:p>
        </w:tc>
      </w:tr>
      <w:tr w14:paraId="70E4D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Merge w:val="continue"/>
            <w:vAlign w:val="center"/>
          </w:tcPr>
          <w:p w14:paraId="7DC2ECC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2718" w:type="dxa"/>
            <w:vAlign w:val="center"/>
          </w:tcPr>
          <w:p w14:paraId="274A6A1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双箅</w:t>
            </w:r>
          </w:p>
        </w:tc>
        <w:tc>
          <w:tcPr>
            <w:tcW w:w="2718" w:type="dxa"/>
            <w:vAlign w:val="center"/>
          </w:tcPr>
          <w:p w14:paraId="1147874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35</w:t>
            </w:r>
          </w:p>
        </w:tc>
      </w:tr>
      <w:tr w14:paraId="69067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Merge w:val="continue"/>
            <w:vAlign w:val="center"/>
          </w:tcPr>
          <w:p w14:paraId="5B3458F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2718" w:type="dxa"/>
            <w:vAlign w:val="center"/>
          </w:tcPr>
          <w:p w14:paraId="4DEEFE2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多箅</w:t>
            </w:r>
          </w:p>
        </w:tc>
        <w:tc>
          <w:tcPr>
            <w:tcW w:w="2718" w:type="dxa"/>
            <w:vAlign w:val="center"/>
          </w:tcPr>
          <w:p w14:paraId="665DFE3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15（每</w:t>
            </w:r>
            <w:r>
              <w:rPr>
                <w:rFonts w:hint="default" w:ascii="Times New Roman" w:hAnsi="Times New Roman" w:eastAsia="宋体" w:cs="Times New Roman"/>
                <w:color w:val="auto"/>
                <w:sz w:val="21"/>
                <w:szCs w:val="21"/>
                <w:highlight w:val="none"/>
                <w:lang w:val="en-US" w:eastAsia="zh-CN"/>
              </w:rPr>
              <w:t>箅</w:t>
            </w:r>
            <w:r>
              <w:rPr>
                <w:rFonts w:hint="default" w:ascii="Times New Roman" w:hAnsi="Times New Roman" w:eastAsia="宋体" w:cs="Times New Roman"/>
                <w:i w:val="0"/>
                <w:iCs w:val="0"/>
                <w:color w:val="auto"/>
                <w:sz w:val="21"/>
                <w:szCs w:val="21"/>
                <w:highlight w:val="none"/>
                <w:lang w:val="en-US" w:eastAsia="zh-CN"/>
              </w:rPr>
              <w:t>）</w:t>
            </w:r>
          </w:p>
        </w:tc>
      </w:tr>
      <w:tr w14:paraId="7A507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Merge w:val="restart"/>
            <w:vAlign w:val="center"/>
          </w:tcPr>
          <w:p w14:paraId="0498702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联合式雨水口</w:t>
            </w:r>
          </w:p>
        </w:tc>
        <w:tc>
          <w:tcPr>
            <w:tcW w:w="2718" w:type="dxa"/>
            <w:vAlign w:val="center"/>
          </w:tcPr>
          <w:p w14:paraId="4DA5EFEA">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单箅</w:t>
            </w:r>
          </w:p>
        </w:tc>
        <w:tc>
          <w:tcPr>
            <w:tcW w:w="2718" w:type="dxa"/>
            <w:vAlign w:val="center"/>
          </w:tcPr>
          <w:p w14:paraId="0624631E">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2"/>
                <w:sz w:val="21"/>
                <w:szCs w:val="21"/>
                <w:highlight w:val="none"/>
                <w:lang w:val="en-US" w:eastAsia="zh-CN" w:bidi="ar-SA"/>
              </w:rPr>
            </w:pPr>
            <w:r>
              <w:rPr>
                <w:rFonts w:hint="default" w:ascii="Times New Roman" w:hAnsi="Times New Roman" w:eastAsia="宋体" w:cs="Times New Roman"/>
                <w:i w:val="0"/>
                <w:iCs w:val="0"/>
                <w:color w:val="auto"/>
                <w:sz w:val="21"/>
                <w:szCs w:val="21"/>
                <w:highlight w:val="none"/>
                <w:lang w:val="en-US" w:eastAsia="zh-CN"/>
              </w:rPr>
              <w:t>30</w:t>
            </w:r>
          </w:p>
        </w:tc>
      </w:tr>
      <w:tr w14:paraId="43CD1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557" w:type="dxa"/>
            <w:vMerge w:val="continue"/>
            <w:vAlign w:val="center"/>
          </w:tcPr>
          <w:p w14:paraId="529E31F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2718" w:type="dxa"/>
            <w:vAlign w:val="center"/>
          </w:tcPr>
          <w:p w14:paraId="6C5EDD05">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双箅</w:t>
            </w:r>
          </w:p>
        </w:tc>
        <w:tc>
          <w:tcPr>
            <w:tcW w:w="2718" w:type="dxa"/>
            <w:vAlign w:val="center"/>
          </w:tcPr>
          <w:p w14:paraId="64D04AB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50</w:t>
            </w:r>
          </w:p>
        </w:tc>
      </w:tr>
      <w:tr w14:paraId="0108F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57" w:type="dxa"/>
            <w:vMerge w:val="continue"/>
            <w:vAlign w:val="center"/>
          </w:tcPr>
          <w:p w14:paraId="52DD868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2718" w:type="dxa"/>
            <w:vAlign w:val="center"/>
          </w:tcPr>
          <w:p w14:paraId="6EE5B4F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多箅</w:t>
            </w:r>
          </w:p>
        </w:tc>
        <w:tc>
          <w:tcPr>
            <w:tcW w:w="2718" w:type="dxa"/>
            <w:vAlign w:val="center"/>
          </w:tcPr>
          <w:p w14:paraId="48ED17B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20（每</w:t>
            </w:r>
            <w:r>
              <w:rPr>
                <w:rFonts w:hint="default" w:ascii="Times New Roman" w:hAnsi="Times New Roman" w:eastAsia="宋体" w:cs="Times New Roman"/>
                <w:color w:val="auto"/>
                <w:sz w:val="21"/>
                <w:szCs w:val="21"/>
                <w:highlight w:val="none"/>
                <w:lang w:val="en-US" w:eastAsia="zh-CN"/>
              </w:rPr>
              <w:t>箅</w:t>
            </w:r>
            <w:r>
              <w:rPr>
                <w:rFonts w:hint="default" w:ascii="Times New Roman" w:hAnsi="Times New Roman" w:eastAsia="宋体" w:cs="Times New Roman"/>
                <w:i w:val="0"/>
                <w:iCs w:val="0"/>
                <w:color w:val="auto"/>
                <w:sz w:val="21"/>
                <w:szCs w:val="21"/>
                <w:highlight w:val="none"/>
                <w:lang w:val="en-US" w:eastAsia="zh-CN"/>
              </w:rPr>
              <w:t>）</w:t>
            </w:r>
          </w:p>
        </w:tc>
      </w:tr>
    </w:tbl>
    <w:p w14:paraId="4A8736AB">
      <w:pPr>
        <w:spacing w:line="360" w:lineRule="auto"/>
        <w:rPr>
          <w:rFonts w:hint="default" w:ascii="Times New Roman" w:hAnsi="Times New Roman" w:eastAsia="宋体" w:cs="Times New Roman"/>
          <w:color w:val="auto"/>
          <w:sz w:val="24"/>
          <w:szCs w:val="24"/>
        </w:rPr>
      </w:pPr>
    </w:p>
    <w:p w14:paraId="4067F7E5">
      <w:pPr>
        <w:spacing w:line="360" w:lineRule="auto"/>
        <w:ind w:firstLine="482"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用于城镇内涝防治的泵站设计规模和多种因素密切相关。泵站上游的调蓄设计容积越大，泵站所需的设计规模越小，反之亦然。因此，在满足内涝防治设计重现期要求的前提下，应经过技术经济分析比较后，选取合适的方案。</w:t>
      </w:r>
    </w:p>
    <w:p w14:paraId="754A3FF6">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14:paraId="5F0C4A13">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198" w:name="_Toc17250"/>
      <w:bookmarkStart w:id="199" w:name="_Toc528"/>
      <w:bookmarkStart w:id="200" w:name="_Toc1531"/>
      <w:bookmarkStart w:id="201" w:name="_Toc10769"/>
      <w:bookmarkStart w:id="202" w:name="_Toc21053"/>
      <w:r>
        <w:rPr>
          <w:rFonts w:hint="eastAsia" w:ascii="Times New Roman" w:hAnsi="Times New Roman" w:eastAsia="宋体" w:cs="宋体"/>
          <w:color w:val="auto"/>
          <w:sz w:val="28"/>
          <w:szCs w:val="28"/>
          <w:highlight w:val="none"/>
          <w:lang w:val="en-US" w:eastAsia="zh-CN"/>
        </w:rPr>
        <w:t>5.4 排涝除险设施</w:t>
      </w:r>
      <w:bookmarkEnd w:id="198"/>
      <w:bookmarkEnd w:id="199"/>
      <w:bookmarkEnd w:id="200"/>
      <w:bookmarkEnd w:id="201"/>
      <w:bookmarkEnd w:id="202"/>
    </w:p>
    <w:p w14:paraId="5C041CA2">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5.4.1</w:t>
      </w:r>
      <w:r>
        <w:rPr>
          <w:rFonts w:hint="eastAsia" w:ascii="Times New Roman" w:hAnsi="Times New Roman" w:eastAsia="宋体" w:cs="仿宋"/>
          <w:b w:val="0"/>
          <w:bCs w:val="0"/>
          <w:color w:val="auto"/>
          <w:sz w:val="24"/>
          <w:szCs w:val="24"/>
          <w:highlight w:val="none"/>
          <w:lang w:val="en-US" w:eastAsia="zh-CN"/>
        </w:rPr>
        <w:t xml:space="preserve"> </w:t>
      </w:r>
      <w:r>
        <w:rPr>
          <w:rFonts w:hint="default" w:ascii="Times New Roman" w:hAnsi="Times New Roman" w:eastAsia="宋体" w:cs="宋体"/>
          <w:color w:val="000000" w:themeColor="text1"/>
          <w:sz w:val="24"/>
          <w:szCs w:val="24"/>
          <w:lang w:val="en-US" w:eastAsia="zh-CN"/>
          <w14:textFill>
            <w14:solidFill>
              <w14:schemeClr w14:val="tx1"/>
            </w14:solidFill>
          </w14:textFill>
        </w:rPr>
        <w:t>排涝除险设施主要用于解决超出源头减排设施和排水管渠设施能力的雨水控制问题，是城镇内涝防治系统的重要组成部分，排涝除险设施主要包括城镇水体、调蓄设施和行泄通道等。其中</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宋体"/>
          <w:color w:val="000000" w:themeColor="text1"/>
          <w:sz w:val="24"/>
          <w:szCs w:val="24"/>
          <w:lang w:val="en-US" w:eastAsia="zh-CN"/>
          <w14:textFill>
            <w14:solidFill>
              <w14:schemeClr w14:val="tx1"/>
            </w14:solidFill>
          </w14:textFill>
        </w:rPr>
        <w:t>城镇水体包括河道、湖泊、池塘和湿地等天然或人工水体；调蓄设施包括下凹式绿地、下沉式广场、调蓄池和调蓄隧道等设施。</w:t>
      </w:r>
    </w:p>
    <w:p w14:paraId="3CC46BCF">
      <w:pPr>
        <w:spacing w:line="360" w:lineRule="auto"/>
        <w:ind w:firstLine="480"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排涝除险设施承担着在暴雨期间调蓄雨水径流、为超出源头减排设施和市政排水管渠设施承载能力的雨水径流提供行泄通道和最终出路等重要任务，是满足城镇内涝防治设计重现期标准的重要保障。排涝除险设施的建设，应遵循低影响开发的理念，充分利用自然蓄排水设施，发挥河道行洪能力和水库、洼地、湖泊调蓄雨水的功能，合理确定排水出路。</w:t>
      </w:r>
    </w:p>
    <w:p w14:paraId="5D56F310">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1</w:t>
      </w:r>
      <w:r>
        <w:rPr>
          <w:rFonts w:hint="eastAsia" w:ascii="Times New Roman" w:hAnsi="Times New Roman" w:eastAsia="宋体" w:cs="仿宋"/>
          <w:b w:val="0"/>
          <w:bCs w:val="0"/>
          <w:color w:val="auto"/>
          <w:sz w:val="24"/>
          <w:szCs w:val="24"/>
          <w:highlight w:val="none"/>
          <w:lang w:val="en-US" w:eastAsia="zh-CN"/>
        </w:rPr>
        <w:t xml:space="preserve"> </w:t>
      </w:r>
      <w:r>
        <w:rPr>
          <w:rFonts w:hint="default" w:ascii="Times New Roman" w:hAnsi="Times New Roman" w:eastAsia="宋体" w:cs="宋体"/>
          <w:color w:val="000000" w:themeColor="text1"/>
          <w:sz w:val="24"/>
          <w:szCs w:val="24"/>
          <w:lang w:val="en-US" w:eastAsia="zh-CN"/>
          <w14:textFill>
            <w14:solidFill>
              <w14:schemeClr w14:val="tx1"/>
            </w14:solidFill>
          </w14:textFill>
        </w:rPr>
        <w:t>排涝除险设施的规划和建设涉及海绵城市建设、道路交通、城镇防洪、园林绿地等多领域，所以应在城镇总体规划的框架下，统筹规划排涝除险设施和其他内涝防治设施，合理确定其建设规模，保证排涝除险设施与源头减排设施、排水管渠设施共同达到当地内涝防治设计重现期标准</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p>
    <w:p w14:paraId="74D6EC50">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排涝除险设施的规模，应根据其类型（调蓄或排放），进行相应的水量或流量计算。排涝除险设施应和源头减排设施、排水管渠设施作为一个整体系统校核满足内涝防治设计重现期的设计要求。根据《室外排水设计标准》GB 50014最大允许退水时间为雨停后的地面积水的最大于允许排干时间。</w:t>
      </w:r>
    </w:p>
    <w:p w14:paraId="349B6015">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5.4.2</w:t>
      </w:r>
      <w:r>
        <w:rPr>
          <w:rFonts w:hint="eastAsia" w:ascii="Times New Roman" w:hAnsi="Times New Roman" w:eastAsia="宋体" w:cs="仿宋"/>
          <w:b w:val="0"/>
          <w:bCs w:val="0"/>
          <w:color w:val="auto"/>
          <w:sz w:val="24"/>
          <w:szCs w:val="24"/>
          <w:highlight w:val="none"/>
          <w:lang w:val="en-US" w:eastAsia="zh-CN"/>
        </w:rPr>
        <w:t xml:space="preserve"> </w:t>
      </w:r>
      <w:r>
        <w:rPr>
          <w:rFonts w:hint="eastAsia" w:ascii="Times New Roman" w:hAnsi="Times New Roman" w:eastAsia="宋体" w:cs="宋体"/>
          <w:color w:val="000000" w:themeColor="text1"/>
          <w:sz w:val="24"/>
          <w:szCs w:val="24"/>
          <w:lang w:val="en-US" w:eastAsia="zh-CN"/>
          <w14:textFill>
            <w14:solidFill>
              <w14:schemeClr w14:val="tx1"/>
            </w14:solidFill>
          </w14:textFill>
        </w:rPr>
        <w:t>城镇规划和设计过程中水面率是很重要的指标，应尽量保留原有的河道、湖泊等自然水体，充分利用城镇天然水体，不仅有利于维持生态平衡，改善环境，而且可以调节城镇径流，减少排水工程规模，发挥综合效应。对现有水体进行水系修复与治理时，应依据城镇总体规划，满足规划蓝线和水面率的要求，不应缩减其现有调蓄容量，不应损害其在城镇内涝防治系统中的功能。为达到内涝防治设计重现期标准，应保证一定的水面率。</w:t>
      </w:r>
    </w:p>
    <w:p w14:paraId="62886D11">
      <w:pPr>
        <w:spacing w:line="360" w:lineRule="auto"/>
        <w:rPr>
          <w:rFonts w:hint="eastAsia" w:ascii="Times New Roman" w:hAnsi="Times New Roman" w:eastAsia="宋体" w:cs="宋体"/>
          <w:color w:val="auto"/>
          <w:sz w:val="24"/>
          <w:szCs w:val="24"/>
        </w:rPr>
      </w:pPr>
      <w:r>
        <w:rPr>
          <w:rFonts w:hint="eastAsia" w:ascii="Times New Roman" w:hAnsi="Times New Roman" w:eastAsia="宋体" w:cs="仿宋"/>
          <w:b/>
          <w:bCs/>
          <w:color w:val="auto"/>
          <w:sz w:val="24"/>
          <w:szCs w:val="24"/>
          <w:highlight w:val="none"/>
          <w:lang w:val="en-US" w:eastAsia="zh-CN"/>
        </w:rPr>
        <w:t>5.4.3</w:t>
      </w:r>
      <w:r>
        <w:rPr>
          <w:rFonts w:hint="eastAsia" w:ascii="Times New Roman" w:hAnsi="Times New Roman" w:eastAsia="宋体" w:cs="仿宋"/>
          <w:b w:val="0"/>
          <w:bCs w:val="0"/>
          <w:color w:val="auto"/>
          <w:sz w:val="24"/>
          <w:szCs w:val="24"/>
          <w:highlight w:val="none"/>
          <w:lang w:val="en-US" w:eastAsia="zh-CN"/>
        </w:rPr>
        <w:t xml:space="preserve"> </w:t>
      </w:r>
      <w:r>
        <w:rPr>
          <w:rFonts w:hint="eastAsia" w:ascii="Times New Roman" w:hAnsi="Times New Roman" w:eastAsia="宋体" w:cs="宋体"/>
          <w:color w:val="000000" w:themeColor="text1"/>
          <w:sz w:val="24"/>
          <w:szCs w:val="24"/>
          <w:lang w:val="en-US" w:eastAsia="zh-CN"/>
          <w14:textFill>
            <w14:solidFill>
              <w14:schemeClr w14:val="tx1"/>
            </w14:solidFill>
          </w14:textFill>
        </w:rPr>
        <w:t>建议有条件的地区建立数学模型计算确定雨水调蓄设施的位置和规模，可提高设施布置的科学性，节省投资并充分发挥效用。</w:t>
      </w:r>
    </w:p>
    <w:p w14:paraId="727282E8">
      <w:pPr>
        <w:widowControl/>
        <w:spacing w:line="360" w:lineRule="auto"/>
        <w:jc w:val="left"/>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5.4.4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行泄通道主要包括河涌、大型排水沟渠、规划确定的道路行泄通道、地下行泄通道等。</w:t>
      </w:r>
    </w:p>
    <w:p w14:paraId="79FACCC4">
      <w:pPr>
        <w:pStyle w:val="4"/>
        <w:spacing w:beforeLines="0" w:after="156" w:afterLines="50" w:line="360" w:lineRule="auto"/>
        <w:jc w:val="center"/>
        <w:rPr>
          <w:rFonts w:hint="eastAsia" w:ascii="Times New Roman" w:hAnsi="Times New Roman" w:eastAsia="宋体" w:cs="宋体"/>
          <w:color w:val="000000" w:themeColor="text1"/>
          <w:sz w:val="24"/>
          <w:szCs w:val="24"/>
          <w14:textFill>
            <w14:solidFill>
              <w14:schemeClr w14:val="tx1"/>
            </w14:solidFill>
          </w14:textFill>
        </w:rPr>
      </w:pPr>
      <w:bookmarkStart w:id="203" w:name="_Toc30798"/>
      <w:bookmarkStart w:id="204" w:name="_Toc25802"/>
      <w:bookmarkStart w:id="205" w:name="_Toc18191"/>
      <w:bookmarkStart w:id="206" w:name="_Toc4593"/>
      <w:bookmarkStart w:id="207" w:name="_Toc30885"/>
      <w:r>
        <w:rPr>
          <w:rFonts w:hint="eastAsia" w:ascii="Times New Roman" w:hAnsi="Times New Roman" w:eastAsia="宋体" w:cs="宋体"/>
          <w:color w:val="auto"/>
          <w:sz w:val="28"/>
          <w:szCs w:val="28"/>
          <w:highlight w:val="none"/>
          <w:lang w:val="en-US" w:eastAsia="zh-CN"/>
        </w:rPr>
        <w:t>5.5 地下空间防淹</w:t>
      </w:r>
      <w:bookmarkEnd w:id="203"/>
      <w:bookmarkEnd w:id="204"/>
      <w:bookmarkEnd w:id="205"/>
      <w:bookmarkEnd w:id="206"/>
      <w:bookmarkEnd w:id="207"/>
    </w:p>
    <w:p w14:paraId="38CE8EDC">
      <w:pPr>
        <w:spacing w:line="360" w:lineRule="auto"/>
        <w:rPr>
          <w:rFonts w:hint="default" w:ascii="Times New Roman" w:hAnsi="Times New Roman" w:eastAsia="宋体" w:cs="宋体"/>
          <w:color w:val="000000" w:themeColor="text1"/>
          <w:sz w:val="24"/>
          <w:szCs w:val="24"/>
          <w:lang w:val="en-US"/>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.1</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市地下空间是指城市规划区内地表以下以土体或岩体为主要介质的空间领域。城市地下空间涵盖地下道路交通、城市轨道交通、地下停车库、地下综合管廊地下人防工程、地下步行街、地下商业和给水排水厂站（含泵站）等各种地下建（构）物。</w:t>
      </w:r>
    </w:p>
    <w:p w14:paraId="6CBDE037">
      <w:pPr>
        <w:spacing w:line="360" w:lineRule="auto"/>
        <w:rPr>
          <w:rFonts w:hint="eastAsia" w:ascii="Times New Roman" w:hAnsi="Times New Roman" w:eastAsia="宋体" w:cs="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2 </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地下空间</w:t>
      </w:r>
      <w:r>
        <w:rPr>
          <w:rFonts w:hint="eastAsia" w:ascii="Times New Roman" w:hAnsi="Times New Roman" w:eastAsia="宋体" w:cs="宋体"/>
          <w:color w:val="000000" w:themeColor="text1"/>
          <w:sz w:val="24"/>
          <w:szCs w:val="24"/>
          <w:highlight w:val="none"/>
          <w14:textFill>
            <w14:solidFill>
              <w14:schemeClr w14:val="tx1"/>
            </w14:solidFill>
          </w14:textFill>
        </w:rPr>
        <w:t>应采取防止客水进入的措施</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，合理确定地下通道和下穿立交排水系统的汇水面积，高水高排，低水低排，并采取设置挡墙、驼峰等能有效防止高水进入低水系统的拦截措施。</w:t>
      </w:r>
    </w:p>
    <w:p w14:paraId="5A047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地下空间</w:t>
      </w:r>
      <w:r>
        <w:rPr>
          <w:rFonts w:hint="eastAsia" w:ascii="Times New Roman" w:hAnsi="Times New Roman" w:eastAsia="宋体" w:cs="宋体"/>
          <w:color w:val="000000" w:themeColor="text1"/>
          <w:sz w:val="24"/>
          <w:szCs w:val="24"/>
          <w:highlight w:val="none"/>
          <w14:textFill>
            <w14:solidFill>
              <w14:schemeClr w14:val="tx1"/>
            </w14:solidFill>
          </w14:textFill>
        </w:rPr>
        <w:t>雨水</w:t>
      </w:r>
      <w:r>
        <w:rPr>
          <w:rFonts w:hint="eastAsia" w:ascii="Times New Roman" w:hAnsi="Times New Roman" w:eastAsia="宋体" w:cs="宋体"/>
          <w:color w:val="auto"/>
          <w:sz w:val="24"/>
          <w:szCs w:val="24"/>
          <w:highlight w:val="none"/>
        </w:rPr>
        <w:t>无法重力自排时</w:t>
      </w:r>
      <w:r>
        <w:rPr>
          <w:rFonts w:hint="eastAsia" w:ascii="Times New Roman" w:hAnsi="Times New Roman" w:eastAsia="宋体" w:cs="宋体"/>
          <w:color w:val="000000" w:themeColor="text1"/>
          <w:sz w:val="24"/>
          <w:szCs w:val="24"/>
          <w:highlight w:val="none"/>
          <w14:textFill>
            <w14:solidFill>
              <w14:schemeClr w14:val="tx1"/>
            </w14:solidFill>
          </w14:textFill>
        </w:rPr>
        <w:t>，应设置雨水泵站进行强排并应确保用电可靠性</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下穿立交道路的雨水泵站为保证在设计重现期内的降雨期间水泵能正常启动和运转，应对排水泵站和配电设备的安全高度进行计算校核。当不具备将泵站整体地面标高抬高的条件时，应提高配电设备设置的安全高度。</w:t>
      </w:r>
    </w:p>
    <w:p w14:paraId="31E27575">
      <w:pPr>
        <w:spacing w:line="360" w:lineRule="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宋体"/>
          <w:b/>
          <w:color w:val="auto"/>
          <w:sz w:val="24"/>
          <w:szCs w:val="24"/>
          <w:lang w:val="en-US" w:eastAsia="zh-CN"/>
        </w:rPr>
        <w:t xml:space="preserve"> </w:t>
      </w:r>
      <w:r>
        <w:rPr>
          <w:rFonts w:hint="eastAsia" w:ascii="Times New Roman" w:hAnsi="Times New Roman" w:eastAsia="宋体" w:cs="宋体"/>
          <w:color w:val="auto"/>
          <w:sz w:val="24"/>
          <w:szCs w:val="24"/>
          <w:lang w:val="en-US" w:eastAsia="zh-CN"/>
        </w:rPr>
        <w:t>地下空间防涝以防为主，关键是防出入口，包括抬高入口地面高程、设置防淹挡板及遮雨措施，设置排水沟、截水沟等措施。</w:t>
      </w:r>
    </w:p>
    <w:p w14:paraId="26D845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4"/>
          <w:szCs w:val="24"/>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auto"/>
          <w:sz w:val="24"/>
          <w:szCs w:val="24"/>
          <w:lang w:val="en-US" w:eastAsia="zh-CN"/>
        </w:rPr>
        <w:t xml:space="preserve"> </w:t>
      </w:r>
      <w:r>
        <w:rPr>
          <w:rFonts w:hint="eastAsia" w:ascii="Times New Roman" w:hAnsi="Times New Roman" w:eastAsia="宋体" w:cs="宋体"/>
          <w:color w:val="auto"/>
          <w:sz w:val="24"/>
          <w:szCs w:val="24"/>
          <w:lang w:val="en-US" w:eastAsia="zh-CN"/>
        </w:rPr>
        <w:t>车行出入口高程宜高出周边地面0.2m~0.5m以上，人行出入口高程宜高出周边地面0.5m~1.0m以上。地下空间出入口宜设置延伸至地下空间出入口外端的透光遮雨措施，以防止雨水直接进入地下空间内部。</w:t>
      </w:r>
    </w:p>
    <w:p w14:paraId="6B9AB4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color w:val="auto"/>
          <w:sz w:val="24"/>
          <w:szCs w:val="24"/>
          <w:highlight w:val="none"/>
          <w:lang w:val="en-US" w:eastAsia="zh-CN"/>
        </w:rPr>
        <w:t xml:space="preserve"> 下穿隧道为地下道路设施的一部分。下穿隧道是道路交汇时为了不干扰彼此的行车，通过挖掘下穿的方式与道路交汇，从而不相互干扰，一般多建于城市交通繁忙的道路及路口</w:t>
      </w:r>
      <w:r>
        <w:rPr>
          <w:rFonts w:hint="eastAsia" w:ascii="Times New Roman" w:hAnsi="Times New Roman" w:eastAsia="宋体" w:cs="宋体"/>
          <w:color w:val="auto"/>
          <w:sz w:val="24"/>
          <w:szCs w:val="24"/>
          <w:lang w:val="en-US" w:eastAsia="zh-CN"/>
        </w:rPr>
        <w:t>。此处下穿隧道区别于没有太大道路起伏的一般平直隧道。下穿隧道发生排水不畅或内涝时对交通和人身安全影响极大。下穿隧道排水的设计重现期远远高于附近地面道路的设计重现期（中心城区下穿隧道的雨水管渠设计重现期根据城镇类型选择不应小于10年~50年，非中心城区下穿隧道的</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雨水管渠设计重现期不应小于10年），一般情况下隧道内外应分开排水区域，分别组织排放。隧道内外排水分区界限设置挡墙、驼峰等有效地防止高水进入低水系统的拦截措施。下穿隧道内雨水排放应设置独立的排水系统（含隧道敞开段雨水），出水应就近排入受纳水体，防止倒灌。</w:t>
      </w:r>
    </w:p>
    <w:p w14:paraId="0B5BC8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地下通道和下穿立交排水的可靠程度取决于出水口的畅通无阻，故有条件的地区，下穿立交排水应尽量设置独立系统，出水应就近排入受纳水体。若就近受纳水体排水能力不足时，可选择排入排水能力更强的受纳水体。当不具备直接排入水体的条件时，可将出水管接入地面雨水管网，但受纳雨水系统应能同时满足设计条件下地区和立交的排水要求。出水管末端应设防倒流装置，以免发生水流倒灌。有条件的地区可设置下穿立交道路调蓄设施。通过采取防倒灌和调蓄等综合措施，保障排水通畅，使得下穿立交道路排水满足雨水管渠设计重现期和内涝防治设计重现期的要求。</w:t>
      </w:r>
    </w:p>
    <w:p w14:paraId="08B03E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当采用泵站排除地面径流时，应校核泵站和配电设备的安全高度，采取防止变配电设施被淹的措施。</w:t>
      </w:r>
    </w:p>
    <w:p w14:paraId="59CEE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为防止行人或机动车进入积水较深的下穿立交道路区域，造成人身伤害和财产损失，应在进入下穿立交道路前较明显的位置设置标尺，表明下穿立交道路的积水深度和标识线，并设置警示标识和物理隔离措施等。</w:t>
      </w:r>
    </w:p>
    <w:p w14:paraId="418ED2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积水自动监测装置可设置于下穿立交道路路面最低点和泵站集水池内，积水自动监测结果可通过信息控制系统传输至LED智能报警系统或声光报警系统，实现水位变化检测、积水智能报警、信息发布和远程监控指挥，做到提前预警和警示。目前上海在全市的下穿立交道路都安装了积水自动监测和报警装置，出现超过20cm积水且无有效手段降低或抑制水位上升时，采取措施限行；当出现超过25cm积水，水位得不到有效控制时，应采取封闭交通措施，从而有效保证下穿立交运行的安全性。</w:t>
      </w:r>
    </w:p>
    <w:p w14:paraId="46A2C2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根据《广州市排水条例实施细则》（穗水规字〔2022〕8号）中要求应急管理、交通运输、水务等行政管理部门应当在存在水浸风险的下凹式涵洞（隧道）推广设置积水深度智能监测设备，并共享监测预警信息；应急管理、水务、气象、交通运输、公安等行政管理部门，可利用电视台、短信、微信公众号、微博、地铁公交车厢电子显示屏等及时向市民提供雨天出行和道路积水预报预警服务。</w:t>
      </w:r>
    </w:p>
    <w:p w14:paraId="055CAA25">
      <w:pPr>
        <w:spacing w:line="360" w:lineRule="auto"/>
        <w:jc w:val="left"/>
        <w:rPr>
          <w:rFonts w:hint="eastAsia" w:ascii="Times New Roman" w:hAnsi="Times New Roman" w:eastAsia="宋体" w:cs="宋体"/>
          <w:color w:val="000000" w:themeColor="text1"/>
          <w:sz w:val="24"/>
          <w:szCs w:val="24"/>
          <w14:textFill>
            <w14:solidFill>
              <w14:schemeClr w14:val="tx1"/>
            </w14:solidFill>
          </w14:textFill>
        </w:rPr>
      </w:pPr>
    </w:p>
    <w:p w14:paraId="00FD7A65">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3948B4C">
      <w:pPr>
        <w:rPr>
          <w:rFonts w:hint="eastAsia" w:ascii="Times New Roman" w:hAnsi="Times New Roman" w:eastAsia="宋体" w:cs="宋体"/>
          <w:color w:val="000000" w:themeColor="text1"/>
          <w:sz w:val="24"/>
          <w:szCs w:val="24"/>
          <w14:textFill>
            <w14:solidFill>
              <w14:schemeClr w14:val="tx1"/>
            </w14:solidFill>
          </w14:textFill>
        </w:rPr>
      </w:pPr>
    </w:p>
    <w:p w14:paraId="5F153ED1">
      <w:pPr>
        <w:pStyle w:val="2"/>
        <w:jc w:val="center"/>
        <w:rPr>
          <w:rFonts w:hint="default" w:ascii="Times New Roman" w:hAnsi="Times New Roman" w:eastAsia="宋体" w:cs="宋体"/>
          <w:color w:val="000000" w:themeColor="text1"/>
          <w:sz w:val="32"/>
          <w:szCs w:val="32"/>
          <w:lang w:val="en-US" w:eastAsia="zh-CN"/>
          <w14:textFill>
            <w14:solidFill>
              <w14:schemeClr w14:val="tx1"/>
            </w14:solidFill>
          </w14:textFill>
        </w:rPr>
      </w:pPr>
      <w:bookmarkStart w:id="208" w:name="_Toc2500"/>
      <w:bookmarkStart w:id="209" w:name="_Toc17625"/>
      <w:bookmarkStart w:id="210" w:name="_Toc7034"/>
      <w:bookmarkStart w:id="211" w:name="_Toc23014"/>
      <w:bookmarkStart w:id="212" w:name="_Toc11094"/>
      <w:r>
        <w:rPr>
          <w:rFonts w:hint="eastAsia" w:ascii="Times New Roman" w:hAnsi="Times New Roman" w:eastAsia="宋体" w:cs="宋体"/>
          <w:color w:val="000000" w:themeColor="text1"/>
          <w:sz w:val="32"/>
          <w:szCs w:val="32"/>
          <w:lang w:val="en-US" w:eastAsia="zh-CN"/>
          <w14:textFill>
            <w14:solidFill>
              <w14:schemeClr w14:val="tx1"/>
            </w14:solidFill>
          </w14:textFill>
        </w:rPr>
        <w:t>6 运行维护</w:t>
      </w:r>
      <w:bookmarkEnd w:id="208"/>
      <w:bookmarkEnd w:id="209"/>
      <w:bookmarkEnd w:id="210"/>
      <w:r>
        <w:rPr>
          <w:rFonts w:hint="eastAsia" w:ascii="Times New Roman" w:hAnsi="Times New Roman" w:eastAsia="宋体" w:cs="宋体"/>
          <w:color w:val="000000" w:themeColor="text1"/>
          <w:sz w:val="32"/>
          <w:szCs w:val="32"/>
          <w:lang w:val="en-US" w:eastAsia="zh-CN"/>
          <w14:textFill>
            <w14:solidFill>
              <w14:schemeClr w14:val="tx1"/>
            </w14:solidFill>
          </w14:textFill>
        </w:rPr>
        <w:t>及管理</w:t>
      </w:r>
      <w:bookmarkEnd w:id="211"/>
      <w:bookmarkEnd w:id="212"/>
    </w:p>
    <w:p w14:paraId="4F7DC9CB">
      <w:pPr>
        <w:pStyle w:val="4"/>
        <w:spacing w:beforeLines="0" w:after="156" w:afterLines="50"/>
        <w:jc w:val="center"/>
        <w:rPr>
          <w:rFonts w:hint="eastAsia" w:ascii="Times New Roman" w:hAnsi="Times New Roman" w:eastAsia="宋体" w:cs="宋体"/>
          <w:color w:val="000000" w:themeColor="text1"/>
          <w:sz w:val="28"/>
          <w:szCs w:val="28"/>
          <w14:textFill>
            <w14:solidFill>
              <w14:schemeClr w14:val="tx1"/>
            </w14:solidFill>
          </w14:textFill>
        </w:rPr>
      </w:pPr>
      <w:bookmarkStart w:id="213" w:name="_Toc24876"/>
      <w:bookmarkStart w:id="214" w:name="_Toc20222"/>
      <w:bookmarkStart w:id="215" w:name="_Toc12525"/>
      <w:bookmarkStart w:id="216" w:name="_Toc29573"/>
      <w:bookmarkStart w:id="217" w:name="_Toc4009"/>
      <w:bookmarkStart w:id="218" w:name="_Toc9107"/>
      <w:r>
        <w:rPr>
          <w:rFonts w:hint="eastAsia" w:ascii="Times New Roman" w:hAnsi="Times New Roman" w:eastAsia="宋体" w:cs="宋体"/>
          <w:color w:val="000000" w:themeColor="text1"/>
          <w:sz w:val="28"/>
          <w:szCs w:val="28"/>
          <w:lang w:val="en-US" w:eastAsia="zh-CN"/>
          <w14:textFill>
            <w14:solidFill>
              <w14:schemeClr w14:val="tx1"/>
            </w14:solidFill>
          </w14:textFill>
        </w:rPr>
        <w:t>6</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213"/>
      <w:bookmarkEnd w:id="214"/>
      <w:bookmarkEnd w:id="215"/>
      <w:bookmarkEnd w:id="216"/>
      <w:bookmarkEnd w:id="217"/>
      <w:bookmarkEnd w:id="218"/>
    </w:p>
    <w:p w14:paraId="4A74B427">
      <w:pPr>
        <w:spacing w:line="360" w:lineRule="auto"/>
        <w:rPr>
          <w:rFonts w:hint="eastAsia"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6.1.2</w:t>
      </w:r>
      <w:r>
        <w:rPr>
          <w:rFonts w:hint="eastAsia" w:ascii="Times New Roman" w:hAnsi="Times New Roman" w:eastAsia="宋体" w:cs="仿宋"/>
          <w:b w:val="0"/>
          <w:bCs w:val="0"/>
          <w:color w:val="auto"/>
          <w:sz w:val="24"/>
          <w:szCs w:val="24"/>
          <w:highlight w:val="none"/>
          <w:lang w:val="en-US" w:eastAsia="zh-CN"/>
        </w:rPr>
        <w:t xml:space="preserve">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城镇内涝防治系统中的设施应建立相关运行维护制度，保证系统设施良好的水力功能和结构状况，充分发挥设施功能。</w:t>
      </w:r>
    </w:p>
    <w:p w14:paraId="55324A85">
      <w:pPr>
        <w:spacing w:line="360" w:lineRule="auto"/>
        <w:ind w:firstLine="480" w:firstLineChars="200"/>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应急预案</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和管理制度</w:t>
      </w: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应当至少每三年修订一次。应急预案编制单位应当建立应急预案定期评估制度，对预案内容的针对性和实用性进行分析并对应急预案是否需要修订作出结论。</w:t>
      </w:r>
    </w:p>
    <w:p w14:paraId="425611FC">
      <w:pPr>
        <w:spacing w:line="360" w:lineRule="auto"/>
        <w:ind w:firstLine="480" w:firstLineChars="200"/>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城镇的运行、维护及管理与内涝治理是一项周期性、持续性的工作。运行、维护及管理过程发现的问题是内涝治理的依据，内涝治理的成效推动城镇更好的运行和维护。</w:t>
      </w:r>
    </w:p>
    <w:p w14:paraId="27F28A13">
      <w:pPr>
        <w:pStyle w:val="4"/>
        <w:spacing w:beforeLines="0" w:after="156" w:afterLines="50"/>
        <w:jc w:val="center"/>
        <w:rPr>
          <w:rFonts w:hint="eastAsia" w:ascii="Times New Roman" w:hAnsi="Times New Roman" w:eastAsia="宋体" w:cs="宋体"/>
          <w:color w:val="000000" w:themeColor="text1"/>
          <w:sz w:val="28"/>
          <w:szCs w:val="28"/>
          <w:lang w:eastAsia="zh-CN"/>
          <w14:textFill>
            <w14:solidFill>
              <w14:schemeClr w14:val="tx1"/>
            </w14:solidFill>
          </w14:textFill>
        </w:rPr>
      </w:pPr>
      <w:bookmarkStart w:id="219" w:name="_Toc6118"/>
      <w:bookmarkStart w:id="220" w:name="_Toc7191"/>
      <w:bookmarkStart w:id="221" w:name="_Toc5528"/>
      <w:bookmarkStart w:id="222" w:name="_Toc7949"/>
      <w:bookmarkStart w:id="223" w:name="_Toc12973"/>
      <w:bookmarkStart w:id="224" w:name="_Toc18757"/>
      <w:r>
        <w:rPr>
          <w:rFonts w:hint="eastAsia" w:ascii="Times New Roman" w:hAnsi="Times New Roman" w:eastAsia="宋体" w:cs="宋体"/>
          <w:color w:val="000000" w:themeColor="text1"/>
          <w:sz w:val="28"/>
          <w:szCs w:val="28"/>
          <w:lang w:val="en-US" w:eastAsia="zh-CN"/>
          <w14:textFill>
            <w14:solidFill>
              <w14:schemeClr w14:val="tx1"/>
            </w14:solidFill>
          </w14:textFill>
        </w:rPr>
        <w:t>6</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2 日常维护</w:t>
      </w:r>
      <w:bookmarkEnd w:id="219"/>
      <w:bookmarkEnd w:id="220"/>
      <w:bookmarkEnd w:id="221"/>
      <w:bookmarkEnd w:id="222"/>
      <w:bookmarkEnd w:id="223"/>
      <w:bookmarkEnd w:id="224"/>
    </w:p>
    <w:p w14:paraId="76724B6A">
      <w:pPr>
        <w:spacing w:line="360" w:lineRule="auto"/>
        <w:rPr>
          <w:rFonts w:hint="eastAsia" w:ascii="Times New Roman" w:hAnsi="Times New Roman" w:eastAsia="仿宋" w:cs="仿宋"/>
          <w:color w:val="0000FF"/>
          <w:sz w:val="24"/>
          <w:szCs w:val="24"/>
          <w:highlight w:val="none"/>
          <w:lang w:eastAsia="zh-CN"/>
        </w:rPr>
      </w:pPr>
      <w:r>
        <w:rPr>
          <w:rFonts w:hint="eastAsia" w:ascii="Times New Roman" w:hAnsi="Times New Roman" w:eastAsia="仿宋" w:cs="仿宋"/>
          <w:b/>
          <w:bCs/>
          <w:color w:val="auto"/>
          <w:sz w:val="24"/>
          <w:szCs w:val="24"/>
          <w:highlight w:val="none"/>
          <w:lang w:val="en-US" w:eastAsia="zh-CN"/>
        </w:rPr>
        <w:t>6</w:t>
      </w:r>
      <w:r>
        <w:rPr>
          <w:rFonts w:hint="eastAsia" w:ascii="Times New Roman" w:hAnsi="Times New Roman" w:eastAsia="仿宋" w:cs="仿宋"/>
          <w:b/>
          <w:bCs/>
          <w:color w:val="auto"/>
          <w:sz w:val="24"/>
          <w:szCs w:val="24"/>
          <w:highlight w:val="none"/>
          <w:lang w:eastAsia="zh-CN"/>
        </w:rPr>
        <w:t>.2.</w:t>
      </w:r>
      <w:r>
        <w:rPr>
          <w:rFonts w:hint="eastAsia" w:ascii="Times New Roman" w:hAnsi="Times New Roman" w:eastAsia="仿宋" w:cs="仿宋"/>
          <w:b/>
          <w:bCs/>
          <w:color w:val="auto"/>
          <w:sz w:val="24"/>
          <w:szCs w:val="24"/>
          <w:highlight w:val="none"/>
          <w:lang w:val="en-US" w:eastAsia="zh-CN"/>
        </w:rPr>
        <w:t>1</w:t>
      </w:r>
      <w:r>
        <w:rPr>
          <w:rFonts w:hint="eastAsia" w:ascii="Times New Roman" w:hAnsi="Times New Roman" w:eastAsia="仿宋" w:cs="仿宋"/>
          <w:color w:val="0000FF"/>
          <w:sz w:val="24"/>
          <w:szCs w:val="24"/>
          <w:highlight w:val="none"/>
          <w:lang w:eastAsia="zh-CN"/>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源头减排设施、排水管渠、泵站、调蓄设施、行泄通道等设施需配备专门的巡查人员。日常巡查内容包括水位情况、堵塞情况、设施完好情况、违法行为等。源头减排设施、排水管渠、雨水口外部巡视每周不应少于一次，检查井、雨水口内部检查每年不应少于两次；行泄通道、调蓄设施的巡视每周不应少于一次，行泄通道、调蓄设施每年枯水期应进行一次预计情况检查。排放口外部巡视每周不应少于一次，淤积情况检查每年不应少于一次，宜在每年枯水期进行。主要检查内容参照《城镇排水管渠与泵站运行、维护及安全技术规程》CJJ 68中的相关要求。当发现设施损坏或缺失、堵塞、塌陷等情况，需及时开展修复工作，保证设施水力功能和结构状况。</w:t>
      </w:r>
    </w:p>
    <w:p w14:paraId="132D55A1">
      <w:pPr>
        <w:spacing w:line="360" w:lineRule="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仿宋" w:cs="仿宋"/>
          <w:b/>
          <w:bCs/>
          <w:color w:val="auto"/>
          <w:sz w:val="24"/>
          <w:szCs w:val="24"/>
          <w:highlight w:val="none"/>
          <w:lang w:val="en-US" w:eastAsia="zh-CN"/>
        </w:rPr>
        <w:t>6</w:t>
      </w:r>
      <w:r>
        <w:rPr>
          <w:rFonts w:hint="eastAsia" w:ascii="Times New Roman" w:hAnsi="Times New Roman" w:eastAsia="仿宋" w:cs="仿宋"/>
          <w:b/>
          <w:bCs/>
          <w:color w:val="auto"/>
          <w:sz w:val="24"/>
          <w:szCs w:val="24"/>
          <w:highlight w:val="none"/>
          <w:lang w:eastAsia="zh-CN"/>
        </w:rPr>
        <w:t>.2.3</w:t>
      </w:r>
      <w:r>
        <w:rPr>
          <w:rFonts w:hint="eastAsia" w:ascii="Times New Roman" w:hAnsi="Times New Roman" w:eastAsia="仿宋" w:cs="仿宋"/>
          <w:color w:val="auto"/>
          <w:sz w:val="24"/>
          <w:szCs w:val="24"/>
          <w:highlight w:val="none"/>
          <w:lang w:eastAsia="zh-CN"/>
        </w:rPr>
        <w:t xml:space="preserve"> </w:t>
      </w:r>
      <w:r>
        <w:rPr>
          <w:rFonts w:hint="default" w:ascii="Times New Roman" w:hAnsi="Times New Roman" w:eastAsia="宋体" w:cs="Times New Roman"/>
          <w:color w:val="auto"/>
          <w:sz w:val="24"/>
          <w:szCs w:val="24"/>
          <w:highlight w:val="none"/>
          <w:lang w:eastAsia="zh-CN"/>
        </w:rPr>
        <w:t>暴雨前、暴雨期间和暴雨后，应及时清理和疏通城镇道路雨水口、排水管道和排放口。雨水口、排水管道、检查井和雨水口内不得留有杂物，雨水口垃圾拦截装置中的垃圾应及时清除。</w:t>
      </w:r>
    </w:p>
    <w:p w14:paraId="280B56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内涝风险区的雨水口、管渠、泵站等设施</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应结合内涝成因分析，</w:t>
      </w:r>
      <w:r>
        <w:rPr>
          <w:rFonts w:hint="default" w:ascii="Times New Roman" w:hAnsi="Times New Roman" w:eastAsia="宋体" w:cs="Times New Roman"/>
          <w:color w:val="auto"/>
          <w:sz w:val="24"/>
          <w:szCs w:val="24"/>
          <w:highlight w:val="none"/>
          <w:lang w:eastAsia="zh-CN"/>
        </w:rPr>
        <w:t>加强疏通、修复</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若存在管道错接应及时进行整改</w:t>
      </w:r>
      <w:r>
        <w:rPr>
          <w:rFonts w:hint="default" w:ascii="Times New Roman" w:hAnsi="Times New Roman" w:eastAsia="宋体" w:cs="Times New Roman"/>
          <w:color w:val="auto"/>
          <w:sz w:val="24"/>
          <w:szCs w:val="24"/>
          <w:highlight w:val="none"/>
          <w:lang w:eastAsia="zh-CN"/>
        </w:rPr>
        <w:t>。隧道、下穿立交、地下通道等易涝</w:t>
      </w:r>
      <w:r>
        <w:rPr>
          <w:rFonts w:hint="eastAsia" w:ascii="Times New Roman" w:hAnsi="Times New Roman" w:eastAsia="宋体" w:cs="Times New Roman"/>
          <w:color w:val="auto"/>
          <w:sz w:val="24"/>
          <w:szCs w:val="24"/>
          <w:highlight w:val="none"/>
          <w:lang w:val="en-US" w:eastAsia="zh-CN"/>
        </w:rPr>
        <w:t>积水</w:t>
      </w:r>
      <w:r>
        <w:rPr>
          <w:rFonts w:hint="default" w:ascii="Times New Roman" w:hAnsi="Times New Roman" w:eastAsia="宋体" w:cs="Times New Roman"/>
          <w:color w:val="auto"/>
          <w:sz w:val="24"/>
          <w:szCs w:val="24"/>
          <w:highlight w:val="none"/>
          <w:lang w:eastAsia="zh-CN"/>
        </w:rPr>
        <w:t>点的排水设施、行泄通道、调蓄设施、排涝泵站等防涝设施和主排水通道和排放口附近的在建项目是内涝防治的重点对象，应加强监督管理。存在设施的缺失、破损以及违章占压排水设施等隐患时应及时整改。</w:t>
      </w:r>
    </w:p>
    <w:p w14:paraId="226AB1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每年汛期前，应检查和维护泵站的自身防汛设施及器材。</w:t>
      </w:r>
      <w:r>
        <w:rPr>
          <w:rFonts w:hint="default" w:ascii="Times New Roman" w:hAnsi="Times New Roman" w:eastAsia="宋体" w:cs="Times New Roman"/>
          <w:color w:val="auto"/>
          <w:sz w:val="24"/>
          <w:szCs w:val="24"/>
          <w:highlight w:val="none"/>
          <w:lang w:eastAsia="zh-CN"/>
        </w:rPr>
        <w:t>泵站自身防汛设施包括防汛墙、防汛板、防汛闸门等，应在每年汛期前认真检查，及时修复、配齐；汛期后应妥善保管。</w:t>
      </w:r>
    </w:p>
    <w:p w14:paraId="55DA2D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调蓄池应制定专项运行方案和管理制度，做好运行、维护记录和数据统计工作。</w:t>
      </w:r>
      <w:r>
        <w:rPr>
          <w:rFonts w:hint="default" w:ascii="Times New Roman" w:hAnsi="Times New Roman" w:eastAsia="宋体" w:cs="Times New Roman"/>
          <w:color w:val="auto"/>
          <w:sz w:val="24"/>
          <w:szCs w:val="24"/>
          <w:highlight w:val="none"/>
          <w:lang w:eastAsia="zh-CN"/>
        </w:rPr>
        <w:t>调蓄池运行与维护：调蓄池的运行应根据调蓄目的、排水体制、管网布置、溢流管下游水位高程和周围环境等因素，结合设计资料、运行工艺、降雨特征等因素，有针对性地制定运行方案并</w:t>
      </w:r>
      <w:r>
        <w:rPr>
          <w:rFonts w:hint="eastAsia"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eastAsia="zh-CN"/>
        </w:rPr>
        <w:t>包含上游流域示意图、运转系统示意图、退水系统示意图、泵站平面示意图等；同时，调蓄池应建立应急处置方案并</w:t>
      </w:r>
      <w:r>
        <w:rPr>
          <w:rFonts w:hint="eastAsia"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eastAsia="zh-CN"/>
        </w:rPr>
        <w:t>符合《城镇排水管渠与泵站运行、维护及安全技术规程》CJJ68中泵站的操作管理相关规定。</w:t>
      </w:r>
    </w:p>
    <w:p w14:paraId="6B838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调蓄池内的水泵机组、电气设备、闸（阀）门、格栅除污机、自动仪表应按《城镇排水管渠与泵站运行、维护及安全技术规程》CJJ68要求做好维护、保养、检修等工作，确保设施设备完好。调蓄池冲洗装置，如水射器、冲洗门、水力翻斗等设备按出厂技术说明书要求进行维护保养，确保正常使用。调蓄池应有完整的运行记录、巡视记录、维修记录，需要进行下井、下池作业的人员，应持有特种作业证书，执行下井、下池作业工作票制度。</w:t>
      </w:r>
    </w:p>
    <w:p w14:paraId="047CF946">
      <w:pPr>
        <w:spacing w:line="360" w:lineRule="auto"/>
        <w:rPr>
          <w:rFonts w:hint="eastAsia" w:ascii="Times New Roman" w:hAnsi="Times New Roman" w:eastAsia="宋体" w:cs="宋体"/>
          <w:color w:val="auto"/>
          <w:sz w:val="24"/>
          <w:szCs w:val="24"/>
        </w:rPr>
      </w:pPr>
      <w:r>
        <w:rPr>
          <w:rFonts w:hint="eastAsia" w:ascii="Times New Roman" w:hAnsi="Times New Roman" w:eastAsia="仿宋" w:cs="仿宋"/>
          <w:b/>
          <w:bCs/>
          <w:color w:val="auto"/>
          <w:sz w:val="24"/>
          <w:szCs w:val="24"/>
          <w:highlight w:val="none"/>
          <w:lang w:val="en-US" w:eastAsia="zh-CN"/>
        </w:rPr>
        <w:t>6.2.4</w:t>
      </w:r>
      <w:r>
        <w:rPr>
          <w:rFonts w:hint="eastAsia" w:ascii="Times New Roman" w:hAnsi="Times New Roman" w:eastAsia="仿宋" w:cs="仿宋"/>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重要地区可根据需要将内河涝水排除时间缩短，有条件的地区可将在排除时间内最高水位控制在设计水位以下。</w:t>
      </w:r>
    </w:p>
    <w:p w14:paraId="578FB1F2">
      <w:pPr>
        <w:spacing w:line="360" w:lineRule="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6</w:t>
      </w:r>
      <w:r>
        <w:rPr>
          <w:rFonts w:hint="eastAsia" w:ascii="Times New Roman" w:hAnsi="Times New Roman" w:eastAsia="仿宋" w:cs="仿宋"/>
          <w:b/>
          <w:bCs/>
          <w:color w:val="auto"/>
          <w:sz w:val="24"/>
          <w:szCs w:val="24"/>
          <w:highlight w:val="none"/>
          <w:lang w:eastAsia="zh-CN"/>
        </w:rPr>
        <w:t>.2.</w:t>
      </w:r>
      <w:r>
        <w:rPr>
          <w:rFonts w:hint="eastAsia" w:ascii="Times New Roman" w:hAnsi="Times New Roman" w:eastAsia="仿宋" w:cs="仿宋"/>
          <w:b/>
          <w:bCs/>
          <w:color w:val="auto"/>
          <w:sz w:val="24"/>
          <w:szCs w:val="24"/>
          <w:highlight w:val="none"/>
          <w:lang w:val="en-US" w:eastAsia="zh-CN"/>
        </w:rPr>
        <w:t>5</w:t>
      </w:r>
      <w:r>
        <w:rPr>
          <w:rFonts w:hint="eastAsia" w:ascii="Times New Roman" w:hAnsi="Times New Roman" w:eastAsia="仿宋" w:cs="仿宋"/>
          <w:color w:val="auto"/>
          <w:sz w:val="24"/>
          <w:szCs w:val="24"/>
          <w:highlight w:val="none"/>
          <w:lang w:eastAsia="zh-CN"/>
        </w:rPr>
        <w:t xml:space="preserve"> </w:t>
      </w:r>
      <w:r>
        <w:rPr>
          <w:rFonts w:hint="eastAsia" w:ascii="Times New Roman" w:hAnsi="Times New Roman" w:eastAsia="宋体" w:cs="Times New Roman"/>
          <w:color w:val="auto"/>
          <w:sz w:val="24"/>
          <w:szCs w:val="24"/>
          <w:highlight w:val="none"/>
          <w:lang w:val="en-US" w:eastAsia="zh-CN"/>
        </w:rPr>
        <w:t>现行国家标准《城乡排水工程项目规范》GB 55027规定，本条规定了城镇雨水管渠定期进行检测、评估和维护保养等的要求。雨水管渠定期检测是为了及时发现其中功能性和结构性缺陷，为管渠（道）的养护、维修计划和方案的制定提供依据。功能状况检测可结合管渠(道)的养护质量检查、排水防涝安全检查等进行，结构状况检测应制定计划逐年分区分片进行。</w:t>
      </w:r>
    </w:p>
    <w:p w14:paraId="6516E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检测周期应根据管径大小、检测指标和实际需要确定。例如《城镇排水管渠与泵站运行、维护及安全技术规程》CJJ68-2016规定，功能状况检查的普查周期应为1年~2年进行一次：易积水点应每年汛前进行功能状况检查。结构状况检查的普查周期应为5年~10年一次；流砂易发地区、湿陷黄土地区等地质结构不稳定地区的管道、管龄30年以上的管道及施工质量差的管道普查周期可缩短。</w:t>
      </w:r>
    </w:p>
    <w:p w14:paraId="1D9911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雨水、合流管渠、检查井和雨水口的维护保养频率应根据管径大小、设施所处位置和实际需求确定。例如《城镇排水管渠与泵站运行、维护及安全技术规程》CJJ68-2016规定，管渠、检查井和雨水口的养护频率不应低于表6-1的规定。</w:t>
      </w:r>
    </w:p>
    <w:p w14:paraId="7F2C949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val="0"/>
          <w:color w:val="auto"/>
          <w:sz w:val="21"/>
          <w:szCs w:val="21"/>
          <w:lang w:val="en-US" w:eastAsia="zh-CN"/>
        </w:rPr>
        <w:t>表6-1 管渠、检查井和雨水口的养护频率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151"/>
        <w:gridCol w:w="1151"/>
        <w:gridCol w:w="1151"/>
        <w:gridCol w:w="1152"/>
        <w:gridCol w:w="968"/>
        <w:gridCol w:w="968"/>
      </w:tblGrid>
      <w:tr w14:paraId="31E1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1" w:type="dxa"/>
            <w:vMerge w:val="restart"/>
            <w:tcBorders>
              <w:top w:val="single" w:color="auto" w:sz="12" w:space="0"/>
              <w:left w:val="single" w:color="auto" w:sz="12" w:space="0"/>
              <w:right w:val="single" w:color="auto" w:sz="8" w:space="0"/>
            </w:tcBorders>
            <w:vAlign w:val="center"/>
          </w:tcPr>
          <w:p w14:paraId="652EB7A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管渠性质</w:t>
            </w:r>
          </w:p>
        </w:tc>
        <w:tc>
          <w:tcPr>
            <w:tcW w:w="4605" w:type="dxa"/>
            <w:gridSpan w:val="4"/>
            <w:tcBorders>
              <w:top w:val="single" w:color="auto" w:sz="12" w:space="0"/>
              <w:left w:val="single" w:color="auto" w:sz="8" w:space="0"/>
              <w:bottom w:val="single" w:color="auto" w:sz="8" w:space="0"/>
              <w:right w:val="single" w:color="auto" w:sz="8" w:space="0"/>
            </w:tcBorders>
            <w:vAlign w:val="center"/>
          </w:tcPr>
          <w:p w14:paraId="4A4293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管渠划分</w:t>
            </w:r>
          </w:p>
        </w:tc>
        <w:tc>
          <w:tcPr>
            <w:tcW w:w="968" w:type="dxa"/>
            <w:vMerge w:val="restart"/>
            <w:tcBorders>
              <w:top w:val="single" w:color="auto" w:sz="12" w:space="0"/>
              <w:left w:val="single" w:color="auto" w:sz="8" w:space="0"/>
            </w:tcBorders>
            <w:vAlign w:val="center"/>
          </w:tcPr>
          <w:p w14:paraId="2966FD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检查井</w:t>
            </w:r>
          </w:p>
        </w:tc>
        <w:tc>
          <w:tcPr>
            <w:tcW w:w="968" w:type="dxa"/>
            <w:vMerge w:val="restart"/>
            <w:tcBorders>
              <w:top w:val="single" w:color="auto" w:sz="12" w:space="0"/>
              <w:right w:val="single" w:color="auto" w:sz="12" w:space="0"/>
            </w:tcBorders>
            <w:vAlign w:val="center"/>
          </w:tcPr>
          <w:p w14:paraId="2A54EEA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雨水口</w:t>
            </w:r>
          </w:p>
        </w:tc>
      </w:tr>
      <w:tr w14:paraId="4F45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1" w:type="dxa"/>
            <w:vMerge w:val="continue"/>
            <w:tcBorders>
              <w:left w:val="single" w:color="auto" w:sz="12" w:space="0"/>
            </w:tcBorders>
            <w:vAlign w:val="center"/>
          </w:tcPr>
          <w:p w14:paraId="4729482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p>
        </w:tc>
        <w:tc>
          <w:tcPr>
            <w:tcW w:w="1151" w:type="dxa"/>
            <w:tcBorders>
              <w:top w:val="single" w:color="auto" w:sz="8" w:space="0"/>
            </w:tcBorders>
            <w:vAlign w:val="center"/>
          </w:tcPr>
          <w:p w14:paraId="2DEF446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小型</w:t>
            </w:r>
          </w:p>
        </w:tc>
        <w:tc>
          <w:tcPr>
            <w:tcW w:w="1151" w:type="dxa"/>
            <w:tcBorders>
              <w:top w:val="single" w:color="auto" w:sz="8" w:space="0"/>
            </w:tcBorders>
            <w:vAlign w:val="center"/>
          </w:tcPr>
          <w:p w14:paraId="4F3A43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中型</w:t>
            </w:r>
          </w:p>
        </w:tc>
        <w:tc>
          <w:tcPr>
            <w:tcW w:w="1151" w:type="dxa"/>
            <w:tcBorders>
              <w:top w:val="single" w:color="auto" w:sz="8" w:space="0"/>
            </w:tcBorders>
            <w:vAlign w:val="center"/>
          </w:tcPr>
          <w:p w14:paraId="7F61DDA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大型</w:t>
            </w:r>
          </w:p>
        </w:tc>
        <w:tc>
          <w:tcPr>
            <w:tcW w:w="1152" w:type="dxa"/>
            <w:tcBorders>
              <w:top w:val="single" w:color="auto" w:sz="8" w:space="0"/>
            </w:tcBorders>
            <w:vAlign w:val="center"/>
          </w:tcPr>
          <w:p w14:paraId="110C948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特大型</w:t>
            </w:r>
          </w:p>
        </w:tc>
        <w:tc>
          <w:tcPr>
            <w:tcW w:w="968" w:type="dxa"/>
            <w:vMerge w:val="continue"/>
            <w:vAlign w:val="center"/>
          </w:tcPr>
          <w:p w14:paraId="15173ED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p>
        </w:tc>
        <w:tc>
          <w:tcPr>
            <w:tcW w:w="968" w:type="dxa"/>
            <w:vMerge w:val="continue"/>
            <w:tcBorders>
              <w:right w:val="single" w:color="auto" w:sz="12" w:space="0"/>
            </w:tcBorders>
            <w:vAlign w:val="center"/>
          </w:tcPr>
          <w:p w14:paraId="5AB4B68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p>
        </w:tc>
      </w:tr>
      <w:tr w14:paraId="0D0D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1" w:type="dxa"/>
            <w:tcBorders>
              <w:left w:val="single" w:color="auto" w:sz="12" w:space="0"/>
            </w:tcBorders>
            <w:vAlign w:val="center"/>
          </w:tcPr>
          <w:p w14:paraId="5BE7719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雨水、合流管渠</w:t>
            </w:r>
          </w:p>
          <w:p w14:paraId="22FDA9E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（次/年）</w:t>
            </w:r>
          </w:p>
        </w:tc>
        <w:tc>
          <w:tcPr>
            <w:tcW w:w="1151" w:type="dxa"/>
            <w:vAlign w:val="center"/>
          </w:tcPr>
          <w:p w14:paraId="44F0358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151" w:type="dxa"/>
            <w:vAlign w:val="center"/>
          </w:tcPr>
          <w:p w14:paraId="720A022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1151" w:type="dxa"/>
            <w:vAlign w:val="center"/>
          </w:tcPr>
          <w:p w14:paraId="6D4C9FC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52" w:type="dxa"/>
            <w:vAlign w:val="center"/>
          </w:tcPr>
          <w:p w14:paraId="497921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w:t>
            </w:r>
          </w:p>
        </w:tc>
        <w:tc>
          <w:tcPr>
            <w:tcW w:w="968" w:type="dxa"/>
            <w:vAlign w:val="center"/>
          </w:tcPr>
          <w:p w14:paraId="21C9253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968" w:type="dxa"/>
            <w:tcBorders>
              <w:right w:val="single" w:color="auto" w:sz="12" w:space="0"/>
            </w:tcBorders>
            <w:vAlign w:val="center"/>
          </w:tcPr>
          <w:p w14:paraId="3D9EFAB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r>
      <w:tr w14:paraId="696D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1" w:type="dxa"/>
            <w:tcBorders>
              <w:left w:val="single" w:color="auto" w:sz="12" w:space="0"/>
              <w:bottom w:val="single" w:color="auto" w:sz="12" w:space="0"/>
            </w:tcBorders>
            <w:vAlign w:val="center"/>
          </w:tcPr>
          <w:p w14:paraId="0523984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污水（次/年）</w:t>
            </w:r>
          </w:p>
        </w:tc>
        <w:tc>
          <w:tcPr>
            <w:tcW w:w="1151" w:type="dxa"/>
            <w:tcBorders>
              <w:bottom w:val="single" w:color="auto" w:sz="12" w:space="0"/>
            </w:tcBorders>
            <w:vAlign w:val="center"/>
          </w:tcPr>
          <w:p w14:paraId="6BF1E67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151" w:type="dxa"/>
            <w:tcBorders>
              <w:bottom w:val="single" w:color="auto" w:sz="12" w:space="0"/>
            </w:tcBorders>
            <w:vAlign w:val="center"/>
          </w:tcPr>
          <w:p w14:paraId="7D1DBA9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1151" w:type="dxa"/>
            <w:tcBorders>
              <w:bottom w:val="single" w:color="auto" w:sz="12" w:space="0"/>
            </w:tcBorders>
            <w:vAlign w:val="center"/>
          </w:tcPr>
          <w:p w14:paraId="16F3763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w:t>
            </w:r>
          </w:p>
        </w:tc>
        <w:tc>
          <w:tcPr>
            <w:tcW w:w="1152" w:type="dxa"/>
            <w:tcBorders>
              <w:bottom w:val="single" w:color="auto" w:sz="12" w:space="0"/>
            </w:tcBorders>
            <w:vAlign w:val="center"/>
          </w:tcPr>
          <w:p w14:paraId="462328E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968" w:type="dxa"/>
            <w:tcBorders>
              <w:bottom w:val="single" w:color="auto" w:sz="12" w:space="0"/>
            </w:tcBorders>
            <w:vAlign w:val="center"/>
          </w:tcPr>
          <w:p w14:paraId="0A6F49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968" w:type="dxa"/>
            <w:tcBorders>
              <w:bottom w:val="single" w:color="auto" w:sz="12" w:space="0"/>
              <w:right w:val="single" w:color="auto" w:sz="12" w:space="0"/>
            </w:tcBorders>
            <w:vAlign w:val="center"/>
          </w:tcPr>
          <w:p w14:paraId="18F8865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bl>
    <w:p w14:paraId="45900B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例如广州市地方标准《排水管渠与泵站维修养护技术规范》（送审稿）规定，排水管渠清疏频率宜符合表6-2的规定，容易淤积的排水管渠，应适当增加。</w:t>
      </w:r>
    </w:p>
    <w:p w14:paraId="577C003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表6-2 排水管渠清疏频率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3105"/>
        <w:gridCol w:w="1095"/>
        <w:gridCol w:w="3361"/>
      </w:tblGrid>
      <w:tr w14:paraId="00FB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6" w:type="dxa"/>
            <w:gridSpan w:val="2"/>
            <w:tcBorders>
              <w:top w:val="single" w:color="auto" w:sz="12" w:space="0"/>
              <w:left w:val="single" w:color="auto" w:sz="12" w:space="0"/>
            </w:tcBorders>
            <w:vAlign w:val="center"/>
          </w:tcPr>
          <w:p w14:paraId="5E293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设施名称</w:t>
            </w:r>
          </w:p>
        </w:tc>
        <w:tc>
          <w:tcPr>
            <w:tcW w:w="1095" w:type="dxa"/>
            <w:tcBorders>
              <w:top w:val="single" w:color="auto" w:sz="12" w:space="0"/>
            </w:tcBorders>
            <w:vAlign w:val="center"/>
          </w:tcPr>
          <w:p w14:paraId="7313E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频率</w:t>
            </w:r>
          </w:p>
          <w:p w14:paraId="0FA04E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（次/年）</w:t>
            </w:r>
          </w:p>
        </w:tc>
        <w:tc>
          <w:tcPr>
            <w:tcW w:w="3361" w:type="dxa"/>
            <w:tcBorders>
              <w:top w:val="single" w:color="auto" w:sz="12" w:space="0"/>
              <w:right w:val="single" w:color="auto" w:sz="12" w:space="0"/>
            </w:tcBorders>
            <w:vAlign w:val="center"/>
          </w:tcPr>
          <w:p w14:paraId="5CC79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89F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61" w:type="dxa"/>
            <w:vMerge w:val="restart"/>
            <w:tcBorders>
              <w:left w:val="single" w:color="auto" w:sz="12" w:space="0"/>
            </w:tcBorders>
            <w:vAlign w:val="center"/>
          </w:tcPr>
          <w:p w14:paraId="4B5DE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雨水（合流）管道</w:t>
            </w:r>
          </w:p>
        </w:tc>
        <w:tc>
          <w:tcPr>
            <w:tcW w:w="3105" w:type="dxa"/>
            <w:vAlign w:val="center"/>
          </w:tcPr>
          <w:p w14:paraId="69C42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D&lt;600小型管道</w:t>
            </w:r>
          </w:p>
        </w:tc>
        <w:tc>
          <w:tcPr>
            <w:tcW w:w="1095" w:type="dxa"/>
            <w:vAlign w:val="center"/>
          </w:tcPr>
          <w:p w14:paraId="681B6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w:t>
            </w:r>
          </w:p>
        </w:tc>
        <w:tc>
          <w:tcPr>
            <w:tcW w:w="3361" w:type="dxa"/>
            <w:tcBorders>
              <w:right w:val="single" w:color="auto" w:sz="12" w:space="0"/>
            </w:tcBorders>
            <w:vAlign w:val="center"/>
          </w:tcPr>
          <w:p w14:paraId="6E6F7E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雨季前、中、后各清疏1次，旱季视淤积情况清理50%长度的管道</w:t>
            </w:r>
          </w:p>
        </w:tc>
      </w:tr>
      <w:tr w14:paraId="1E72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tcBorders>
              <w:left w:val="single" w:color="auto" w:sz="12" w:space="0"/>
            </w:tcBorders>
            <w:vAlign w:val="center"/>
          </w:tcPr>
          <w:p w14:paraId="3E462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105" w:type="dxa"/>
            <w:vAlign w:val="center"/>
          </w:tcPr>
          <w:p w14:paraId="2EC31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600≤D≤1000中型管道</w:t>
            </w:r>
          </w:p>
        </w:tc>
        <w:tc>
          <w:tcPr>
            <w:tcW w:w="1095" w:type="dxa"/>
            <w:vAlign w:val="center"/>
          </w:tcPr>
          <w:p w14:paraId="079EF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3361" w:type="dxa"/>
            <w:tcBorders>
              <w:right w:val="single" w:color="auto" w:sz="12" w:space="0"/>
            </w:tcBorders>
            <w:vAlign w:val="center"/>
          </w:tcPr>
          <w:p w14:paraId="17794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平均每半年1次</w:t>
            </w:r>
          </w:p>
        </w:tc>
      </w:tr>
      <w:tr w14:paraId="0D6C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tcBorders>
              <w:left w:val="single" w:color="auto" w:sz="12" w:space="0"/>
            </w:tcBorders>
            <w:vAlign w:val="center"/>
          </w:tcPr>
          <w:p w14:paraId="0075F8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105" w:type="dxa"/>
            <w:vAlign w:val="center"/>
          </w:tcPr>
          <w:p w14:paraId="01B8F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1000≤D≤1500大型管道</w:t>
            </w:r>
          </w:p>
        </w:tc>
        <w:tc>
          <w:tcPr>
            <w:tcW w:w="1095" w:type="dxa"/>
            <w:vAlign w:val="center"/>
          </w:tcPr>
          <w:p w14:paraId="7721C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3361" w:type="dxa"/>
            <w:tcBorders>
              <w:right w:val="single" w:color="auto" w:sz="12" w:space="0"/>
            </w:tcBorders>
            <w:vAlign w:val="center"/>
          </w:tcPr>
          <w:p w14:paraId="6E46E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雨季前清疏1次，其他时间视淤积情况清理50%的长度的管道</w:t>
            </w:r>
          </w:p>
        </w:tc>
      </w:tr>
      <w:tr w14:paraId="446D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tcBorders>
              <w:left w:val="single" w:color="auto" w:sz="12" w:space="0"/>
            </w:tcBorders>
            <w:vAlign w:val="center"/>
          </w:tcPr>
          <w:p w14:paraId="7DAEB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105" w:type="dxa"/>
            <w:vAlign w:val="center"/>
          </w:tcPr>
          <w:p w14:paraId="0B056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D＞1500特大型管道</w:t>
            </w:r>
          </w:p>
        </w:tc>
        <w:tc>
          <w:tcPr>
            <w:tcW w:w="1095" w:type="dxa"/>
            <w:vAlign w:val="center"/>
          </w:tcPr>
          <w:p w14:paraId="33B9E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361" w:type="dxa"/>
            <w:tcBorders>
              <w:right w:val="single" w:color="auto" w:sz="12" w:space="0"/>
            </w:tcBorders>
            <w:vAlign w:val="center"/>
          </w:tcPr>
          <w:p w14:paraId="649FB7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平均每年清疏1次</w:t>
            </w:r>
          </w:p>
        </w:tc>
      </w:tr>
      <w:tr w14:paraId="5DDA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restart"/>
            <w:tcBorders>
              <w:left w:val="single" w:color="auto" w:sz="12" w:space="0"/>
            </w:tcBorders>
            <w:vAlign w:val="center"/>
          </w:tcPr>
          <w:p w14:paraId="6BAAD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渠箱（暗渠、明渠）</w:t>
            </w:r>
          </w:p>
        </w:tc>
        <w:tc>
          <w:tcPr>
            <w:tcW w:w="3105" w:type="dxa"/>
            <w:vAlign w:val="center"/>
          </w:tcPr>
          <w:p w14:paraId="7DFFC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A＜0.283m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小型渠箱</w:t>
            </w:r>
          </w:p>
        </w:tc>
        <w:tc>
          <w:tcPr>
            <w:tcW w:w="1095" w:type="dxa"/>
            <w:vAlign w:val="center"/>
          </w:tcPr>
          <w:p w14:paraId="11508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w:t>
            </w:r>
          </w:p>
        </w:tc>
        <w:tc>
          <w:tcPr>
            <w:tcW w:w="3361" w:type="dxa"/>
            <w:tcBorders>
              <w:right w:val="single" w:color="auto" w:sz="12" w:space="0"/>
            </w:tcBorders>
            <w:vAlign w:val="center"/>
          </w:tcPr>
          <w:p w14:paraId="23EF2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雨季前、中、后各清疏1次，旱季视淤积情况清理50%长度的管道</w:t>
            </w:r>
          </w:p>
        </w:tc>
      </w:tr>
      <w:tr w14:paraId="28A6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tcBorders>
              <w:left w:val="single" w:color="auto" w:sz="12" w:space="0"/>
            </w:tcBorders>
            <w:vAlign w:val="center"/>
          </w:tcPr>
          <w:p w14:paraId="63220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105" w:type="dxa"/>
            <w:vAlign w:val="center"/>
          </w:tcPr>
          <w:p w14:paraId="64C78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0.283m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≤A≤0.785m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中型渠箱</w:t>
            </w:r>
          </w:p>
        </w:tc>
        <w:tc>
          <w:tcPr>
            <w:tcW w:w="1095" w:type="dxa"/>
            <w:vAlign w:val="center"/>
          </w:tcPr>
          <w:p w14:paraId="30274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3361" w:type="dxa"/>
            <w:tcBorders>
              <w:right w:val="single" w:color="auto" w:sz="12" w:space="0"/>
            </w:tcBorders>
            <w:vAlign w:val="center"/>
          </w:tcPr>
          <w:p w14:paraId="7D26A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平均每半年1次</w:t>
            </w:r>
          </w:p>
        </w:tc>
      </w:tr>
      <w:tr w14:paraId="3EE0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tcBorders>
              <w:left w:val="single" w:color="auto" w:sz="12" w:space="0"/>
            </w:tcBorders>
            <w:vAlign w:val="center"/>
          </w:tcPr>
          <w:p w14:paraId="0B5AB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105" w:type="dxa"/>
            <w:vAlign w:val="center"/>
          </w:tcPr>
          <w:p w14:paraId="474E8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0.785m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＜A≤1.766m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大型管渠</w:t>
            </w:r>
          </w:p>
        </w:tc>
        <w:tc>
          <w:tcPr>
            <w:tcW w:w="1095" w:type="dxa"/>
            <w:vAlign w:val="center"/>
          </w:tcPr>
          <w:p w14:paraId="524DF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361" w:type="dxa"/>
            <w:tcBorders>
              <w:right w:val="single" w:color="auto" w:sz="12" w:space="0"/>
            </w:tcBorders>
            <w:vAlign w:val="center"/>
          </w:tcPr>
          <w:p w14:paraId="792EA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雨季前清疏1次，其他时间视淤积情况清理50%的长度的管道</w:t>
            </w:r>
          </w:p>
        </w:tc>
      </w:tr>
      <w:tr w14:paraId="39D9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tcBorders>
              <w:left w:val="single" w:color="auto" w:sz="12" w:space="0"/>
            </w:tcBorders>
            <w:vAlign w:val="center"/>
          </w:tcPr>
          <w:p w14:paraId="48D5C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105" w:type="dxa"/>
            <w:vAlign w:val="center"/>
          </w:tcPr>
          <w:p w14:paraId="3C97A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A＞1.766m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特大型管渠</w:t>
            </w:r>
          </w:p>
        </w:tc>
        <w:tc>
          <w:tcPr>
            <w:tcW w:w="1095" w:type="dxa"/>
            <w:vAlign w:val="center"/>
          </w:tcPr>
          <w:p w14:paraId="4E3699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0.5</w:t>
            </w:r>
          </w:p>
        </w:tc>
        <w:tc>
          <w:tcPr>
            <w:tcW w:w="3361" w:type="dxa"/>
            <w:tcBorders>
              <w:right w:val="single" w:color="auto" w:sz="12" w:space="0"/>
            </w:tcBorders>
            <w:vAlign w:val="center"/>
          </w:tcPr>
          <w:p w14:paraId="5E4F0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平均每2年清疏1次</w:t>
            </w:r>
          </w:p>
        </w:tc>
      </w:tr>
      <w:tr w14:paraId="2009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6" w:type="dxa"/>
            <w:gridSpan w:val="2"/>
            <w:tcBorders>
              <w:left w:val="single" w:color="auto" w:sz="12" w:space="0"/>
            </w:tcBorders>
            <w:vAlign w:val="center"/>
          </w:tcPr>
          <w:p w14:paraId="3F741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各类检查井（雨水、合流）</w:t>
            </w:r>
          </w:p>
        </w:tc>
        <w:tc>
          <w:tcPr>
            <w:tcW w:w="1095" w:type="dxa"/>
            <w:vAlign w:val="center"/>
          </w:tcPr>
          <w:p w14:paraId="6925D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3361" w:type="dxa"/>
            <w:tcBorders>
              <w:right w:val="single" w:color="auto" w:sz="12" w:space="0"/>
            </w:tcBorders>
            <w:vAlign w:val="center"/>
          </w:tcPr>
          <w:p w14:paraId="6D692D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雨季每月清疏1次，旱季每3个月清疏1次</w:t>
            </w:r>
          </w:p>
        </w:tc>
      </w:tr>
      <w:tr w14:paraId="1BF5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restart"/>
            <w:tcBorders>
              <w:left w:val="single" w:color="auto" w:sz="12" w:space="0"/>
            </w:tcBorders>
            <w:vAlign w:val="center"/>
          </w:tcPr>
          <w:p w14:paraId="044B5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雨水口</w:t>
            </w:r>
          </w:p>
        </w:tc>
        <w:tc>
          <w:tcPr>
            <w:tcW w:w="3105" w:type="dxa"/>
            <w:vAlign w:val="center"/>
          </w:tcPr>
          <w:p w14:paraId="597BB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一般区域</w:t>
            </w:r>
          </w:p>
        </w:tc>
        <w:tc>
          <w:tcPr>
            <w:tcW w:w="1095" w:type="dxa"/>
            <w:vAlign w:val="center"/>
          </w:tcPr>
          <w:p w14:paraId="0F8B4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3361" w:type="dxa"/>
            <w:tcBorders>
              <w:right w:val="single" w:color="auto" w:sz="12" w:space="0"/>
            </w:tcBorders>
            <w:vAlign w:val="center"/>
          </w:tcPr>
          <w:p w14:paraId="39E33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雨季每月清疏1次，旱季每3个月清疏1次</w:t>
            </w:r>
          </w:p>
        </w:tc>
      </w:tr>
      <w:tr w14:paraId="2606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tcBorders>
              <w:left w:val="single" w:color="auto" w:sz="12" w:space="0"/>
            </w:tcBorders>
            <w:vAlign w:val="center"/>
          </w:tcPr>
          <w:p w14:paraId="6224BA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3105" w:type="dxa"/>
            <w:vAlign w:val="center"/>
          </w:tcPr>
          <w:p w14:paraId="4ECD6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重要区域（易涝区域、农贸市场周边、大、中型餐饮类排水户周边、在建工地周边）</w:t>
            </w:r>
          </w:p>
        </w:tc>
        <w:tc>
          <w:tcPr>
            <w:tcW w:w="1095" w:type="dxa"/>
            <w:vAlign w:val="center"/>
          </w:tcPr>
          <w:p w14:paraId="7B7248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3361" w:type="dxa"/>
            <w:tcBorders>
              <w:right w:val="single" w:color="auto" w:sz="12" w:space="0"/>
            </w:tcBorders>
            <w:shd w:val="clear" w:color="auto" w:fill="auto"/>
            <w:vAlign w:val="center"/>
          </w:tcPr>
          <w:p w14:paraId="0AF79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雨季每月清疏2次，旱季每月清疏1次</w:t>
            </w:r>
          </w:p>
        </w:tc>
      </w:tr>
      <w:tr w14:paraId="533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22" w:type="dxa"/>
            <w:gridSpan w:val="4"/>
            <w:tcBorders>
              <w:left w:val="single" w:color="auto" w:sz="12" w:space="0"/>
              <w:bottom w:val="single" w:color="auto" w:sz="12" w:space="0"/>
              <w:right w:val="single" w:color="auto" w:sz="12" w:space="0"/>
            </w:tcBorders>
            <w:vAlign w:val="center"/>
          </w:tcPr>
          <w:p w14:paraId="2233A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注：D表示管道管径，单位为mm；A表示渠箱（暗渠、明渠）的截面积A，单位为m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r>
    </w:tbl>
    <w:p w14:paraId="3B7B422B">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val="0"/>
          <w:bCs/>
          <w:color w:val="auto"/>
          <w:sz w:val="24"/>
          <w:szCs w:val="24"/>
          <w:lang w:val="en-US" w:eastAsia="zh-CN"/>
        </w:rPr>
        <w:t>管道淤积与季节、地面环境、管道流速等诸多因素有关，在一般情况下：</w:t>
      </w:r>
    </w:p>
    <w:p w14:paraId="63181ECD">
      <w:pPr>
        <w:spacing w:line="360" w:lineRule="auto"/>
        <w:ind w:firstLine="482"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1</w:t>
      </w:r>
      <w:r>
        <w:rPr>
          <w:rFonts w:hint="default" w:ascii="Times New Roman" w:hAnsi="Times New Roman" w:eastAsia="宋体" w:cs="Times New Roman"/>
          <w:color w:val="auto"/>
          <w:sz w:val="24"/>
          <w:szCs w:val="24"/>
          <w:highlight w:val="none"/>
          <w:lang w:eastAsia="zh-CN"/>
        </w:rPr>
        <w:t xml:space="preserve"> 雨季维护频率高于旱季；</w:t>
      </w:r>
    </w:p>
    <w:p w14:paraId="3F3EF7DC">
      <w:pPr>
        <w:spacing w:line="360" w:lineRule="auto"/>
        <w:ind w:firstLine="482"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2</w:t>
      </w:r>
      <w:r>
        <w:rPr>
          <w:rFonts w:hint="default" w:ascii="Times New Roman" w:hAnsi="Times New Roman" w:eastAsia="宋体" w:cs="Times New Roman"/>
          <w:color w:val="auto"/>
          <w:sz w:val="24"/>
          <w:szCs w:val="24"/>
          <w:highlight w:val="none"/>
          <w:lang w:eastAsia="zh-CN"/>
        </w:rPr>
        <w:t xml:space="preserve"> 旧城区的维护频率高于新建住宅区；</w:t>
      </w:r>
    </w:p>
    <w:p w14:paraId="487C01E9">
      <w:pPr>
        <w:spacing w:line="360" w:lineRule="auto"/>
        <w:ind w:firstLine="482"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3</w:t>
      </w:r>
      <w:r>
        <w:rPr>
          <w:rFonts w:hint="default" w:ascii="Times New Roman" w:hAnsi="Times New Roman" w:eastAsia="宋体" w:cs="Times New Roman"/>
          <w:color w:val="auto"/>
          <w:sz w:val="24"/>
          <w:szCs w:val="24"/>
          <w:highlight w:val="none"/>
          <w:lang w:eastAsia="zh-CN"/>
        </w:rPr>
        <w:t xml:space="preserve"> 小型管的维护频率高于大型管。</w:t>
      </w:r>
    </w:p>
    <w:p w14:paraId="246A0F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为了保障城镇排水安全，排水设施维护运营单位除了进行日常维护保养之外，还应当按照防汛要求，在汛前对城镇排水设施进行全面检查、维护、清疏。</w:t>
      </w:r>
    </w:p>
    <w:p w14:paraId="5AD0A129">
      <w:pPr>
        <w:spacing w:line="360" w:lineRule="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eastAsia="zh-CN"/>
        </w:rPr>
        <w:t>.2.</w:t>
      </w:r>
      <w:r>
        <w:rPr>
          <w:rFonts w:hint="default"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eastAsia="zh-CN"/>
        </w:rPr>
        <w:t xml:space="preserve"> </w:t>
      </w:r>
      <w:r>
        <w:rPr>
          <w:rFonts w:hint="default" w:ascii="Times New Roman" w:hAnsi="Times New Roman" w:eastAsia="宋体" w:cs="Times New Roman"/>
          <w:color w:val="auto"/>
          <w:sz w:val="24"/>
          <w:szCs w:val="24"/>
          <w:highlight w:val="none"/>
          <w:lang w:eastAsia="zh-CN"/>
        </w:rPr>
        <w:t>管渠周期性的普查是为了及时发现排水管渠中存在的问题，为管渠养护、维修计划和方案的制定提供依据。</w:t>
      </w:r>
      <w:r>
        <w:rPr>
          <w:rFonts w:hint="eastAsia" w:ascii="Times New Roman" w:hAnsi="Times New Roman" w:eastAsia="宋体" w:cs="宋体"/>
          <w:b w:val="0"/>
          <w:bCs/>
          <w:color w:val="auto"/>
          <w:sz w:val="24"/>
          <w:szCs w:val="24"/>
          <w:lang w:val="en-US" w:eastAsia="zh-CN"/>
        </w:rPr>
        <w:t>功能性状况检查</w:t>
      </w:r>
      <w:r>
        <w:rPr>
          <w:rFonts w:hint="default" w:ascii="Times New Roman" w:hAnsi="Times New Roman" w:eastAsia="宋体" w:cs="Times New Roman"/>
          <w:color w:val="auto"/>
          <w:sz w:val="24"/>
          <w:szCs w:val="24"/>
          <w:highlight w:val="none"/>
          <w:lang w:eastAsia="zh-CN"/>
        </w:rPr>
        <w:t>可结合排水管渠养护质量检查、排水防涝安全检查等进行。</w:t>
      </w:r>
      <w:r>
        <w:rPr>
          <w:rFonts w:hint="eastAsia" w:ascii="Times New Roman" w:hAnsi="Times New Roman" w:eastAsia="宋体" w:cs="宋体"/>
          <w:b w:val="0"/>
          <w:bCs/>
          <w:color w:val="auto"/>
          <w:sz w:val="24"/>
          <w:szCs w:val="24"/>
          <w:lang w:val="en-US" w:eastAsia="zh-CN"/>
        </w:rPr>
        <w:t>功能性状况检查</w:t>
      </w:r>
      <w:r>
        <w:rPr>
          <w:rFonts w:hint="default" w:ascii="Times New Roman" w:hAnsi="Times New Roman" w:eastAsia="宋体" w:cs="Times New Roman"/>
          <w:color w:val="auto"/>
          <w:sz w:val="24"/>
          <w:szCs w:val="24"/>
          <w:highlight w:val="none"/>
          <w:lang w:eastAsia="zh-CN"/>
        </w:rPr>
        <w:t>应有计划逐年分区分片进行。</w:t>
      </w:r>
    </w:p>
    <w:p w14:paraId="437B1803">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井内电视的优点是检查速度快、成本低，电视影像既可现场观看、分析，也便于计算机存储，一般适用于对图像精度要求不高的功能性检查。以结构状况为目的的电视检测，如不采用高压射水在检查前对管壁进行清洗，管道的细小裂缝和轻度腐蚀就无法看清。</w:t>
      </w:r>
    </w:p>
    <w:p w14:paraId="5B91E25F">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声呐只能用于水下物体的检查，可以显示管道某一断面的形状，如积泥状况、异物侵入、严重的变形错位缺陷等，但无法显示裂缝、渗漏、腐蚀等缺陷。声呐和电视一起配合使用可以获得很好的互补效果。将两台设备组合在一起，即在漂浮筏的上方安装电视摄像头，下方安装声呐发射器，在水深半管左右的管道中可同时完成电视和声呐两种检查。</w:t>
      </w:r>
    </w:p>
    <w:p w14:paraId="37207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可根据实际需求采用三维激光扫描或地质雷达法对管道进行检测。</w:t>
      </w:r>
      <w:r>
        <w:rPr>
          <w:rFonts w:hint="default" w:ascii="Times New Roman" w:hAnsi="Times New Roman" w:eastAsia="宋体" w:cs="Times New Roman"/>
          <w:color w:val="auto"/>
          <w:sz w:val="24"/>
          <w:szCs w:val="24"/>
          <w:highlight w:val="none"/>
          <w:lang w:val="en-US" w:eastAsia="zh-CN"/>
        </w:rPr>
        <w:t>三维激光扫描又被称为实景复制技术，其利用激光测距的原理，通过记录被测物体表面大量的密集的三维点坐标、反射率和纹理等信息，可快速复建出被测目标的三维模型及线、面、体等各种图件数据。三维激光扫描具备非接触测量、数据采样率高、高精度、高分辨率、数据格式兼容性好等优点。可以快速、高效、精准地获取地形地貌、涵隧管道等三维数据，有效辅助内涝风险评估的数值计算，提高内涝治理水平。</w:t>
      </w:r>
    </w:p>
    <w:p w14:paraId="5A35A81E">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default" w:ascii="Times New Roman" w:hAnsi="Times New Roman" w:eastAsia="宋体" w:cs="Times New Roman"/>
          <w:b w:val="0"/>
          <w:bCs w:val="0"/>
          <w:color w:val="auto"/>
          <w:sz w:val="24"/>
          <w:szCs w:val="24"/>
          <w:highlight w:val="none"/>
          <w:lang w:val="en-US" w:eastAsia="zh-CN"/>
        </w:rPr>
        <w:t>地质雷达法</w:t>
      </w:r>
      <w:r>
        <w:rPr>
          <w:rFonts w:hint="eastAsia" w:ascii="Times New Roman" w:hAnsi="Times New Roman" w:eastAsia="宋体" w:cs="Times New Roman"/>
          <w:b w:val="0"/>
          <w:bCs w:val="0"/>
          <w:color w:val="auto"/>
          <w:sz w:val="24"/>
          <w:szCs w:val="24"/>
          <w:highlight w:val="none"/>
          <w:lang w:val="en-US" w:eastAsia="zh-CN"/>
        </w:rPr>
        <w:t>g</w:t>
      </w:r>
      <w:r>
        <w:rPr>
          <w:rFonts w:hint="default" w:ascii="Times New Roman" w:hAnsi="Times New Roman" w:eastAsia="宋体" w:cs="Times New Roman"/>
          <w:b w:val="0"/>
          <w:bCs w:val="0"/>
          <w:color w:val="auto"/>
          <w:sz w:val="24"/>
          <w:szCs w:val="24"/>
          <w:highlight w:val="none"/>
          <w:lang w:val="en-US" w:eastAsia="zh-CN"/>
        </w:rPr>
        <w:t xml:space="preserve">eoradar </w:t>
      </w:r>
      <w:r>
        <w:rPr>
          <w:rFonts w:hint="eastAsia" w:ascii="Times New Roman" w:hAnsi="Times New Roman" w:eastAsia="宋体" w:cs="Times New Roman"/>
          <w:b w:val="0"/>
          <w:bCs w:val="0"/>
          <w:color w:val="auto"/>
          <w:sz w:val="24"/>
          <w:szCs w:val="24"/>
          <w:highlight w:val="none"/>
          <w:lang w:val="en-US" w:eastAsia="zh-CN"/>
        </w:rPr>
        <w:t>m</w:t>
      </w:r>
      <w:r>
        <w:rPr>
          <w:rFonts w:hint="default" w:ascii="Times New Roman" w:hAnsi="Times New Roman" w:eastAsia="宋体" w:cs="Times New Roman"/>
          <w:b w:val="0"/>
          <w:bCs w:val="0"/>
          <w:color w:val="auto"/>
          <w:sz w:val="24"/>
          <w:szCs w:val="24"/>
          <w:highlight w:val="none"/>
          <w:lang w:val="en-US" w:eastAsia="zh-CN"/>
        </w:rPr>
        <w:t>ethod，是观测、研究大功率高频电磁脉冲在地下电性界面上产生的回波特性的电法勘探方法。该方法以地质雷达方程为理论基础，以地下各种介质的电阻率和介电常数差异为物理条件。当管道发生泄漏时，由于污水的存在，泄漏部位的介质其周边介质的介电特征存在差异。发射机发射出的频率为10MHz</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1500MHz的大功率脉冲（又称视频脉冲）在地下传播过程中，当遇到电性不均匀界面时，会产生返回地面的回波。观测、研究此回波的传播特性，通过计算机处理，校准地层介电常数，即可获得排水管道泄漏区域的形状和空间位置。</w:t>
      </w:r>
    </w:p>
    <w:p w14:paraId="751FF7C9">
      <w:pPr>
        <w:spacing w:line="360" w:lineRule="auto"/>
        <w:ind w:firstLine="482"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bCs w:val="0"/>
          <w:color w:val="auto"/>
          <w:sz w:val="24"/>
          <w:szCs w:val="24"/>
          <w:lang w:val="en-US" w:eastAsia="zh-CN"/>
        </w:rPr>
        <w:t>6.2.9</w:t>
      </w:r>
      <w:r>
        <w:rPr>
          <w:rFonts w:hint="eastAsia" w:ascii="Times New Roman" w:hAnsi="Times New Roman" w:eastAsia="宋体" w:cs="宋体"/>
          <w:b w:val="0"/>
          <w:bCs/>
          <w:color w:val="auto"/>
          <w:sz w:val="24"/>
          <w:szCs w:val="24"/>
        </w:rPr>
        <w:t>排水管渠的维护单位应每年至少1次评估管理范围内</w:t>
      </w:r>
      <w:r>
        <w:rPr>
          <w:rFonts w:hint="eastAsia" w:ascii="Times New Roman" w:hAnsi="Times New Roman" w:eastAsia="宋体" w:cs="宋体"/>
          <w:b w:val="0"/>
          <w:bCs/>
          <w:color w:val="auto"/>
          <w:sz w:val="24"/>
          <w:szCs w:val="24"/>
          <w:lang w:val="en-US" w:eastAsia="zh-CN"/>
        </w:rPr>
        <w:t>重要区域</w:t>
      </w:r>
      <w:r>
        <w:rPr>
          <w:rFonts w:hint="eastAsia" w:ascii="Times New Roman" w:hAnsi="Times New Roman" w:eastAsia="宋体" w:cs="宋体"/>
          <w:b w:val="0"/>
          <w:bCs/>
          <w:color w:val="auto"/>
          <w:sz w:val="24"/>
          <w:szCs w:val="24"/>
        </w:rPr>
        <w:t>排水管渠的引发地陷风险程度，经评估有引发地陷风险的排水管渠，巡查检查应符合下列规定：</w:t>
      </w:r>
    </w:p>
    <w:p w14:paraId="6B3B1833">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1 地面巡视宜每</w:t>
      </w:r>
      <w:r>
        <w:rPr>
          <w:rFonts w:hint="eastAsia" w:ascii="Times New Roman" w:hAnsi="Times New Roman" w:eastAsia="宋体" w:cs="宋体"/>
          <w:b w:val="0"/>
          <w:bCs/>
          <w:color w:val="auto"/>
          <w:sz w:val="24"/>
          <w:szCs w:val="24"/>
          <w:lang w:val="en-US" w:eastAsia="zh-CN"/>
        </w:rPr>
        <w:t>2</w:t>
      </w:r>
      <w:r>
        <w:rPr>
          <w:rFonts w:hint="eastAsia" w:ascii="Times New Roman" w:hAnsi="Times New Roman" w:eastAsia="宋体" w:cs="宋体"/>
          <w:b w:val="0"/>
          <w:bCs/>
          <w:color w:val="auto"/>
          <w:sz w:val="24"/>
          <w:szCs w:val="24"/>
        </w:rPr>
        <w:t>天1次，开井检查宜每月1次，内窥检测应至少每年1次；</w:t>
      </w:r>
    </w:p>
    <w:p w14:paraId="433E4511">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2 地面巡视发现存在排水管渠上方地面出现变形或龟裂、开井检查发现检查井淤积异常等现象的，应立即开展排水管渠内窥检测；</w:t>
      </w:r>
    </w:p>
    <w:p w14:paraId="00466172">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3 满水管段可使用</w:t>
      </w:r>
      <w:r>
        <w:rPr>
          <w:rFonts w:hint="eastAsia" w:ascii="Times New Roman" w:hAnsi="Times New Roman" w:eastAsia="宋体" w:cs="宋体"/>
          <w:b w:val="0"/>
          <w:bCs/>
          <w:color w:val="auto"/>
          <w:sz w:val="24"/>
          <w:szCs w:val="24"/>
          <w:lang w:eastAsia="zh-CN"/>
        </w:rPr>
        <w:t>声呐</w:t>
      </w:r>
      <w:r>
        <w:rPr>
          <w:rFonts w:hint="eastAsia" w:ascii="Times New Roman" w:hAnsi="Times New Roman" w:eastAsia="宋体" w:cs="宋体"/>
          <w:b w:val="0"/>
          <w:bCs/>
          <w:color w:val="auto"/>
          <w:sz w:val="24"/>
          <w:szCs w:val="24"/>
        </w:rPr>
        <w:t>检测筛查检测淤积和塌陷变形情况，发现可能存在隐患后，应进行管渠CCTV检测；</w:t>
      </w:r>
    </w:p>
    <w:p w14:paraId="5440C3BA">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4 未按上述规定开展内窥检测的，应每年开展1次地质雷达探测；</w:t>
      </w:r>
    </w:p>
    <w:p w14:paraId="08A4C1F7">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5 已按上述规定开展排水管渠内窥检测的，应每2</w:t>
      </w:r>
      <w:r>
        <w:rPr>
          <w:rFonts w:hint="eastAsia" w:ascii="Times New Roman" w:hAnsi="Times New Roman" w:eastAsia="宋体" w:cs="宋体"/>
          <w:b w:val="0"/>
          <w:bCs/>
          <w:color w:val="auto"/>
          <w:sz w:val="24"/>
          <w:szCs w:val="24"/>
          <w:lang w:val="en-US" w:eastAsia="zh-CN"/>
        </w:rPr>
        <w:t>年</w:t>
      </w:r>
      <w:r>
        <w:rPr>
          <w:rFonts w:hint="eastAsia" w:ascii="Times New Roman" w:hAnsi="Times New Roman" w:eastAsia="宋体" w:cs="宋体"/>
          <w:b w:val="0"/>
          <w:bCs/>
          <w:color w:val="auto"/>
          <w:sz w:val="24"/>
          <w:szCs w:val="24"/>
        </w:rPr>
        <w:t>~5年开展1次地质雷达探测；</w:t>
      </w:r>
    </w:p>
    <w:p w14:paraId="5F24C0BB">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6 检查发现风险排水管渠存在严重及重大渗漏缺陷或重大结构性缺陷，应立即采用地质雷达探测排水管渠周边是否存在空洞；</w:t>
      </w:r>
    </w:p>
    <w:p w14:paraId="7D0F8E1B">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7 排水管涵、河道周边等区域，宜在汛期后进行；</w:t>
      </w:r>
    </w:p>
    <w:p w14:paraId="427373AB">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8</w:t>
      </w:r>
      <w:r>
        <w:rPr>
          <w:rFonts w:hint="eastAsia" w:ascii="Times New Roman" w:hAnsi="Times New Roman" w:eastAsia="宋体" w:cs="宋体"/>
          <w:b w:val="0"/>
          <w:bCs/>
          <w:color w:val="auto"/>
          <w:sz w:val="24"/>
          <w:szCs w:val="24"/>
        </w:rPr>
        <w:t xml:space="preserve"> 地质雷达探测发现存在空洞的，应根据隐患类型的差异，采用钻探、动力触探或探槽验证等方式进行复核或验证。不具备施工条件时，宜采用其它物探方法比对。</w:t>
      </w:r>
    </w:p>
    <w:p w14:paraId="0D383C27">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地质雷达探测方法和地下病害体风险评价、控制措施应符合现行标准《城市地下病害体综合探测与风险评估技术标准》JGJ/T437及国家、省、市的有关规定。</w:t>
      </w:r>
    </w:p>
    <w:p w14:paraId="04E532D7">
      <w:pPr>
        <w:spacing w:line="360" w:lineRule="auto"/>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eastAsia="zh-CN"/>
        </w:rPr>
        <w:t>.2.</w:t>
      </w:r>
      <w:r>
        <w:rPr>
          <w:rFonts w:hint="eastAsia" w:ascii="Times New Roman" w:hAnsi="Times New Roman" w:eastAsia="宋体" w:cs="Times New Roman"/>
          <w:b/>
          <w:bCs/>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eastAsia="zh-CN"/>
        </w:rPr>
        <w:t xml:space="preserve"> 主要内容为修补裂缝及破损面，封堵渗漏，加砌检查井，新接用户管等。</w:t>
      </w:r>
    </w:p>
    <w:p w14:paraId="20F10150">
      <w:pPr>
        <w:spacing w:line="360" w:lineRule="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val="en-US" w:eastAsia="zh-CN"/>
        </w:rPr>
        <w:t>11</w:t>
      </w:r>
      <w:r>
        <w:rPr>
          <w:rFonts w:hint="default" w:ascii="Times New Roman" w:hAnsi="Times New Roman" w:eastAsia="宋体" w:cs="Times New Roman"/>
          <w:color w:val="auto"/>
          <w:sz w:val="24"/>
          <w:szCs w:val="24"/>
          <w:highlight w:val="none"/>
          <w:lang w:val="en-US" w:eastAsia="zh-CN"/>
        </w:rPr>
        <w:t xml:space="preserve"> 排涝水泵应建立定期维修制度。水泵应按规定的运行小时或年限进行定期解体检查和检修，雨水泵站的水泵5年应进行解体检查；水泵定期维修前，应制定维修技术方案；水泵定期维修应有完整维修验收资料。</w:t>
      </w:r>
    </w:p>
    <w:p w14:paraId="11A6ADF8">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机组可运行率评估方法如下：</w:t>
      </w:r>
    </w:p>
    <w:p w14:paraId="35EA3E37">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object>
          <v:shape id="_x0000_i1050" o:spt="75" type="#_x0000_t75" style="height:35pt;width:256pt;" o:ole="t" filled="f" o:preferrelative="t" stroked="f" coordsize="21600,21600">
            <v:path/>
            <v:fill on="f" focussize="0,0"/>
            <v:stroke on="f"/>
            <v:imagedata r:id="rId65" o:title=""/>
            <o:lock v:ext="edit" aspectratio="t"/>
            <w10:wrap type="none"/>
            <w10:anchorlock/>
          </v:shape>
          <o:OLEObject Type="Embed" ProgID="Equation.KSEE3" ShapeID="_x0000_i1050" DrawAspect="Content" ObjectID="_1468075750" r:id="rId64">
            <o:LockedField>false</o:LockedField>
          </o:OLEObject>
        </w:object>
      </w:r>
      <w:r>
        <w:rPr>
          <w:rFonts w:hint="eastAsia" w:ascii="Times New Roman" w:hAnsi="Times New Roman" w:eastAsia="宋体" w:cs="Times New Roman"/>
          <w:color w:val="auto"/>
          <w:sz w:val="24"/>
          <w:szCs w:val="24"/>
          <w:highlight w:val="none"/>
          <w:lang w:val="en-US" w:eastAsia="zh-CN"/>
        </w:rPr>
        <w:t xml:space="preserve">     （式6-1）</w:t>
      </w:r>
    </w:p>
    <w:p w14:paraId="3DFF99B3">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可运行天数是指机组没有发生故障或检修引起的停运，处于可正常启动运行状态的天数；日历天数是指为日历月或日历年的总天数。</w:t>
      </w:r>
    </w:p>
    <w:p w14:paraId="7B325695">
      <w:pPr>
        <w:pStyle w:val="4"/>
        <w:spacing w:beforeLines="0" w:after="156" w:afterLines="50"/>
        <w:jc w:val="center"/>
        <w:rPr>
          <w:rFonts w:hint="eastAsia" w:ascii="Times New Roman" w:hAnsi="Times New Roman" w:eastAsia="宋体" w:cs="宋体"/>
          <w:color w:val="auto"/>
          <w:sz w:val="28"/>
          <w:szCs w:val="28"/>
          <w:highlight w:val="none"/>
          <w:lang w:val="en-US" w:eastAsia="zh-CN"/>
        </w:rPr>
      </w:pPr>
      <w:bookmarkStart w:id="225" w:name="_Toc19359"/>
      <w:bookmarkStart w:id="226" w:name="_Toc28299"/>
      <w:r>
        <w:rPr>
          <w:rFonts w:hint="eastAsia" w:ascii="Times New Roman" w:hAnsi="Times New Roman" w:eastAsia="宋体" w:cs="宋体"/>
          <w:color w:val="auto"/>
          <w:sz w:val="28"/>
          <w:szCs w:val="28"/>
          <w:highlight w:val="none"/>
          <w:lang w:val="en-US" w:eastAsia="zh-CN"/>
        </w:rPr>
        <w:t>6.3 监测预警</w:t>
      </w:r>
      <w:bookmarkEnd w:id="225"/>
      <w:bookmarkEnd w:id="226"/>
    </w:p>
    <w:p w14:paraId="578AB139">
      <w:pPr>
        <w:spacing w:line="360" w:lineRule="auto"/>
        <w:rPr>
          <w:rFonts w:hint="eastAsia" w:ascii="Times New Roman" w:hAnsi="Times New Roman" w:eastAsia="宋体" w:cs="仿宋"/>
          <w:color w:val="auto"/>
          <w:sz w:val="24"/>
          <w:szCs w:val="24"/>
          <w:lang w:val="en-US" w:eastAsia="zh-CN"/>
        </w:rPr>
      </w:pPr>
      <w:r>
        <w:rPr>
          <w:rFonts w:hint="eastAsia" w:ascii="Times New Roman" w:hAnsi="Times New Roman" w:eastAsia="宋体" w:cs="Times New Roman"/>
          <w:b/>
          <w:bCs/>
          <w:color w:val="auto"/>
          <w:sz w:val="24"/>
          <w:szCs w:val="24"/>
          <w:highlight w:val="none"/>
          <w:lang w:val="en-US" w:eastAsia="zh-CN"/>
        </w:rPr>
        <w:t xml:space="preserve">6.3.1 </w:t>
      </w:r>
      <w:r>
        <w:rPr>
          <w:rFonts w:hint="eastAsia" w:ascii="Times New Roman" w:hAnsi="Times New Roman" w:eastAsia="宋体" w:cs="仿宋"/>
          <w:color w:val="auto"/>
          <w:sz w:val="24"/>
          <w:szCs w:val="24"/>
          <w:lang w:val="en-US" w:eastAsia="zh-CN"/>
        </w:rPr>
        <w:t>本条为强制性条文，必须严格执行。本条规定了应进行积水监测和内预警的情形。</w:t>
      </w:r>
    </w:p>
    <w:p w14:paraId="501AF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仿宋"/>
          <w:color w:val="auto"/>
          <w:sz w:val="24"/>
          <w:szCs w:val="24"/>
          <w:lang w:val="en-US" w:eastAsia="zh-CN"/>
        </w:rPr>
      </w:pPr>
      <w:r>
        <w:rPr>
          <w:rFonts w:hint="eastAsia" w:ascii="Times New Roman" w:hAnsi="Times New Roman" w:eastAsia="宋体" w:cs="仿宋"/>
          <w:color w:val="auto"/>
          <w:sz w:val="24"/>
          <w:szCs w:val="24"/>
          <w:lang w:val="en-US" w:eastAsia="zh-CN"/>
        </w:rPr>
        <w:t>根据《国务院办公厅关于加强城市内涝治理的实施意见》（国办发〔2021〕11号）中提出提升城市排水防涝工作管理水平，加强智慧平台建设。建立完善城市综合管理信息平台，整合各部门防洪排涝管理相关信息，在排水设施关键节点、易涝积水点布设必要的智能化感知终端设备，满足日常管理、运行调度、灾情预判、预警预报、防汛调度、应急抢险等功能需要;有条件的城市，要与城市信息模型(CIM)基础平台深度融合，与国土空间基础信息平台充分衔接。</w:t>
      </w:r>
    </w:p>
    <w:p w14:paraId="0B20A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仿宋"/>
          <w:color w:val="auto"/>
          <w:sz w:val="24"/>
          <w:szCs w:val="24"/>
          <w:lang w:val="en-US" w:eastAsia="zh-CN"/>
        </w:rPr>
      </w:pPr>
      <w:r>
        <w:rPr>
          <w:rFonts w:hint="eastAsia" w:ascii="Times New Roman" w:hAnsi="Times New Roman" w:eastAsia="宋体" w:cs="仿宋"/>
          <w:color w:val="auto"/>
          <w:sz w:val="24"/>
          <w:szCs w:val="24"/>
          <w:lang w:val="en-US" w:eastAsia="zh-CN"/>
        </w:rPr>
        <w:t>根据《住房城乡建设部关于推进城市基础设施生命线安全工程的指导意见》（建督〔2023〕11号）中明确推进城市生命线的目标任务：编制风险清单，明确重点监测区域和环节、监测对象、责任单位，将风险清单作为城市生命线工程建设的重要依据。搭建监测系统，促进现代信息技术与城市生命线工程深度融合，推动地下管网、桥梁、隧道、客井等配套建设物联智能感知设备，实现对城市生命线工程运行数据的全面感知、自动采集、监测分析、预警上报。老旧设施的智能化改造，要结合城市更新、老旧小区改造、城市燃气管道等老化更新改造、城市排水防涝体系建设工作同步推进。</w:t>
      </w:r>
    </w:p>
    <w:p w14:paraId="362AC8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仿宋"/>
          <w:color w:val="auto"/>
          <w:sz w:val="24"/>
          <w:szCs w:val="24"/>
          <w:lang w:val="en-US" w:eastAsia="zh-CN"/>
        </w:rPr>
      </w:pPr>
      <w:r>
        <w:rPr>
          <w:rFonts w:hint="eastAsia" w:ascii="Times New Roman" w:hAnsi="Times New Roman" w:eastAsia="宋体" w:cs="仿宋"/>
          <w:color w:val="auto"/>
          <w:sz w:val="24"/>
          <w:szCs w:val="24"/>
          <w:lang w:val="en-US" w:eastAsia="zh-CN"/>
        </w:rPr>
        <w:t>参照《河南省城镇排水与污水处理条例》（2024年9月28日河南省第十四届人民代表大会常务委员会第十一次会议通过，自2025年2月1日起施行）第二十七条相关规定，县级以上人民政府城镇排水与污水处理主管部门应当利用数字化、智能化信息手段建立完善排水设施地理信息系统和排水防涝智慧管理平台，划定内涝中高风险区域，绘制内涝风险图，在易涝点等重点部位设置积水深度监测和预警信息显示设施，并将监测和预警信息与应急管理、水利、公安、交通运输、农业农村等相关部门共享，及时采取应急措施。</w:t>
      </w:r>
    </w:p>
    <w:p w14:paraId="25C4B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仿宋"/>
          <w:color w:val="auto"/>
          <w:sz w:val="24"/>
          <w:szCs w:val="24"/>
          <w:lang w:val="en-US" w:eastAsia="zh-CN"/>
        </w:rPr>
      </w:pPr>
      <w:r>
        <w:rPr>
          <w:rFonts w:hint="eastAsia" w:ascii="Times New Roman" w:hAnsi="Times New Roman" w:eastAsia="宋体" w:cs="仿宋"/>
          <w:color w:val="auto"/>
          <w:sz w:val="24"/>
          <w:szCs w:val="24"/>
          <w:lang w:val="en-US" w:eastAsia="zh-CN"/>
        </w:rPr>
        <w:t>重要基础设施主要包含：地下交通枢纽出入口、地下商业聚集区、生命线工程控制中心、下穿隧道、地下人行通道和关键节点等。</w:t>
      </w:r>
    </w:p>
    <w:p w14:paraId="58A551D8">
      <w:pPr>
        <w:spacing w:line="360" w:lineRule="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 xml:space="preserve">6.3.2 </w:t>
      </w:r>
      <w:r>
        <w:rPr>
          <w:rFonts w:hint="eastAsia" w:ascii="Times New Roman" w:hAnsi="Times New Roman" w:eastAsia="宋体" w:cs="仿宋"/>
          <w:color w:val="auto"/>
          <w:sz w:val="24"/>
          <w:szCs w:val="24"/>
          <w:lang w:val="en-US" w:eastAsia="zh-CN"/>
        </w:rPr>
        <w:t>为更好发挥城镇内涝防治系统工程的效能，应建立城镇内涝预警系统，</w:t>
      </w:r>
      <w:r>
        <w:rPr>
          <w:rFonts w:hint="eastAsia" w:ascii="Times New Roman" w:hAnsi="Times New Roman" w:eastAsia="宋体" w:cs="Times New Roman"/>
          <w:b w:val="0"/>
          <w:bCs w:val="0"/>
          <w:color w:val="auto"/>
          <w:sz w:val="24"/>
          <w:szCs w:val="24"/>
          <w:highlight w:val="none"/>
          <w:lang w:val="en-US" w:eastAsia="zh-CN"/>
        </w:rPr>
        <w:t>以最终实现内涝监测预警、全汛期管理、汛期交通导行为目的，建设城镇内涝防治数字信息平台，整合城镇排水数值模拟、地理信息系统、雨量监测、气象监测预报、内涝实时模拟系统、内涝防治应急系统、信息发布系统、实时道路监测系统和交通管制发布系统等。</w:t>
      </w:r>
    </w:p>
    <w:p w14:paraId="11B5CADA">
      <w:pPr>
        <w:spacing w:line="360" w:lineRule="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 xml:space="preserve"> 监测实施前应先明确需求，收集资料，制定监测方案。监测方案设计前宜收集：监测范围内现状易涝</w:t>
      </w:r>
      <w:r>
        <w:rPr>
          <w:rFonts w:hint="eastAsia" w:ascii="Times New Roman" w:hAnsi="Times New Roman" w:eastAsia="宋体" w:cs="Times New Roman"/>
          <w:color w:val="auto"/>
          <w:sz w:val="24"/>
          <w:szCs w:val="24"/>
          <w:highlight w:val="none"/>
          <w:lang w:val="en-US" w:eastAsia="zh-CN"/>
        </w:rPr>
        <w:t>积水</w:t>
      </w:r>
      <w:r>
        <w:rPr>
          <w:rFonts w:hint="default" w:ascii="Times New Roman" w:hAnsi="Times New Roman" w:eastAsia="宋体" w:cs="Times New Roman"/>
          <w:color w:val="auto"/>
          <w:sz w:val="24"/>
          <w:szCs w:val="24"/>
          <w:highlight w:val="none"/>
          <w:lang w:eastAsia="zh-CN"/>
        </w:rPr>
        <w:t>点分布及其积水深度、积水范围、雨后退水时间调研等数据；排水系统基本情况、排水管网存在</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eastAsia="zh-CN"/>
        </w:rPr>
        <w:t>问题；水文、气象数据；基础地理信息资料；信息化建设基础资料；</w:t>
      </w:r>
      <w:r>
        <w:rPr>
          <w:rFonts w:hint="default" w:ascii="Times New Roman" w:hAnsi="Times New Roman" w:eastAsia="宋体" w:cs="Times New Roman"/>
          <w:color w:val="auto"/>
          <w:sz w:val="24"/>
          <w:szCs w:val="24"/>
          <w:highlight w:val="none"/>
          <w:lang w:val="en-US" w:eastAsia="zh-CN"/>
        </w:rPr>
        <w:t>以及</w:t>
      </w:r>
      <w:r>
        <w:rPr>
          <w:rFonts w:hint="default" w:ascii="Times New Roman" w:hAnsi="Times New Roman" w:eastAsia="宋体" w:cs="Times New Roman"/>
          <w:color w:val="auto"/>
          <w:sz w:val="24"/>
          <w:szCs w:val="24"/>
          <w:highlight w:val="none"/>
          <w:lang w:eastAsia="zh-CN"/>
        </w:rPr>
        <w:t>所需的其他相关资料。</w:t>
      </w:r>
    </w:p>
    <w:p w14:paraId="57535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除了水位、流量、流速指标和视频监控外，建议将泥沙淤积厚度作为备选的监测项目，在有条件的地方开展泥沙淤积厚度监测。</w:t>
      </w:r>
    </w:p>
    <w:p w14:paraId="710CDA4B">
      <w:pPr>
        <w:spacing w:line="360" w:lineRule="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lang w:val="en-US" w:eastAsia="zh-CN"/>
        </w:rPr>
        <w:t>.3</w:t>
      </w: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城镇内涝防治预警系统</w:t>
      </w:r>
      <w:r>
        <w:rPr>
          <w:rFonts w:hint="default" w:ascii="Times New Roman" w:hAnsi="Times New Roman" w:eastAsia="宋体" w:cs="Times New Roman"/>
          <w:color w:val="auto"/>
          <w:sz w:val="24"/>
          <w:szCs w:val="24"/>
          <w:highlight w:val="none"/>
          <w:lang w:eastAsia="zh-CN"/>
        </w:rPr>
        <w:t>应以排水设施信息化管控平台为基础，整合雨情、水情、</w:t>
      </w:r>
      <w:r>
        <w:rPr>
          <w:rFonts w:hint="default" w:ascii="Times New Roman" w:hAnsi="Times New Roman" w:eastAsia="宋体" w:cs="Times New Roman"/>
          <w:color w:val="auto"/>
          <w:sz w:val="24"/>
          <w:szCs w:val="24"/>
          <w:highlight w:val="none"/>
          <w:lang w:val="en-US" w:eastAsia="zh-CN"/>
        </w:rPr>
        <w:t>涝</w:t>
      </w:r>
      <w:r>
        <w:rPr>
          <w:rFonts w:hint="default" w:ascii="Times New Roman" w:hAnsi="Times New Roman" w:eastAsia="宋体" w:cs="Times New Roman"/>
          <w:color w:val="auto"/>
          <w:sz w:val="24"/>
          <w:szCs w:val="24"/>
          <w:highlight w:val="none"/>
          <w:lang w:eastAsia="zh-CN"/>
        </w:rPr>
        <w:t>情、</w:t>
      </w:r>
      <w:r>
        <w:rPr>
          <w:rFonts w:hint="default" w:ascii="Times New Roman" w:hAnsi="Times New Roman" w:eastAsia="宋体" w:cs="Times New Roman"/>
          <w:color w:val="auto"/>
          <w:sz w:val="24"/>
          <w:szCs w:val="24"/>
          <w:highlight w:val="none"/>
          <w:lang w:val="en-US" w:eastAsia="zh-CN"/>
        </w:rPr>
        <w:t>气象地理</w:t>
      </w:r>
      <w:r>
        <w:rPr>
          <w:rFonts w:hint="default" w:ascii="Times New Roman" w:hAnsi="Times New Roman" w:eastAsia="宋体" w:cs="Times New Roman"/>
          <w:color w:val="auto"/>
          <w:sz w:val="24"/>
          <w:szCs w:val="24"/>
          <w:highlight w:val="none"/>
          <w:lang w:eastAsia="zh-CN"/>
        </w:rPr>
        <w:t>等平台信息，</w:t>
      </w:r>
      <w:r>
        <w:rPr>
          <w:rFonts w:hint="default" w:ascii="Times New Roman" w:hAnsi="Times New Roman" w:eastAsia="宋体" w:cs="Times New Roman"/>
          <w:color w:val="auto"/>
          <w:sz w:val="24"/>
          <w:szCs w:val="24"/>
          <w:highlight w:val="none"/>
          <w:lang w:val="en-US" w:eastAsia="zh-CN"/>
        </w:rPr>
        <w:t>结合实时监控和内涝模型，采取相应的措施。</w:t>
      </w:r>
    </w:p>
    <w:p w14:paraId="087C097B">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城镇内涝防治预警系统</w:t>
      </w:r>
      <w:r>
        <w:rPr>
          <w:rFonts w:hint="default" w:ascii="Times New Roman" w:hAnsi="Times New Roman" w:eastAsia="宋体" w:cs="Times New Roman"/>
          <w:color w:val="auto"/>
          <w:sz w:val="24"/>
          <w:szCs w:val="24"/>
          <w:highlight w:val="none"/>
          <w:lang w:eastAsia="zh-CN"/>
        </w:rPr>
        <w:t>应与当地</w:t>
      </w:r>
      <w:r>
        <w:rPr>
          <w:rFonts w:hint="default" w:ascii="Times New Roman" w:hAnsi="Times New Roman" w:eastAsia="宋体" w:cs="Times New Roman"/>
          <w:color w:val="auto"/>
          <w:sz w:val="24"/>
          <w:szCs w:val="24"/>
          <w:highlight w:val="none"/>
          <w:lang w:val="en-US" w:eastAsia="zh-CN"/>
        </w:rPr>
        <w:t>防洪</w:t>
      </w:r>
      <w:r>
        <w:rPr>
          <w:rFonts w:hint="default" w:ascii="Times New Roman" w:hAnsi="Times New Roman" w:eastAsia="宋体" w:cs="Times New Roman"/>
          <w:color w:val="auto"/>
          <w:sz w:val="24"/>
          <w:szCs w:val="24"/>
          <w:highlight w:val="none"/>
          <w:lang w:eastAsia="zh-CN"/>
        </w:rPr>
        <w:t>防汛预警系统结合，与流域防洪防汛预警系统联动。</w:t>
      </w:r>
    </w:p>
    <w:p w14:paraId="11477C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城镇内涝防治预警系统建设单位根据自身需要可采取自行维护或托管服务的办法，指定人员或专门的机构负责系统的运行和管理工作。城镇内涝防治预警系统的运行维护应采用例行操作、响应支持、优化改善、调研评估相结合的方式开展，形成全周期业务闭环。可采用相应的智能化工具，提高检查维护的效率及安全保障。建立城镇内涝防治预警系统的感知设备维护管理、网络传输设备维护管理、数据库维护管理、应用平台维护管理及相关设施的管理制度。</w:t>
      </w:r>
    </w:p>
    <w:p w14:paraId="0246A21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各相关方应制定项目文档及记录的管理计划，明确需要的文档、记录的内容、格式和交付形式、交付进度，同时要提出私密性要求、保密要求，文档和数据分发、传递的机制等。</w:t>
      </w:r>
    </w:p>
    <w:p w14:paraId="734F7F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城镇内涝防治设施数据库动态更新周期结合实际情况进行确定，</w:t>
      </w:r>
      <w:r>
        <w:rPr>
          <w:rFonts w:hint="eastAsia" w:ascii="Times New Roman" w:hAnsi="Times New Roman" w:eastAsia="宋体" w:cs="Times New Roman"/>
          <w:color w:val="auto"/>
          <w:sz w:val="24"/>
          <w:szCs w:val="24"/>
          <w:highlight w:val="none"/>
          <w:lang w:val="en-US" w:eastAsia="zh-CN"/>
        </w:rPr>
        <w:t>若</w:t>
      </w:r>
      <w:r>
        <w:rPr>
          <w:rFonts w:hint="default" w:ascii="Times New Roman" w:hAnsi="Times New Roman" w:eastAsia="宋体" w:cs="Times New Roman"/>
          <w:color w:val="auto"/>
          <w:sz w:val="24"/>
          <w:szCs w:val="24"/>
          <w:highlight w:val="none"/>
          <w:lang w:val="en-US" w:eastAsia="zh-CN"/>
        </w:rPr>
        <w:t>设施情况有变化时要在不超过一个月的时间内及时更新。</w:t>
      </w:r>
    </w:p>
    <w:p w14:paraId="408F35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有条件的地区可同步建立在线监测系统，形成统一的监测数据管理平台。为了更好地满足排水防涝设施长期运行规律分析与短时应急事件及时通知的要求，应采用合适的监测频率和数据发送频率，在实际水位超过报警水位后，应增加数据的发送频次。同时应具备手机推送报警消息功能，尽可能为公众提供积水风险报警信息，指导公众极端天气情况下的出行，减少事故造成的生命财产损失。</w:t>
      </w:r>
    </w:p>
    <w:p w14:paraId="697CF3D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val="0"/>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水位与流量的在线监测技术可以实现排水防涝设施的长期持续监测与短时预警预报，记录排水防涝设施的动态运行情况并在管网运行数据异常时快速进行预警、追踪和事故溯源，提升管理部门对排水管网事故的预警和处理能力。同时，通过收集排水防涝设施长期运行数据，有助于识别排水防涝设施的运行规律，辅助进行排水管网模型的构建与参数验证，提高排水系统整体评估决策的准确性和及时性。有条件的地区可同步建立在线监测系统，形成统一的</w:t>
      </w:r>
      <w:r>
        <w:rPr>
          <w:rFonts w:hint="eastAsia" w:ascii="Times New Roman" w:hAnsi="Times New Roman" w:eastAsia="宋体" w:cs="Times New Roman"/>
          <w:color w:val="auto"/>
          <w:sz w:val="24"/>
          <w:szCs w:val="24"/>
          <w:highlight w:val="none"/>
          <w:lang w:val="en-US" w:eastAsia="zh-CN"/>
        </w:rPr>
        <w:t>监测</w:t>
      </w:r>
      <w:r>
        <w:rPr>
          <w:rFonts w:hint="default" w:ascii="Times New Roman" w:hAnsi="Times New Roman" w:eastAsia="宋体" w:cs="Times New Roman"/>
          <w:color w:val="auto"/>
          <w:sz w:val="24"/>
          <w:szCs w:val="24"/>
          <w:highlight w:val="none"/>
          <w:lang w:val="en-US" w:eastAsia="zh-CN"/>
        </w:rPr>
        <w:t>数据管理平台。</w:t>
      </w:r>
    </w:p>
    <w:p w14:paraId="706A1D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调蓄工程设施可包含下列内容：</w:t>
      </w:r>
    </w:p>
    <w:p w14:paraId="111436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1 </w:t>
      </w:r>
      <w:r>
        <w:rPr>
          <w:rFonts w:hint="default" w:ascii="Times New Roman" w:hAnsi="Times New Roman" w:eastAsia="宋体" w:cs="Times New Roman"/>
          <w:color w:val="auto"/>
          <w:sz w:val="24"/>
          <w:szCs w:val="24"/>
          <w:highlight w:val="none"/>
          <w:lang w:val="en-US" w:eastAsia="zh-CN"/>
        </w:rPr>
        <w:t>蓄水池、调节池、合流制溢流调蓄池等灰色设施。</w:t>
      </w:r>
    </w:p>
    <w:p w14:paraId="605440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2 </w:t>
      </w:r>
      <w:r>
        <w:rPr>
          <w:rFonts w:hint="default" w:ascii="Times New Roman" w:hAnsi="Times New Roman" w:eastAsia="宋体" w:cs="Times New Roman"/>
          <w:color w:val="auto"/>
          <w:sz w:val="24"/>
          <w:szCs w:val="24"/>
          <w:highlight w:val="none"/>
          <w:lang w:val="en-US" w:eastAsia="zh-CN"/>
        </w:rPr>
        <w:t>渗透塘、生物滞留设施、湿塘、调节塘、湿地等绿色设施</w:t>
      </w:r>
      <w:r>
        <w:rPr>
          <w:rFonts w:hint="eastAsia" w:ascii="Times New Roman" w:hAnsi="Times New Roman" w:eastAsia="宋体" w:cs="Times New Roman"/>
          <w:color w:val="auto"/>
          <w:sz w:val="24"/>
          <w:szCs w:val="24"/>
          <w:highlight w:val="none"/>
          <w:lang w:val="en-US" w:eastAsia="zh-CN"/>
        </w:rPr>
        <w:t>。</w:t>
      </w:r>
    </w:p>
    <w:p w14:paraId="1CFAD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优化运行管理和后期水安全与水环境评估积累历史资料，应在调蓄工程进水处（如格栅前的集水井或进水渠道）出水处（如出水管或出水井）等重要节点，设置水质水量监测点。水质监测主要包括人工分析和在线监测两种，监测项目主要包括悬浮物（SS）、化学需氧量（COD）和氨氮（NH</w:t>
      </w:r>
      <w:r>
        <w:rPr>
          <w:rFonts w:hint="default" w:ascii="Times New Roman" w:hAnsi="Times New Roman" w:eastAsia="宋体" w:cs="Times New Roman"/>
          <w:color w:val="auto"/>
          <w:sz w:val="24"/>
          <w:szCs w:val="24"/>
          <w:highlight w:val="none"/>
          <w:vertAlign w:val="subscript"/>
          <w:lang w:val="en-US" w:eastAsia="zh-CN"/>
        </w:rPr>
        <w:t>4</w:t>
      </w:r>
      <w:r>
        <w:rPr>
          <w:rFonts w:hint="default" w:ascii="Times New Roman" w:hAnsi="Times New Roman" w:eastAsia="宋体" w:cs="Times New Roman"/>
          <w:color w:val="auto"/>
          <w:sz w:val="24"/>
          <w:szCs w:val="24"/>
          <w:highlight w:val="none"/>
          <w:vertAlign w:val="superscript"/>
          <w:lang w:val="en-US" w:eastAsia="zh-CN"/>
        </w:rPr>
        <w:t>+</w:t>
      </w:r>
      <w:r>
        <w:rPr>
          <w:rFonts w:hint="default" w:ascii="Times New Roman" w:hAnsi="Times New Roman" w:eastAsia="宋体" w:cs="Times New Roman"/>
          <w:color w:val="auto"/>
          <w:sz w:val="24"/>
          <w:szCs w:val="24"/>
          <w:highlight w:val="none"/>
          <w:lang w:val="en-US" w:eastAsia="zh-CN"/>
        </w:rPr>
        <w:t>-N）等指标。调蓄水量的计量和记录，可采用流量计和泵排相结合的方式。</w:t>
      </w:r>
    </w:p>
    <w:p w14:paraId="476F9B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应根据调蓄工程不同的功能，进行针对性的效益评估。效益评估内容应包括提高排水系统排水能力、减少内涝发生次数、削减暴雨溢流水量和污染物、改善受纳水体水质等方面。</w:t>
      </w:r>
    </w:p>
    <w:p w14:paraId="5CE1396A">
      <w:pPr>
        <w:pStyle w:val="4"/>
        <w:spacing w:beforeLines="0" w:after="156" w:afterLines="50"/>
        <w:jc w:val="center"/>
        <w:rPr>
          <w:rFonts w:hint="default" w:ascii="Times New Roman" w:hAnsi="Times New Roman" w:eastAsia="宋体" w:cs="宋体"/>
          <w:color w:val="auto"/>
          <w:sz w:val="28"/>
          <w:szCs w:val="28"/>
          <w:highlight w:val="none"/>
          <w:lang w:val="en-US" w:eastAsia="zh-CN"/>
        </w:rPr>
      </w:pPr>
      <w:bookmarkStart w:id="227" w:name="_Toc19781"/>
      <w:bookmarkStart w:id="228" w:name="_Toc26007"/>
      <w:bookmarkStart w:id="229" w:name="_Toc4325"/>
      <w:bookmarkStart w:id="230" w:name="_Toc11596"/>
      <w:bookmarkStart w:id="231" w:name="_Toc6189"/>
      <w:bookmarkStart w:id="232" w:name="_Toc25846"/>
      <w:r>
        <w:rPr>
          <w:rFonts w:hint="eastAsia" w:ascii="Times New Roman" w:hAnsi="Times New Roman" w:eastAsia="宋体" w:cs="宋体"/>
          <w:color w:val="auto"/>
          <w:sz w:val="28"/>
          <w:szCs w:val="28"/>
          <w:highlight w:val="none"/>
          <w:lang w:val="en-US" w:eastAsia="zh-CN"/>
        </w:rPr>
        <w:t>6</w:t>
      </w:r>
      <w:r>
        <w:rPr>
          <w:rFonts w:hint="eastAsia" w:ascii="Times New Roman" w:hAnsi="Times New Roman" w:eastAsia="宋体" w:cs="宋体"/>
          <w:color w:val="auto"/>
          <w:sz w:val="28"/>
          <w:szCs w:val="28"/>
          <w:highlight w:val="none"/>
        </w:rPr>
        <w:t>.</w:t>
      </w:r>
      <w:r>
        <w:rPr>
          <w:rFonts w:hint="eastAsia" w:ascii="Times New Roman" w:hAnsi="Times New Roman" w:eastAsia="宋体" w:cs="宋体"/>
          <w:color w:val="auto"/>
          <w:sz w:val="28"/>
          <w:szCs w:val="28"/>
          <w:highlight w:val="none"/>
          <w:lang w:val="en-US" w:eastAsia="zh-CN"/>
        </w:rPr>
        <w:t>4 应急管理</w:t>
      </w:r>
      <w:bookmarkEnd w:id="227"/>
      <w:bookmarkEnd w:id="228"/>
      <w:bookmarkEnd w:id="229"/>
      <w:bookmarkEnd w:id="230"/>
      <w:bookmarkEnd w:id="231"/>
      <w:bookmarkEnd w:id="232"/>
    </w:p>
    <w:p w14:paraId="1DE6FB02">
      <w:pPr>
        <w:spacing w:line="360" w:lineRule="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 xml:space="preserve">  </w:t>
      </w:r>
      <w:r>
        <w:rPr>
          <w:rFonts w:hint="eastAsia" w:ascii="Times New Roman" w:hAnsi="Times New Roman" w:eastAsia="宋体" w:cs="Times New Roman"/>
          <w:color w:val="auto"/>
          <w:sz w:val="24"/>
          <w:szCs w:val="24"/>
          <w:highlight w:val="none"/>
          <w:lang w:val="en-US" w:eastAsia="zh-CN"/>
        </w:rPr>
        <w:t>各地根据</w:t>
      </w:r>
      <w:r>
        <w:rPr>
          <w:rFonts w:hint="default" w:ascii="Times New Roman" w:hAnsi="Times New Roman" w:eastAsia="宋体" w:cs="Times New Roman"/>
          <w:color w:val="auto"/>
          <w:sz w:val="24"/>
          <w:szCs w:val="24"/>
          <w:highlight w:val="none"/>
          <w:lang w:eastAsia="zh-CN"/>
        </w:rPr>
        <w:t>建立城镇内涝预警系统</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确定预警分级标准和预警等级</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针对不同预警等级，结合现状特点</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建立不同等级、不同区域、不同部门的应急系统</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对内涝预警系统和应急系统进行实际效果评价分析</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建立评价体系以便对预警系统和应急系统做出合理调整。提高公众掌握预警信息解读、应急措施实施和突发状态下自救等能力。</w:t>
      </w:r>
    </w:p>
    <w:p w14:paraId="573DC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组织</w:t>
      </w:r>
      <w:r>
        <w:rPr>
          <w:rFonts w:hint="default" w:ascii="Times New Roman" w:hAnsi="Times New Roman" w:eastAsia="宋体" w:cs="Times New Roman"/>
          <w:color w:val="auto"/>
          <w:sz w:val="24"/>
          <w:szCs w:val="24"/>
          <w:highlight w:val="none"/>
          <w:lang w:val="en-US" w:eastAsia="zh-CN"/>
        </w:rPr>
        <w:t>体系包含总指挥部、工作职责、指挥机构、任务分工、专家组。预警预防包含监测预警信息、预警预防准备、预警预防行动。应急响应包含先期处置、指挥协调、应急响应。抢险救援包含救援力量、救援开展、救援实施、情景构建、救援结束。后期处置包含灾害救助、恢复重建、社会捐赠、灾害保险、评估总结。应急保障包含队伍、物资、资金、技术、人员转移等保障。</w:t>
      </w:r>
    </w:p>
    <w:p w14:paraId="28CA06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各城镇应根据内涝风险等级制定内涝灾害应急预案，或将内涝灾害防范内容纳入本区域防汛应急预案内容，应急预案应包括组织体系、预警预防、应急响应、抢险救援、应急保障和后期处置。责任主管部门在工作中还需对预案的落实情况进行检查，定期组织培训与演练。《生产安全事故应急预案管理办法》第三十六条有下列情形之一的，应急预案应当及时修订并归档：（一）依据的法律、法规、规章、标准及上位预案中的有关规定发生重大变化的；（二）应急指挥机构及其职责发生调整的；（三）安全生产面临的风险发生重大变化的；（四）重要应急资源发生重大变化的；（五）在应急演练和事故应急救援中发现需要修订预案的重大问题的；（六）编制单位认为应当修订的其他情况。</w:t>
      </w:r>
    </w:p>
    <w:p w14:paraId="10704F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依据《城镇排水管渠与泵站运行、维护及安全技术规程》CJJ 68的相关规定，排水防涝应急预案应包括组织机构与职责、预防与预警、应急响应、通信指挥与信息反馈、保障措施等内容。本标准充分调研了广东省珠三角多个城市的排水防涝应急预案、三防应急预案等内容，在该条文增加善后处置、调查与总结等内容，这对充分发挥应急预案的作用，保证其可操作性方面具有重要意义。</w:t>
      </w:r>
    </w:p>
    <w:p w14:paraId="60EAF1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 xml:space="preserve">.3 </w:t>
      </w:r>
      <w:r>
        <w:rPr>
          <w:rFonts w:hint="default" w:ascii="Times New Roman" w:hAnsi="Times New Roman" w:eastAsia="宋体" w:cs="Times New Roman"/>
          <w:color w:val="auto"/>
          <w:sz w:val="24"/>
          <w:szCs w:val="24"/>
          <w:highlight w:val="none"/>
          <w:lang w:eastAsia="zh-CN"/>
        </w:rPr>
        <w:t>城镇内涝应急管理应对排水防涝设施的事故应急、分期达到内涝防治设计重现期下的应急以及超过内涝防治设计重现期下的应急等不同情况配置应急设</w:t>
      </w:r>
      <w:r>
        <w:rPr>
          <w:rFonts w:hint="default" w:ascii="Times New Roman" w:hAnsi="Times New Roman" w:eastAsia="宋体" w:cs="Times New Roman"/>
          <w:color w:val="auto"/>
          <w:sz w:val="24"/>
          <w:szCs w:val="24"/>
          <w:highlight w:val="none"/>
          <w:lang w:val="en-US" w:eastAsia="zh-CN"/>
        </w:rPr>
        <w:t>施并采取合理措施。</w:t>
      </w:r>
    </w:p>
    <w:p w14:paraId="3CDE86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 xml:space="preserve"> 对汛前暂不能整治到位的内涝风险点，应配备移动排水等应急抢险设施，采取交通疏导、人员疏散等应急抢险措施，设立醒目、易于辨识的公众警示标记，避免发生安全事故。</w:t>
      </w:r>
    </w:p>
    <w:p w14:paraId="304A4C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p>
    <w:p w14:paraId="10E8DE56">
      <w:pPr>
        <w:spacing w:line="360" w:lineRule="auto"/>
        <w:rPr>
          <w:rFonts w:hint="eastAsia" w:ascii="Times New Roman" w:hAnsi="Times New Roman" w:eastAsia="仿宋" w:cs="仿宋"/>
          <w:color w:val="0000FF"/>
          <w:sz w:val="24"/>
          <w:szCs w:val="24"/>
          <w:highlight w:val="none"/>
          <w:lang w:val="en-US" w:eastAsia="zh-CN"/>
        </w:rPr>
      </w:pPr>
    </w:p>
    <w:p w14:paraId="5C846021">
      <w:pPr>
        <w:rPr>
          <w:rFonts w:hint="eastAsia" w:ascii="Times New Roman" w:hAnsi="Times New Roman" w:eastAsia="宋体" w:cs="宋体"/>
          <w:b w:val="0"/>
          <w:bCs/>
          <w:color w:val="0070C0"/>
          <w:sz w:val="24"/>
          <w:szCs w:val="24"/>
          <w:lang w:val="en-US" w:eastAsia="zh-CN"/>
        </w:rPr>
      </w:pPr>
    </w:p>
    <w:p w14:paraId="3839DCDD">
      <w:pPr>
        <w:rPr>
          <w:rFonts w:hint="eastAsia" w:ascii="Times New Roman" w:hAnsi="Times New Roman" w:eastAsia="宋体" w:cs="宋体"/>
          <w:b w:val="0"/>
          <w:bCs/>
          <w:color w:val="0070C0"/>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85D34DE">
      <w:pPr>
        <w:pStyle w:val="2"/>
        <w:keepNext/>
        <w:keepLines/>
        <w:pageBreakBefore w:val="0"/>
        <w:widowControl w:val="0"/>
        <w:kinsoku/>
        <w:wordWrap/>
        <w:overflowPunct/>
        <w:topLinePunct w:val="0"/>
        <w:autoSpaceDE/>
        <w:autoSpaceDN/>
        <w:bidi w:val="0"/>
        <w:adjustRightInd/>
        <w:snapToGrid/>
        <w:spacing w:before="280" w:after="280" w:line="360" w:lineRule="auto"/>
        <w:jc w:val="center"/>
        <w:textAlignment w:val="auto"/>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233" w:name="_Toc1947"/>
      <w:bookmarkStart w:id="234" w:name="_Toc29949"/>
      <w:bookmarkStart w:id="235" w:name="_Toc25305"/>
      <w:bookmarkStart w:id="236" w:name="_Toc20428"/>
      <w:bookmarkStart w:id="237" w:name="_Toc707"/>
      <w:r>
        <w:rPr>
          <w:rFonts w:hint="eastAsia" w:ascii="Times New Roman" w:hAnsi="Times New Roman" w:eastAsia="宋体" w:cs="宋体"/>
          <w:color w:val="000000" w:themeColor="text1"/>
          <w:sz w:val="32"/>
          <w:szCs w:val="32"/>
          <w:lang w:val="en-US" w:eastAsia="zh-CN"/>
          <w14:textFill>
            <w14:solidFill>
              <w14:schemeClr w14:val="tx1"/>
            </w14:solidFill>
          </w14:textFill>
        </w:rPr>
        <w:t>附录A 各地暴雨强度公式</w:t>
      </w:r>
      <w:bookmarkEnd w:id="233"/>
      <w:bookmarkEnd w:id="234"/>
      <w:bookmarkEnd w:id="235"/>
      <w:bookmarkEnd w:id="236"/>
      <w:bookmarkEnd w:id="237"/>
    </w:p>
    <w:p w14:paraId="05D23640">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表中各暴雨强度公式来源如附表A所示。</w:t>
      </w:r>
    </w:p>
    <w:p w14:paraId="3B36972B">
      <w:pPr>
        <w:spacing w:line="360" w:lineRule="auto"/>
        <w:jc w:val="center"/>
        <w:rPr>
          <w:rFonts w:hint="default" w:ascii="Times New Roman" w:hAnsi="Times New Roman" w:eastAsia="宋体" w:cs="宋体"/>
          <w:b w:val="0"/>
          <w:bCs/>
          <w:color w:val="auto"/>
          <w:sz w:val="21"/>
          <w:szCs w:val="21"/>
          <w:lang w:val="en-US" w:eastAsia="zh-CN"/>
        </w:rPr>
      </w:pPr>
      <w:r>
        <w:rPr>
          <w:rFonts w:hint="eastAsia" w:ascii="Times New Roman" w:hAnsi="Times New Roman" w:eastAsia="宋体" w:cs="宋体"/>
          <w:b w:val="0"/>
          <w:bCs/>
          <w:color w:val="auto"/>
          <w:sz w:val="21"/>
          <w:szCs w:val="21"/>
          <w:lang w:val="en-US" w:eastAsia="zh-CN"/>
        </w:rPr>
        <w:t>附表A 各暴雨强度公式来源</w:t>
      </w:r>
    </w:p>
    <w:tbl>
      <w:tblPr>
        <w:tblStyle w:val="16"/>
        <w:tblW w:w="830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7"/>
        <w:gridCol w:w="964"/>
        <w:gridCol w:w="6608"/>
      </w:tblGrid>
      <w:tr w14:paraId="21880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5CE7615C">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序号</w:t>
            </w:r>
          </w:p>
        </w:tc>
        <w:tc>
          <w:tcPr>
            <w:tcW w:w="964" w:type="dxa"/>
            <w:tcBorders>
              <w:tl2br w:val="nil"/>
              <w:tr2bl w:val="nil"/>
            </w:tcBorders>
            <w:shd w:val="clear" w:color="auto" w:fill="auto"/>
            <w:noWrap/>
            <w:vAlign w:val="center"/>
          </w:tcPr>
          <w:p w14:paraId="0A0841CA">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宋体"/>
                <w:b w:val="0"/>
                <w:bCs w:val="0"/>
                <w:i w:val="0"/>
                <w:iCs w:val="0"/>
                <w:color w:val="000000"/>
                <w:sz w:val="21"/>
                <w:szCs w:val="21"/>
                <w:u w:val="none"/>
                <w:lang w:val="en-US" w:eastAsia="zh-CN"/>
              </w:rPr>
            </w:pPr>
            <w:r>
              <w:rPr>
                <w:rFonts w:hint="eastAsia" w:ascii="Times New Roman" w:hAnsi="Times New Roman" w:eastAsia="宋体" w:cs="宋体"/>
                <w:b w:val="0"/>
                <w:bCs w:val="0"/>
                <w:i w:val="0"/>
                <w:iCs w:val="0"/>
                <w:color w:val="000000"/>
                <w:sz w:val="21"/>
                <w:szCs w:val="21"/>
                <w:u w:val="none"/>
                <w:lang w:val="en-US" w:eastAsia="zh-CN"/>
              </w:rPr>
              <w:t>城市</w:t>
            </w:r>
          </w:p>
        </w:tc>
        <w:tc>
          <w:tcPr>
            <w:tcW w:w="6608" w:type="dxa"/>
            <w:tcBorders>
              <w:tl2br w:val="nil"/>
              <w:tr2bl w:val="nil"/>
            </w:tcBorders>
            <w:shd w:val="clear" w:color="auto" w:fill="auto"/>
            <w:noWrap/>
            <w:vAlign w:val="center"/>
          </w:tcPr>
          <w:p w14:paraId="390AECAE">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eastAsia="宋体" w:cs="宋体"/>
                <w:b w:val="0"/>
                <w:bCs w:val="0"/>
                <w:i w:val="0"/>
                <w:iCs w:val="0"/>
                <w:color w:val="000000"/>
                <w:kern w:val="0"/>
                <w:sz w:val="21"/>
                <w:szCs w:val="21"/>
                <w:u w:val="none"/>
                <w:lang w:val="en-US" w:eastAsia="zh-CN" w:bidi="ar"/>
              </w:rPr>
              <w:t>公式来源</w:t>
            </w:r>
          </w:p>
        </w:tc>
      </w:tr>
      <w:tr w14:paraId="24CB2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5794A304">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w:t>
            </w:r>
          </w:p>
        </w:tc>
        <w:tc>
          <w:tcPr>
            <w:tcW w:w="964" w:type="dxa"/>
            <w:tcBorders>
              <w:tl2br w:val="nil"/>
              <w:tr2bl w:val="nil"/>
            </w:tcBorders>
            <w:shd w:val="clear" w:color="auto" w:fill="auto"/>
            <w:noWrap/>
            <w:vAlign w:val="center"/>
          </w:tcPr>
          <w:p w14:paraId="2D70D786">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广州市</w:t>
            </w:r>
          </w:p>
        </w:tc>
        <w:tc>
          <w:tcPr>
            <w:tcW w:w="6608" w:type="dxa"/>
            <w:tcBorders>
              <w:tl2br w:val="nil"/>
              <w:tr2bl w:val="nil"/>
            </w:tcBorders>
            <w:shd w:val="clear" w:color="auto" w:fill="auto"/>
            <w:noWrap/>
            <w:vAlign w:val="center"/>
          </w:tcPr>
          <w:p w14:paraId="39848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《广州市暴雨强度公式编制与设计暴雨雨型研究技术报告》</w:t>
            </w:r>
          </w:p>
          <w:p w14:paraId="21D8B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（2022年12月）</w:t>
            </w:r>
          </w:p>
        </w:tc>
      </w:tr>
      <w:tr w14:paraId="57C5F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0A44AC67">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w:t>
            </w:r>
          </w:p>
        </w:tc>
        <w:tc>
          <w:tcPr>
            <w:tcW w:w="964" w:type="dxa"/>
            <w:tcBorders>
              <w:tl2br w:val="nil"/>
              <w:tr2bl w:val="nil"/>
            </w:tcBorders>
            <w:shd w:val="clear" w:color="auto" w:fill="auto"/>
            <w:noWrap/>
            <w:vAlign w:val="center"/>
          </w:tcPr>
          <w:p w14:paraId="7FFC350D">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深圳市</w:t>
            </w:r>
          </w:p>
        </w:tc>
        <w:tc>
          <w:tcPr>
            <w:tcW w:w="6608" w:type="dxa"/>
            <w:tcBorders>
              <w:tl2br w:val="nil"/>
              <w:tr2bl w:val="nil"/>
            </w:tcBorders>
            <w:shd w:val="clear" w:color="auto" w:fill="auto"/>
            <w:noWrap/>
            <w:vAlign w:val="center"/>
          </w:tcPr>
          <w:p w14:paraId="4162D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《深圳市暴雨强度公式及查算图表》（2015版）</w:t>
            </w:r>
          </w:p>
        </w:tc>
      </w:tr>
      <w:tr w14:paraId="5A097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1EDEB7F2">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3</w:t>
            </w:r>
          </w:p>
        </w:tc>
        <w:tc>
          <w:tcPr>
            <w:tcW w:w="964" w:type="dxa"/>
            <w:tcBorders>
              <w:tl2br w:val="nil"/>
              <w:tr2bl w:val="nil"/>
            </w:tcBorders>
            <w:shd w:val="clear" w:color="auto" w:fill="auto"/>
            <w:noWrap/>
            <w:vAlign w:val="center"/>
          </w:tcPr>
          <w:p w14:paraId="7EF0D265">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珠海市</w:t>
            </w:r>
          </w:p>
        </w:tc>
        <w:tc>
          <w:tcPr>
            <w:tcW w:w="6608" w:type="dxa"/>
            <w:tcBorders>
              <w:tl2br w:val="nil"/>
              <w:tr2bl w:val="nil"/>
            </w:tcBorders>
            <w:shd w:val="clear" w:color="auto" w:fill="auto"/>
            <w:noWrap/>
            <w:vAlign w:val="center"/>
          </w:tcPr>
          <w:p w14:paraId="44CD6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《珠海市暴雨强度公式及计算图表》（2015年）</w:t>
            </w:r>
          </w:p>
        </w:tc>
      </w:tr>
      <w:tr w14:paraId="43383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59F6385C">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4</w:t>
            </w:r>
          </w:p>
        </w:tc>
        <w:tc>
          <w:tcPr>
            <w:tcW w:w="964" w:type="dxa"/>
            <w:tcBorders>
              <w:tl2br w:val="nil"/>
              <w:tr2bl w:val="nil"/>
            </w:tcBorders>
            <w:shd w:val="clear" w:color="auto" w:fill="auto"/>
            <w:noWrap/>
            <w:vAlign w:val="center"/>
          </w:tcPr>
          <w:p w14:paraId="095151A5">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汕头市</w:t>
            </w:r>
          </w:p>
        </w:tc>
        <w:tc>
          <w:tcPr>
            <w:tcW w:w="6608" w:type="dxa"/>
            <w:tcBorders>
              <w:tl2br w:val="nil"/>
              <w:tr2bl w:val="nil"/>
            </w:tcBorders>
            <w:shd w:val="clear" w:color="auto" w:fill="auto"/>
            <w:noWrap/>
            <w:vAlign w:val="center"/>
          </w:tcPr>
          <w:p w14:paraId="0B68563E">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《汕头市中心城区暴雨强度公式编制技术报告》（2015年）</w:t>
            </w:r>
          </w:p>
        </w:tc>
      </w:tr>
      <w:tr w14:paraId="6F5ED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6DECA3BC">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5</w:t>
            </w:r>
          </w:p>
        </w:tc>
        <w:tc>
          <w:tcPr>
            <w:tcW w:w="964" w:type="dxa"/>
            <w:tcBorders>
              <w:tl2br w:val="nil"/>
              <w:tr2bl w:val="nil"/>
            </w:tcBorders>
            <w:shd w:val="clear" w:color="auto" w:fill="auto"/>
            <w:noWrap/>
            <w:vAlign w:val="center"/>
          </w:tcPr>
          <w:p w14:paraId="726A0EC4">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佛山市</w:t>
            </w:r>
          </w:p>
        </w:tc>
        <w:tc>
          <w:tcPr>
            <w:tcW w:w="6608" w:type="dxa"/>
            <w:tcBorders>
              <w:tl2br w:val="nil"/>
              <w:tr2bl w:val="nil"/>
            </w:tcBorders>
            <w:shd w:val="clear" w:color="auto" w:fill="auto"/>
            <w:noWrap/>
            <w:vAlign w:val="center"/>
          </w:tcPr>
          <w:p w14:paraId="742C272B">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《佛山市暴雨强度公式及计算图表》（2016年）</w:t>
            </w:r>
          </w:p>
        </w:tc>
      </w:tr>
      <w:tr w14:paraId="2114B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01E148BD">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6</w:t>
            </w:r>
          </w:p>
        </w:tc>
        <w:tc>
          <w:tcPr>
            <w:tcW w:w="964" w:type="dxa"/>
            <w:tcBorders>
              <w:tl2br w:val="nil"/>
              <w:tr2bl w:val="nil"/>
            </w:tcBorders>
            <w:shd w:val="clear" w:color="auto" w:fill="auto"/>
            <w:noWrap/>
            <w:vAlign w:val="center"/>
          </w:tcPr>
          <w:p w14:paraId="6AF6E3E8">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韶关市</w:t>
            </w:r>
          </w:p>
        </w:tc>
        <w:tc>
          <w:tcPr>
            <w:tcW w:w="6608" w:type="dxa"/>
            <w:tcBorders>
              <w:tl2br w:val="nil"/>
              <w:tr2bl w:val="nil"/>
            </w:tcBorders>
            <w:shd w:val="clear" w:color="auto" w:fill="auto"/>
            <w:noWrap/>
            <w:vAlign w:val="center"/>
          </w:tcPr>
          <w:p w14:paraId="745586CB">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《韶关市海绵城市专项规划（2018-2035）》（2018年）</w:t>
            </w:r>
          </w:p>
        </w:tc>
      </w:tr>
      <w:tr w14:paraId="17E06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6443CB63">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7</w:t>
            </w:r>
          </w:p>
        </w:tc>
        <w:tc>
          <w:tcPr>
            <w:tcW w:w="964" w:type="dxa"/>
            <w:tcBorders>
              <w:tl2br w:val="nil"/>
              <w:tr2bl w:val="nil"/>
            </w:tcBorders>
            <w:shd w:val="clear" w:color="auto" w:fill="auto"/>
            <w:noWrap/>
            <w:vAlign w:val="center"/>
          </w:tcPr>
          <w:p w14:paraId="51708203">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河源市</w:t>
            </w:r>
          </w:p>
        </w:tc>
        <w:tc>
          <w:tcPr>
            <w:tcW w:w="6608" w:type="dxa"/>
            <w:tcBorders>
              <w:tl2br w:val="nil"/>
              <w:tr2bl w:val="nil"/>
            </w:tcBorders>
            <w:shd w:val="clear" w:color="auto" w:fill="auto"/>
            <w:noWrap/>
            <w:vAlign w:val="center"/>
          </w:tcPr>
          <w:p w14:paraId="4BC3EC68">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《河源市城市内涝治理系统化实施方案》（2021年）</w:t>
            </w:r>
          </w:p>
        </w:tc>
      </w:tr>
      <w:tr w14:paraId="7B555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3B151110">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8</w:t>
            </w:r>
          </w:p>
        </w:tc>
        <w:tc>
          <w:tcPr>
            <w:tcW w:w="964" w:type="dxa"/>
            <w:tcBorders>
              <w:tl2br w:val="nil"/>
              <w:tr2bl w:val="nil"/>
            </w:tcBorders>
            <w:shd w:val="clear" w:color="auto" w:fill="auto"/>
            <w:noWrap/>
            <w:vAlign w:val="center"/>
          </w:tcPr>
          <w:p w14:paraId="053256EC">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梅州市</w:t>
            </w:r>
          </w:p>
        </w:tc>
        <w:tc>
          <w:tcPr>
            <w:tcW w:w="6608" w:type="dxa"/>
            <w:tcBorders>
              <w:tl2br w:val="nil"/>
              <w:tr2bl w:val="nil"/>
            </w:tcBorders>
            <w:shd w:val="clear" w:color="auto" w:fill="auto"/>
            <w:noWrap/>
            <w:vAlign w:val="center"/>
          </w:tcPr>
          <w:p w14:paraId="1D77F6D4">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《梅州市中心城区内涝治理系统化实施方案（2021-2025）》（2021年）</w:t>
            </w:r>
          </w:p>
        </w:tc>
      </w:tr>
      <w:tr w14:paraId="7B921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34B3410C">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9</w:t>
            </w:r>
          </w:p>
        </w:tc>
        <w:tc>
          <w:tcPr>
            <w:tcW w:w="964" w:type="dxa"/>
            <w:tcBorders>
              <w:tl2br w:val="nil"/>
              <w:tr2bl w:val="nil"/>
            </w:tcBorders>
            <w:shd w:val="clear" w:color="auto" w:fill="auto"/>
            <w:noWrap/>
            <w:vAlign w:val="center"/>
          </w:tcPr>
          <w:p w14:paraId="06E3BCCD">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惠州市</w:t>
            </w:r>
          </w:p>
        </w:tc>
        <w:tc>
          <w:tcPr>
            <w:tcW w:w="6608" w:type="dxa"/>
            <w:tcBorders>
              <w:tl2br w:val="nil"/>
              <w:tr2bl w:val="nil"/>
            </w:tcBorders>
            <w:shd w:val="clear" w:color="auto" w:fill="auto"/>
            <w:noWrap/>
            <w:vAlign w:val="center"/>
          </w:tcPr>
          <w:p w14:paraId="0871944E">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《惠州市惠城中心区排水防涝专项规划》（2016年）</w:t>
            </w:r>
          </w:p>
        </w:tc>
      </w:tr>
      <w:tr w14:paraId="76AA5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47D84D34">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10</w:t>
            </w:r>
          </w:p>
        </w:tc>
        <w:tc>
          <w:tcPr>
            <w:tcW w:w="964" w:type="dxa"/>
            <w:tcBorders>
              <w:tl2br w:val="nil"/>
              <w:tr2bl w:val="nil"/>
            </w:tcBorders>
            <w:shd w:val="clear" w:color="auto" w:fill="auto"/>
            <w:noWrap/>
            <w:vAlign w:val="center"/>
          </w:tcPr>
          <w:p w14:paraId="40870061">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汕尾市</w:t>
            </w:r>
          </w:p>
        </w:tc>
        <w:tc>
          <w:tcPr>
            <w:tcW w:w="6608" w:type="dxa"/>
            <w:tcBorders>
              <w:tl2br w:val="nil"/>
              <w:tr2bl w:val="nil"/>
            </w:tcBorders>
            <w:shd w:val="clear" w:color="auto" w:fill="auto"/>
            <w:noWrap/>
            <w:vAlign w:val="center"/>
          </w:tcPr>
          <w:p w14:paraId="34EE684F">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《汕尾市海绵城市建设专项规划》（2018年）</w:t>
            </w:r>
          </w:p>
        </w:tc>
      </w:tr>
      <w:tr w14:paraId="605F2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033116CF">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11</w:t>
            </w:r>
          </w:p>
        </w:tc>
        <w:tc>
          <w:tcPr>
            <w:tcW w:w="964" w:type="dxa"/>
            <w:tcBorders>
              <w:tl2br w:val="nil"/>
              <w:tr2bl w:val="nil"/>
            </w:tcBorders>
            <w:shd w:val="clear" w:color="auto" w:fill="auto"/>
            <w:noWrap/>
            <w:vAlign w:val="center"/>
          </w:tcPr>
          <w:p w14:paraId="15A46A7D">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东莞市</w:t>
            </w:r>
          </w:p>
        </w:tc>
        <w:tc>
          <w:tcPr>
            <w:tcW w:w="6608" w:type="dxa"/>
            <w:tcBorders>
              <w:tl2br w:val="nil"/>
              <w:tr2bl w:val="nil"/>
            </w:tcBorders>
            <w:shd w:val="clear" w:color="auto" w:fill="auto"/>
            <w:noWrap/>
            <w:vAlign w:val="center"/>
          </w:tcPr>
          <w:p w14:paraId="6AE0F762">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《东莞市市区排水（雨水）防涝综合规划（2016~2030）》</w:t>
            </w:r>
          </w:p>
        </w:tc>
      </w:tr>
      <w:tr w14:paraId="7DCA5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7443741B">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12</w:t>
            </w:r>
          </w:p>
        </w:tc>
        <w:tc>
          <w:tcPr>
            <w:tcW w:w="964" w:type="dxa"/>
            <w:tcBorders>
              <w:tl2br w:val="nil"/>
              <w:tr2bl w:val="nil"/>
            </w:tcBorders>
            <w:shd w:val="clear" w:color="auto" w:fill="auto"/>
            <w:noWrap/>
            <w:vAlign w:val="center"/>
          </w:tcPr>
          <w:p w14:paraId="6285303D">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中山市</w:t>
            </w:r>
          </w:p>
        </w:tc>
        <w:tc>
          <w:tcPr>
            <w:tcW w:w="6608" w:type="dxa"/>
            <w:tcBorders>
              <w:tl2br w:val="nil"/>
              <w:tr2bl w:val="nil"/>
            </w:tcBorders>
            <w:shd w:val="clear" w:color="auto" w:fill="auto"/>
            <w:noWrap/>
            <w:vAlign w:val="center"/>
          </w:tcPr>
          <w:p w14:paraId="28C32736">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lang w:val="en-US" w:eastAsia="zh-CN"/>
              </w:rPr>
              <w:t>中山市暴雨强度公式修编</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lang w:val="en-US" w:eastAsia="zh-CN"/>
              </w:rPr>
              <w:t>2014</w:t>
            </w:r>
            <w:r>
              <w:rPr>
                <w:rFonts w:hint="eastAsia" w:ascii="Times New Roman" w:hAnsi="Times New Roman" w:eastAsia="宋体" w:cs="宋体"/>
                <w:sz w:val="21"/>
                <w:szCs w:val="21"/>
                <w:lang w:eastAsia="zh-CN"/>
              </w:rPr>
              <w:t>）</w:t>
            </w:r>
          </w:p>
        </w:tc>
      </w:tr>
      <w:tr w14:paraId="02747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2E040C39">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13</w:t>
            </w:r>
          </w:p>
        </w:tc>
        <w:tc>
          <w:tcPr>
            <w:tcW w:w="964" w:type="dxa"/>
            <w:tcBorders>
              <w:tl2br w:val="nil"/>
              <w:tr2bl w:val="nil"/>
            </w:tcBorders>
            <w:shd w:val="clear" w:color="auto" w:fill="auto"/>
            <w:noWrap/>
            <w:vAlign w:val="center"/>
          </w:tcPr>
          <w:p w14:paraId="5C4E32C4">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江门市</w:t>
            </w:r>
          </w:p>
        </w:tc>
        <w:tc>
          <w:tcPr>
            <w:tcW w:w="6608" w:type="dxa"/>
            <w:tcBorders>
              <w:tl2br w:val="nil"/>
              <w:tr2bl w:val="nil"/>
            </w:tcBorders>
            <w:shd w:val="clear" w:color="auto" w:fill="auto"/>
            <w:noWrap/>
            <w:vAlign w:val="center"/>
          </w:tcPr>
          <w:p w14:paraId="1B9FB14F">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《江门市区暴雨强度公式及计算图表》（2015年）</w:t>
            </w:r>
          </w:p>
        </w:tc>
      </w:tr>
      <w:tr w14:paraId="70BA3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224725EC">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14</w:t>
            </w:r>
          </w:p>
        </w:tc>
        <w:tc>
          <w:tcPr>
            <w:tcW w:w="964" w:type="dxa"/>
            <w:tcBorders>
              <w:tl2br w:val="nil"/>
              <w:tr2bl w:val="nil"/>
            </w:tcBorders>
            <w:shd w:val="clear" w:color="auto" w:fill="auto"/>
            <w:noWrap/>
            <w:vAlign w:val="center"/>
          </w:tcPr>
          <w:p w14:paraId="00F3E463">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阳江市</w:t>
            </w:r>
          </w:p>
        </w:tc>
        <w:tc>
          <w:tcPr>
            <w:tcW w:w="6608" w:type="dxa"/>
            <w:tcBorders>
              <w:tl2br w:val="nil"/>
              <w:tr2bl w:val="nil"/>
            </w:tcBorders>
            <w:shd w:val="clear" w:color="auto" w:fill="auto"/>
            <w:noWrap/>
            <w:vAlign w:val="center"/>
          </w:tcPr>
          <w:p w14:paraId="4D6F03EA">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《阳江市海绵城市专项规划》（2018年）</w:t>
            </w:r>
          </w:p>
        </w:tc>
      </w:tr>
      <w:tr w14:paraId="0B852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58B83D5C">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15</w:t>
            </w:r>
          </w:p>
        </w:tc>
        <w:tc>
          <w:tcPr>
            <w:tcW w:w="964" w:type="dxa"/>
            <w:tcBorders>
              <w:tl2br w:val="nil"/>
              <w:tr2bl w:val="nil"/>
            </w:tcBorders>
            <w:shd w:val="clear" w:color="auto" w:fill="auto"/>
            <w:noWrap/>
            <w:vAlign w:val="center"/>
          </w:tcPr>
          <w:p w14:paraId="56EA665F">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湛江市</w:t>
            </w:r>
          </w:p>
        </w:tc>
        <w:tc>
          <w:tcPr>
            <w:tcW w:w="6608" w:type="dxa"/>
            <w:tcBorders>
              <w:tl2br w:val="nil"/>
              <w:tr2bl w:val="nil"/>
            </w:tcBorders>
            <w:shd w:val="clear" w:color="auto" w:fill="auto"/>
            <w:noWrap/>
            <w:vAlign w:val="center"/>
          </w:tcPr>
          <w:p w14:paraId="4A43BD99">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《湛江海绵城市专项规划（2016-2030年）》</w:t>
            </w:r>
          </w:p>
        </w:tc>
      </w:tr>
      <w:tr w14:paraId="45B9A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4D89DBAB">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16</w:t>
            </w:r>
          </w:p>
        </w:tc>
        <w:tc>
          <w:tcPr>
            <w:tcW w:w="964" w:type="dxa"/>
            <w:tcBorders>
              <w:tl2br w:val="nil"/>
              <w:tr2bl w:val="nil"/>
            </w:tcBorders>
            <w:shd w:val="clear" w:color="auto" w:fill="auto"/>
            <w:noWrap/>
            <w:vAlign w:val="center"/>
          </w:tcPr>
          <w:p w14:paraId="1CDF9488">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茂名市</w:t>
            </w:r>
          </w:p>
        </w:tc>
        <w:tc>
          <w:tcPr>
            <w:tcW w:w="6608" w:type="dxa"/>
            <w:tcBorders>
              <w:tl2br w:val="nil"/>
              <w:tr2bl w:val="nil"/>
            </w:tcBorders>
            <w:shd w:val="clear" w:color="auto" w:fill="auto"/>
            <w:noWrap/>
            <w:vAlign w:val="center"/>
          </w:tcPr>
          <w:p w14:paraId="6DEC90E7">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《茂名海绵城市专项规划》</w:t>
            </w:r>
          </w:p>
        </w:tc>
      </w:tr>
      <w:tr w14:paraId="24BAC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2FE653BB">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17</w:t>
            </w:r>
          </w:p>
        </w:tc>
        <w:tc>
          <w:tcPr>
            <w:tcW w:w="964" w:type="dxa"/>
            <w:tcBorders>
              <w:tl2br w:val="nil"/>
              <w:tr2bl w:val="nil"/>
            </w:tcBorders>
            <w:shd w:val="clear" w:color="auto" w:fill="auto"/>
            <w:noWrap/>
            <w:vAlign w:val="center"/>
          </w:tcPr>
          <w:p w14:paraId="1D4F297B">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肇庆市</w:t>
            </w:r>
          </w:p>
        </w:tc>
        <w:tc>
          <w:tcPr>
            <w:tcW w:w="6608" w:type="dxa"/>
            <w:tcBorders>
              <w:tl2br w:val="nil"/>
              <w:tr2bl w:val="nil"/>
            </w:tcBorders>
            <w:shd w:val="clear" w:color="auto" w:fill="auto"/>
            <w:noWrap/>
            <w:vAlign w:val="center"/>
          </w:tcPr>
          <w:p w14:paraId="5C34F657">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《肇庆市城市内涝治理系统化实施方案（2021-2025年）》</w:t>
            </w:r>
          </w:p>
        </w:tc>
      </w:tr>
      <w:tr w14:paraId="297BA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6FFBCDA9">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18</w:t>
            </w:r>
          </w:p>
        </w:tc>
        <w:tc>
          <w:tcPr>
            <w:tcW w:w="964" w:type="dxa"/>
            <w:tcBorders>
              <w:tl2br w:val="nil"/>
              <w:tr2bl w:val="nil"/>
            </w:tcBorders>
            <w:shd w:val="clear" w:color="auto" w:fill="auto"/>
            <w:noWrap/>
            <w:vAlign w:val="center"/>
          </w:tcPr>
          <w:p w14:paraId="382AE29B">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清远市</w:t>
            </w:r>
          </w:p>
        </w:tc>
        <w:tc>
          <w:tcPr>
            <w:tcW w:w="6608" w:type="dxa"/>
            <w:tcBorders>
              <w:tl2br w:val="nil"/>
              <w:tr2bl w:val="nil"/>
            </w:tcBorders>
            <w:shd w:val="clear" w:color="auto" w:fill="auto"/>
            <w:noWrap/>
            <w:vAlign w:val="center"/>
          </w:tcPr>
          <w:p w14:paraId="6A08E5EA">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《清远市中心城区排雨排污、防洪排涝、竖向专项规划》（2020年）</w:t>
            </w:r>
          </w:p>
        </w:tc>
      </w:tr>
      <w:tr w14:paraId="3ECF9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637D9A22">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19</w:t>
            </w:r>
          </w:p>
        </w:tc>
        <w:tc>
          <w:tcPr>
            <w:tcW w:w="964" w:type="dxa"/>
            <w:tcBorders>
              <w:tl2br w:val="nil"/>
              <w:tr2bl w:val="nil"/>
            </w:tcBorders>
            <w:shd w:val="clear" w:color="auto" w:fill="auto"/>
            <w:noWrap/>
            <w:vAlign w:val="center"/>
          </w:tcPr>
          <w:p w14:paraId="305AAACE">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潮州市</w:t>
            </w:r>
          </w:p>
        </w:tc>
        <w:tc>
          <w:tcPr>
            <w:tcW w:w="6608" w:type="dxa"/>
            <w:tcBorders>
              <w:tl2br w:val="nil"/>
              <w:tr2bl w:val="nil"/>
            </w:tcBorders>
            <w:shd w:val="clear" w:color="auto" w:fill="auto"/>
            <w:noWrap/>
            <w:vAlign w:val="center"/>
          </w:tcPr>
          <w:p w14:paraId="2F78C371">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《潮州市海绵城市专项规划(2017-2035)》</w:t>
            </w:r>
          </w:p>
        </w:tc>
      </w:tr>
      <w:tr w14:paraId="52BE0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75A0C4B8">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20</w:t>
            </w:r>
          </w:p>
        </w:tc>
        <w:tc>
          <w:tcPr>
            <w:tcW w:w="964" w:type="dxa"/>
            <w:tcBorders>
              <w:tl2br w:val="nil"/>
              <w:tr2bl w:val="nil"/>
            </w:tcBorders>
            <w:shd w:val="clear" w:color="auto" w:fill="auto"/>
            <w:noWrap/>
            <w:vAlign w:val="center"/>
          </w:tcPr>
          <w:p w14:paraId="7E4D5174">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揭阳市</w:t>
            </w:r>
          </w:p>
        </w:tc>
        <w:tc>
          <w:tcPr>
            <w:tcW w:w="6608" w:type="dxa"/>
            <w:tcBorders>
              <w:tl2br w:val="nil"/>
              <w:tr2bl w:val="nil"/>
            </w:tcBorders>
            <w:shd w:val="clear" w:color="auto" w:fill="auto"/>
            <w:noWrap/>
            <w:vAlign w:val="center"/>
          </w:tcPr>
          <w:p w14:paraId="29D7D6C9">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《揭阳市海绵城市专项规划》（2018年）</w:t>
            </w:r>
          </w:p>
        </w:tc>
      </w:tr>
      <w:tr w14:paraId="0A146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14:paraId="696F9280">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21</w:t>
            </w:r>
          </w:p>
        </w:tc>
        <w:tc>
          <w:tcPr>
            <w:tcW w:w="964" w:type="dxa"/>
            <w:tcBorders>
              <w:tl2br w:val="nil"/>
              <w:tr2bl w:val="nil"/>
            </w:tcBorders>
            <w:shd w:val="clear" w:color="auto" w:fill="auto"/>
            <w:noWrap/>
            <w:vAlign w:val="center"/>
          </w:tcPr>
          <w:p w14:paraId="7DE6E6A7">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云浮市</w:t>
            </w:r>
          </w:p>
        </w:tc>
        <w:tc>
          <w:tcPr>
            <w:tcW w:w="6608" w:type="dxa"/>
            <w:tcBorders>
              <w:tl2br w:val="nil"/>
              <w:tr2bl w:val="nil"/>
            </w:tcBorders>
            <w:shd w:val="clear" w:color="auto" w:fill="auto"/>
            <w:noWrap/>
            <w:vAlign w:val="center"/>
          </w:tcPr>
          <w:p w14:paraId="1E3CAD6D">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《云浮市中心城区城市内涝治理系统化实施方案》（2021年）</w:t>
            </w:r>
          </w:p>
        </w:tc>
      </w:tr>
    </w:tbl>
    <w:p w14:paraId="70D2E7FD">
      <w:pPr>
        <w:numPr>
          <w:ilvl w:val="0"/>
          <w:numId w:val="0"/>
        </w:numPr>
        <w:spacing w:line="360" w:lineRule="auto"/>
        <w:rPr>
          <w:rFonts w:hint="eastAsia" w:ascii="Times New Roman" w:hAnsi="Times New Roman" w:eastAsia="宋体" w:cs="宋体"/>
          <w:b w:val="0"/>
          <w:bCs/>
          <w:color w:val="auto"/>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DY5 + ZIbDVH-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4A4DF">
    <w:pPr>
      <w:pStyle w:val="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8FE6">
    <w:pPr>
      <w:pStyle w:val="9"/>
      <w:jc w:val="both"/>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F706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5F706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4C7D5">
    <w:pPr>
      <w:pStyle w:val="9"/>
      <w:jc w:val="center"/>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30D4D">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930D4D">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81CC">
    <w:pPr>
      <w:pStyle w:val="9"/>
      <w:jc w:val="center"/>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122FC">
                          <w:pPr>
                            <w:pStyle w:val="9"/>
                            <w:rPr>
                              <w:rFonts w:hint="eastAsia" w:eastAsiaTheme="minorEastAsia"/>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6122FC">
                    <w:pPr>
                      <w:pStyle w:val="9"/>
                      <w:rPr>
                        <w:rFonts w:hint="eastAsia" w:eastAsiaTheme="minorEastAsia"/>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A94E2">
    <w:pPr>
      <w:pStyle w:val="9"/>
      <w:jc w:val="center"/>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4BAED">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174BAED">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F2AFE">
    <w:pPr>
      <w:pStyle w:val="10"/>
      <w:pBdr>
        <w:top w:val="none" w:color="auto" w:sz="0" w:space="0"/>
        <w:left w:val="none" w:color="auto" w:sz="0" w:space="0"/>
        <w:bottom w:val="none" w:color="auto" w:sz="0" w:space="1"/>
        <w:right w:val="none" w:color="auto" w:sz="0" w:space="0"/>
        <w:between w:val="none" w:color="auto" w:sz="0" w:space="0"/>
      </w:pBdr>
      <w:jc w:val="both"/>
      <w:rPr>
        <w:rFonts w:hint="eastAsia" w:ascii="仿宋" w:hAnsi="仿宋" w:eastAsia="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D046">
    <w:pPr>
      <w:pStyle w:val="10"/>
      <w:pBdr>
        <w:top w:val="none" w:color="auto" w:sz="0" w:space="0"/>
        <w:left w:val="none" w:color="auto" w:sz="0" w:space="0"/>
        <w:bottom w:val="none" w:color="auto" w:sz="0" w:space="1"/>
        <w:right w:val="none" w:color="auto" w:sz="0" w:space="0"/>
        <w:between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2D1D0"/>
    <w:multiLevelType w:val="singleLevel"/>
    <w:tmpl w:val="DA32D1D0"/>
    <w:lvl w:ilvl="0" w:tentative="0">
      <w:start w:val="1"/>
      <w:numFmt w:val="decimal"/>
      <w:suff w:val="nothing"/>
      <w:lvlText w:val="%1、"/>
      <w:lvlJc w:val="left"/>
    </w:lvl>
  </w:abstractNum>
  <w:abstractNum w:abstractNumId="1">
    <w:nsid w:val="5BC48933"/>
    <w:multiLevelType w:val="singleLevel"/>
    <w:tmpl w:val="5BC4893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mZDAzZjgwZTI3ZTA0NDU1YTkyN2M5Nzk2OWM2MWMifQ=="/>
  </w:docVars>
  <w:rsids>
    <w:rsidRoot w:val="008D6EF0"/>
    <w:rsid w:val="00000909"/>
    <w:rsid w:val="00001391"/>
    <w:rsid w:val="00004F29"/>
    <w:rsid w:val="000072BD"/>
    <w:rsid w:val="0001191B"/>
    <w:rsid w:val="0003525C"/>
    <w:rsid w:val="00051939"/>
    <w:rsid w:val="00063418"/>
    <w:rsid w:val="0007412A"/>
    <w:rsid w:val="00074A56"/>
    <w:rsid w:val="000850F0"/>
    <w:rsid w:val="00093DB3"/>
    <w:rsid w:val="000978A0"/>
    <w:rsid w:val="00097BD2"/>
    <w:rsid w:val="000A26AE"/>
    <w:rsid w:val="000A3C86"/>
    <w:rsid w:val="000B3F5F"/>
    <w:rsid w:val="000B5E91"/>
    <w:rsid w:val="000B6973"/>
    <w:rsid w:val="000B6E7F"/>
    <w:rsid w:val="000B7591"/>
    <w:rsid w:val="000C02F6"/>
    <w:rsid w:val="000C5C66"/>
    <w:rsid w:val="000D3010"/>
    <w:rsid w:val="000D6E90"/>
    <w:rsid w:val="000D7786"/>
    <w:rsid w:val="000E232C"/>
    <w:rsid w:val="000E2DC1"/>
    <w:rsid w:val="000E5AA0"/>
    <w:rsid w:val="000F4171"/>
    <w:rsid w:val="000F5BFB"/>
    <w:rsid w:val="000F63F2"/>
    <w:rsid w:val="00103100"/>
    <w:rsid w:val="001032DF"/>
    <w:rsid w:val="00103DD1"/>
    <w:rsid w:val="001136B7"/>
    <w:rsid w:val="0011445F"/>
    <w:rsid w:val="00114AC9"/>
    <w:rsid w:val="001203EC"/>
    <w:rsid w:val="00123C4A"/>
    <w:rsid w:val="00124DE8"/>
    <w:rsid w:val="0012620C"/>
    <w:rsid w:val="00127E3D"/>
    <w:rsid w:val="00137705"/>
    <w:rsid w:val="00141106"/>
    <w:rsid w:val="00142C14"/>
    <w:rsid w:val="001434B3"/>
    <w:rsid w:val="00147B5A"/>
    <w:rsid w:val="00152F5D"/>
    <w:rsid w:val="00157B1D"/>
    <w:rsid w:val="001604DA"/>
    <w:rsid w:val="0016075C"/>
    <w:rsid w:val="00161F69"/>
    <w:rsid w:val="001639EA"/>
    <w:rsid w:val="00163E62"/>
    <w:rsid w:val="00171DD4"/>
    <w:rsid w:val="00173B3B"/>
    <w:rsid w:val="001751E0"/>
    <w:rsid w:val="001769F9"/>
    <w:rsid w:val="00182E01"/>
    <w:rsid w:val="00185A6C"/>
    <w:rsid w:val="001862AE"/>
    <w:rsid w:val="00191306"/>
    <w:rsid w:val="00192E64"/>
    <w:rsid w:val="001A2E7A"/>
    <w:rsid w:val="001A43B5"/>
    <w:rsid w:val="001A5C0C"/>
    <w:rsid w:val="001B0816"/>
    <w:rsid w:val="001B1471"/>
    <w:rsid w:val="001B498D"/>
    <w:rsid w:val="001B7CE4"/>
    <w:rsid w:val="001C1281"/>
    <w:rsid w:val="001C22F4"/>
    <w:rsid w:val="001C2618"/>
    <w:rsid w:val="001C2849"/>
    <w:rsid w:val="001D53AD"/>
    <w:rsid w:val="001E32C5"/>
    <w:rsid w:val="001E5ECA"/>
    <w:rsid w:val="001E7CDD"/>
    <w:rsid w:val="001F3AF1"/>
    <w:rsid w:val="001F5FE4"/>
    <w:rsid w:val="001F7D22"/>
    <w:rsid w:val="0020159E"/>
    <w:rsid w:val="00202705"/>
    <w:rsid w:val="0021191C"/>
    <w:rsid w:val="00216D19"/>
    <w:rsid w:val="00217908"/>
    <w:rsid w:val="0022049A"/>
    <w:rsid w:val="002234C7"/>
    <w:rsid w:val="00224299"/>
    <w:rsid w:val="00225CD8"/>
    <w:rsid w:val="00233526"/>
    <w:rsid w:val="00235107"/>
    <w:rsid w:val="002365CD"/>
    <w:rsid w:val="00237CA3"/>
    <w:rsid w:val="00240BD8"/>
    <w:rsid w:val="00254370"/>
    <w:rsid w:val="002568F7"/>
    <w:rsid w:val="002622E9"/>
    <w:rsid w:val="002673BF"/>
    <w:rsid w:val="00267ECE"/>
    <w:rsid w:val="00272B5F"/>
    <w:rsid w:val="00277C68"/>
    <w:rsid w:val="00286E86"/>
    <w:rsid w:val="00295039"/>
    <w:rsid w:val="00295551"/>
    <w:rsid w:val="002A36FC"/>
    <w:rsid w:val="002A45CE"/>
    <w:rsid w:val="002A47A1"/>
    <w:rsid w:val="002B3A56"/>
    <w:rsid w:val="002B51CA"/>
    <w:rsid w:val="002B51D7"/>
    <w:rsid w:val="002C053E"/>
    <w:rsid w:val="002C0777"/>
    <w:rsid w:val="002C6560"/>
    <w:rsid w:val="002D41EB"/>
    <w:rsid w:val="002D4C33"/>
    <w:rsid w:val="002D4FB0"/>
    <w:rsid w:val="002D4FFE"/>
    <w:rsid w:val="002E2FE3"/>
    <w:rsid w:val="002E316C"/>
    <w:rsid w:val="002F27C7"/>
    <w:rsid w:val="00307BD2"/>
    <w:rsid w:val="00311EBC"/>
    <w:rsid w:val="00312678"/>
    <w:rsid w:val="0031395F"/>
    <w:rsid w:val="00316625"/>
    <w:rsid w:val="00317D45"/>
    <w:rsid w:val="003218F5"/>
    <w:rsid w:val="00322427"/>
    <w:rsid w:val="0032390E"/>
    <w:rsid w:val="003243B4"/>
    <w:rsid w:val="00325159"/>
    <w:rsid w:val="00325D42"/>
    <w:rsid w:val="00332DF7"/>
    <w:rsid w:val="003341D7"/>
    <w:rsid w:val="00334373"/>
    <w:rsid w:val="003364ED"/>
    <w:rsid w:val="00352D21"/>
    <w:rsid w:val="00355580"/>
    <w:rsid w:val="00356BCC"/>
    <w:rsid w:val="00357C3A"/>
    <w:rsid w:val="00361693"/>
    <w:rsid w:val="003720A6"/>
    <w:rsid w:val="003752E7"/>
    <w:rsid w:val="003860CC"/>
    <w:rsid w:val="003871E0"/>
    <w:rsid w:val="00390817"/>
    <w:rsid w:val="00397F13"/>
    <w:rsid w:val="003B3BB1"/>
    <w:rsid w:val="003B4205"/>
    <w:rsid w:val="003B6A3F"/>
    <w:rsid w:val="003C7FF3"/>
    <w:rsid w:val="003D5E4B"/>
    <w:rsid w:val="003E4F81"/>
    <w:rsid w:val="003F0D87"/>
    <w:rsid w:val="003F497E"/>
    <w:rsid w:val="004022E6"/>
    <w:rsid w:val="00402DCD"/>
    <w:rsid w:val="00405D08"/>
    <w:rsid w:val="00407384"/>
    <w:rsid w:val="004130C8"/>
    <w:rsid w:val="00414567"/>
    <w:rsid w:val="004173B6"/>
    <w:rsid w:val="00420E45"/>
    <w:rsid w:val="00421C18"/>
    <w:rsid w:val="00422BFC"/>
    <w:rsid w:val="00425141"/>
    <w:rsid w:val="00427636"/>
    <w:rsid w:val="00427EB2"/>
    <w:rsid w:val="00432549"/>
    <w:rsid w:val="00450E53"/>
    <w:rsid w:val="00455345"/>
    <w:rsid w:val="0046348B"/>
    <w:rsid w:val="00463A40"/>
    <w:rsid w:val="00463A7F"/>
    <w:rsid w:val="004731A8"/>
    <w:rsid w:val="004744A2"/>
    <w:rsid w:val="004773DF"/>
    <w:rsid w:val="00484679"/>
    <w:rsid w:val="00490F04"/>
    <w:rsid w:val="00495DBA"/>
    <w:rsid w:val="004A136D"/>
    <w:rsid w:val="004A29F7"/>
    <w:rsid w:val="004A44C3"/>
    <w:rsid w:val="004A6198"/>
    <w:rsid w:val="004A7403"/>
    <w:rsid w:val="004A79D3"/>
    <w:rsid w:val="004B1FEE"/>
    <w:rsid w:val="004B39B8"/>
    <w:rsid w:val="004B4B86"/>
    <w:rsid w:val="004B6FB9"/>
    <w:rsid w:val="004C1D6F"/>
    <w:rsid w:val="004C75BA"/>
    <w:rsid w:val="004C77F1"/>
    <w:rsid w:val="004D0482"/>
    <w:rsid w:val="004E0D4B"/>
    <w:rsid w:val="004E1C0D"/>
    <w:rsid w:val="004E1C6B"/>
    <w:rsid w:val="004E3719"/>
    <w:rsid w:val="004E425F"/>
    <w:rsid w:val="004E47D9"/>
    <w:rsid w:val="004E52FD"/>
    <w:rsid w:val="004E5B9B"/>
    <w:rsid w:val="004F0864"/>
    <w:rsid w:val="004F0F52"/>
    <w:rsid w:val="004F1D02"/>
    <w:rsid w:val="005013F5"/>
    <w:rsid w:val="00502197"/>
    <w:rsid w:val="005034A9"/>
    <w:rsid w:val="0050413F"/>
    <w:rsid w:val="0050438C"/>
    <w:rsid w:val="00507773"/>
    <w:rsid w:val="005102C9"/>
    <w:rsid w:val="00511326"/>
    <w:rsid w:val="005129BA"/>
    <w:rsid w:val="0051579D"/>
    <w:rsid w:val="00516A25"/>
    <w:rsid w:val="00516FD8"/>
    <w:rsid w:val="00517841"/>
    <w:rsid w:val="005207BF"/>
    <w:rsid w:val="0052273D"/>
    <w:rsid w:val="005245C9"/>
    <w:rsid w:val="00525F2C"/>
    <w:rsid w:val="005272A9"/>
    <w:rsid w:val="00532CB9"/>
    <w:rsid w:val="00550A7F"/>
    <w:rsid w:val="00552BD5"/>
    <w:rsid w:val="00557922"/>
    <w:rsid w:val="005614CC"/>
    <w:rsid w:val="00561B40"/>
    <w:rsid w:val="00564E1B"/>
    <w:rsid w:val="005659BC"/>
    <w:rsid w:val="00566B0F"/>
    <w:rsid w:val="005702C4"/>
    <w:rsid w:val="00572C78"/>
    <w:rsid w:val="00591B94"/>
    <w:rsid w:val="005960AA"/>
    <w:rsid w:val="005A02A9"/>
    <w:rsid w:val="005B1102"/>
    <w:rsid w:val="005B2B08"/>
    <w:rsid w:val="005C0656"/>
    <w:rsid w:val="005C1BD0"/>
    <w:rsid w:val="005D3E0F"/>
    <w:rsid w:val="005D4659"/>
    <w:rsid w:val="005E3279"/>
    <w:rsid w:val="005E3A54"/>
    <w:rsid w:val="005E3FF4"/>
    <w:rsid w:val="005E71B9"/>
    <w:rsid w:val="005F022E"/>
    <w:rsid w:val="005F6597"/>
    <w:rsid w:val="00610971"/>
    <w:rsid w:val="00610C2B"/>
    <w:rsid w:val="00614BE2"/>
    <w:rsid w:val="00623952"/>
    <w:rsid w:val="00635645"/>
    <w:rsid w:val="006365AD"/>
    <w:rsid w:val="00643375"/>
    <w:rsid w:val="00653658"/>
    <w:rsid w:val="00660295"/>
    <w:rsid w:val="006674E4"/>
    <w:rsid w:val="00672F1F"/>
    <w:rsid w:val="006812D6"/>
    <w:rsid w:val="00694981"/>
    <w:rsid w:val="006A3F60"/>
    <w:rsid w:val="006A49E3"/>
    <w:rsid w:val="006A5AB4"/>
    <w:rsid w:val="006A69F7"/>
    <w:rsid w:val="006B0C9F"/>
    <w:rsid w:val="006B3F8F"/>
    <w:rsid w:val="006B5809"/>
    <w:rsid w:val="006B69E3"/>
    <w:rsid w:val="006C1358"/>
    <w:rsid w:val="006C1859"/>
    <w:rsid w:val="006C1CA5"/>
    <w:rsid w:val="006C1E6B"/>
    <w:rsid w:val="006C3282"/>
    <w:rsid w:val="006C3820"/>
    <w:rsid w:val="006D5558"/>
    <w:rsid w:val="006D5DEC"/>
    <w:rsid w:val="006D75CF"/>
    <w:rsid w:val="006D7A9B"/>
    <w:rsid w:val="006E0011"/>
    <w:rsid w:val="006E0C4A"/>
    <w:rsid w:val="006E0E2B"/>
    <w:rsid w:val="006E4312"/>
    <w:rsid w:val="006F5762"/>
    <w:rsid w:val="0070023E"/>
    <w:rsid w:val="007028F1"/>
    <w:rsid w:val="007041D9"/>
    <w:rsid w:val="00706436"/>
    <w:rsid w:val="00706A90"/>
    <w:rsid w:val="00715875"/>
    <w:rsid w:val="00717683"/>
    <w:rsid w:val="00721A4F"/>
    <w:rsid w:val="00722099"/>
    <w:rsid w:val="00724AF3"/>
    <w:rsid w:val="00736AAB"/>
    <w:rsid w:val="00737312"/>
    <w:rsid w:val="007430F4"/>
    <w:rsid w:val="00753C7A"/>
    <w:rsid w:val="007550AC"/>
    <w:rsid w:val="007570BF"/>
    <w:rsid w:val="0076035A"/>
    <w:rsid w:val="0076053E"/>
    <w:rsid w:val="007616B3"/>
    <w:rsid w:val="007840A6"/>
    <w:rsid w:val="00786A83"/>
    <w:rsid w:val="00786D84"/>
    <w:rsid w:val="00791F0D"/>
    <w:rsid w:val="00797158"/>
    <w:rsid w:val="00797BA4"/>
    <w:rsid w:val="007A2B5C"/>
    <w:rsid w:val="007A4A8C"/>
    <w:rsid w:val="007A60BE"/>
    <w:rsid w:val="007A6ED4"/>
    <w:rsid w:val="007B5163"/>
    <w:rsid w:val="007C50A1"/>
    <w:rsid w:val="007C6247"/>
    <w:rsid w:val="007D0635"/>
    <w:rsid w:val="007D1B63"/>
    <w:rsid w:val="007D494E"/>
    <w:rsid w:val="007D5C2A"/>
    <w:rsid w:val="007E1969"/>
    <w:rsid w:val="007F2A32"/>
    <w:rsid w:val="007F5133"/>
    <w:rsid w:val="00810A52"/>
    <w:rsid w:val="00811B65"/>
    <w:rsid w:val="00813244"/>
    <w:rsid w:val="0081358A"/>
    <w:rsid w:val="0081459D"/>
    <w:rsid w:val="008155D3"/>
    <w:rsid w:val="00817FCE"/>
    <w:rsid w:val="00823B1F"/>
    <w:rsid w:val="00823FAB"/>
    <w:rsid w:val="008269BF"/>
    <w:rsid w:val="00831138"/>
    <w:rsid w:val="00836CF1"/>
    <w:rsid w:val="008370F7"/>
    <w:rsid w:val="0084002C"/>
    <w:rsid w:val="008408CB"/>
    <w:rsid w:val="0084450A"/>
    <w:rsid w:val="0085114B"/>
    <w:rsid w:val="0085528C"/>
    <w:rsid w:val="0085547A"/>
    <w:rsid w:val="008569AD"/>
    <w:rsid w:val="008578A4"/>
    <w:rsid w:val="00861746"/>
    <w:rsid w:val="00866013"/>
    <w:rsid w:val="00866195"/>
    <w:rsid w:val="00866CA5"/>
    <w:rsid w:val="00872D32"/>
    <w:rsid w:val="00877C10"/>
    <w:rsid w:val="00883697"/>
    <w:rsid w:val="00887751"/>
    <w:rsid w:val="008940B7"/>
    <w:rsid w:val="00895DC8"/>
    <w:rsid w:val="00897B91"/>
    <w:rsid w:val="008A0CF4"/>
    <w:rsid w:val="008A7F03"/>
    <w:rsid w:val="008B0D49"/>
    <w:rsid w:val="008C2B59"/>
    <w:rsid w:val="008C365E"/>
    <w:rsid w:val="008D1EC7"/>
    <w:rsid w:val="008D202F"/>
    <w:rsid w:val="008D3059"/>
    <w:rsid w:val="008D6EF0"/>
    <w:rsid w:val="008E7050"/>
    <w:rsid w:val="008F3265"/>
    <w:rsid w:val="008F497D"/>
    <w:rsid w:val="008F6056"/>
    <w:rsid w:val="008F6DC2"/>
    <w:rsid w:val="008F754B"/>
    <w:rsid w:val="00903227"/>
    <w:rsid w:val="00915997"/>
    <w:rsid w:val="00920552"/>
    <w:rsid w:val="00925B58"/>
    <w:rsid w:val="0092638F"/>
    <w:rsid w:val="00927EA4"/>
    <w:rsid w:val="00930AE9"/>
    <w:rsid w:val="009311F0"/>
    <w:rsid w:val="00935889"/>
    <w:rsid w:val="00936EBF"/>
    <w:rsid w:val="00937B82"/>
    <w:rsid w:val="0094319C"/>
    <w:rsid w:val="00943CB9"/>
    <w:rsid w:val="00944A3B"/>
    <w:rsid w:val="00945A0A"/>
    <w:rsid w:val="009519D2"/>
    <w:rsid w:val="00952061"/>
    <w:rsid w:val="00955A19"/>
    <w:rsid w:val="009729EE"/>
    <w:rsid w:val="00976C31"/>
    <w:rsid w:val="009879BD"/>
    <w:rsid w:val="0099262C"/>
    <w:rsid w:val="00993118"/>
    <w:rsid w:val="009A7593"/>
    <w:rsid w:val="009B6933"/>
    <w:rsid w:val="009B7EEE"/>
    <w:rsid w:val="009C262D"/>
    <w:rsid w:val="009C37C8"/>
    <w:rsid w:val="009C5331"/>
    <w:rsid w:val="009C5CD4"/>
    <w:rsid w:val="009C6843"/>
    <w:rsid w:val="009D0BFA"/>
    <w:rsid w:val="009D3077"/>
    <w:rsid w:val="009D6350"/>
    <w:rsid w:val="009E672E"/>
    <w:rsid w:val="00A05EAA"/>
    <w:rsid w:val="00A107D3"/>
    <w:rsid w:val="00A12491"/>
    <w:rsid w:val="00A13C9C"/>
    <w:rsid w:val="00A14101"/>
    <w:rsid w:val="00A15550"/>
    <w:rsid w:val="00A1751A"/>
    <w:rsid w:val="00A215CF"/>
    <w:rsid w:val="00A33C11"/>
    <w:rsid w:val="00A344F3"/>
    <w:rsid w:val="00A37994"/>
    <w:rsid w:val="00A47FAA"/>
    <w:rsid w:val="00A47FE8"/>
    <w:rsid w:val="00A52AF5"/>
    <w:rsid w:val="00A53C94"/>
    <w:rsid w:val="00A60514"/>
    <w:rsid w:val="00A6628A"/>
    <w:rsid w:val="00A70D46"/>
    <w:rsid w:val="00A71259"/>
    <w:rsid w:val="00A72F4C"/>
    <w:rsid w:val="00A80BE3"/>
    <w:rsid w:val="00A8423F"/>
    <w:rsid w:val="00A87F51"/>
    <w:rsid w:val="00A95E69"/>
    <w:rsid w:val="00AA4F00"/>
    <w:rsid w:val="00AA7714"/>
    <w:rsid w:val="00AA7957"/>
    <w:rsid w:val="00AA7B55"/>
    <w:rsid w:val="00AA7CA0"/>
    <w:rsid w:val="00AB5A84"/>
    <w:rsid w:val="00AC0383"/>
    <w:rsid w:val="00AC5820"/>
    <w:rsid w:val="00AC5DC4"/>
    <w:rsid w:val="00AC6D1D"/>
    <w:rsid w:val="00AD0982"/>
    <w:rsid w:val="00AD3F60"/>
    <w:rsid w:val="00AE080B"/>
    <w:rsid w:val="00AE18B5"/>
    <w:rsid w:val="00AE2ED4"/>
    <w:rsid w:val="00AE3138"/>
    <w:rsid w:val="00AE6092"/>
    <w:rsid w:val="00AE6906"/>
    <w:rsid w:val="00AF2D44"/>
    <w:rsid w:val="00AF3F20"/>
    <w:rsid w:val="00AF4D78"/>
    <w:rsid w:val="00B0022E"/>
    <w:rsid w:val="00B06316"/>
    <w:rsid w:val="00B221A7"/>
    <w:rsid w:val="00B2550F"/>
    <w:rsid w:val="00B25B04"/>
    <w:rsid w:val="00B25E47"/>
    <w:rsid w:val="00B30859"/>
    <w:rsid w:val="00B31E6C"/>
    <w:rsid w:val="00B34FE8"/>
    <w:rsid w:val="00B46F76"/>
    <w:rsid w:val="00B47AB4"/>
    <w:rsid w:val="00B556C3"/>
    <w:rsid w:val="00B618B7"/>
    <w:rsid w:val="00B644DB"/>
    <w:rsid w:val="00B64F8C"/>
    <w:rsid w:val="00B66969"/>
    <w:rsid w:val="00B674D1"/>
    <w:rsid w:val="00B67CD9"/>
    <w:rsid w:val="00B67FBB"/>
    <w:rsid w:val="00B70267"/>
    <w:rsid w:val="00B70C2E"/>
    <w:rsid w:val="00B73E73"/>
    <w:rsid w:val="00B76910"/>
    <w:rsid w:val="00B80D0B"/>
    <w:rsid w:val="00B92643"/>
    <w:rsid w:val="00B94ECF"/>
    <w:rsid w:val="00B95BA5"/>
    <w:rsid w:val="00BA3E73"/>
    <w:rsid w:val="00BB32F2"/>
    <w:rsid w:val="00BB349E"/>
    <w:rsid w:val="00BB3570"/>
    <w:rsid w:val="00BB3F6D"/>
    <w:rsid w:val="00BB7BFC"/>
    <w:rsid w:val="00BC0D48"/>
    <w:rsid w:val="00BC22E2"/>
    <w:rsid w:val="00BC2761"/>
    <w:rsid w:val="00BC45E2"/>
    <w:rsid w:val="00BD10BE"/>
    <w:rsid w:val="00BD3605"/>
    <w:rsid w:val="00BE69A1"/>
    <w:rsid w:val="00BE6A8A"/>
    <w:rsid w:val="00BF2F0D"/>
    <w:rsid w:val="00C01817"/>
    <w:rsid w:val="00C030FC"/>
    <w:rsid w:val="00C06610"/>
    <w:rsid w:val="00C07EAC"/>
    <w:rsid w:val="00C131FC"/>
    <w:rsid w:val="00C13DD8"/>
    <w:rsid w:val="00C151F1"/>
    <w:rsid w:val="00C23AD8"/>
    <w:rsid w:val="00C30280"/>
    <w:rsid w:val="00C31E14"/>
    <w:rsid w:val="00C3381D"/>
    <w:rsid w:val="00C3753E"/>
    <w:rsid w:val="00C4019E"/>
    <w:rsid w:val="00C41FA0"/>
    <w:rsid w:val="00C43DA2"/>
    <w:rsid w:val="00C44B17"/>
    <w:rsid w:val="00C44FA4"/>
    <w:rsid w:val="00C46BF0"/>
    <w:rsid w:val="00C46C6E"/>
    <w:rsid w:val="00C47B10"/>
    <w:rsid w:val="00C50791"/>
    <w:rsid w:val="00C50976"/>
    <w:rsid w:val="00C55843"/>
    <w:rsid w:val="00C56C39"/>
    <w:rsid w:val="00C57DAC"/>
    <w:rsid w:val="00C6039E"/>
    <w:rsid w:val="00C6215C"/>
    <w:rsid w:val="00C639A3"/>
    <w:rsid w:val="00C703AE"/>
    <w:rsid w:val="00C70E86"/>
    <w:rsid w:val="00C71C9F"/>
    <w:rsid w:val="00C75F51"/>
    <w:rsid w:val="00C87870"/>
    <w:rsid w:val="00C90734"/>
    <w:rsid w:val="00C90B4C"/>
    <w:rsid w:val="00C9128E"/>
    <w:rsid w:val="00C933A3"/>
    <w:rsid w:val="00CA2F9D"/>
    <w:rsid w:val="00CA40BF"/>
    <w:rsid w:val="00CB5C35"/>
    <w:rsid w:val="00CC55DC"/>
    <w:rsid w:val="00CD29BC"/>
    <w:rsid w:val="00CD4000"/>
    <w:rsid w:val="00CD4990"/>
    <w:rsid w:val="00CE6F13"/>
    <w:rsid w:val="00CF21F5"/>
    <w:rsid w:val="00D004AB"/>
    <w:rsid w:val="00D007AD"/>
    <w:rsid w:val="00D04CE4"/>
    <w:rsid w:val="00D24584"/>
    <w:rsid w:val="00D30364"/>
    <w:rsid w:val="00D3586F"/>
    <w:rsid w:val="00D367EB"/>
    <w:rsid w:val="00D4230D"/>
    <w:rsid w:val="00D4419C"/>
    <w:rsid w:val="00D46CD5"/>
    <w:rsid w:val="00D50AAD"/>
    <w:rsid w:val="00D52874"/>
    <w:rsid w:val="00D56B60"/>
    <w:rsid w:val="00D65B1C"/>
    <w:rsid w:val="00D66EAE"/>
    <w:rsid w:val="00D735BE"/>
    <w:rsid w:val="00D80912"/>
    <w:rsid w:val="00D8324C"/>
    <w:rsid w:val="00D8504D"/>
    <w:rsid w:val="00D965E1"/>
    <w:rsid w:val="00DA0AAC"/>
    <w:rsid w:val="00DA30FF"/>
    <w:rsid w:val="00DA36E6"/>
    <w:rsid w:val="00DB0269"/>
    <w:rsid w:val="00DB11B6"/>
    <w:rsid w:val="00DB5A39"/>
    <w:rsid w:val="00DC17FC"/>
    <w:rsid w:val="00DC18A8"/>
    <w:rsid w:val="00DC1C16"/>
    <w:rsid w:val="00DC3E7E"/>
    <w:rsid w:val="00DC7A43"/>
    <w:rsid w:val="00DD46D0"/>
    <w:rsid w:val="00DE372E"/>
    <w:rsid w:val="00DE6C1F"/>
    <w:rsid w:val="00DF0100"/>
    <w:rsid w:val="00DF1DBA"/>
    <w:rsid w:val="00DF3154"/>
    <w:rsid w:val="00E06588"/>
    <w:rsid w:val="00E15B7B"/>
    <w:rsid w:val="00E15EFE"/>
    <w:rsid w:val="00E337E8"/>
    <w:rsid w:val="00E346F0"/>
    <w:rsid w:val="00E36369"/>
    <w:rsid w:val="00E42A18"/>
    <w:rsid w:val="00E47635"/>
    <w:rsid w:val="00E50261"/>
    <w:rsid w:val="00E504EF"/>
    <w:rsid w:val="00E6210B"/>
    <w:rsid w:val="00E66670"/>
    <w:rsid w:val="00E66F87"/>
    <w:rsid w:val="00E70DF2"/>
    <w:rsid w:val="00E77C3F"/>
    <w:rsid w:val="00E81E59"/>
    <w:rsid w:val="00E86C9C"/>
    <w:rsid w:val="00E87B30"/>
    <w:rsid w:val="00E87C8E"/>
    <w:rsid w:val="00E910BD"/>
    <w:rsid w:val="00E93987"/>
    <w:rsid w:val="00E945B1"/>
    <w:rsid w:val="00E9594C"/>
    <w:rsid w:val="00EA1953"/>
    <w:rsid w:val="00EA1F30"/>
    <w:rsid w:val="00EB14EB"/>
    <w:rsid w:val="00EB1CFD"/>
    <w:rsid w:val="00EB4D8F"/>
    <w:rsid w:val="00EB4F7A"/>
    <w:rsid w:val="00EB7A52"/>
    <w:rsid w:val="00EC4ACB"/>
    <w:rsid w:val="00ED1517"/>
    <w:rsid w:val="00ED4149"/>
    <w:rsid w:val="00EE06B1"/>
    <w:rsid w:val="00EE2468"/>
    <w:rsid w:val="00EE5F6C"/>
    <w:rsid w:val="00EE7167"/>
    <w:rsid w:val="00EF294D"/>
    <w:rsid w:val="00EF629C"/>
    <w:rsid w:val="00EF6426"/>
    <w:rsid w:val="00F01B2F"/>
    <w:rsid w:val="00F01E69"/>
    <w:rsid w:val="00F046FC"/>
    <w:rsid w:val="00F14513"/>
    <w:rsid w:val="00F228B5"/>
    <w:rsid w:val="00F23D05"/>
    <w:rsid w:val="00F24086"/>
    <w:rsid w:val="00F2630B"/>
    <w:rsid w:val="00F26B4F"/>
    <w:rsid w:val="00F3054B"/>
    <w:rsid w:val="00F30C32"/>
    <w:rsid w:val="00F323F5"/>
    <w:rsid w:val="00F338E4"/>
    <w:rsid w:val="00F33EB2"/>
    <w:rsid w:val="00F43C1D"/>
    <w:rsid w:val="00F477AE"/>
    <w:rsid w:val="00F50272"/>
    <w:rsid w:val="00F5764C"/>
    <w:rsid w:val="00F60A1E"/>
    <w:rsid w:val="00F6389C"/>
    <w:rsid w:val="00F71EC8"/>
    <w:rsid w:val="00F73116"/>
    <w:rsid w:val="00F8023A"/>
    <w:rsid w:val="00F81063"/>
    <w:rsid w:val="00F837C5"/>
    <w:rsid w:val="00F84E74"/>
    <w:rsid w:val="00F86B01"/>
    <w:rsid w:val="00F8766D"/>
    <w:rsid w:val="00F90B75"/>
    <w:rsid w:val="00F9710E"/>
    <w:rsid w:val="00F976A2"/>
    <w:rsid w:val="00FA54C7"/>
    <w:rsid w:val="00FA673A"/>
    <w:rsid w:val="00FC6872"/>
    <w:rsid w:val="00FD45B2"/>
    <w:rsid w:val="00FD6267"/>
    <w:rsid w:val="00FD759D"/>
    <w:rsid w:val="00FE0A00"/>
    <w:rsid w:val="00FE1517"/>
    <w:rsid w:val="00FE7F96"/>
    <w:rsid w:val="010569BB"/>
    <w:rsid w:val="01126EE2"/>
    <w:rsid w:val="01174927"/>
    <w:rsid w:val="0124146F"/>
    <w:rsid w:val="01250D0E"/>
    <w:rsid w:val="012A1031"/>
    <w:rsid w:val="01430725"/>
    <w:rsid w:val="015371A9"/>
    <w:rsid w:val="016544E3"/>
    <w:rsid w:val="016C0907"/>
    <w:rsid w:val="01734A71"/>
    <w:rsid w:val="01763BCE"/>
    <w:rsid w:val="017C5DAE"/>
    <w:rsid w:val="017E075D"/>
    <w:rsid w:val="01C2392A"/>
    <w:rsid w:val="01C44007"/>
    <w:rsid w:val="01CC4FA0"/>
    <w:rsid w:val="01D864A7"/>
    <w:rsid w:val="01FB23CB"/>
    <w:rsid w:val="021E5C6D"/>
    <w:rsid w:val="023D293E"/>
    <w:rsid w:val="023F673D"/>
    <w:rsid w:val="02770A56"/>
    <w:rsid w:val="02915F09"/>
    <w:rsid w:val="02B01361"/>
    <w:rsid w:val="02C475E8"/>
    <w:rsid w:val="02E1776D"/>
    <w:rsid w:val="02EA4873"/>
    <w:rsid w:val="02EC1F83"/>
    <w:rsid w:val="02F15F07"/>
    <w:rsid w:val="02F93E6E"/>
    <w:rsid w:val="030D0562"/>
    <w:rsid w:val="03305094"/>
    <w:rsid w:val="0345273F"/>
    <w:rsid w:val="03514AC0"/>
    <w:rsid w:val="03634F66"/>
    <w:rsid w:val="03747A3A"/>
    <w:rsid w:val="038631D7"/>
    <w:rsid w:val="038670F1"/>
    <w:rsid w:val="03903FC7"/>
    <w:rsid w:val="03937990"/>
    <w:rsid w:val="03A91C04"/>
    <w:rsid w:val="03AC6202"/>
    <w:rsid w:val="03AF7496"/>
    <w:rsid w:val="03CE6C25"/>
    <w:rsid w:val="03E65DC0"/>
    <w:rsid w:val="03EA72D2"/>
    <w:rsid w:val="03FA6D38"/>
    <w:rsid w:val="04004A85"/>
    <w:rsid w:val="04092729"/>
    <w:rsid w:val="043C02BD"/>
    <w:rsid w:val="04416A1B"/>
    <w:rsid w:val="044F79F4"/>
    <w:rsid w:val="045B4A38"/>
    <w:rsid w:val="045C161D"/>
    <w:rsid w:val="046D6A8F"/>
    <w:rsid w:val="046F071C"/>
    <w:rsid w:val="04730844"/>
    <w:rsid w:val="04770762"/>
    <w:rsid w:val="04804660"/>
    <w:rsid w:val="04810A92"/>
    <w:rsid w:val="048C54B6"/>
    <w:rsid w:val="049508D5"/>
    <w:rsid w:val="04A94845"/>
    <w:rsid w:val="04C42C31"/>
    <w:rsid w:val="050C7233"/>
    <w:rsid w:val="05172669"/>
    <w:rsid w:val="051A51B8"/>
    <w:rsid w:val="052054F7"/>
    <w:rsid w:val="05293771"/>
    <w:rsid w:val="05330D43"/>
    <w:rsid w:val="05355B4E"/>
    <w:rsid w:val="05485881"/>
    <w:rsid w:val="05593754"/>
    <w:rsid w:val="0560177A"/>
    <w:rsid w:val="0583779A"/>
    <w:rsid w:val="05A87E68"/>
    <w:rsid w:val="05BF7347"/>
    <w:rsid w:val="05D11D1B"/>
    <w:rsid w:val="05D30D7E"/>
    <w:rsid w:val="05F3005C"/>
    <w:rsid w:val="05F46B97"/>
    <w:rsid w:val="060F2843"/>
    <w:rsid w:val="061220C5"/>
    <w:rsid w:val="06500E91"/>
    <w:rsid w:val="068471AF"/>
    <w:rsid w:val="06870225"/>
    <w:rsid w:val="06930162"/>
    <w:rsid w:val="06B05AC1"/>
    <w:rsid w:val="06B133BA"/>
    <w:rsid w:val="06B15EC6"/>
    <w:rsid w:val="06B36DDF"/>
    <w:rsid w:val="06EE6461"/>
    <w:rsid w:val="07095429"/>
    <w:rsid w:val="07143D3F"/>
    <w:rsid w:val="073C2A8F"/>
    <w:rsid w:val="07447A1F"/>
    <w:rsid w:val="076D3951"/>
    <w:rsid w:val="07773919"/>
    <w:rsid w:val="079E744A"/>
    <w:rsid w:val="07A33243"/>
    <w:rsid w:val="07B80EB3"/>
    <w:rsid w:val="07C74D29"/>
    <w:rsid w:val="07CB7F67"/>
    <w:rsid w:val="07CC4866"/>
    <w:rsid w:val="07CC6D4A"/>
    <w:rsid w:val="07D46271"/>
    <w:rsid w:val="07DB639E"/>
    <w:rsid w:val="07F0703F"/>
    <w:rsid w:val="07F36615"/>
    <w:rsid w:val="080A56E7"/>
    <w:rsid w:val="08307179"/>
    <w:rsid w:val="08396A0E"/>
    <w:rsid w:val="083F5F6B"/>
    <w:rsid w:val="08554859"/>
    <w:rsid w:val="08646E76"/>
    <w:rsid w:val="08723BC6"/>
    <w:rsid w:val="089017D4"/>
    <w:rsid w:val="08B27F2B"/>
    <w:rsid w:val="08C754C5"/>
    <w:rsid w:val="09156BAD"/>
    <w:rsid w:val="091E3C8C"/>
    <w:rsid w:val="0971450C"/>
    <w:rsid w:val="097A1535"/>
    <w:rsid w:val="097A3E5D"/>
    <w:rsid w:val="098531A1"/>
    <w:rsid w:val="09873171"/>
    <w:rsid w:val="098B4EAE"/>
    <w:rsid w:val="098F34D0"/>
    <w:rsid w:val="09A23B3C"/>
    <w:rsid w:val="09C97C4F"/>
    <w:rsid w:val="09D65B51"/>
    <w:rsid w:val="09DA4961"/>
    <w:rsid w:val="09EA3698"/>
    <w:rsid w:val="0A033A7B"/>
    <w:rsid w:val="0A1957E9"/>
    <w:rsid w:val="0A2A629C"/>
    <w:rsid w:val="0A444411"/>
    <w:rsid w:val="0A467B57"/>
    <w:rsid w:val="0A5A5A7D"/>
    <w:rsid w:val="0A5D39CE"/>
    <w:rsid w:val="0A712ED4"/>
    <w:rsid w:val="0A775D2C"/>
    <w:rsid w:val="0AB3140D"/>
    <w:rsid w:val="0AC41E4E"/>
    <w:rsid w:val="0AD4106B"/>
    <w:rsid w:val="0AEC1C9F"/>
    <w:rsid w:val="0B00275A"/>
    <w:rsid w:val="0B044BB4"/>
    <w:rsid w:val="0B3758DC"/>
    <w:rsid w:val="0B6870EE"/>
    <w:rsid w:val="0B6A4D21"/>
    <w:rsid w:val="0B8F091F"/>
    <w:rsid w:val="0BA423C0"/>
    <w:rsid w:val="0BBB322E"/>
    <w:rsid w:val="0BC41CD6"/>
    <w:rsid w:val="0BC463AC"/>
    <w:rsid w:val="0BCB3295"/>
    <w:rsid w:val="0BDE5636"/>
    <w:rsid w:val="0BFD2E14"/>
    <w:rsid w:val="0C033E70"/>
    <w:rsid w:val="0C403E53"/>
    <w:rsid w:val="0C4F130E"/>
    <w:rsid w:val="0C5A66C1"/>
    <w:rsid w:val="0C750BEA"/>
    <w:rsid w:val="0C881620"/>
    <w:rsid w:val="0CD94EFA"/>
    <w:rsid w:val="0CE11ED3"/>
    <w:rsid w:val="0CEB0999"/>
    <w:rsid w:val="0CFD4323"/>
    <w:rsid w:val="0D0E7D6E"/>
    <w:rsid w:val="0D194FB3"/>
    <w:rsid w:val="0D337136"/>
    <w:rsid w:val="0D3D133B"/>
    <w:rsid w:val="0D412298"/>
    <w:rsid w:val="0D4632BA"/>
    <w:rsid w:val="0D6621F3"/>
    <w:rsid w:val="0D735465"/>
    <w:rsid w:val="0D795E3B"/>
    <w:rsid w:val="0D7D2720"/>
    <w:rsid w:val="0D846830"/>
    <w:rsid w:val="0DBC0F87"/>
    <w:rsid w:val="0DBD6BE3"/>
    <w:rsid w:val="0DC65E22"/>
    <w:rsid w:val="0E0237AF"/>
    <w:rsid w:val="0E087DEC"/>
    <w:rsid w:val="0E0C18F2"/>
    <w:rsid w:val="0E133A2A"/>
    <w:rsid w:val="0E186D49"/>
    <w:rsid w:val="0E1964DC"/>
    <w:rsid w:val="0E197DBB"/>
    <w:rsid w:val="0E45717B"/>
    <w:rsid w:val="0E6406ED"/>
    <w:rsid w:val="0E642B26"/>
    <w:rsid w:val="0E6D5255"/>
    <w:rsid w:val="0E7479E9"/>
    <w:rsid w:val="0E9D24F9"/>
    <w:rsid w:val="0EBE115D"/>
    <w:rsid w:val="0EC7668D"/>
    <w:rsid w:val="0F3626A9"/>
    <w:rsid w:val="0F441C3D"/>
    <w:rsid w:val="0F864AAC"/>
    <w:rsid w:val="0FA97001"/>
    <w:rsid w:val="0FBF0E36"/>
    <w:rsid w:val="0FD47CFA"/>
    <w:rsid w:val="0FD8068E"/>
    <w:rsid w:val="0FDA3A93"/>
    <w:rsid w:val="10060813"/>
    <w:rsid w:val="10064309"/>
    <w:rsid w:val="101C0029"/>
    <w:rsid w:val="10631145"/>
    <w:rsid w:val="10636DE0"/>
    <w:rsid w:val="106439AE"/>
    <w:rsid w:val="10790129"/>
    <w:rsid w:val="10867A9D"/>
    <w:rsid w:val="10BA0C81"/>
    <w:rsid w:val="10BB3164"/>
    <w:rsid w:val="10BD4433"/>
    <w:rsid w:val="10CA6E14"/>
    <w:rsid w:val="10D16A03"/>
    <w:rsid w:val="10E072B6"/>
    <w:rsid w:val="10E243C3"/>
    <w:rsid w:val="10E67546"/>
    <w:rsid w:val="10FE2C23"/>
    <w:rsid w:val="11121882"/>
    <w:rsid w:val="111C55AA"/>
    <w:rsid w:val="113533E0"/>
    <w:rsid w:val="113B0990"/>
    <w:rsid w:val="11884EBD"/>
    <w:rsid w:val="1194517C"/>
    <w:rsid w:val="11BD0E11"/>
    <w:rsid w:val="11CC6676"/>
    <w:rsid w:val="11E04AF6"/>
    <w:rsid w:val="12054C5A"/>
    <w:rsid w:val="121357BC"/>
    <w:rsid w:val="12177109"/>
    <w:rsid w:val="121B4A71"/>
    <w:rsid w:val="12493AAC"/>
    <w:rsid w:val="12986F66"/>
    <w:rsid w:val="12AD1A0F"/>
    <w:rsid w:val="12AE7C44"/>
    <w:rsid w:val="12BD0A76"/>
    <w:rsid w:val="12C314E6"/>
    <w:rsid w:val="12D6736E"/>
    <w:rsid w:val="12EC6F5F"/>
    <w:rsid w:val="12EC7C9C"/>
    <w:rsid w:val="12FC59C9"/>
    <w:rsid w:val="12FC6329"/>
    <w:rsid w:val="13007666"/>
    <w:rsid w:val="13020C1C"/>
    <w:rsid w:val="130F1063"/>
    <w:rsid w:val="131320DA"/>
    <w:rsid w:val="131C6D27"/>
    <w:rsid w:val="133043FD"/>
    <w:rsid w:val="13605E7A"/>
    <w:rsid w:val="137541F9"/>
    <w:rsid w:val="138973B4"/>
    <w:rsid w:val="139F1178"/>
    <w:rsid w:val="13AB4098"/>
    <w:rsid w:val="13D274F0"/>
    <w:rsid w:val="13DB5B12"/>
    <w:rsid w:val="13FA3D7A"/>
    <w:rsid w:val="141859B7"/>
    <w:rsid w:val="141A5248"/>
    <w:rsid w:val="142E313E"/>
    <w:rsid w:val="1435415F"/>
    <w:rsid w:val="144C101C"/>
    <w:rsid w:val="144F71FD"/>
    <w:rsid w:val="1479793D"/>
    <w:rsid w:val="14867242"/>
    <w:rsid w:val="149162C3"/>
    <w:rsid w:val="14952472"/>
    <w:rsid w:val="149909F5"/>
    <w:rsid w:val="14B26260"/>
    <w:rsid w:val="14B327A7"/>
    <w:rsid w:val="14E82D7E"/>
    <w:rsid w:val="14E84461"/>
    <w:rsid w:val="14F21366"/>
    <w:rsid w:val="1512450D"/>
    <w:rsid w:val="151730EF"/>
    <w:rsid w:val="151B7F02"/>
    <w:rsid w:val="1533376B"/>
    <w:rsid w:val="15420A13"/>
    <w:rsid w:val="155A0056"/>
    <w:rsid w:val="156B0C44"/>
    <w:rsid w:val="158F3058"/>
    <w:rsid w:val="159B019E"/>
    <w:rsid w:val="15A71881"/>
    <w:rsid w:val="15A7407F"/>
    <w:rsid w:val="15B00DB2"/>
    <w:rsid w:val="15BB5BFB"/>
    <w:rsid w:val="15BC5AE7"/>
    <w:rsid w:val="15D0334B"/>
    <w:rsid w:val="15F812EC"/>
    <w:rsid w:val="15FC1ABC"/>
    <w:rsid w:val="16170882"/>
    <w:rsid w:val="16705D72"/>
    <w:rsid w:val="169176EB"/>
    <w:rsid w:val="16980EB7"/>
    <w:rsid w:val="169D3553"/>
    <w:rsid w:val="16D5607C"/>
    <w:rsid w:val="16D772B3"/>
    <w:rsid w:val="16EF6FDE"/>
    <w:rsid w:val="16F037F7"/>
    <w:rsid w:val="16FC2BA6"/>
    <w:rsid w:val="171F7ABF"/>
    <w:rsid w:val="172A32C5"/>
    <w:rsid w:val="175F3BDF"/>
    <w:rsid w:val="176B2C78"/>
    <w:rsid w:val="177221EC"/>
    <w:rsid w:val="17A57FBB"/>
    <w:rsid w:val="17A92F59"/>
    <w:rsid w:val="17B65F5B"/>
    <w:rsid w:val="17D00261"/>
    <w:rsid w:val="17D61560"/>
    <w:rsid w:val="18024540"/>
    <w:rsid w:val="181952A2"/>
    <w:rsid w:val="181F5FA1"/>
    <w:rsid w:val="18297BB3"/>
    <w:rsid w:val="1831128A"/>
    <w:rsid w:val="1836093F"/>
    <w:rsid w:val="18375774"/>
    <w:rsid w:val="183B7CE1"/>
    <w:rsid w:val="184F5020"/>
    <w:rsid w:val="186A01F3"/>
    <w:rsid w:val="186F5842"/>
    <w:rsid w:val="18760120"/>
    <w:rsid w:val="18A44658"/>
    <w:rsid w:val="18AF7A34"/>
    <w:rsid w:val="18BC1DFE"/>
    <w:rsid w:val="18F5076D"/>
    <w:rsid w:val="18FA4C8D"/>
    <w:rsid w:val="191B1393"/>
    <w:rsid w:val="19337567"/>
    <w:rsid w:val="19490E4F"/>
    <w:rsid w:val="19634639"/>
    <w:rsid w:val="19660A15"/>
    <w:rsid w:val="19685D98"/>
    <w:rsid w:val="198253AE"/>
    <w:rsid w:val="199B4B5E"/>
    <w:rsid w:val="19A01956"/>
    <w:rsid w:val="19AB6175"/>
    <w:rsid w:val="19B2748D"/>
    <w:rsid w:val="19C50D40"/>
    <w:rsid w:val="19D90BBC"/>
    <w:rsid w:val="19EF136E"/>
    <w:rsid w:val="19F710A8"/>
    <w:rsid w:val="1A282794"/>
    <w:rsid w:val="1A364C38"/>
    <w:rsid w:val="1A3A7596"/>
    <w:rsid w:val="1A3F7BB5"/>
    <w:rsid w:val="1A827DF5"/>
    <w:rsid w:val="1A8B0C25"/>
    <w:rsid w:val="1AB02660"/>
    <w:rsid w:val="1AB73439"/>
    <w:rsid w:val="1AC433ED"/>
    <w:rsid w:val="1AEE0854"/>
    <w:rsid w:val="1B0544C1"/>
    <w:rsid w:val="1B3B1F1D"/>
    <w:rsid w:val="1B506DE6"/>
    <w:rsid w:val="1B823D99"/>
    <w:rsid w:val="1B9B09EE"/>
    <w:rsid w:val="1BD660BB"/>
    <w:rsid w:val="1BD769B5"/>
    <w:rsid w:val="1BFD1ECE"/>
    <w:rsid w:val="1BFF17D2"/>
    <w:rsid w:val="1C163B8C"/>
    <w:rsid w:val="1C2B0271"/>
    <w:rsid w:val="1C3D1BF0"/>
    <w:rsid w:val="1C4D79A6"/>
    <w:rsid w:val="1C5475E0"/>
    <w:rsid w:val="1C63584F"/>
    <w:rsid w:val="1C7558BE"/>
    <w:rsid w:val="1C8B5942"/>
    <w:rsid w:val="1C94569C"/>
    <w:rsid w:val="1CAE1408"/>
    <w:rsid w:val="1CB8262C"/>
    <w:rsid w:val="1CBF6038"/>
    <w:rsid w:val="1CD4366E"/>
    <w:rsid w:val="1CD56FB8"/>
    <w:rsid w:val="1CDE5251"/>
    <w:rsid w:val="1D0732E9"/>
    <w:rsid w:val="1D152295"/>
    <w:rsid w:val="1D1C2B4F"/>
    <w:rsid w:val="1D35050F"/>
    <w:rsid w:val="1D36286D"/>
    <w:rsid w:val="1D3F08DB"/>
    <w:rsid w:val="1D463EFD"/>
    <w:rsid w:val="1D466C47"/>
    <w:rsid w:val="1D5D6F30"/>
    <w:rsid w:val="1D70687A"/>
    <w:rsid w:val="1D7A2AC3"/>
    <w:rsid w:val="1D9B4C90"/>
    <w:rsid w:val="1D9D1B20"/>
    <w:rsid w:val="1D9D32B5"/>
    <w:rsid w:val="1D9F61F8"/>
    <w:rsid w:val="1D9F7880"/>
    <w:rsid w:val="1DA664C1"/>
    <w:rsid w:val="1DDD28A7"/>
    <w:rsid w:val="1DED52A2"/>
    <w:rsid w:val="1E026ABD"/>
    <w:rsid w:val="1E0572E4"/>
    <w:rsid w:val="1E1332A2"/>
    <w:rsid w:val="1E1467F1"/>
    <w:rsid w:val="1E252D46"/>
    <w:rsid w:val="1E454F09"/>
    <w:rsid w:val="1E586121"/>
    <w:rsid w:val="1E683CDA"/>
    <w:rsid w:val="1E9D3E7F"/>
    <w:rsid w:val="1EAE2895"/>
    <w:rsid w:val="1EB4154C"/>
    <w:rsid w:val="1EEA12FF"/>
    <w:rsid w:val="1F0A503D"/>
    <w:rsid w:val="1F1405F2"/>
    <w:rsid w:val="1F193DE6"/>
    <w:rsid w:val="1F2F7D3B"/>
    <w:rsid w:val="1F42002B"/>
    <w:rsid w:val="1F500125"/>
    <w:rsid w:val="1F5444EA"/>
    <w:rsid w:val="1F607726"/>
    <w:rsid w:val="1F670EC6"/>
    <w:rsid w:val="1F7312F5"/>
    <w:rsid w:val="1F8F0F19"/>
    <w:rsid w:val="1FC23782"/>
    <w:rsid w:val="1FE12A0F"/>
    <w:rsid w:val="1FFB3330"/>
    <w:rsid w:val="20044605"/>
    <w:rsid w:val="201265F8"/>
    <w:rsid w:val="20163B31"/>
    <w:rsid w:val="201C3F00"/>
    <w:rsid w:val="20201BD5"/>
    <w:rsid w:val="20432659"/>
    <w:rsid w:val="2045071A"/>
    <w:rsid w:val="205B3C94"/>
    <w:rsid w:val="205C06D7"/>
    <w:rsid w:val="205F04E4"/>
    <w:rsid w:val="208353AD"/>
    <w:rsid w:val="20853495"/>
    <w:rsid w:val="209C560A"/>
    <w:rsid w:val="20C96E58"/>
    <w:rsid w:val="20EC2D17"/>
    <w:rsid w:val="21093BA1"/>
    <w:rsid w:val="213E37E7"/>
    <w:rsid w:val="2144687E"/>
    <w:rsid w:val="2148687F"/>
    <w:rsid w:val="2180425F"/>
    <w:rsid w:val="21876002"/>
    <w:rsid w:val="219A7A12"/>
    <w:rsid w:val="21A20665"/>
    <w:rsid w:val="21A84D89"/>
    <w:rsid w:val="21AC75FD"/>
    <w:rsid w:val="21D11380"/>
    <w:rsid w:val="21F030D1"/>
    <w:rsid w:val="21F82069"/>
    <w:rsid w:val="21F96720"/>
    <w:rsid w:val="22134BF0"/>
    <w:rsid w:val="22303472"/>
    <w:rsid w:val="22643797"/>
    <w:rsid w:val="226906F0"/>
    <w:rsid w:val="226B7B8D"/>
    <w:rsid w:val="22750CCC"/>
    <w:rsid w:val="22792C4A"/>
    <w:rsid w:val="227951E4"/>
    <w:rsid w:val="229B750D"/>
    <w:rsid w:val="22C47978"/>
    <w:rsid w:val="22CF227B"/>
    <w:rsid w:val="22D62764"/>
    <w:rsid w:val="22FD440C"/>
    <w:rsid w:val="23022C87"/>
    <w:rsid w:val="230703EF"/>
    <w:rsid w:val="23317418"/>
    <w:rsid w:val="23356FED"/>
    <w:rsid w:val="234806C2"/>
    <w:rsid w:val="234970B8"/>
    <w:rsid w:val="235418A6"/>
    <w:rsid w:val="23571659"/>
    <w:rsid w:val="235B6470"/>
    <w:rsid w:val="235F0836"/>
    <w:rsid w:val="236449C6"/>
    <w:rsid w:val="23912A51"/>
    <w:rsid w:val="23A847AA"/>
    <w:rsid w:val="23AF0CA3"/>
    <w:rsid w:val="23C16F46"/>
    <w:rsid w:val="23E53705"/>
    <w:rsid w:val="23FE7D27"/>
    <w:rsid w:val="23FF0D38"/>
    <w:rsid w:val="240E783E"/>
    <w:rsid w:val="241006FB"/>
    <w:rsid w:val="242B6642"/>
    <w:rsid w:val="242C7B6B"/>
    <w:rsid w:val="245E64C1"/>
    <w:rsid w:val="24682C7E"/>
    <w:rsid w:val="24745AE3"/>
    <w:rsid w:val="248A6887"/>
    <w:rsid w:val="248C4E71"/>
    <w:rsid w:val="2495785A"/>
    <w:rsid w:val="24A04AAE"/>
    <w:rsid w:val="25106287"/>
    <w:rsid w:val="252A6234"/>
    <w:rsid w:val="25337DF5"/>
    <w:rsid w:val="253C1562"/>
    <w:rsid w:val="25503938"/>
    <w:rsid w:val="256040C9"/>
    <w:rsid w:val="25643920"/>
    <w:rsid w:val="256A6FDF"/>
    <w:rsid w:val="256E4A38"/>
    <w:rsid w:val="256F63E4"/>
    <w:rsid w:val="257C424B"/>
    <w:rsid w:val="257F509E"/>
    <w:rsid w:val="259630CA"/>
    <w:rsid w:val="25973F8F"/>
    <w:rsid w:val="25A61199"/>
    <w:rsid w:val="25AA1FEB"/>
    <w:rsid w:val="25C7757F"/>
    <w:rsid w:val="25D340E7"/>
    <w:rsid w:val="25DC4098"/>
    <w:rsid w:val="25E35B6F"/>
    <w:rsid w:val="25E85D21"/>
    <w:rsid w:val="25EE7966"/>
    <w:rsid w:val="25F235A1"/>
    <w:rsid w:val="26044134"/>
    <w:rsid w:val="26211B75"/>
    <w:rsid w:val="263B36CE"/>
    <w:rsid w:val="263F3907"/>
    <w:rsid w:val="265C2ADD"/>
    <w:rsid w:val="266251D2"/>
    <w:rsid w:val="2665428D"/>
    <w:rsid w:val="268A6F72"/>
    <w:rsid w:val="268F5B37"/>
    <w:rsid w:val="26A1012B"/>
    <w:rsid w:val="26A62AC3"/>
    <w:rsid w:val="26A8084E"/>
    <w:rsid w:val="26AA5586"/>
    <w:rsid w:val="26CB2B46"/>
    <w:rsid w:val="26D67CEA"/>
    <w:rsid w:val="26E4675D"/>
    <w:rsid w:val="26F51032"/>
    <w:rsid w:val="26F63071"/>
    <w:rsid w:val="26FC5520"/>
    <w:rsid w:val="27136C97"/>
    <w:rsid w:val="271436A9"/>
    <w:rsid w:val="271F1F6F"/>
    <w:rsid w:val="27271B04"/>
    <w:rsid w:val="27284613"/>
    <w:rsid w:val="276176A3"/>
    <w:rsid w:val="276E55F5"/>
    <w:rsid w:val="2787097B"/>
    <w:rsid w:val="27902F8D"/>
    <w:rsid w:val="27A056B0"/>
    <w:rsid w:val="27A7295E"/>
    <w:rsid w:val="27B31782"/>
    <w:rsid w:val="27B92CBE"/>
    <w:rsid w:val="27D53034"/>
    <w:rsid w:val="27D8557A"/>
    <w:rsid w:val="27E8625B"/>
    <w:rsid w:val="27FA76A8"/>
    <w:rsid w:val="27FE2632"/>
    <w:rsid w:val="280B48A3"/>
    <w:rsid w:val="280D6853"/>
    <w:rsid w:val="2826006E"/>
    <w:rsid w:val="28634C80"/>
    <w:rsid w:val="286A037D"/>
    <w:rsid w:val="289376F8"/>
    <w:rsid w:val="28AD7F47"/>
    <w:rsid w:val="28B51AA9"/>
    <w:rsid w:val="28C1246B"/>
    <w:rsid w:val="28CB1CE5"/>
    <w:rsid w:val="28DE531A"/>
    <w:rsid w:val="29242B16"/>
    <w:rsid w:val="292B2B24"/>
    <w:rsid w:val="2930316C"/>
    <w:rsid w:val="294B23CF"/>
    <w:rsid w:val="29544A49"/>
    <w:rsid w:val="29620A4B"/>
    <w:rsid w:val="296B3404"/>
    <w:rsid w:val="296D038E"/>
    <w:rsid w:val="29921F1B"/>
    <w:rsid w:val="299A3C2C"/>
    <w:rsid w:val="29A26EC1"/>
    <w:rsid w:val="29A82397"/>
    <w:rsid w:val="29AC3E9C"/>
    <w:rsid w:val="29BE624F"/>
    <w:rsid w:val="29C557A8"/>
    <w:rsid w:val="29CA5B12"/>
    <w:rsid w:val="29FC31D2"/>
    <w:rsid w:val="2A0B6CFA"/>
    <w:rsid w:val="2A126915"/>
    <w:rsid w:val="2A1D6A2D"/>
    <w:rsid w:val="2A3529EA"/>
    <w:rsid w:val="2A51573B"/>
    <w:rsid w:val="2A730A79"/>
    <w:rsid w:val="2A7B6345"/>
    <w:rsid w:val="2A905B92"/>
    <w:rsid w:val="2A995886"/>
    <w:rsid w:val="2AAC5E47"/>
    <w:rsid w:val="2AE14F75"/>
    <w:rsid w:val="2AF8625E"/>
    <w:rsid w:val="2AFF2270"/>
    <w:rsid w:val="2B0573A6"/>
    <w:rsid w:val="2B0E2CF7"/>
    <w:rsid w:val="2B0F5CA5"/>
    <w:rsid w:val="2B211CE4"/>
    <w:rsid w:val="2B227647"/>
    <w:rsid w:val="2B3A5CE0"/>
    <w:rsid w:val="2B426502"/>
    <w:rsid w:val="2B50307B"/>
    <w:rsid w:val="2B6007B5"/>
    <w:rsid w:val="2B962C9E"/>
    <w:rsid w:val="2BA25060"/>
    <w:rsid w:val="2BA410F2"/>
    <w:rsid w:val="2BA47406"/>
    <w:rsid w:val="2BB77B9B"/>
    <w:rsid w:val="2BD25271"/>
    <w:rsid w:val="2BDC71AB"/>
    <w:rsid w:val="2BFC3BF6"/>
    <w:rsid w:val="2C010A68"/>
    <w:rsid w:val="2C084431"/>
    <w:rsid w:val="2C117D99"/>
    <w:rsid w:val="2C1F67F2"/>
    <w:rsid w:val="2C2A2417"/>
    <w:rsid w:val="2C31387B"/>
    <w:rsid w:val="2C3342E6"/>
    <w:rsid w:val="2C3F7122"/>
    <w:rsid w:val="2C6534C0"/>
    <w:rsid w:val="2C6F76C7"/>
    <w:rsid w:val="2C7172D3"/>
    <w:rsid w:val="2C9B4626"/>
    <w:rsid w:val="2C9E335B"/>
    <w:rsid w:val="2CAF7BB8"/>
    <w:rsid w:val="2CBC464C"/>
    <w:rsid w:val="2CBD3971"/>
    <w:rsid w:val="2CCA5008"/>
    <w:rsid w:val="2CEA52EC"/>
    <w:rsid w:val="2D047339"/>
    <w:rsid w:val="2D052748"/>
    <w:rsid w:val="2D1C0918"/>
    <w:rsid w:val="2D2C76B3"/>
    <w:rsid w:val="2D3A459A"/>
    <w:rsid w:val="2D472FCB"/>
    <w:rsid w:val="2D5B633D"/>
    <w:rsid w:val="2D660F0B"/>
    <w:rsid w:val="2D671518"/>
    <w:rsid w:val="2D71040B"/>
    <w:rsid w:val="2D854D2A"/>
    <w:rsid w:val="2D90286B"/>
    <w:rsid w:val="2DAA3989"/>
    <w:rsid w:val="2DB50FB9"/>
    <w:rsid w:val="2DFB0AA4"/>
    <w:rsid w:val="2E113189"/>
    <w:rsid w:val="2E3424FF"/>
    <w:rsid w:val="2E552B84"/>
    <w:rsid w:val="2E5D42FB"/>
    <w:rsid w:val="2E6637CE"/>
    <w:rsid w:val="2E7410CA"/>
    <w:rsid w:val="2E74494A"/>
    <w:rsid w:val="2E745BD3"/>
    <w:rsid w:val="2E7F5DED"/>
    <w:rsid w:val="2EAD60B4"/>
    <w:rsid w:val="2ECA7C85"/>
    <w:rsid w:val="2EE628CE"/>
    <w:rsid w:val="2EE74158"/>
    <w:rsid w:val="2F101A50"/>
    <w:rsid w:val="2F3A77DE"/>
    <w:rsid w:val="2F3E035E"/>
    <w:rsid w:val="2F4C5743"/>
    <w:rsid w:val="2F5972C9"/>
    <w:rsid w:val="2F715851"/>
    <w:rsid w:val="2F82708A"/>
    <w:rsid w:val="2F834323"/>
    <w:rsid w:val="2F8B2CFA"/>
    <w:rsid w:val="2FB12F5A"/>
    <w:rsid w:val="2FC40C9B"/>
    <w:rsid w:val="2FDB060F"/>
    <w:rsid w:val="2FE84D35"/>
    <w:rsid w:val="2FEF72FD"/>
    <w:rsid w:val="2FF13BF2"/>
    <w:rsid w:val="2FFC7B99"/>
    <w:rsid w:val="2FFD0BAB"/>
    <w:rsid w:val="301270BF"/>
    <w:rsid w:val="301964CD"/>
    <w:rsid w:val="302423FB"/>
    <w:rsid w:val="30247A0C"/>
    <w:rsid w:val="302C79CA"/>
    <w:rsid w:val="307B5902"/>
    <w:rsid w:val="30865649"/>
    <w:rsid w:val="30DD31DC"/>
    <w:rsid w:val="30ED7159"/>
    <w:rsid w:val="30FB64C1"/>
    <w:rsid w:val="31046F22"/>
    <w:rsid w:val="3135613D"/>
    <w:rsid w:val="31452B0B"/>
    <w:rsid w:val="316E6A71"/>
    <w:rsid w:val="31742800"/>
    <w:rsid w:val="31835766"/>
    <w:rsid w:val="31B561CD"/>
    <w:rsid w:val="31BD53BE"/>
    <w:rsid w:val="31D826A7"/>
    <w:rsid w:val="31E67B8A"/>
    <w:rsid w:val="320A3FD9"/>
    <w:rsid w:val="320F0A7A"/>
    <w:rsid w:val="3214634F"/>
    <w:rsid w:val="32151D14"/>
    <w:rsid w:val="32176E65"/>
    <w:rsid w:val="32216C1F"/>
    <w:rsid w:val="3227686E"/>
    <w:rsid w:val="324948CB"/>
    <w:rsid w:val="3256004F"/>
    <w:rsid w:val="32972C37"/>
    <w:rsid w:val="32A43573"/>
    <w:rsid w:val="32BF4C08"/>
    <w:rsid w:val="32C24608"/>
    <w:rsid w:val="32C544E9"/>
    <w:rsid w:val="32CE7B02"/>
    <w:rsid w:val="32CF3EC0"/>
    <w:rsid w:val="32F923E3"/>
    <w:rsid w:val="33137070"/>
    <w:rsid w:val="3314358B"/>
    <w:rsid w:val="331D0549"/>
    <w:rsid w:val="333F69B4"/>
    <w:rsid w:val="335F06B2"/>
    <w:rsid w:val="33971713"/>
    <w:rsid w:val="33A034A8"/>
    <w:rsid w:val="33A37FC2"/>
    <w:rsid w:val="33A4202D"/>
    <w:rsid w:val="33C550B0"/>
    <w:rsid w:val="33C74DB0"/>
    <w:rsid w:val="33CF6FEA"/>
    <w:rsid w:val="33D00955"/>
    <w:rsid w:val="33EC70FA"/>
    <w:rsid w:val="34337579"/>
    <w:rsid w:val="34476E5F"/>
    <w:rsid w:val="34530158"/>
    <w:rsid w:val="345C5D7E"/>
    <w:rsid w:val="34696C4B"/>
    <w:rsid w:val="346A16F0"/>
    <w:rsid w:val="34712EE3"/>
    <w:rsid w:val="348D21B4"/>
    <w:rsid w:val="349579C4"/>
    <w:rsid w:val="349A67F2"/>
    <w:rsid w:val="34A74E69"/>
    <w:rsid w:val="34B448BE"/>
    <w:rsid w:val="34F227DC"/>
    <w:rsid w:val="3523534A"/>
    <w:rsid w:val="35350966"/>
    <w:rsid w:val="35430BF3"/>
    <w:rsid w:val="354C01C6"/>
    <w:rsid w:val="354D522B"/>
    <w:rsid w:val="354E6B7F"/>
    <w:rsid w:val="355D7575"/>
    <w:rsid w:val="35615C33"/>
    <w:rsid w:val="35673CFE"/>
    <w:rsid w:val="356B2D42"/>
    <w:rsid w:val="35817353"/>
    <w:rsid w:val="35A715CD"/>
    <w:rsid w:val="35A931C2"/>
    <w:rsid w:val="35B83942"/>
    <w:rsid w:val="35E374A4"/>
    <w:rsid w:val="35FB2318"/>
    <w:rsid w:val="361A55B5"/>
    <w:rsid w:val="361C2A84"/>
    <w:rsid w:val="363D793F"/>
    <w:rsid w:val="36447E1E"/>
    <w:rsid w:val="36511509"/>
    <w:rsid w:val="36646C9F"/>
    <w:rsid w:val="366C33D7"/>
    <w:rsid w:val="367546D6"/>
    <w:rsid w:val="369513F5"/>
    <w:rsid w:val="36A07E45"/>
    <w:rsid w:val="36A3001B"/>
    <w:rsid w:val="36BB3BEA"/>
    <w:rsid w:val="36C11937"/>
    <w:rsid w:val="36EC7C3F"/>
    <w:rsid w:val="36F338D4"/>
    <w:rsid w:val="36F5725A"/>
    <w:rsid w:val="37000CFE"/>
    <w:rsid w:val="3701073A"/>
    <w:rsid w:val="370F6A25"/>
    <w:rsid w:val="371C1253"/>
    <w:rsid w:val="37274AF8"/>
    <w:rsid w:val="374101FF"/>
    <w:rsid w:val="3757338C"/>
    <w:rsid w:val="3771455C"/>
    <w:rsid w:val="37754E2E"/>
    <w:rsid w:val="37A02240"/>
    <w:rsid w:val="37B41E5C"/>
    <w:rsid w:val="37BE1E9B"/>
    <w:rsid w:val="37E10724"/>
    <w:rsid w:val="37F850FD"/>
    <w:rsid w:val="37FE493A"/>
    <w:rsid w:val="381E39D2"/>
    <w:rsid w:val="38247EF7"/>
    <w:rsid w:val="384623C4"/>
    <w:rsid w:val="385B6E65"/>
    <w:rsid w:val="387C4FCD"/>
    <w:rsid w:val="38875E93"/>
    <w:rsid w:val="389E51DD"/>
    <w:rsid w:val="38D22FF1"/>
    <w:rsid w:val="38EE07C3"/>
    <w:rsid w:val="38FD2B57"/>
    <w:rsid w:val="39073E2E"/>
    <w:rsid w:val="39114AA0"/>
    <w:rsid w:val="391211BE"/>
    <w:rsid w:val="39181B07"/>
    <w:rsid w:val="39272FAD"/>
    <w:rsid w:val="39317DFF"/>
    <w:rsid w:val="3943179B"/>
    <w:rsid w:val="39480F83"/>
    <w:rsid w:val="396767EE"/>
    <w:rsid w:val="396B5C57"/>
    <w:rsid w:val="396D32DB"/>
    <w:rsid w:val="39800348"/>
    <w:rsid w:val="39BC1DBE"/>
    <w:rsid w:val="39E07F6A"/>
    <w:rsid w:val="39E542E9"/>
    <w:rsid w:val="39EC3E91"/>
    <w:rsid w:val="3A1816FC"/>
    <w:rsid w:val="3A2555D6"/>
    <w:rsid w:val="3A3E5353"/>
    <w:rsid w:val="3A4F7B42"/>
    <w:rsid w:val="3A5F1A64"/>
    <w:rsid w:val="3A741F0F"/>
    <w:rsid w:val="3A7D278A"/>
    <w:rsid w:val="3A7E1C4F"/>
    <w:rsid w:val="3A7E7074"/>
    <w:rsid w:val="3A984A7A"/>
    <w:rsid w:val="3ADE660B"/>
    <w:rsid w:val="3AE73230"/>
    <w:rsid w:val="3AEA563F"/>
    <w:rsid w:val="3AF770BF"/>
    <w:rsid w:val="3AF85204"/>
    <w:rsid w:val="3B020591"/>
    <w:rsid w:val="3B124DF7"/>
    <w:rsid w:val="3B2E39A5"/>
    <w:rsid w:val="3B6C3555"/>
    <w:rsid w:val="3B8922A5"/>
    <w:rsid w:val="3B900CCA"/>
    <w:rsid w:val="3B933D51"/>
    <w:rsid w:val="3BC87A07"/>
    <w:rsid w:val="3BCA1B78"/>
    <w:rsid w:val="3BCB3AAE"/>
    <w:rsid w:val="3BD11072"/>
    <w:rsid w:val="3BE70FF8"/>
    <w:rsid w:val="3BE93D96"/>
    <w:rsid w:val="3C116E6A"/>
    <w:rsid w:val="3C247B65"/>
    <w:rsid w:val="3C300042"/>
    <w:rsid w:val="3C363AD7"/>
    <w:rsid w:val="3C3E51B4"/>
    <w:rsid w:val="3C4331B5"/>
    <w:rsid w:val="3C4426CD"/>
    <w:rsid w:val="3C5E6B6B"/>
    <w:rsid w:val="3C70461F"/>
    <w:rsid w:val="3C726CD8"/>
    <w:rsid w:val="3C7C31DB"/>
    <w:rsid w:val="3C9373BD"/>
    <w:rsid w:val="3CA27FB9"/>
    <w:rsid w:val="3CA91B56"/>
    <w:rsid w:val="3CDB0899"/>
    <w:rsid w:val="3CE156BA"/>
    <w:rsid w:val="3CED6011"/>
    <w:rsid w:val="3CEE0BA9"/>
    <w:rsid w:val="3CFD2B52"/>
    <w:rsid w:val="3D2B6A3D"/>
    <w:rsid w:val="3D2C580F"/>
    <w:rsid w:val="3D3F4D67"/>
    <w:rsid w:val="3D4F7D5C"/>
    <w:rsid w:val="3D5019EA"/>
    <w:rsid w:val="3D5B6028"/>
    <w:rsid w:val="3D6819C4"/>
    <w:rsid w:val="3D6D1CD5"/>
    <w:rsid w:val="3D6F596F"/>
    <w:rsid w:val="3D75604D"/>
    <w:rsid w:val="3D7B3813"/>
    <w:rsid w:val="3D8D60E8"/>
    <w:rsid w:val="3DB520C9"/>
    <w:rsid w:val="3DC845C9"/>
    <w:rsid w:val="3DFD6502"/>
    <w:rsid w:val="3E056E0E"/>
    <w:rsid w:val="3E114F14"/>
    <w:rsid w:val="3E297BF4"/>
    <w:rsid w:val="3E2C446B"/>
    <w:rsid w:val="3E43761A"/>
    <w:rsid w:val="3E5527E2"/>
    <w:rsid w:val="3E725142"/>
    <w:rsid w:val="3E750C19"/>
    <w:rsid w:val="3E7513BA"/>
    <w:rsid w:val="3E8F6B07"/>
    <w:rsid w:val="3E987A56"/>
    <w:rsid w:val="3E9A7B6A"/>
    <w:rsid w:val="3EA91029"/>
    <w:rsid w:val="3EA9756D"/>
    <w:rsid w:val="3EBA40C3"/>
    <w:rsid w:val="3EBC30D8"/>
    <w:rsid w:val="3ED2511B"/>
    <w:rsid w:val="3EEC7694"/>
    <w:rsid w:val="3F267B38"/>
    <w:rsid w:val="3F345A84"/>
    <w:rsid w:val="3F4239B8"/>
    <w:rsid w:val="3F433410"/>
    <w:rsid w:val="3F4C7744"/>
    <w:rsid w:val="3F651A3C"/>
    <w:rsid w:val="3F7453E8"/>
    <w:rsid w:val="3F773F6A"/>
    <w:rsid w:val="3F7F6B12"/>
    <w:rsid w:val="3F8F2D49"/>
    <w:rsid w:val="3FA91293"/>
    <w:rsid w:val="3FB647CA"/>
    <w:rsid w:val="3FC90D91"/>
    <w:rsid w:val="3FC93344"/>
    <w:rsid w:val="3FDA1585"/>
    <w:rsid w:val="3FDB05B5"/>
    <w:rsid w:val="3FE03639"/>
    <w:rsid w:val="4006145B"/>
    <w:rsid w:val="401A22FF"/>
    <w:rsid w:val="40444389"/>
    <w:rsid w:val="4051687E"/>
    <w:rsid w:val="405E6A23"/>
    <w:rsid w:val="409473E4"/>
    <w:rsid w:val="40C20AB5"/>
    <w:rsid w:val="40D6648F"/>
    <w:rsid w:val="40F53EA8"/>
    <w:rsid w:val="41081112"/>
    <w:rsid w:val="410871EA"/>
    <w:rsid w:val="410D41AB"/>
    <w:rsid w:val="412F70F1"/>
    <w:rsid w:val="413F7518"/>
    <w:rsid w:val="414F072A"/>
    <w:rsid w:val="41501A81"/>
    <w:rsid w:val="41516549"/>
    <w:rsid w:val="415A2617"/>
    <w:rsid w:val="41684253"/>
    <w:rsid w:val="4178090B"/>
    <w:rsid w:val="41A43864"/>
    <w:rsid w:val="41B70FC7"/>
    <w:rsid w:val="41BF0510"/>
    <w:rsid w:val="41E71165"/>
    <w:rsid w:val="41EE2C4F"/>
    <w:rsid w:val="42036C59"/>
    <w:rsid w:val="42067418"/>
    <w:rsid w:val="42231E24"/>
    <w:rsid w:val="42313BA1"/>
    <w:rsid w:val="425E2DF2"/>
    <w:rsid w:val="428E34DF"/>
    <w:rsid w:val="42BE1430"/>
    <w:rsid w:val="42C055E5"/>
    <w:rsid w:val="42DF16BA"/>
    <w:rsid w:val="42F32D72"/>
    <w:rsid w:val="42F53EC5"/>
    <w:rsid w:val="43016A94"/>
    <w:rsid w:val="430420E0"/>
    <w:rsid w:val="430C11C7"/>
    <w:rsid w:val="430F78AD"/>
    <w:rsid w:val="43101390"/>
    <w:rsid w:val="4318617F"/>
    <w:rsid w:val="43220FBD"/>
    <w:rsid w:val="43377A15"/>
    <w:rsid w:val="433B1FA6"/>
    <w:rsid w:val="4343039E"/>
    <w:rsid w:val="43595711"/>
    <w:rsid w:val="43910F0C"/>
    <w:rsid w:val="43983919"/>
    <w:rsid w:val="43A65393"/>
    <w:rsid w:val="43B54784"/>
    <w:rsid w:val="43F42CEE"/>
    <w:rsid w:val="44214A10"/>
    <w:rsid w:val="442A0DE4"/>
    <w:rsid w:val="442E56FF"/>
    <w:rsid w:val="445B0463"/>
    <w:rsid w:val="445F36F6"/>
    <w:rsid w:val="44615C94"/>
    <w:rsid w:val="446D3EF0"/>
    <w:rsid w:val="448F4718"/>
    <w:rsid w:val="44B94CAF"/>
    <w:rsid w:val="44DA7504"/>
    <w:rsid w:val="44FE0601"/>
    <w:rsid w:val="44FE4293"/>
    <w:rsid w:val="45040B49"/>
    <w:rsid w:val="4519670E"/>
    <w:rsid w:val="451F5AF0"/>
    <w:rsid w:val="4521397F"/>
    <w:rsid w:val="45264590"/>
    <w:rsid w:val="452903EB"/>
    <w:rsid w:val="452A7A10"/>
    <w:rsid w:val="454203B2"/>
    <w:rsid w:val="454C2B24"/>
    <w:rsid w:val="454E62BB"/>
    <w:rsid w:val="45631A98"/>
    <w:rsid w:val="45695003"/>
    <w:rsid w:val="458A2D71"/>
    <w:rsid w:val="459A4E9E"/>
    <w:rsid w:val="45A07DAC"/>
    <w:rsid w:val="45B146C0"/>
    <w:rsid w:val="45BE0C6C"/>
    <w:rsid w:val="45C00067"/>
    <w:rsid w:val="45CF5C4A"/>
    <w:rsid w:val="45D9585C"/>
    <w:rsid w:val="45E35BFF"/>
    <w:rsid w:val="45E5463C"/>
    <w:rsid w:val="45E61B7A"/>
    <w:rsid w:val="45E83D83"/>
    <w:rsid w:val="45F4345F"/>
    <w:rsid w:val="45F47E61"/>
    <w:rsid w:val="46095752"/>
    <w:rsid w:val="460A186D"/>
    <w:rsid w:val="46111DEE"/>
    <w:rsid w:val="46683F1E"/>
    <w:rsid w:val="4697055F"/>
    <w:rsid w:val="46B44DC0"/>
    <w:rsid w:val="46C64529"/>
    <w:rsid w:val="46CF44E0"/>
    <w:rsid w:val="46FA605E"/>
    <w:rsid w:val="47077F87"/>
    <w:rsid w:val="470B09D0"/>
    <w:rsid w:val="4747569D"/>
    <w:rsid w:val="4758079B"/>
    <w:rsid w:val="475A6C1B"/>
    <w:rsid w:val="47A561C9"/>
    <w:rsid w:val="47AC2330"/>
    <w:rsid w:val="47D7721B"/>
    <w:rsid w:val="47DF6FA7"/>
    <w:rsid w:val="47E232F9"/>
    <w:rsid w:val="47E31AA4"/>
    <w:rsid w:val="47ED3D75"/>
    <w:rsid w:val="47F0608E"/>
    <w:rsid w:val="4803556B"/>
    <w:rsid w:val="480A2407"/>
    <w:rsid w:val="48140EDC"/>
    <w:rsid w:val="48187901"/>
    <w:rsid w:val="481F2F21"/>
    <w:rsid w:val="482061FC"/>
    <w:rsid w:val="483E26CD"/>
    <w:rsid w:val="48B73DC2"/>
    <w:rsid w:val="48C71FE1"/>
    <w:rsid w:val="48CE18CF"/>
    <w:rsid w:val="48E11D09"/>
    <w:rsid w:val="48E62BCD"/>
    <w:rsid w:val="4908232A"/>
    <w:rsid w:val="49281A25"/>
    <w:rsid w:val="49471861"/>
    <w:rsid w:val="494E4946"/>
    <w:rsid w:val="495367D8"/>
    <w:rsid w:val="495B6A5D"/>
    <w:rsid w:val="497A3E1F"/>
    <w:rsid w:val="497E6723"/>
    <w:rsid w:val="49881230"/>
    <w:rsid w:val="49A363C5"/>
    <w:rsid w:val="49B731BC"/>
    <w:rsid w:val="49BE5025"/>
    <w:rsid w:val="49CA2037"/>
    <w:rsid w:val="49D02FB5"/>
    <w:rsid w:val="49D61919"/>
    <w:rsid w:val="49FA0A18"/>
    <w:rsid w:val="49FB4A4B"/>
    <w:rsid w:val="49FD1CEE"/>
    <w:rsid w:val="4A09799A"/>
    <w:rsid w:val="4A287B4D"/>
    <w:rsid w:val="4A2B5045"/>
    <w:rsid w:val="4A437CB6"/>
    <w:rsid w:val="4A480A2E"/>
    <w:rsid w:val="4A5F5EA4"/>
    <w:rsid w:val="4A7346BA"/>
    <w:rsid w:val="4A767D68"/>
    <w:rsid w:val="4A820E20"/>
    <w:rsid w:val="4A9668C8"/>
    <w:rsid w:val="4AAF15C4"/>
    <w:rsid w:val="4ABC0F81"/>
    <w:rsid w:val="4AE06BF7"/>
    <w:rsid w:val="4AE859A6"/>
    <w:rsid w:val="4AF64C8A"/>
    <w:rsid w:val="4B137DC4"/>
    <w:rsid w:val="4B1B1F38"/>
    <w:rsid w:val="4B2A5B7B"/>
    <w:rsid w:val="4B3747D9"/>
    <w:rsid w:val="4B684705"/>
    <w:rsid w:val="4B6952CC"/>
    <w:rsid w:val="4BB75A6B"/>
    <w:rsid w:val="4BBA47C1"/>
    <w:rsid w:val="4BE82C28"/>
    <w:rsid w:val="4BF1232B"/>
    <w:rsid w:val="4BFA7371"/>
    <w:rsid w:val="4BFD78DA"/>
    <w:rsid w:val="4C141B9C"/>
    <w:rsid w:val="4C213D71"/>
    <w:rsid w:val="4C255441"/>
    <w:rsid w:val="4C3227EE"/>
    <w:rsid w:val="4C552648"/>
    <w:rsid w:val="4C5916EF"/>
    <w:rsid w:val="4C5B4B35"/>
    <w:rsid w:val="4C6204AE"/>
    <w:rsid w:val="4C673E0C"/>
    <w:rsid w:val="4C6A7509"/>
    <w:rsid w:val="4C6F2B18"/>
    <w:rsid w:val="4C8B1619"/>
    <w:rsid w:val="4C941E71"/>
    <w:rsid w:val="4CB4625B"/>
    <w:rsid w:val="4CB51CA5"/>
    <w:rsid w:val="4CB62B7B"/>
    <w:rsid w:val="4D030738"/>
    <w:rsid w:val="4D1A2C2C"/>
    <w:rsid w:val="4D1C13E2"/>
    <w:rsid w:val="4D1F4DFE"/>
    <w:rsid w:val="4D221D9C"/>
    <w:rsid w:val="4D8F2CF2"/>
    <w:rsid w:val="4D994499"/>
    <w:rsid w:val="4DA01CEB"/>
    <w:rsid w:val="4DA100EC"/>
    <w:rsid w:val="4DB535C9"/>
    <w:rsid w:val="4DBF37C5"/>
    <w:rsid w:val="4DCB1EC8"/>
    <w:rsid w:val="4DD10412"/>
    <w:rsid w:val="4DD957D0"/>
    <w:rsid w:val="4DF02616"/>
    <w:rsid w:val="4DF73909"/>
    <w:rsid w:val="4E021EB1"/>
    <w:rsid w:val="4E0F5446"/>
    <w:rsid w:val="4E2B744E"/>
    <w:rsid w:val="4E41665A"/>
    <w:rsid w:val="4E4605C2"/>
    <w:rsid w:val="4E4F1509"/>
    <w:rsid w:val="4E502EBB"/>
    <w:rsid w:val="4E6862F3"/>
    <w:rsid w:val="4E771829"/>
    <w:rsid w:val="4E802B2D"/>
    <w:rsid w:val="4E8441CD"/>
    <w:rsid w:val="4EA75F8B"/>
    <w:rsid w:val="4EBD75BF"/>
    <w:rsid w:val="4EBF7668"/>
    <w:rsid w:val="4ED17F06"/>
    <w:rsid w:val="4EE25AB5"/>
    <w:rsid w:val="4F1516BD"/>
    <w:rsid w:val="4F2250BC"/>
    <w:rsid w:val="4F2A700C"/>
    <w:rsid w:val="4F326620"/>
    <w:rsid w:val="4F4D5EE3"/>
    <w:rsid w:val="4F55619D"/>
    <w:rsid w:val="4F636A88"/>
    <w:rsid w:val="4F77694F"/>
    <w:rsid w:val="4F78535E"/>
    <w:rsid w:val="4F84304E"/>
    <w:rsid w:val="4F9B73FA"/>
    <w:rsid w:val="4FA14C9B"/>
    <w:rsid w:val="4FA901E3"/>
    <w:rsid w:val="500A390D"/>
    <w:rsid w:val="502C71F5"/>
    <w:rsid w:val="50302D1B"/>
    <w:rsid w:val="5031315E"/>
    <w:rsid w:val="50361049"/>
    <w:rsid w:val="505063D3"/>
    <w:rsid w:val="50702B2F"/>
    <w:rsid w:val="509370A6"/>
    <w:rsid w:val="50CC366C"/>
    <w:rsid w:val="50E251FF"/>
    <w:rsid w:val="510812A2"/>
    <w:rsid w:val="513D5D9C"/>
    <w:rsid w:val="51424D5F"/>
    <w:rsid w:val="514D3E63"/>
    <w:rsid w:val="51627240"/>
    <w:rsid w:val="51765022"/>
    <w:rsid w:val="51801C97"/>
    <w:rsid w:val="518D60D8"/>
    <w:rsid w:val="51D67C45"/>
    <w:rsid w:val="51F1650F"/>
    <w:rsid w:val="51F5558C"/>
    <w:rsid w:val="51F95C2C"/>
    <w:rsid w:val="521C2C9F"/>
    <w:rsid w:val="522817E1"/>
    <w:rsid w:val="522C00AB"/>
    <w:rsid w:val="52484471"/>
    <w:rsid w:val="524B2A8A"/>
    <w:rsid w:val="524C6984"/>
    <w:rsid w:val="524E333B"/>
    <w:rsid w:val="5268268C"/>
    <w:rsid w:val="52790996"/>
    <w:rsid w:val="528A0854"/>
    <w:rsid w:val="52AA2677"/>
    <w:rsid w:val="52B75A4A"/>
    <w:rsid w:val="52BB6FC8"/>
    <w:rsid w:val="52C307F8"/>
    <w:rsid w:val="52DF72F1"/>
    <w:rsid w:val="52F37DFA"/>
    <w:rsid w:val="52F930DF"/>
    <w:rsid w:val="53045685"/>
    <w:rsid w:val="5321577F"/>
    <w:rsid w:val="534340AB"/>
    <w:rsid w:val="536007FE"/>
    <w:rsid w:val="5369562B"/>
    <w:rsid w:val="53910C35"/>
    <w:rsid w:val="53CE60F3"/>
    <w:rsid w:val="53CF4F82"/>
    <w:rsid w:val="53E73F3A"/>
    <w:rsid w:val="53E97F4E"/>
    <w:rsid w:val="53F0526E"/>
    <w:rsid w:val="5421321D"/>
    <w:rsid w:val="542535D8"/>
    <w:rsid w:val="543C4623"/>
    <w:rsid w:val="544467E1"/>
    <w:rsid w:val="547B62C5"/>
    <w:rsid w:val="54916E50"/>
    <w:rsid w:val="54A73309"/>
    <w:rsid w:val="54BC11A8"/>
    <w:rsid w:val="54C02559"/>
    <w:rsid w:val="54C66034"/>
    <w:rsid w:val="54CD431E"/>
    <w:rsid w:val="54CE3174"/>
    <w:rsid w:val="54D95E22"/>
    <w:rsid w:val="54DE3E76"/>
    <w:rsid w:val="54FC2185"/>
    <w:rsid w:val="550D64C0"/>
    <w:rsid w:val="55425A1B"/>
    <w:rsid w:val="55487F59"/>
    <w:rsid w:val="554A3905"/>
    <w:rsid w:val="55746D43"/>
    <w:rsid w:val="557A31D0"/>
    <w:rsid w:val="55A26C1F"/>
    <w:rsid w:val="55AB01B2"/>
    <w:rsid w:val="55AC57E6"/>
    <w:rsid w:val="55D134A0"/>
    <w:rsid w:val="55D3491B"/>
    <w:rsid w:val="55EE6743"/>
    <w:rsid w:val="55FD28C4"/>
    <w:rsid w:val="55FD3E9C"/>
    <w:rsid w:val="561F7AE5"/>
    <w:rsid w:val="56337E29"/>
    <w:rsid w:val="56352885"/>
    <w:rsid w:val="56356F3B"/>
    <w:rsid w:val="56557FB8"/>
    <w:rsid w:val="5657587C"/>
    <w:rsid w:val="56761692"/>
    <w:rsid w:val="56B22127"/>
    <w:rsid w:val="56CF4011"/>
    <w:rsid w:val="5714085C"/>
    <w:rsid w:val="571517C4"/>
    <w:rsid w:val="571D02FF"/>
    <w:rsid w:val="57316454"/>
    <w:rsid w:val="57540968"/>
    <w:rsid w:val="576C3B76"/>
    <w:rsid w:val="57703296"/>
    <w:rsid w:val="57785A15"/>
    <w:rsid w:val="579311A7"/>
    <w:rsid w:val="57B6639A"/>
    <w:rsid w:val="57E44737"/>
    <w:rsid w:val="57E5538F"/>
    <w:rsid w:val="57F04EAA"/>
    <w:rsid w:val="580B5F93"/>
    <w:rsid w:val="580E5F5A"/>
    <w:rsid w:val="581035A9"/>
    <w:rsid w:val="581F77BA"/>
    <w:rsid w:val="583B4F91"/>
    <w:rsid w:val="58561C35"/>
    <w:rsid w:val="58977239"/>
    <w:rsid w:val="58A65901"/>
    <w:rsid w:val="58D42F25"/>
    <w:rsid w:val="58DA7055"/>
    <w:rsid w:val="58E05AB3"/>
    <w:rsid w:val="58F00CE5"/>
    <w:rsid w:val="58FD2AB0"/>
    <w:rsid w:val="5909521A"/>
    <w:rsid w:val="5924294C"/>
    <w:rsid w:val="5926749C"/>
    <w:rsid w:val="59350505"/>
    <w:rsid w:val="593A4BB1"/>
    <w:rsid w:val="59497764"/>
    <w:rsid w:val="594D1A30"/>
    <w:rsid w:val="594D4FCA"/>
    <w:rsid w:val="59660E90"/>
    <w:rsid w:val="5999258D"/>
    <w:rsid w:val="599B11B2"/>
    <w:rsid w:val="59D25CDA"/>
    <w:rsid w:val="59F73909"/>
    <w:rsid w:val="5A024969"/>
    <w:rsid w:val="5A0404C3"/>
    <w:rsid w:val="5A146D0A"/>
    <w:rsid w:val="5A150990"/>
    <w:rsid w:val="5A2055FA"/>
    <w:rsid w:val="5A571762"/>
    <w:rsid w:val="5A6042E5"/>
    <w:rsid w:val="5A6146CC"/>
    <w:rsid w:val="5A8D6C6E"/>
    <w:rsid w:val="5A957D96"/>
    <w:rsid w:val="5A980738"/>
    <w:rsid w:val="5A9B6F78"/>
    <w:rsid w:val="5ABE46D7"/>
    <w:rsid w:val="5AFB0B5A"/>
    <w:rsid w:val="5B1241F3"/>
    <w:rsid w:val="5B251BAD"/>
    <w:rsid w:val="5B3272AF"/>
    <w:rsid w:val="5B3D3D26"/>
    <w:rsid w:val="5B6B0F98"/>
    <w:rsid w:val="5B726D8C"/>
    <w:rsid w:val="5BAE178B"/>
    <w:rsid w:val="5BB16B7C"/>
    <w:rsid w:val="5BBC0FD2"/>
    <w:rsid w:val="5BD67724"/>
    <w:rsid w:val="5BDC2573"/>
    <w:rsid w:val="5BF46D3E"/>
    <w:rsid w:val="5C0515B1"/>
    <w:rsid w:val="5C21638E"/>
    <w:rsid w:val="5C265F2C"/>
    <w:rsid w:val="5C293995"/>
    <w:rsid w:val="5C2D1990"/>
    <w:rsid w:val="5C3B496D"/>
    <w:rsid w:val="5C571A6F"/>
    <w:rsid w:val="5C5C2CFD"/>
    <w:rsid w:val="5C7659A5"/>
    <w:rsid w:val="5CA03B29"/>
    <w:rsid w:val="5CB12A13"/>
    <w:rsid w:val="5CBA789F"/>
    <w:rsid w:val="5CE65457"/>
    <w:rsid w:val="5CE951E4"/>
    <w:rsid w:val="5D0D3237"/>
    <w:rsid w:val="5D167D17"/>
    <w:rsid w:val="5D1F522E"/>
    <w:rsid w:val="5D25434D"/>
    <w:rsid w:val="5D853FDF"/>
    <w:rsid w:val="5DC20B14"/>
    <w:rsid w:val="5DF3552F"/>
    <w:rsid w:val="5DF465D8"/>
    <w:rsid w:val="5E071357"/>
    <w:rsid w:val="5E22072F"/>
    <w:rsid w:val="5E45560A"/>
    <w:rsid w:val="5E5D1622"/>
    <w:rsid w:val="5E6277D7"/>
    <w:rsid w:val="5E796EE3"/>
    <w:rsid w:val="5E800D5D"/>
    <w:rsid w:val="5E83207F"/>
    <w:rsid w:val="5EA31AA3"/>
    <w:rsid w:val="5EB32ABB"/>
    <w:rsid w:val="5ED303D1"/>
    <w:rsid w:val="5ED73B58"/>
    <w:rsid w:val="5F217662"/>
    <w:rsid w:val="5F2A191F"/>
    <w:rsid w:val="5F2B18BD"/>
    <w:rsid w:val="5F456014"/>
    <w:rsid w:val="5F697234"/>
    <w:rsid w:val="5F8576B7"/>
    <w:rsid w:val="5F8C279B"/>
    <w:rsid w:val="5F9C6D68"/>
    <w:rsid w:val="5FC444C5"/>
    <w:rsid w:val="5FC83C5F"/>
    <w:rsid w:val="5FE70994"/>
    <w:rsid w:val="60023E92"/>
    <w:rsid w:val="60041E41"/>
    <w:rsid w:val="6015606F"/>
    <w:rsid w:val="602F2F28"/>
    <w:rsid w:val="60374EBA"/>
    <w:rsid w:val="604359E6"/>
    <w:rsid w:val="604E41EF"/>
    <w:rsid w:val="60546C18"/>
    <w:rsid w:val="60743ACC"/>
    <w:rsid w:val="60757ADF"/>
    <w:rsid w:val="607D4407"/>
    <w:rsid w:val="607F00AA"/>
    <w:rsid w:val="60851141"/>
    <w:rsid w:val="60930518"/>
    <w:rsid w:val="609754B0"/>
    <w:rsid w:val="60A26458"/>
    <w:rsid w:val="60A33BEF"/>
    <w:rsid w:val="60BD07BD"/>
    <w:rsid w:val="60C90EBB"/>
    <w:rsid w:val="60CC58A8"/>
    <w:rsid w:val="60CE5259"/>
    <w:rsid w:val="60DC0B7D"/>
    <w:rsid w:val="60DF2ED7"/>
    <w:rsid w:val="60EE72AB"/>
    <w:rsid w:val="60F61550"/>
    <w:rsid w:val="613C2267"/>
    <w:rsid w:val="613F3636"/>
    <w:rsid w:val="61496F9D"/>
    <w:rsid w:val="61553FC8"/>
    <w:rsid w:val="61666E72"/>
    <w:rsid w:val="61A55571"/>
    <w:rsid w:val="61AC0E76"/>
    <w:rsid w:val="61B75AF8"/>
    <w:rsid w:val="61C50B79"/>
    <w:rsid w:val="622563F9"/>
    <w:rsid w:val="629B43B7"/>
    <w:rsid w:val="62A67E37"/>
    <w:rsid w:val="62B86D17"/>
    <w:rsid w:val="62E00C6E"/>
    <w:rsid w:val="62E02CA1"/>
    <w:rsid w:val="62F30903"/>
    <w:rsid w:val="630B490C"/>
    <w:rsid w:val="631F28F3"/>
    <w:rsid w:val="631F6803"/>
    <w:rsid w:val="636135E1"/>
    <w:rsid w:val="636179E9"/>
    <w:rsid w:val="63656CC0"/>
    <w:rsid w:val="636D6813"/>
    <w:rsid w:val="636F6884"/>
    <w:rsid w:val="639B3E3D"/>
    <w:rsid w:val="63A13A48"/>
    <w:rsid w:val="63AA4175"/>
    <w:rsid w:val="63AE40AC"/>
    <w:rsid w:val="63B079F5"/>
    <w:rsid w:val="63BC77C4"/>
    <w:rsid w:val="63D87CF6"/>
    <w:rsid w:val="63DB4512"/>
    <w:rsid w:val="63E853DA"/>
    <w:rsid w:val="63F10FA7"/>
    <w:rsid w:val="64117915"/>
    <w:rsid w:val="64227021"/>
    <w:rsid w:val="642A685C"/>
    <w:rsid w:val="643671AD"/>
    <w:rsid w:val="644A7E43"/>
    <w:rsid w:val="644B7717"/>
    <w:rsid w:val="64731D80"/>
    <w:rsid w:val="64954C8F"/>
    <w:rsid w:val="64CD6AAB"/>
    <w:rsid w:val="64D70FAB"/>
    <w:rsid w:val="64EB0CB7"/>
    <w:rsid w:val="64F03E1E"/>
    <w:rsid w:val="65124A95"/>
    <w:rsid w:val="651C0781"/>
    <w:rsid w:val="657D23B0"/>
    <w:rsid w:val="658808C4"/>
    <w:rsid w:val="658F380A"/>
    <w:rsid w:val="659A1EC7"/>
    <w:rsid w:val="659F3B6E"/>
    <w:rsid w:val="65BC6B1F"/>
    <w:rsid w:val="65C2339C"/>
    <w:rsid w:val="65C5018B"/>
    <w:rsid w:val="65EF44AD"/>
    <w:rsid w:val="65F14082"/>
    <w:rsid w:val="65F67860"/>
    <w:rsid w:val="660D6784"/>
    <w:rsid w:val="661B0340"/>
    <w:rsid w:val="66314E0C"/>
    <w:rsid w:val="663D0FB8"/>
    <w:rsid w:val="66527C56"/>
    <w:rsid w:val="66534745"/>
    <w:rsid w:val="665E793F"/>
    <w:rsid w:val="66683762"/>
    <w:rsid w:val="66A811A7"/>
    <w:rsid w:val="66A86040"/>
    <w:rsid w:val="66D13ADC"/>
    <w:rsid w:val="66F466B7"/>
    <w:rsid w:val="6707623E"/>
    <w:rsid w:val="67117470"/>
    <w:rsid w:val="67162EF8"/>
    <w:rsid w:val="674B7B3C"/>
    <w:rsid w:val="674C2774"/>
    <w:rsid w:val="675B4234"/>
    <w:rsid w:val="67694E3D"/>
    <w:rsid w:val="678358A2"/>
    <w:rsid w:val="67A45C7E"/>
    <w:rsid w:val="67B146AB"/>
    <w:rsid w:val="67BD57F4"/>
    <w:rsid w:val="67CB0BB4"/>
    <w:rsid w:val="67CC15DC"/>
    <w:rsid w:val="67D10340"/>
    <w:rsid w:val="67F47D1A"/>
    <w:rsid w:val="67F80C01"/>
    <w:rsid w:val="67FA3112"/>
    <w:rsid w:val="68040309"/>
    <w:rsid w:val="68056DFC"/>
    <w:rsid w:val="68217F2A"/>
    <w:rsid w:val="685E1247"/>
    <w:rsid w:val="68673741"/>
    <w:rsid w:val="6884036A"/>
    <w:rsid w:val="68BD0143"/>
    <w:rsid w:val="68CA220C"/>
    <w:rsid w:val="68CA5E39"/>
    <w:rsid w:val="68E038D2"/>
    <w:rsid w:val="68FB0D53"/>
    <w:rsid w:val="691A211A"/>
    <w:rsid w:val="69274C4F"/>
    <w:rsid w:val="6942733B"/>
    <w:rsid w:val="694B7F36"/>
    <w:rsid w:val="6959576D"/>
    <w:rsid w:val="69706DED"/>
    <w:rsid w:val="698E123D"/>
    <w:rsid w:val="699A1C49"/>
    <w:rsid w:val="69B002F2"/>
    <w:rsid w:val="69C00F57"/>
    <w:rsid w:val="6A0A76F7"/>
    <w:rsid w:val="6A0F7FF9"/>
    <w:rsid w:val="6A194F97"/>
    <w:rsid w:val="6A242EE4"/>
    <w:rsid w:val="6A243D2B"/>
    <w:rsid w:val="6A612939"/>
    <w:rsid w:val="6A663A5D"/>
    <w:rsid w:val="6A6C2131"/>
    <w:rsid w:val="6A860736"/>
    <w:rsid w:val="6A950573"/>
    <w:rsid w:val="6ACB5D2D"/>
    <w:rsid w:val="6ADE7537"/>
    <w:rsid w:val="6AE327BE"/>
    <w:rsid w:val="6AE33234"/>
    <w:rsid w:val="6B085226"/>
    <w:rsid w:val="6B14233D"/>
    <w:rsid w:val="6B1A33CA"/>
    <w:rsid w:val="6B26438E"/>
    <w:rsid w:val="6B4214FA"/>
    <w:rsid w:val="6B5A4EA4"/>
    <w:rsid w:val="6B5F6100"/>
    <w:rsid w:val="6B6643C4"/>
    <w:rsid w:val="6B7B7763"/>
    <w:rsid w:val="6B891237"/>
    <w:rsid w:val="6B953511"/>
    <w:rsid w:val="6BA8732E"/>
    <w:rsid w:val="6BC26DC6"/>
    <w:rsid w:val="6BCC0C3A"/>
    <w:rsid w:val="6BF74B2E"/>
    <w:rsid w:val="6C041827"/>
    <w:rsid w:val="6C111246"/>
    <w:rsid w:val="6C1D18A6"/>
    <w:rsid w:val="6C1E635D"/>
    <w:rsid w:val="6C1F1ACE"/>
    <w:rsid w:val="6C41527C"/>
    <w:rsid w:val="6C460802"/>
    <w:rsid w:val="6C4E460E"/>
    <w:rsid w:val="6C6B0907"/>
    <w:rsid w:val="6C775946"/>
    <w:rsid w:val="6C7779EA"/>
    <w:rsid w:val="6C7D1EFE"/>
    <w:rsid w:val="6C902BB8"/>
    <w:rsid w:val="6CB336AA"/>
    <w:rsid w:val="6CBA3DE4"/>
    <w:rsid w:val="6CCF018F"/>
    <w:rsid w:val="6CD03A1E"/>
    <w:rsid w:val="6CEE7F50"/>
    <w:rsid w:val="6D08089B"/>
    <w:rsid w:val="6D36733F"/>
    <w:rsid w:val="6D4F16FB"/>
    <w:rsid w:val="6D531984"/>
    <w:rsid w:val="6DB97734"/>
    <w:rsid w:val="6DE03797"/>
    <w:rsid w:val="6E185E2D"/>
    <w:rsid w:val="6E320193"/>
    <w:rsid w:val="6E3E2789"/>
    <w:rsid w:val="6E4E6663"/>
    <w:rsid w:val="6E6A2892"/>
    <w:rsid w:val="6E80059A"/>
    <w:rsid w:val="6E8F6D71"/>
    <w:rsid w:val="6EA62658"/>
    <w:rsid w:val="6EC12DC3"/>
    <w:rsid w:val="6EC14FC1"/>
    <w:rsid w:val="6EC7324F"/>
    <w:rsid w:val="6EDC1F13"/>
    <w:rsid w:val="6EFE66D8"/>
    <w:rsid w:val="6F00536F"/>
    <w:rsid w:val="6F143527"/>
    <w:rsid w:val="6F212F02"/>
    <w:rsid w:val="6F2C1B7C"/>
    <w:rsid w:val="6F446C65"/>
    <w:rsid w:val="6FC75B6E"/>
    <w:rsid w:val="6FCB77D4"/>
    <w:rsid w:val="6FEB0B00"/>
    <w:rsid w:val="6FFA5D7E"/>
    <w:rsid w:val="700474D5"/>
    <w:rsid w:val="70053178"/>
    <w:rsid w:val="701139EA"/>
    <w:rsid w:val="70425469"/>
    <w:rsid w:val="7043185B"/>
    <w:rsid w:val="70512255"/>
    <w:rsid w:val="705F668A"/>
    <w:rsid w:val="7073425D"/>
    <w:rsid w:val="707C070B"/>
    <w:rsid w:val="70863B1F"/>
    <w:rsid w:val="70A01D72"/>
    <w:rsid w:val="70BC510D"/>
    <w:rsid w:val="70C61BCA"/>
    <w:rsid w:val="70EB6578"/>
    <w:rsid w:val="70F600EB"/>
    <w:rsid w:val="70FF767D"/>
    <w:rsid w:val="71083CEF"/>
    <w:rsid w:val="71096E9D"/>
    <w:rsid w:val="714E7405"/>
    <w:rsid w:val="715C1686"/>
    <w:rsid w:val="718B00AD"/>
    <w:rsid w:val="718E1C5D"/>
    <w:rsid w:val="719646C8"/>
    <w:rsid w:val="71A03687"/>
    <w:rsid w:val="71A60946"/>
    <w:rsid w:val="71B10517"/>
    <w:rsid w:val="71CC0AE4"/>
    <w:rsid w:val="71D07A86"/>
    <w:rsid w:val="71D331F7"/>
    <w:rsid w:val="71FB480F"/>
    <w:rsid w:val="72073E88"/>
    <w:rsid w:val="72111FA0"/>
    <w:rsid w:val="72122B3D"/>
    <w:rsid w:val="721C21EB"/>
    <w:rsid w:val="72225368"/>
    <w:rsid w:val="722F7220"/>
    <w:rsid w:val="723B0FEA"/>
    <w:rsid w:val="72485410"/>
    <w:rsid w:val="725912CE"/>
    <w:rsid w:val="72634DC7"/>
    <w:rsid w:val="72695548"/>
    <w:rsid w:val="72754526"/>
    <w:rsid w:val="7298621E"/>
    <w:rsid w:val="72B63A21"/>
    <w:rsid w:val="72D8486C"/>
    <w:rsid w:val="72DF6E8C"/>
    <w:rsid w:val="72E32531"/>
    <w:rsid w:val="72EE7697"/>
    <w:rsid w:val="73006160"/>
    <w:rsid w:val="730768CA"/>
    <w:rsid w:val="730E4476"/>
    <w:rsid w:val="730E69ED"/>
    <w:rsid w:val="7313692E"/>
    <w:rsid w:val="732600B0"/>
    <w:rsid w:val="73271601"/>
    <w:rsid w:val="733B63CE"/>
    <w:rsid w:val="73424245"/>
    <w:rsid w:val="734954CF"/>
    <w:rsid w:val="73573DCB"/>
    <w:rsid w:val="7380537E"/>
    <w:rsid w:val="73992FC5"/>
    <w:rsid w:val="73A44C24"/>
    <w:rsid w:val="73BD2C7C"/>
    <w:rsid w:val="73BE79E6"/>
    <w:rsid w:val="73C23C5C"/>
    <w:rsid w:val="73DF06BC"/>
    <w:rsid w:val="73EC33E1"/>
    <w:rsid w:val="740A4659"/>
    <w:rsid w:val="741C66DB"/>
    <w:rsid w:val="741E6886"/>
    <w:rsid w:val="7439758C"/>
    <w:rsid w:val="7441494E"/>
    <w:rsid w:val="74495192"/>
    <w:rsid w:val="74672CE4"/>
    <w:rsid w:val="746924F2"/>
    <w:rsid w:val="747405C4"/>
    <w:rsid w:val="747C5A2B"/>
    <w:rsid w:val="749976D4"/>
    <w:rsid w:val="74A81DE8"/>
    <w:rsid w:val="74A878F0"/>
    <w:rsid w:val="74B363E9"/>
    <w:rsid w:val="74CD4E84"/>
    <w:rsid w:val="74E61609"/>
    <w:rsid w:val="750754BE"/>
    <w:rsid w:val="750F6F0D"/>
    <w:rsid w:val="75142DD5"/>
    <w:rsid w:val="75275780"/>
    <w:rsid w:val="753E7AC8"/>
    <w:rsid w:val="753F018E"/>
    <w:rsid w:val="75424A9D"/>
    <w:rsid w:val="75460ECE"/>
    <w:rsid w:val="75490408"/>
    <w:rsid w:val="7561548A"/>
    <w:rsid w:val="75622B13"/>
    <w:rsid w:val="756A24E7"/>
    <w:rsid w:val="756B6F42"/>
    <w:rsid w:val="75744F2C"/>
    <w:rsid w:val="75A651D9"/>
    <w:rsid w:val="760D3EFC"/>
    <w:rsid w:val="76275B6C"/>
    <w:rsid w:val="76350231"/>
    <w:rsid w:val="763904EA"/>
    <w:rsid w:val="763E160F"/>
    <w:rsid w:val="764F26E4"/>
    <w:rsid w:val="7650506B"/>
    <w:rsid w:val="76686F6D"/>
    <w:rsid w:val="7670562B"/>
    <w:rsid w:val="76841CB7"/>
    <w:rsid w:val="76956270"/>
    <w:rsid w:val="769739C9"/>
    <w:rsid w:val="76A41330"/>
    <w:rsid w:val="76B7022B"/>
    <w:rsid w:val="76C17A1B"/>
    <w:rsid w:val="76DD18F5"/>
    <w:rsid w:val="76EB08E8"/>
    <w:rsid w:val="772E247E"/>
    <w:rsid w:val="772F217E"/>
    <w:rsid w:val="773E0D3D"/>
    <w:rsid w:val="7740055E"/>
    <w:rsid w:val="77457329"/>
    <w:rsid w:val="777112DE"/>
    <w:rsid w:val="777A652F"/>
    <w:rsid w:val="779655E9"/>
    <w:rsid w:val="779E6DA3"/>
    <w:rsid w:val="77B07B65"/>
    <w:rsid w:val="77D16801"/>
    <w:rsid w:val="77E51AED"/>
    <w:rsid w:val="77F02A15"/>
    <w:rsid w:val="782E7BD8"/>
    <w:rsid w:val="787056CE"/>
    <w:rsid w:val="78787C5E"/>
    <w:rsid w:val="787C39DA"/>
    <w:rsid w:val="789220ED"/>
    <w:rsid w:val="78D26831"/>
    <w:rsid w:val="78F16F76"/>
    <w:rsid w:val="7909264A"/>
    <w:rsid w:val="792F5A66"/>
    <w:rsid w:val="795F1E80"/>
    <w:rsid w:val="79687163"/>
    <w:rsid w:val="796C4DED"/>
    <w:rsid w:val="79922145"/>
    <w:rsid w:val="79CC1D20"/>
    <w:rsid w:val="79F7253B"/>
    <w:rsid w:val="79F8152E"/>
    <w:rsid w:val="7A1A0ED2"/>
    <w:rsid w:val="7A247E54"/>
    <w:rsid w:val="7A397FFC"/>
    <w:rsid w:val="7A83409C"/>
    <w:rsid w:val="7A8820A4"/>
    <w:rsid w:val="7A8B061B"/>
    <w:rsid w:val="7A8B11D6"/>
    <w:rsid w:val="7A9A5990"/>
    <w:rsid w:val="7A9D0116"/>
    <w:rsid w:val="7AA43F41"/>
    <w:rsid w:val="7AC85234"/>
    <w:rsid w:val="7AFD57B8"/>
    <w:rsid w:val="7B0213B8"/>
    <w:rsid w:val="7B2935CA"/>
    <w:rsid w:val="7B7D217B"/>
    <w:rsid w:val="7B886B7E"/>
    <w:rsid w:val="7B98744A"/>
    <w:rsid w:val="7BBE7164"/>
    <w:rsid w:val="7BC71F8E"/>
    <w:rsid w:val="7BD10093"/>
    <w:rsid w:val="7BEA5E85"/>
    <w:rsid w:val="7C046834"/>
    <w:rsid w:val="7C414D9E"/>
    <w:rsid w:val="7C492F77"/>
    <w:rsid w:val="7C4A0F8B"/>
    <w:rsid w:val="7C4C076F"/>
    <w:rsid w:val="7C500C27"/>
    <w:rsid w:val="7C6E4EB6"/>
    <w:rsid w:val="7C856491"/>
    <w:rsid w:val="7C9A2359"/>
    <w:rsid w:val="7C9F20F0"/>
    <w:rsid w:val="7CCB2DFC"/>
    <w:rsid w:val="7CCF701C"/>
    <w:rsid w:val="7CE00EED"/>
    <w:rsid w:val="7D0763B0"/>
    <w:rsid w:val="7D377E39"/>
    <w:rsid w:val="7D5854BD"/>
    <w:rsid w:val="7D5911A7"/>
    <w:rsid w:val="7D5E210C"/>
    <w:rsid w:val="7DAF2FE7"/>
    <w:rsid w:val="7DB008BF"/>
    <w:rsid w:val="7DD1799F"/>
    <w:rsid w:val="7DD32047"/>
    <w:rsid w:val="7DE14F1D"/>
    <w:rsid w:val="7DE70779"/>
    <w:rsid w:val="7E115E8E"/>
    <w:rsid w:val="7E17087E"/>
    <w:rsid w:val="7E254CD6"/>
    <w:rsid w:val="7E2A1595"/>
    <w:rsid w:val="7E470AF8"/>
    <w:rsid w:val="7E6B7EE1"/>
    <w:rsid w:val="7E6C3869"/>
    <w:rsid w:val="7E706B85"/>
    <w:rsid w:val="7E7A55B8"/>
    <w:rsid w:val="7E921B7A"/>
    <w:rsid w:val="7E9E07CB"/>
    <w:rsid w:val="7EAB520B"/>
    <w:rsid w:val="7EB03F69"/>
    <w:rsid w:val="7EC7030B"/>
    <w:rsid w:val="7EC7659E"/>
    <w:rsid w:val="7ED00224"/>
    <w:rsid w:val="7EE00F5E"/>
    <w:rsid w:val="7EE34FD3"/>
    <w:rsid w:val="7EF459B2"/>
    <w:rsid w:val="7F117858"/>
    <w:rsid w:val="7F2911C2"/>
    <w:rsid w:val="7F2D042C"/>
    <w:rsid w:val="7F400453"/>
    <w:rsid w:val="7F490A67"/>
    <w:rsid w:val="7F5E3C13"/>
    <w:rsid w:val="7F623E3B"/>
    <w:rsid w:val="7F6D458E"/>
    <w:rsid w:val="7F762A2D"/>
    <w:rsid w:val="7F83338D"/>
    <w:rsid w:val="7FA9461D"/>
    <w:rsid w:val="7FAF4BA7"/>
    <w:rsid w:val="7FC31491"/>
    <w:rsid w:val="7FD56320"/>
    <w:rsid w:val="7FE86E07"/>
    <w:rsid w:val="7FEF6E73"/>
    <w:rsid w:val="7FFB56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39"/>
    <w:qFormat/>
    <w:uiPriority w:val="9"/>
    <w:pPr>
      <w:keepNext/>
      <w:keepLines/>
      <w:spacing w:before="300" w:after="300" w:line="480" w:lineRule="auto"/>
      <w:outlineLvl w:val="0"/>
    </w:pPr>
    <w:rPr>
      <w:rFonts w:asciiTheme="majorAscii" w:hAnsiTheme="majorAscii"/>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Lines="50" w:line="600" w:lineRule="exact"/>
      <w:outlineLvl w:val="2"/>
    </w:pPr>
    <w:rPr>
      <w:rFonts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42"/>
    <w:semiHidden/>
    <w:unhideWhenUsed/>
    <w:qFormat/>
    <w:uiPriority w:val="99"/>
    <w:pPr>
      <w:jc w:val="left"/>
    </w:pPr>
  </w:style>
  <w:style w:type="paragraph" w:styleId="6">
    <w:name w:val="Body Text"/>
    <w:basedOn w:val="1"/>
    <w:link w:val="31"/>
    <w:qFormat/>
    <w:uiPriority w:val="1"/>
    <w:rPr>
      <w:rFonts w:ascii="Times New Roman" w:hAnsi="Times New Roman" w:eastAsia="宋体" w:cs="Times New Roman"/>
      <w:sz w:val="36"/>
      <w:szCs w:val="36"/>
    </w:rPr>
  </w:style>
  <w:style w:type="paragraph" w:styleId="7">
    <w:name w:val="toc 3"/>
    <w:basedOn w:val="1"/>
    <w:next w:val="1"/>
    <w:qFormat/>
    <w:uiPriority w:val="39"/>
    <w:pPr>
      <w:tabs>
        <w:tab w:val="right" w:leader="dot" w:pos="9241"/>
      </w:tabs>
      <w:ind w:firstLine="102" w:firstLineChars="100"/>
      <w:jc w:val="left"/>
    </w:pPr>
    <w:rPr>
      <w:rFonts w:ascii="宋体" w:hAnsi="Times New Roman" w:eastAsia="宋体" w:cs="Times New Roman"/>
      <w:szCs w:val="21"/>
    </w:rPr>
  </w:style>
  <w:style w:type="paragraph" w:styleId="8">
    <w:name w:val="Balloon Text"/>
    <w:basedOn w:val="1"/>
    <w:link w:val="27"/>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paragraph" w:styleId="12">
    <w:name w:val="toc 4"/>
    <w:basedOn w:val="1"/>
    <w:next w:val="1"/>
    <w:qFormat/>
    <w:uiPriority w:val="39"/>
    <w:pPr>
      <w:tabs>
        <w:tab w:val="right" w:leader="dot" w:pos="9241"/>
      </w:tabs>
      <w:ind w:firstLine="198" w:firstLineChars="200"/>
      <w:jc w:val="left"/>
    </w:pPr>
    <w:rPr>
      <w:rFonts w:ascii="宋体" w:hAnsi="Times New Roman" w:eastAsia="宋体" w:cs="Times New Roman"/>
      <w:szCs w:val="21"/>
    </w:rPr>
  </w:style>
  <w:style w:type="paragraph" w:styleId="13">
    <w:name w:val="toc 2"/>
    <w:basedOn w:val="1"/>
    <w:next w:val="1"/>
    <w:qFormat/>
    <w:uiPriority w:val="39"/>
    <w:pPr>
      <w:tabs>
        <w:tab w:val="right" w:leader="dot" w:pos="9241"/>
      </w:tabs>
    </w:pPr>
    <w:rPr>
      <w:rFonts w:ascii="宋体" w:hAnsi="Times New Roman" w:eastAsia="宋体" w:cs="Times New Roman"/>
      <w:szCs w:val="21"/>
    </w:rPr>
  </w:style>
  <w:style w:type="paragraph" w:styleId="14">
    <w:name w:val="Normal (Web)"/>
    <w:basedOn w:val="1"/>
    <w:qFormat/>
    <w:uiPriority w:val="99"/>
    <w:rPr>
      <w:rFonts w:ascii="Times New Roman" w:hAnsi="Times New Roman" w:eastAsia="宋体" w:cs="Times New Roman"/>
      <w:sz w:val="24"/>
      <w:szCs w:val="24"/>
    </w:rPr>
  </w:style>
  <w:style w:type="paragraph" w:styleId="15">
    <w:name w:val="annotation subject"/>
    <w:basedOn w:val="5"/>
    <w:next w:val="5"/>
    <w:link w:val="48"/>
    <w:semiHidden/>
    <w:unhideWhenUsed/>
    <w:qFormat/>
    <w:uiPriority w:val="99"/>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u w:val="single"/>
    </w:rPr>
  </w:style>
  <w:style w:type="character" w:styleId="20">
    <w:name w:val="Emphasis"/>
    <w:basedOn w:val="18"/>
    <w:qFormat/>
    <w:uiPriority w:val="20"/>
    <w:rPr>
      <w:i/>
      <w:iCs/>
    </w:rPr>
  </w:style>
  <w:style w:type="character" w:styleId="21">
    <w:name w:val="Hyperlink"/>
    <w:qFormat/>
    <w:uiPriority w:val="99"/>
    <w:rPr>
      <w:color w:val="0000FF"/>
      <w:spacing w:val="0"/>
      <w:w w:val="100"/>
      <w:szCs w:val="21"/>
      <w:u w:val="single"/>
      <w:lang w:val="en-US" w:eastAsia="zh-CN"/>
    </w:rPr>
  </w:style>
  <w:style w:type="character" w:styleId="22">
    <w:name w:val="annotation reference"/>
    <w:basedOn w:val="18"/>
    <w:semiHidden/>
    <w:unhideWhenUsed/>
    <w:qFormat/>
    <w:uiPriority w:val="99"/>
    <w:rPr>
      <w:sz w:val="21"/>
      <w:szCs w:val="21"/>
    </w:rPr>
  </w:style>
  <w:style w:type="character" w:customStyle="1" w:styleId="23">
    <w:name w:val="标题 2 字符"/>
    <w:basedOn w:val="18"/>
    <w:link w:val="3"/>
    <w:qFormat/>
    <w:uiPriority w:val="9"/>
    <w:rPr>
      <w:rFonts w:asciiTheme="majorHAnsi" w:hAnsiTheme="majorHAnsi" w:eastAsiaTheme="majorEastAsia" w:cstheme="majorBidi"/>
      <w:b/>
      <w:bCs/>
      <w:kern w:val="2"/>
      <w:sz w:val="32"/>
      <w:szCs w:val="32"/>
    </w:rPr>
  </w:style>
  <w:style w:type="paragraph" w:styleId="24">
    <w:name w:val="List Paragraph"/>
    <w:basedOn w:val="1"/>
    <w:qFormat/>
    <w:uiPriority w:val="34"/>
    <w:pPr>
      <w:ind w:firstLine="420" w:firstLineChars="200"/>
    </w:pPr>
  </w:style>
  <w:style w:type="character" w:customStyle="1" w:styleId="25">
    <w:name w:val="页眉 字符"/>
    <w:basedOn w:val="18"/>
    <w:link w:val="10"/>
    <w:qFormat/>
    <w:uiPriority w:val="99"/>
    <w:rPr>
      <w:sz w:val="18"/>
      <w:szCs w:val="18"/>
    </w:rPr>
  </w:style>
  <w:style w:type="character" w:customStyle="1" w:styleId="26">
    <w:name w:val="页脚 字符"/>
    <w:basedOn w:val="18"/>
    <w:link w:val="9"/>
    <w:qFormat/>
    <w:uiPriority w:val="99"/>
    <w:rPr>
      <w:sz w:val="18"/>
      <w:szCs w:val="18"/>
    </w:rPr>
  </w:style>
  <w:style w:type="character" w:customStyle="1" w:styleId="27">
    <w:name w:val="批注框文本 字符"/>
    <w:basedOn w:val="18"/>
    <w:link w:val="8"/>
    <w:semiHidden/>
    <w:qFormat/>
    <w:uiPriority w:val="99"/>
    <w:rPr>
      <w:sz w:val="18"/>
      <w:szCs w:val="18"/>
    </w:rPr>
  </w:style>
  <w:style w:type="character" w:customStyle="1" w:styleId="28">
    <w:name w:val="段 Char"/>
    <w:link w:val="29"/>
    <w:qFormat/>
    <w:uiPriority w:val="0"/>
    <w:rPr>
      <w:rFonts w:ascii="宋体"/>
      <w:sz w:val="21"/>
    </w:rPr>
  </w:style>
  <w:style w:type="paragraph" w:customStyle="1" w:styleId="29">
    <w:name w:val="段"/>
    <w:link w:val="2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发布"/>
    <w:qFormat/>
    <w:uiPriority w:val="0"/>
    <w:rPr>
      <w:rFonts w:ascii="黑体" w:eastAsia="黑体"/>
      <w:spacing w:val="85"/>
      <w:w w:val="100"/>
      <w:position w:val="3"/>
      <w:sz w:val="28"/>
      <w:szCs w:val="28"/>
    </w:rPr>
  </w:style>
  <w:style w:type="character" w:customStyle="1" w:styleId="31">
    <w:name w:val="正文文本 字符"/>
    <w:basedOn w:val="18"/>
    <w:link w:val="6"/>
    <w:qFormat/>
    <w:uiPriority w:val="1"/>
    <w:rPr>
      <w:kern w:val="2"/>
      <w:sz w:val="36"/>
      <w:szCs w:val="36"/>
    </w:rPr>
  </w:style>
  <w:style w:type="paragraph" w:customStyle="1" w:styleId="32">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33">
    <w:name w:val="封面标准英文名称"/>
    <w:basedOn w:val="34"/>
    <w:qFormat/>
    <w:uiPriority w:val="0"/>
    <w:pPr>
      <w:framePr w:wrap="around"/>
      <w:spacing w:before="370" w:line="400" w:lineRule="exact"/>
    </w:pPr>
    <w:rPr>
      <w:rFonts w:ascii="Times New Roman"/>
      <w:sz w:val="28"/>
      <w:szCs w:val="28"/>
    </w:rPr>
  </w:style>
  <w:style w:type="paragraph" w:customStyle="1" w:styleId="3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3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character" w:customStyle="1" w:styleId="39">
    <w:name w:val="标题 1 字符"/>
    <w:basedOn w:val="18"/>
    <w:link w:val="2"/>
    <w:qFormat/>
    <w:uiPriority w:val="9"/>
    <w:rPr>
      <w:rFonts w:asciiTheme="majorAscii" w:hAnsiTheme="majorAscii" w:eastAsiaTheme="majorEastAsia" w:cstheme="minorBidi"/>
      <w:b/>
      <w:bCs/>
      <w:kern w:val="44"/>
      <w:sz w:val="44"/>
      <w:szCs w:val="44"/>
    </w:rPr>
  </w:style>
  <w:style w:type="character" w:customStyle="1" w:styleId="40">
    <w:name w:val="Body text|1_"/>
    <w:basedOn w:val="18"/>
    <w:link w:val="41"/>
    <w:qFormat/>
    <w:uiPriority w:val="0"/>
    <w:rPr>
      <w:rFonts w:ascii="宋体" w:hAnsi="宋体" w:cs="宋体"/>
      <w:sz w:val="22"/>
      <w:szCs w:val="22"/>
      <w:lang w:val="zh-TW" w:eastAsia="zh-TW" w:bidi="zh-TW"/>
    </w:rPr>
  </w:style>
  <w:style w:type="paragraph" w:customStyle="1" w:styleId="41">
    <w:name w:val="Body text|1"/>
    <w:basedOn w:val="1"/>
    <w:link w:val="40"/>
    <w:qFormat/>
    <w:uiPriority w:val="0"/>
    <w:pPr>
      <w:spacing w:after="70" w:line="370" w:lineRule="auto"/>
      <w:ind w:firstLine="400"/>
      <w:jc w:val="left"/>
    </w:pPr>
    <w:rPr>
      <w:rFonts w:ascii="宋体" w:hAnsi="宋体" w:eastAsia="宋体" w:cs="宋体"/>
      <w:kern w:val="0"/>
      <w:sz w:val="22"/>
      <w:lang w:val="zh-TW" w:eastAsia="zh-TW" w:bidi="zh-TW"/>
    </w:rPr>
  </w:style>
  <w:style w:type="character" w:customStyle="1" w:styleId="42">
    <w:name w:val="批注文字 字符"/>
    <w:basedOn w:val="18"/>
    <w:link w:val="5"/>
    <w:semiHidden/>
    <w:qFormat/>
    <w:uiPriority w:val="99"/>
    <w:rPr>
      <w:rFonts w:asciiTheme="minorHAnsi" w:hAnsiTheme="minorHAnsi" w:eastAsiaTheme="minorEastAsia" w:cstheme="minorBidi"/>
      <w:kern w:val="2"/>
      <w:sz w:val="21"/>
      <w:szCs w:val="22"/>
    </w:rPr>
  </w:style>
  <w:style w:type="character" w:customStyle="1" w:styleId="43">
    <w:name w:val="font01"/>
    <w:basedOn w:val="18"/>
    <w:qFormat/>
    <w:uiPriority w:val="0"/>
    <w:rPr>
      <w:rFonts w:hint="eastAsia" w:ascii="宋体" w:hAnsi="宋体" w:eastAsia="宋体" w:cs="宋体"/>
      <w:color w:val="000000"/>
      <w:sz w:val="22"/>
      <w:szCs w:val="22"/>
      <w:u w:val="none"/>
    </w:rPr>
  </w:style>
  <w:style w:type="character" w:customStyle="1" w:styleId="44">
    <w:name w:val="font31"/>
    <w:basedOn w:val="18"/>
    <w:qFormat/>
    <w:uiPriority w:val="0"/>
    <w:rPr>
      <w:rFonts w:hint="eastAsia" w:ascii="宋体" w:hAnsi="宋体" w:eastAsia="宋体" w:cs="宋体"/>
      <w:color w:val="000000"/>
      <w:sz w:val="32"/>
      <w:szCs w:val="32"/>
      <w:u w:val="none"/>
    </w:rPr>
  </w:style>
  <w:style w:type="character" w:customStyle="1" w:styleId="45">
    <w:name w:val="font21"/>
    <w:basedOn w:val="18"/>
    <w:qFormat/>
    <w:uiPriority w:val="0"/>
    <w:rPr>
      <w:rFonts w:hint="eastAsia" w:ascii="宋体" w:hAnsi="宋体" w:eastAsia="宋体" w:cs="宋体"/>
      <w:color w:val="000000"/>
      <w:sz w:val="20"/>
      <w:szCs w:val="20"/>
      <w:u w:val="none"/>
    </w:rPr>
  </w:style>
  <w:style w:type="paragraph" w:customStyle="1" w:styleId="4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table" w:customStyle="1" w:styleId="4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48">
    <w:name w:val="批注主题 字符"/>
    <w:basedOn w:val="42"/>
    <w:link w:val="15"/>
    <w:semiHidden/>
    <w:qFormat/>
    <w:uiPriority w:val="99"/>
    <w:rPr>
      <w:rFonts w:asciiTheme="minorHAnsi" w:hAnsiTheme="minorHAnsi" w:eastAsiaTheme="minorEastAsia" w:cstheme="minorBidi"/>
      <w:b/>
      <w:bCs/>
      <w:kern w:val="2"/>
      <w:sz w:val="21"/>
      <w:szCs w:val="22"/>
    </w:rPr>
  </w:style>
  <w:style w:type="character" w:customStyle="1" w:styleId="49">
    <w:name w:val="fontstyle01"/>
    <w:basedOn w:val="18"/>
    <w:qFormat/>
    <w:uiPriority w:val="0"/>
    <w:rPr>
      <w:rFonts w:ascii="TimesNewRomanPSMT" w:hAnsi="TimesNewRomanPSMT" w:eastAsia="TimesNewRomanPSMT" w:cs="TimesNewRomanPSMT"/>
      <w:color w:val="000000"/>
      <w:sz w:val="22"/>
      <w:szCs w:val="22"/>
    </w:rPr>
  </w:style>
  <w:style w:type="character" w:customStyle="1" w:styleId="50">
    <w:name w:val="fontstyle21"/>
    <w:basedOn w:val="18"/>
    <w:qFormat/>
    <w:uiPriority w:val="0"/>
    <w:rPr>
      <w:rFonts w:ascii="TimesNewRomanPSMT" w:hAnsi="TimesNewRomanPSMT" w:eastAsia="TimesNewRomanPSMT" w:cs="TimesNewRomanPSMT"/>
      <w:color w:val="000000"/>
      <w:sz w:val="22"/>
      <w:szCs w:val="22"/>
    </w:rPr>
  </w:style>
  <w:style w:type="character" w:customStyle="1" w:styleId="51">
    <w:name w:val="font41"/>
    <w:basedOn w:val="18"/>
    <w:qFormat/>
    <w:uiPriority w:val="0"/>
    <w:rPr>
      <w:rFonts w:ascii="Calibri" w:hAnsi="Calibri" w:cs="Calibri"/>
      <w:color w:val="000000"/>
      <w:sz w:val="21"/>
      <w:szCs w:val="21"/>
      <w:u w:val="none"/>
    </w:rPr>
  </w:style>
  <w:style w:type="character" w:customStyle="1" w:styleId="52">
    <w:name w:val="font61"/>
    <w:basedOn w:val="18"/>
    <w:qFormat/>
    <w:uiPriority w:val="0"/>
    <w:rPr>
      <w:rFonts w:hint="default" w:ascii="Times New Roman" w:hAnsi="Times New Roman" w:cs="Times New Roman"/>
      <w:color w:val="000000"/>
      <w:sz w:val="21"/>
      <w:szCs w:val="21"/>
      <w:u w:val="none"/>
    </w:rPr>
  </w:style>
  <w:style w:type="paragraph" w:customStyle="1" w:styleId="53">
    <w:name w:val="表头"/>
    <w:basedOn w:val="1"/>
    <w:qFormat/>
    <w:uiPriority w:val="0"/>
    <w:pPr>
      <w:spacing w:afterLines="50" w:line="360" w:lineRule="auto"/>
      <w:jc w:val="center"/>
    </w:pPr>
    <w:rPr>
      <w:sz w:val="24"/>
      <w:szCs w:val="21"/>
    </w:rPr>
  </w:style>
  <w:style w:type="paragraph" w:customStyle="1" w:styleId="54">
    <w:name w:val="条文说明"/>
    <w:basedOn w:val="53"/>
    <w:qFormat/>
    <w:uiPriority w:val="0"/>
    <w:pPr>
      <w:adjustRightInd w:val="0"/>
      <w:snapToGrid w:val="0"/>
      <w:spacing w:afterLines="0"/>
      <w:jc w:val="both"/>
    </w:pPr>
    <w:rPr>
      <w:rFonts w:ascii="宋体" w:hAnsi="宋体"/>
      <w:color w:val="4F81BD" w:themeColor="accent1"/>
      <w:szCs w:val="24"/>
      <w14:textFill>
        <w14:solidFill>
          <w14:schemeClr w14:val="accent1"/>
        </w14:solidFill>
      </w14:textFill>
    </w:rPr>
  </w:style>
  <w:style w:type="character" w:customStyle="1" w:styleId="55">
    <w:name w:val="二级正文 字符"/>
    <w:basedOn w:val="18"/>
    <w:link w:val="56"/>
    <w:qFormat/>
    <w:uiPriority w:val="0"/>
    <w:rPr>
      <w:sz w:val="28"/>
      <w:szCs w:val="22"/>
    </w:rPr>
  </w:style>
  <w:style w:type="paragraph" w:customStyle="1" w:styleId="56">
    <w:name w:val="二级正文"/>
    <w:basedOn w:val="1"/>
    <w:link w:val="55"/>
    <w:qFormat/>
    <w:uiPriority w:val="0"/>
    <w:pPr>
      <w:spacing w:line="360" w:lineRule="auto"/>
      <w:ind w:firstLine="426" w:firstLineChars="152"/>
    </w:pPr>
    <w:rPr>
      <w:sz w:val="28"/>
      <w:szCs w:val="22"/>
    </w:rPr>
  </w:style>
  <w:style w:type="character" w:customStyle="1" w:styleId="57">
    <w:name w:val="fontstyle11"/>
    <w:basedOn w:val="18"/>
    <w:qFormat/>
    <w:uiPriority w:val="0"/>
    <w:rPr>
      <w:rFonts w:ascii="TimesNewRomanPSMT" w:hAnsi="TimesNewRomanPSMT" w:eastAsia="TimesNewRomanPSMT" w:cs="TimesNewRomanPSMT"/>
      <w:color w:val="000000"/>
      <w:sz w:val="22"/>
      <w:szCs w:val="22"/>
    </w:rPr>
  </w:style>
  <w:style w:type="character" w:customStyle="1" w:styleId="58">
    <w:name w:val="fontstyle31"/>
    <w:basedOn w:val="18"/>
    <w:qFormat/>
    <w:uiPriority w:val="0"/>
    <w:rPr>
      <w:rFonts w:ascii="DY5 + ZIbDVH-5" w:hAnsi="DY5 + ZIbDVH-5" w:eastAsia="DY5 + ZIbDVH-5" w:cs="DY5 + ZIbDVH-5"/>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8" Type="http://schemas.openxmlformats.org/officeDocument/2006/relationships/fontTable" Target="fontTable.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image" Target="media/image29.wmf"/><Relationship Id="rId64" Type="http://schemas.openxmlformats.org/officeDocument/2006/relationships/oleObject" Target="embeddings/oleObject26.bin"/><Relationship Id="rId63" Type="http://schemas.openxmlformats.org/officeDocument/2006/relationships/image" Target="media/image28.png"/><Relationship Id="rId62" Type="http://schemas.openxmlformats.org/officeDocument/2006/relationships/image" Target="media/image27.wmf"/><Relationship Id="rId61" Type="http://schemas.openxmlformats.org/officeDocument/2006/relationships/oleObject" Target="embeddings/oleObject25.bin"/><Relationship Id="rId60" Type="http://schemas.openxmlformats.org/officeDocument/2006/relationships/image" Target="media/image26.wmf"/><Relationship Id="rId6" Type="http://schemas.openxmlformats.org/officeDocument/2006/relationships/footer" Target="footer3.xml"/><Relationship Id="rId59" Type="http://schemas.openxmlformats.org/officeDocument/2006/relationships/oleObject" Target="embeddings/oleObject24.bin"/><Relationship Id="rId58" Type="http://schemas.openxmlformats.org/officeDocument/2006/relationships/image" Target="media/image25.wmf"/><Relationship Id="rId57" Type="http://schemas.openxmlformats.org/officeDocument/2006/relationships/oleObject" Target="embeddings/oleObject23.bin"/><Relationship Id="rId56" Type="http://schemas.openxmlformats.org/officeDocument/2006/relationships/image" Target="media/image24.wmf"/><Relationship Id="rId55" Type="http://schemas.openxmlformats.org/officeDocument/2006/relationships/oleObject" Target="embeddings/oleObject22.bin"/><Relationship Id="rId54" Type="http://schemas.openxmlformats.org/officeDocument/2006/relationships/image" Target="media/image23.wmf"/><Relationship Id="rId53" Type="http://schemas.openxmlformats.org/officeDocument/2006/relationships/oleObject" Target="embeddings/oleObject21.bin"/><Relationship Id="rId52" Type="http://schemas.openxmlformats.org/officeDocument/2006/relationships/image" Target="media/image22.wmf"/><Relationship Id="rId51" Type="http://schemas.openxmlformats.org/officeDocument/2006/relationships/oleObject" Target="embeddings/oleObject20.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19.bin"/><Relationship Id="rId48" Type="http://schemas.openxmlformats.org/officeDocument/2006/relationships/image" Target="media/image20.wmf"/><Relationship Id="rId47" Type="http://schemas.openxmlformats.org/officeDocument/2006/relationships/oleObject" Target="embeddings/oleObject18.bin"/><Relationship Id="rId46" Type="http://schemas.openxmlformats.org/officeDocument/2006/relationships/image" Target="media/image19.wmf"/><Relationship Id="rId45" Type="http://schemas.openxmlformats.org/officeDocument/2006/relationships/oleObject" Target="embeddings/oleObject17.bin"/><Relationship Id="rId44" Type="http://schemas.openxmlformats.org/officeDocument/2006/relationships/image" Target="media/image18.wmf"/><Relationship Id="rId43" Type="http://schemas.openxmlformats.org/officeDocument/2006/relationships/oleObject" Target="embeddings/oleObject16.bin"/><Relationship Id="rId42" Type="http://schemas.openxmlformats.org/officeDocument/2006/relationships/image" Target="media/image17.wmf"/><Relationship Id="rId41" Type="http://schemas.openxmlformats.org/officeDocument/2006/relationships/oleObject" Target="embeddings/oleObject15.bin"/><Relationship Id="rId40" Type="http://schemas.openxmlformats.org/officeDocument/2006/relationships/image" Target="media/image16.wmf"/><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5.wmf"/><Relationship Id="rId37" Type="http://schemas.openxmlformats.org/officeDocument/2006/relationships/oleObject" Target="embeddings/oleObject13.bin"/><Relationship Id="rId36" Type="http://schemas.openxmlformats.org/officeDocument/2006/relationships/image" Target="media/image14.wmf"/><Relationship Id="rId35" Type="http://schemas.openxmlformats.org/officeDocument/2006/relationships/oleObject" Target="embeddings/oleObject12.bin"/><Relationship Id="rId34" Type="http://schemas.openxmlformats.org/officeDocument/2006/relationships/image" Target="media/image13.wmf"/><Relationship Id="rId33" Type="http://schemas.openxmlformats.org/officeDocument/2006/relationships/oleObject" Target="embeddings/oleObject11.bin"/><Relationship Id="rId32" Type="http://schemas.openxmlformats.org/officeDocument/2006/relationships/image" Target="media/image12.wmf"/><Relationship Id="rId31" Type="http://schemas.openxmlformats.org/officeDocument/2006/relationships/oleObject" Target="embeddings/oleObject10.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0.wmf"/><Relationship Id="rId27" Type="http://schemas.openxmlformats.org/officeDocument/2006/relationships/oleObject" Target="embeddings/oleObject8.bin"/><Relationship Id="rId26" Type="http://schemas.openxmlformats.org/officeDocument/2006/relationships/image" Target="media/image9.wmf"/><Relationship Id="rId25" Type="http://schemas.openxmlformats.org/officeDocument/2006/relationships/oleObject" Target="embeddings/oleObject7.bin"/><Relationship Id="rId24" Type="http://schemas.openxmlformats.org/officeDocument/2006/relationships/image" Target="media/image8.wmf"/><Relationship Id="rId23" Type="http://schemas.openxmlformats.org/officeDocument/2006/relationships/oleObject" Target="embeddings/oleObject6.bin"/><Relationship Id="rId22" Type="http://schemas.openxmlformats.org/officeDocument/2006/relationships/image" Target="media/image7.wmf"/><Relationship Id="rId21" Type="http://schemas.openxmlformats.org/officeDocument/2006/relationships/oleObject" Target="embeddings/oleObject5.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1192</Words>
  <Characters>2020</Characters>
  <Lines>97</Lines>
  <Paragraphs>27</Paragraphs>
  <TotalTime>8</TotalTime>
  <ScaleCrop>false</ScaleCrop>
  <LinksUpToDate>false</LinksUpToDate>
  <CharactersWithSpaces>2505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2021-11-01T07:45:00Z</dcterms:created>
  <dc:creator>admin</dc:creator>
  <cp:lastModifiedBy>周密</cp:lastModifiedBy>
  <cp:lastPrinted>2023-12-06T05:59:00Z</cp:lastPrinted>
  <dcterms:modified xsi:type="dcterms:W3CDTF">2024-12-30T08:18:58Z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AF27F93ADAAA46CEB975A95BDC64962F</vt:lpwstr>
  </property>
  <property fmtid="{D5CDD505-2E9C-101B-9397-08002B2CF9AE}" pid="4" name="KSOTemplateDocerSaveRecord">
    <vt:lpwstr>eyJoZGlkIjoiNWNmZDAzZjgwZTI3ZTA0NDU1YTkyN2M5Nzk2OWM2MWMiLCJ1c2VySWQiOiI0NjIxMjI4MjQifQ==</vt:lpwstr>
  </property>
</Properties>
</file>