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8472" w:type="dxa"/>
        <w:jc w:val="center"/>
        <w:tblLayout w:type="fixed"/>
        <w:tblCellMar>
          <w:top w:w="0" w:type="dxa"/>
          <w:left w:w="108" w:type="dxa"/>
          <w:bottom w:w="0" w:type="dxa"/>
          <w:right w:w="108" w:type="dxa"/>
        </w:tblCellMar>
      </w:tblPr>
      <w:tblGrid>
        <w:gridCol w:w="1795"/>
        <w:gridCol w:w="300"/>
        <w:gridCol w:w="2549"/>
        <w:gridCol w:w="675"/>
        <w:gridCol w:w="3153"/>
      </w:tblGrid>
      <w:tr w14:paraId="23178B8B">
        <w:tblPrEx>
          <w:tblCellMar>
            <w:top w:w="0" w:type="dxa"/>
            <w:left w:w="108" w:type="dxa"/>
            <w:bottom w:w="0" w:type="dxa"/>
            <w:right w:w="108" w:type="dxa"/>
          </w:tblCellMar>
        </w:tblPrEx>
        <w:trPr>
          <w:jc w:val="center"/>
        </w:trPr>
        <w:tc>
          <w:tcPr>
            <w:tcW w:w="4644" w:type="dxa"/>
            <w:gridSpan w:val="3"/>
            <w:vAlign w:val="center"/>
          </w:tcPr>
          <w:p w14:paraId="49785FEF">
            <w:pPr>
              <w:jc w:val="center"/>
              <w:rPr>
                <w:sz w:val="48"/>
                <w:szCs w:val="48"/>
              </w:rPr>
            </w:pPr>
            <w:bookmarkStart w:id="0" w:name="_Toc469911160"/>
            <w:r>
              <w:rPr>
                <w:rFonts w:hint="eastAsia" w:ascii="黑体" w:hAnsi="黑体" w:eastAsia="黑体"/>
                <w:sz w:val="48"/>
                <w:szCs w:val="48"/>
              </w:rPr>
              <w:t xml:space="preserve">  </w:t>
            </w:r>
            <w:bookmarkStart w:id="1" w:name="_Toc363134831"/>
            <w:bookmarkStart w:id="2" w:name="_Toc363135173"/>
            <w:r>
              <w:rPr>
                <w:rFonts w:hint="eastAsia" w:ascii="黑体" w:hAnsi="黑体" w:eastAsia="黑体"/>
                <w:sz w:val="48"/>
                <w:szCs w:val="48"/>
              </w:rPr>
              <w:t>广东省标准</w:t>
            </w:r>
            <w:bookmarkEnd w:id="1"/>
            <w:bookmarkEnd w:id="2"/>
          </w:p>
        </w:tc>
        <w:tc>
          <w:tcPr>
            <w:tcW w:w="3828" w:type="dxa"/>
            <w:gridSpan w:val="2"/>
          </w:tcPr>
          <w:p w14:paraId="2A05298B">
            <w:pPr>
              <w:jc w:val="center"/>
              <w:rPr>
                <w:rFonts w:ascii="宋体" w:hAnsi="宋体"/>
                <w:sz w:val="96"/>
                <w:szCs w:val="96"/>
              </w:rPr>
            </w:pPr>
            <w:r>
              <w:rPr>
                <w:rFonts w:hint="eastAsia" w:ascii="宋体" w:hAnsi="宋体"/>
                <w:sz w:val="96"/>
                <w:szCs w:val="96"/>
              </w:rPr>
              <w:drawing>
                <wp:anchor distT="0" distB="0" distL="114300" distR="114300" simplePos="0" relativeHeight="251661312" behindDoc="0" locked="0" layoutInCell="1" allowOverlap="1">
                  <wp:simplePos x="0" y="0"/>
                  <wp:positionH relativeFrom="page">
                    <wp:posOffset>662940</wp:posOffset>
                  </wp:positionH>
                  <wp:positionV relativeFrom="page">
                    <wp:posOffset>99060</wp:posOffset>
                  </wp:positionV>
                  <wp:extent cx="1600200" cy="744220"/>
                  <wp:effectExtent l="0" t="0" r="0" b="17780"/>
                  <wp:wrapNone/>
                  <wp:docPr id="53"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 descr="说明: GD"/>
                          <pic:cNvPicPr>
                            <a:picLocks noChangeAspect="1"/>
                          </pic:cNvPicPr>
                        </pic:nvPicPr>
                        <pic:blipFill>
                          <a:blip r:embed="rId13" cstate="print"/>
                          <a:stretch>
                            <a:fillRect/>
                          </a:stretch>
                        </pic:blipFill>
                        <pic:spPr>
                          <a:xfrm>
                            <a:off x="0" y="0"/>
                            <a:ext cx="1600200" cy="744220"/>
                          </a:xfrm>
                          <a:prstGeom prst="rect">
                            <a:avLst/>
                          </a:prstGeom>
                          <a:noFill/>
                          <a:ln w="9525">
                            <a:noFill/>
                          </a:ln>
                        </pic:spPr>
                      </pic:pic>
                    </a:graphicData>
                  </a:graphic>
                </wp:anchor>
              </w:drawing>
            </w:r>
            <w:r>
              <w:rPr>
                <w:rFonts w:hint="eastAsia" w:ascii="宋体" w:hAnsi="宋体"/>
                <w:sz w:val="96"/>
                <w:szCs w:val="96"/>
              </w:rPr>
              <w:t xml:space="preserve">   </w:t>
            </w:r>
          </w:p>
        </w:tc>
      </w:tr>
      <w:tr w14:paraId="3B4B555A">
        <w:tblPrEx>
          <w:tblCellMar>
            <w:top w:w="0" w:type="dxa"/>
            <w:left w:w="108" w:type="dxa"/>
            <w:bottom w:w="0" w:type="dxa"/>
            <w:right w:w="108" w:type="dxa"/>
          </w:tblCellMar>
        </w:tblPrEx>
        <w:trPr>
          <w:trHeight w:val="989" w:hRule="atLeast"/>
          <w:jc w:val="center"/>
        </w:trPr>
        <w:tc>
          <w:tcPr>
            <w:tcW w:w="2095" w:type="dxa"/>
            <w:gridSpan w:val="2"/>
          </w:tcPr>
          <w:p w14:paraId="5951295D"/>
        </w:tc>
        <w:tc>
          <w:tcPr>
            <w:tcW w:w="2549" w:type="dxa"/>
          </w:tcPr>
          <w:p w14:paraId="19ACB4C5">
            <w:pPr>
              <w:rPr>
                <w:sz w:val="32"/>
              </w:rPr>
            </w:pPr>
          </w:p>
        </w:tc>
        <w:tc>
          <w:tcPr>
            <w:tcW w:w="3828" w:type="dxa"/>
            <w:gridSpan w:val="2"/>
            <w:vAlign w:val="bottom"/>
          </w:tcPr>
          <w:p w14:paraId="119FB732">
            <w:pPr>
              <w:ind w:left="-106" w:leftChars="-51" w:right="302" w:hanging="1"/>
              <w:jc w:val="right"/>
              <w:rPr>
                <w:sz w:val="30"/>
                <w:szCs w:val="30"/>
              </w:rPr>
            </w:pPr>
            <w:bookmarkStart w:id="3" w:name="_Toc363134832"/>
            <w:bookmarkStart w:id="4" w:name="_Toc363135174"/>
            <w:r>
              <w:rPr>
                <w:rFonts w:hint="eastAsia"/>
                <w:sz w:val="30"/>
                <w:szCs w:val="30"/>
              </w:rPr>
              <w:t>DBJ/T XXX-</w:t>
            </w:r>
            <w:bookmarkEnd w:id="3"/>
            <w:bookmarkEnd w:id="4"/>
            <w:r>
              <w:rPr>
                <w:rFonts w:hint="eastAsia"/>
                <w:sz w:val="30"/>
                <w:szCs w:val="30"/>
              </w:rPr>
              <w:t>XXXX</w:t>
            </w:r>
          </w:p>
          <w:p w14:paraId="3743B389">
            <w:pPr>
              <w:ind w:left="-106" w:leftChars="-51" w:right="302" w:hanging="1"/>
              <w:jc w:val="right"/>
              <w:rPr>
                <w:sz w:val="32"/>
              </w:rPr>
            </w:pPr>
            <w:bookmarkStart w:id="5" w:name="_Toc363135175"/>
            <w:bookmarkStart w:id="6" w:name="_Toc363134833"/>
            <w:r>
              <w:rPr>
                <w:rFonts w:hint="eastAsia"/>
                <w:sz w:val="30"/>
                <w:szCs w:val="30"/>
              </w:rPr>
              <w:t xml:space="preserve">备案号J </w:t>
            </w:r>
            <w:bookmarkEnd w:id="5"/>
            <w:bookmarkEnd w:id="6"/>
            <w:r>
              <w:rPr>
                <w:rFonts w:hint="eastAsia"/>
                <w:sz w:val="30"/>
                <w:szCs w:val="30"/>
              </w:rPr>
              <w:t>XXXXX</w:t>
            </w:r>
          </w:p>
        </w:tc>
      </w:tr>
      <w:tr w14:paraId="3A03444D">
        <w:tblPrEx>
          <w:tblCellMar>
            <w:top w:w="0" w:type="dxa"/>
            <w:left w:w="108" w:type="dxa"/>
            <w:bottom w:w="0" w:type="dxa"/>
            <w:right w:w="108" w:type="dxa"/>
          </w:tblCellMar>
        </w:tblPrEx>
        <w:trPr>
          <w:jc w:val="center"/>
        </w:trPr>
        <w:tc>
          <w:tcPr>
            <w:tcW w:w="8472" w:type="dxa"/>
            <w:gridSpan w:val="5"/>
          </w:tcPr>
          <w:p w14:paraId="54163B94">
            <w:bookmarkStart w:id="7" w:name="_Toc363134834"/>
            <w:bookmarkStart w:id="8" w:name="_Toc363135176"/>
            <w: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46990</wp:posOffset>
                      </wp:positionV>
                      <wp:extent cx="5400675" cy="635"/>
                      <wp:effectExtent l="0" t="0" r="9525" b="37465"/>
                      <wp:wrapNone/>
                      <wp:docPr id="59" name="直接连接符 59"/>
                      <wp:cNvGraphicFramePr/>
                      <a:graphic xmlns:a="http://schemas.openxmlformats.org/drawingml/2006/main">
                        <a:graphicData uri="http://schemas.microsoft.com/office/word/2010/wordprocessingShape">
                          <wps:wsp>
                            <wps:cNvCnPr/>
                            <wps:spPr>
                              <a:xfrm>
                                <a:off x="0" y="0"/>
                                <a:ext cx="54006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15pt;margin-top:3.7pt;height:0.05pt;width:425.25pt;z-index:251659264;mso-width-relative:page;mso-height-relative:page;" filled="f" stroked="t" coordsize="21600,21600" o:gfxdata="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Pz&#10;IU7VAAAABgEAAA8AAAAAAAAAAQAgAAAAIgAAAGRycy9kb3ducmV2LnhtbFBLAQIUABQAAAAIAIdO&#10;4kCvpBDg7QEAANwDAAAOAAAAAAAAAAEAIAAAACQBAABkcnMvZTJvRG9jLnhtbFBLBQYAAAAABgAG&#10;AFkBAACDBQAAAAA=&#10;">
                      <v:fill on="f" focussize="0,0"/>
                      <v:stroke color="#000000" joinstyle="round"/>
                      <v:imagedata o:title=""/>
                      <o:lock v:ext="edit" aspectratio="f"/>
                    </v:line>
                  </w:pict>
                </mc:Fallback>
              </mc:AlternateContent>
            </w:r>
            <w:bookmarkEnd w:id="7"/>
            <w:bookmarkEnd w:id="8"/>
          </w:p>
          <w:p w14:paraId="73F88D74"/>
          <w:p w14:paraId="2157A28A"/>
        </w:tc>
      </w:tr>
      <w:tr w14:paraId="42AC81AD">
        <w:tblPrEx>
          <w:tblCellMar>
            <w:top w:w="0" w:type="dxa"/>
            <w:left w:w="108" w:type="dxa"/>
            <w:bottom w:w="0" w:type="dxa"/>
            <w:right w:w="108" w:type="dxa"/>
          </w:tblCellMar>
        </w:tblPrEx>
        <w:trPr>
          <w:jc w:val="center"/>
        </w:trPr>
        <w:tc>
          <w:tcPr>
            <w:tcW w:w="8472" w:type="dxa"/>
            <w:gridSpan w:val="5"/>
          </w:tcPr>
          <w:p w14:paraId="2A601258">
            <w:pPr>
              <w:jc w:val="center"/>
              <w:rPr>
                <w:rFonts w:ascii="宋体" w:hAnsi="宋体"/>
                <w:b/>
                <w:bCs/>
                <w:spacing w:val="-10"/>
                <w:sz w:val="48"/>
                <w:szCs w:val="48"/>
              </w:rPr>
            </w:pPr>
            <w:r>
              <w:rPr>
                <w:rFonts w:hint="eastAsia" w:ascii="宋体" w:hAnsi="宋体"/>
                <w:b/>
                <w:bCs/>
                <w:sz w:val="48"/>
                <w:szCs w:val="48"/>
              </w:rPr>
              <w:t>有轨电车设施安全保护技术规范</w:t>
            </w:r>
          </w:p>
        </w:tc>
      </w:tr>
      <w:tr w14:paraId="2C5553DD">
        <w:tblPrEx>
          <w:tblCellMar>
            <w:top w:w="0" w:type="dxa"/>
            <w:left w:w="108" w:type="dxa"/>
            <w:bottom w:w="0" w:type="dxa"/>
            <w:right w:w="108" w:type="dxa"/>
          </w:tblCellMar>
        </w:tblPrEx>
        <w:trPr>
          <w:jc w:val="center"/>
        </w:trPr>
        <w:tc>
          <w:tcPr>
            <w:tcW w:w="8472" w:type="dxa"/>
            <w:gridSpan w:val="5"/>
          </w:tcPr>
          <w:p w14:paraId="6EF79D2A">
            <w:pPr>
              <w:spacing w:before="312" w:beforeLines="100"/>
              <w:jc w:val="center"/>
              <w:rPr>
                <w:sz w:val="28"/>
              </w:rPr>
            </w:pPr>
            <w:r>
              <w:rPr>
                <w:sz w:val="28"/>
              </w:rPr>
              <w:t xml:space="preserve">Technical </w:t>
            </w:r>
            <w:r>
              <w:rPr>
                <w:rFonts w:hint="eastAsia"/>
                <w:sz w:val="28"/>
              </w:rPr>
              <w:t>s</w:t>
            </w:r>
            <w:r>
              <w:rPr>
                <w:sz w:val="28"/>
              </w:rPr>
              <w:t xml:space="preserve">tandards for </w:t>
            </w:r>
            <w:r>
              <w:rPr>
                <w:rFonts w:hint="eastAsia"/>
                <w:sz w:val="28"/>
              </w:rPr>
              <w:t>s</w:t>
            </w:r>
            <w:r>
              <w:rPr>
                <w:sz w:val="28"/>
              </w:rPr>
              <w:t xml:space="preserve">afety </w:t>
            </w:r>
            <w:r>
              <w:rPr>
                <w:rFonts w:hint="eastAsia"/>
                <w:sz w:val="28"/>
              </w:rPr>
              <w:t>p</w:t>
            </w:r>
            <w:r>
              <w:rPr>
                <w:sz w:val="28"/>
              </w:rPr>
              <w:t xml:space="preserve">rotection of </w:t>
            </w:r>
            <w:r>
              <w:rPr>
                <w:rFonts w:hint="eastAsia"/>
                <w:sz w:val="28"/>
              </w:rPr>
              <w:t>f</w:t>
            </w:r>
            <w:r>
              <w:rPr>
                <w:sz w:val="28"/>
              </w:rPr>
              <w:t xml:space="preserve">acilities </w:t>
            </w:r>
            <w:r>
              <w:rPr>
                <w:rFonts w:hint="eastAsia"/>
                <w:sz w:val="28"/>
              </w:rPr>
              <w:t>of t</w:t>
            </w:r>
            <w:r>
              <w:rPr>
                <w:sz w:val="28"/>
              </w:rPr>
              <w:t xml:space="preserve">ram </w:t>
            </w:r>
          </w:p>
        </w:tc>
      </w:tr>
      <w:tr w14:paraId="751FF5BC">
        <w:tblPrEx>
          <w:tblCellMar>
            <w:top w:w="0" w:type="dxa"/>
            <w:left w:w="108" w:type="dxa"/>
            <w:bottom w:w="0" w:type="dxa"/>
            <w:right w:w="108" w:type="dxa"/>
          </w:tblCellMar>
        </w:tblPrEx>
        <w:trPr>
          <w:jc w:val="center"/>
        </w:trPr>
        <w:tc>
          <w:tcPr>
            <w:tcW w:w="1795" w:type="dxa"/>
          </w:tcPr>
          <w:p w14:paraId="607F05A6">
            <w:pPr>
              <w:rPr>
                <w:rFonts w:ascii="黑体" w:hAnsi="黑体" w:eastAsia="黑体"/>
                <w:b/>
                <w:bCs/>
                <w:sz w:val="32"/>
                <w:szCs w:val="32"/>
              </w:rPr>
            </w:pPr>
          </w:p>
        </w:tc>
        <w:tc>
          <w:tcPr>
            <w:tcW w:w="3524" w:type="dxa"/>
            <w:gridSpan w:val="3"/>
          </w:tcPr>
          <w:p w14:paraId="04088C46">
            <w:pPr>
              <w:rPr>
                <w:b/>
                <w:bCs/>
                <w:sz w:val="28"/>
              </w:rPr>
            </w:pPr>
            <w:bookmarkStart w:id="9" w:name="_Toc363134837"/>
            <w:bookmarkStart w:id="10" w:name="_Toc363135179"/>
          </w:p>
          <w:p w14:paraId="56F9FA2C">
            <w:pPr>
              <w:jc w:val="center"/>
              <w:rPr>
                <w:b/>
                <w:bCs/>
                <w:sz w:val="30"/>
                <w:szCs w:val="30"/>
              </w:rPr>
            </w:pPr>
            <w:r>
              <w:rPr>
                <w:rFonts w:hint="eastAsia"/>
                <w:bCs/>
                <w:sz w:val="28"/>
              </w:rPr>
              <w:t xml:space="preserve">        </w:t>
            </w:r>
            <w:r>
              <w:rPr>
                <w:rFonts w:hint="eastAsia"/>
                <w:b/>
                <w:bCs/>
                <w:sz w:val="30"/>
                <w:szCs w:val="30"/>
              </w:rPr>
              <w:t xml:space="preserve"> </w:t>
            </w:r>
            <w:bookmarkEnd w:id="9"/>
            <w:bookmarkEnd w:id="10"/>
          </w:p>
          <w:p w14:paraId="4EFF5249">
            <w:pPr>
              <w:rPr>
                <w:rFonts w:ascii="黑体" w:hAnsi="黑体" w:eastAsia="黑体"/>
                <w:b/>
                <w:bCs/>
                <w:sz w:val="32"/>
                <w:szCs w:val="32"/>
              </w:rPr>
            </w:pPr>
          </w:p>
          <w:p w14:paraId="34048E5E">
            <w:pPr>
              <w:jc w:val="center"/>
              <w:rPr>
                <w:rFonts w:ascii="黑体" w:hAnsi="黑体" w:eastAsia="黑体"/>
                <w:b/>
                <w:bCs/>
                <w:sz w:val="32"/>
                <w:szCs w:val="32"/>
              </w:rPr>
            </w:pPr>
            <w:r>
              <w:rPr>
                <w:rFonts w:hint="eastAsia" w:ascii="黑体" w:hAnsi="黑体" w:eastAsia="黑体"/>
                <w:b/>
                <w:bCs/>
                <w:sz w:val="32"/>
                <w:szCs w:val="32"/>
              </w:rPr>
              <w:t xml:space="preserve"> </w:t>
            </w:r>
          </w:p>
          <w:p w14:paraId="2DD66971">
            <w:pPr>
              <w:rPr>
                <w:rFonts w:ascii="黑体" w:hAnsi="黑体" w:eastAsia="黑体"/>
                <w:b/>
                <w:bCs/>
                <w:sz w:val="32"/>
                <w:szCs w:val="32"/>
              </w:rPr>
            </w:pPr>
          </w:p>
          <w:p w14:paraId="1597DDDC">
            <w:pPr>
              <w:rPr>
                <w:rFonts w:ascii="黑体" w:hAnsi="黑体" w:eastAsia="黑体"/>
                <w:b/>
                <w:bCs/>
                <w:sz w:val="32"/>
                <w:szCs w:val="32"/>
              </w:rPr>
            </w:pPr>
          </w:p>
          <w:p w14:paraId="7E26F12C">
            <w:pPr>
              <w:rPr>
                <w:rFonts w:ascii="宋体" w:hAnsi="宋体"/>
                <w:b/>
                <w:bCs/>
                <w:sz w:val="32"/>
                <w:szCs w:val="32"/>
              </w:rPr>
            </w:pPr>
          </w:p>
        </w:tc>
        <w:tc>
          <w:tcPr>
            <w:tcW w:w="3153" w:type="dxa"/>
          </w:tcPr>
          <w:p w14:paraId="36FF244A">
            <w:pPr>
              <w:rPr>
                <w:rFonts w:ascii="黑体" w:hAnsi="黑体" w:eastAsia="黑体"/>
                <w:b/>
                <w:bCs/>
                <w:sz w:val="32"/>
                <w:szCs w:val="32"/>
              </w:rPr>
            </w:pPr>
          </w:p>
        </w:tc>
      </w:tr>
      <w:tr w14:paraId="1BE32ADE">
        <w:tblPrEx>
          <w:tblCellMar>
            <w:top w:w="0" w:type="dxa"/>
            <w:left w:w="108" w:type="dxa"/>
            <w:bottom w:w="0" w:type="dxa"/>
            <w:right w:w="108" w:type="dxa"/>
          </w:tblCellMar>
        </w:tblPrEx>
        <w:trPr>
          <w:trHeight w:val="394" w:hRule="atLeast"/>
          <w:jc w:val="center"/>
        </w:trPr>
        <w:tc>
          <w:tcPr>
            <w:tcW w:w="1795" w:type="dxa"/>
          </w:tcPr>
          <w:p w14:paraId="662318BE">
            <w:pPr>
              <w:rPr>
                <w:rFonts w:ascii="宋体" w:hAnsi="宋体"/>
                <w:bCs/>
              </w:rPr>
            </w:pPr>
          </w:p>
        </w:tc>
        <w:tc>
          <w:tcPr>
            <w:tcW w:w="3524" w:type="dxa"/>
            <w:gridSpan w:val="3"/>
          </w:tcPr>
          <w:p w14:paraId="6B791D25">
            <w:pPr>
              <w:rPr>
                <w:rFonts w:ascii="宋体" w:hAnsi="宋体"/>
                <w:bCs/>
              </w:rPr>
            </w:pPr>
          </w:p>
        </w:tc>
        <w:tc>
          <w:tcPr>
            <w:tcW w:w="3153" w:type="dxa"/>
          </w:tcPr>
          <w:p w14:paraId="205FF267">
            <w:pPr>
              <w:rPr>
                <w:rFonts w:ascii="宋体" w:hAnsi="宋体"/>
                <w:bCs/>
              </w:rPr>
            </w:pPr>
          </w:p>
        </w:tc>
      </w:tr>
      <w:tr w14:paraId="21555C20">
        <w:tblPrEx>
          <w:tblCellMar>
            <w:top w:w="0" w:type="dxa"/>
            <w:left w:w="108" w:type="dxa"/>
            <w:bottom w:w="0" w:type="dxa"/>
            <w:right w:w="108" w:type="dxa"/>
          </w:tblCellMar>
        </w:tblPrEx>
        <w:trPr>
          <w:trHeight w:val="786" w:hRule="atLeast"/>
          <w:jc w:val="center"/>
        </w:trPr>
        <w:tc>
          <w:tcPr>
            <w:tcW w:w="8472" w:type="dxa"/>
            <w:gridSpan w:val="5"/>
          </w:tcPr>
          <w:p w14:paraId="74F04B21">
            <w:pPr>
              <w:ind w:firstLine="274" w:firstLineChars="98"/>
              <w:rPr>
                <w:rFonts w:ascii="黑体" w:hAnsi="黑体" w:eastAsia="黑体"/>
                <w:bCs/>
                <w:sz w:val="28"/>
                <w:szCs w:val="28"/>
              </w:rPr>
            </w:pPr>
            <w:bookmarkStart w:id="11" w:name="_Toc363135180"/>
            <w:bookmarkStart w:id="12" w:name="_Toc363134838"/>
          </w:p>
          <w:p w14:paraId="417F31F1">
            <w:pPr>
              <w:ind w:firstLine="274" w:firstLineChars="98"/>
              <w:rPr>
                <w:rFonts w:ascii="黑体" w:hAnsi="黑体" w:eastAsia="黑体"/>
                <w:bCs/>
                <w:sz w:val="28"/>
                <w:szCs w:val="28"/>
              </w:rPr>
            </w:pPr>
            <w:r>
              <w:rPr>
                <w:rFonts w:hint="eastAsia" w:ascii="黑体" w:hAnsi="黑体" w:eastAsia="黑体"/>
                <w:bCs/>
                <w:sz w:val="28"/>
                <w:szCs w:val="28"/>
              </w:rPr>
              <w:t>XXXX-XX-XX发布</w:t>
            </w:r>
            <w:bookmarkEnd w:id="11"/>
            <w:bookmarkEnd w:id="12"/>
            <w:bookmarkStart w:id="13" w:name="_Toc363134839"/>
            <w:bookmarkStart w:id="14" w:name="_Toc363135181"/>
            <w:r>
              <w:rPr>
                <w:rFonts w:hint="eastAsia" w:ascii="黑体" w:hAnsi="黑体" w:eastAsia="黑体"/>
                <w:bCs/>
                <w:sz w:val="28"/>
                <w:szCs w:val="28"/>
              </w:rPr>
              <w:t xml:space="preserve">                       XXXX-XX-XX实施</w:t>
            </w:r>
          </w:p>
          <w:p w14:paraId="47ABB541">
            <w:pPr>
              <w:jc w:val="center"/>
              <w:rPr>
                <w:rFonts w:ascii="黑体" w:hAnsi="黑体" w:eastAsia="黑体"/>
                <w:bCs/>
                <w:szCs w:val="32"/>
              </w:rPr>
            </w:pPr>
            <w:bookmarkStart w:id="15" w:name="_Toc363134840"/>
            <w:bookmarkStart w:id="16" w:name="_Toc363135182"/>
            <w:r>
              <w:rPr>
                <w:rFonts w:ascii="黑体" w:eastAsia="黑体"/>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21590</wp:posOffset>
                      </wp:positionV>
                      <wp:extent cx="5372100" cy="0"/>
                      <wp:effectExtent l="0" t="0" r="19050" b="19050"/>
                      <wp:wrapNone/>
                      <wp:docPr id="58" name="直接连接符 58"/>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1.7pt;height:0pt;width:423pt;z-index:251660288;mso-width-relative:page;mso-height-relative:page;" filled="f" stroked="t" coordsize="21600,21600" o:gfxdata="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2Bl&#10;0dQAAAAHAQAADwAAAAAAAAABACAAAAAiAAAAZHJzL2Rvd25yZXYueG1sUEsBAhQAFAAAAAgAh07i&#10;QMiwssHtAQAA2gMAAA4AAAAAAAAAAQAgAAAAIwEAAGRycy9lMm9Eb2MueG1sUEsFBgAAAAAGAAYA&#10;WQEAAIIFAAAAAA==&#10;">
                      <v:fill on="f" focussize="0,0"/>
                      <v:stroke color="#000000" joinstyle="round"/>
                      <v:imagedata o:title=""/>
                      <o:lock v:ext="edit" aspectratio="f"/>
                    </v:line>
                  </w:pict>
                </mc:Fallback>
              </mc:AlternateContent>
            </w:r>
            <w:bookmarkEnd w:id="15"/>
            <w:bookmarkEnd w:id="16"/>
            <w:r>
              <w:rPr>
                <w:rFonts w:hint="eastAsia" w:ascii="黑体" w:hAnsi="黑体" w:eastAsia="黑体"/>
                <w:bCs/>
                <w:sz w:val="28"/>
                <w:szCs w:val="28"/>
              </w:rPr>
              <w:t xml:space="preserve">                                      </w:t>
            </w:r>
            <w:bookmarkEnd w:id="13"/>
            <w:bookmarkEnd w:id="14"/>
          </w:p>
        </w:tc>
      </w:tr>
      <w:tr w14:paraId="2329EFCE">
        <w:tblPrEx>
          <w:tblCellMar>
            <w:top w:w="0" w:type="dxa"/>
            <w:left w:w="108" w:type="dxa"/>
            <w:bottom w:w="0" w:type="dxa"/>
            <w:right w:w="108" w:type="dxa"/>
          </w:tblCellMar>
        </w:tblPrEx>
        <w:trPr>
          <w:trHeight w:val="588" w:hRule="atLeast"/>
          <w:jc w:val="center"/>
        </w:trPr>
        <w:tc>
          <w:tcPr>
            <w:tcW w:w="8472" w:type="dxa"/>
            <w:gridSpan w:val="5"/>
          </w:tcPr>
          <w:p w14:paraId="62BC0579">
            <w:pPr>
              <w:jc w:val="center"/>
              <w:rPr>
                <w:rFonts w:ascii="黑体" w:eastAsia="黑体"/>
                <w:bCs/>
                <w:sz w:val="32"/>
                <w:szCs w:val="32"/>
              </w:rPr>
            </w:pPr>
            <w:bookmarkStart w:id="17" w:name="_Toc363134841"/>
            <w:bookmarkStart w:id="18" w:name="_Toc363135183"/>
            <w:r>
              <w:rPr>
                <w:rFonts w:hint="eastAsia" w:ascii="黑体" w:eastAsia="黑体"/>
                <w:bCs/>
                <w:sz w:val="32"/>
                <w:szCs w:val="32"/>
              </w:rPr>
              <w:t>广东省住房和城乡建设厅</w:t>
            </w:r>
            <w:bookmarkEnd w:id="17"/>
            <w:bookmarkEnd w:id="18"/>
            <w:r>
              <w:rPr>
                <w:rFonts w:hint="eastAsia" w:ascii="黑体" w:eastAsia="黑体"/>
                <w:bCs/>
                <w:sz w:val="32"/>
                <w:szCs w:val="32"/>
              </w:rPr>
              <w:t xml:space="preserve">   发布</w:t>
            </w:r>
          </w:p>
          <w:p w14:paraId="622AE898">
            <w:pPr>
              <w:jc w:val="right"/>
              <w:rPr>
                <w:rFonts w:ascii="黑体" w:hAnsi="黑体" w:eastAsia="黑体"/>
                <w:bCs/>
                <w:sz w:val="28"/>
                <w:szCs w:val="28"/>
              </w:rPr>
            </w:pPr>
            <w:r>
              <w:rPr>
                <w:rFonts w:hint="eastAsia" w:ascii="黑体" w:eastAsia="黑体"/>
                <w:bCs/>
                <w:sz w:val="28"/>
                <w:szCs w:val="28"/>
              </w:rPr>
              <w:t>本标准不涉及专利</w:t>
            </w:r>
          </w:p>
        </w:tc>
      </w:tr>
    </w:tbl>
    <w:p w14:paraId="064B5FF6">
      <w:pPr>
        <w:pStyle w:val="2"/>
        <w:ind w:left="485" w:hanging="485"/>
        <w:sectPr>
          <w:headerReference r:id="rId5" w:type="even"/>
          <w:pgSz w:w="11906" w:h="16838"/>
          <w:pgMar w:top="1440" w:right="1800" w:bottom="1440" w:left="2268" w:header="851" w:footer="992" w:gutter="0"/>
          <w:cols w:space="425" w:num="1"/>
          <w:docGrid w:type="lines" w:linePitch="312" w:charSpace="0"/>
        </w:sectPr>
      </w:pPr>
    </w:p>
    <w:p w14:paraId="54BED6CF">
      <w:pPr>
        <w:spacing w:before="624" w:beforeLines="200"/>
        <w:jc w:val="center"/>
        <w:rPr>
          <w:sz w:val="32"/>
          <w:szCs w:val="32"/>
        </w:rPr>
      </w:pPr>
      <w:r>
        <w:rPr>
          <w:rFonts w:hint="eastAsia"/>
          <w:sz w:val="48"/>
          <w:szCs w:val="48"/>
        </w:rPr>
        <w:t>广东省标准</w:t>
      </w:r>
    </w:p>
    <w:p w14:paraId="3843B325">
      <w:pPr>
        <w:rPr>
          <w:b/>
          <w:sz w:val="28"/>
          <w:szCs w:val="28"/>
        </w:rPr>
      </w:pPr>
    </w:p>
    <w:p w14:paraId="183C5428">
      <w:pPr>
        <w:jc w:val="center"/>
        <w:rPr>
          <w:b/>
          <w:sz w:val="48"/>
          <w:szCs w:val="48"/>
        </w:rPr>
      </w:pPr>
      <w:r>
        <w:rPr>
          <w:rFonts w:hint="eastAsia" w:ascii="宋体" w:hAnsi="宋体"/>
          <w:b/>
          <w:bCs/>
          <w:sz w:val="48"/>
          <w:szCs w:val="48"/>
        </w:rPr>
        <w:t>有轨电车设施安全保护技术规范</w:t>
      </w:r>
    </w:p>
    <w:p w14:paraId="5D754178">
      <w:pPr>
        <w:jc w:val="center"/>
        <w:rPr>
          <w:b/>
          <w:sz w:val="36"/>
          <w:szCs w:val="36"/>
        </w:rPr>
      </w:pPr>
      <w:r>
        <w:rPr>
          <w:sz w:val="28"/>
        </w:rPr>
        <w:t xml:space="preserve">Technical </w:t>
      </w:r>
      <w:r>
        <w:rPr>
          <w:rFonts w:hint="eastAsia"/>
          <w:sz w:val="28"/>
        </w:rPr>
        <w:t>s</w:t>
      </w:r>
      <w:r>
        <w:rPr>
          <w:sz w:val="28"/>
        </w:rPr>
        <w:t xml:space="preserve">tandards for </w:t>
      </w:r>
      <w:r>
        <w:rPr>
          <w:rFonts w:hint="eastAsia"/>
          <w:sz w:val="28"/>
        </w:rPr>
        <w:t>s</w:t>
      </w:r>
      <w:r>
        <w:rPr>
          <w:sz w:val="28"/>
        </w:rPr>
        <w:t xml:space="preserve">afety </w:t>
      </w:r>
      <w:r>
        <w:rPr>
          <w:rFonts w:hint="eastAsia"/>
          <w:sz w:val="28"/>
        </w:rPr>
        <w:t>p</w:t>
      </w:r>
      <w:r>
        <w:rPr>
          <w:sz w:val="28"/>
        </w:rPr>
        <w:t xml:space="preserve">rotection of </w:t>
      </w:r>
      <w:r>
        <w:rPr>
          <w:rFonts w:hint="eastAsia"/>
          <w:sz w:val="28"/>
        </w:rPr>
        <w:t>f</w:t>
      </w:r>
      <w:r>
        <w:rPr>
          <w:sz w:val="28"/>
        </w:rPr>
        <w:t xml:space="preserve">acilities </w:t>
      </w:r>
      <w:r>
        <w:rPr>
          <w:rFonts w:hint="eastAsia"/>
          <w:sz w:val="28"/>
        </w:rPr>
        <w:t>of t</w:t>
      </w:r>
      <w:r>
        <w:rPr>
          <w:sz w:val="28"/>
        </w:rPr>
        <w:t>ram</w:t>
      </w:r>
    </w:p>
    <w:p w14:paraId="765D889C">
      <w:pPr>
        <w:jc w:val="center"/>
        <w:rPr>
          <w:sz w:val="32"/>
          <w:szCs w:val="32"/>
        </w:rPr>
      </w:pPr>
      <w:r>
        <w:rPr>
          <w:rFonts w:hint="eastAsia"/>
          <w:sz w:val="30"/>
          <w:szCs w:val="30"/>
        </w:rPr>
        <w:t>DBJ/T XXX-XXXX</w:t>
      </w:r>
    </w:p>
    <w:p w14:paraId="7D4EB7B6">
      <w:pPr>
        <w:jc w:val="center"/>
        <w:rPr>
          <w:sz w:val="32"/>
          <w:szCs w:val="32"/>
        </w:rPr>
      </w:pPr>
    </w:p>
    <w:p w14:paraId="4FEAC8D0">
      <w:pPr>
        <w:jc w:val="center"/>
        <w:rPr>
          <w:sz w:val="32"/>
          <w:szCs w:val="32"/>
        </w:rPr>
      </w:pPr>
      <w:r>
        <w:rPr>
          <w:rFonts w:hint="eastAsia"/>
          <w:sz w:val="32"/>
          <w:szCs w:val="32"/>
        </w:rPr>
        <w:t>住房和城乡建设部备案号：XXXX</w:t>
      </w:r>
      <w:r>
        <w:rPr>
          <w:sz w:val="32"/>
          <w:szCs w:val="32"/>
        </w:rPr>
        <w:t>-</w:t>
      </w:r>
      <w:r>
        <w:rPr>
          <w:rFonts w:hint="eastAsia"/>
          <w:sz w:val="32"/>
          <w:szCs w:val="32"/>
        </w:rPr>
        <w:t>XXXX</w:t>
      </w:r>
    </w:p>
    <w:p w14:paraId="7D26AB9A">
      <w:pPr>
        <w:ind w:firstLine="1280" w:firstLineChars="400"/>
        <w:rPr>
          <w:sz w:val="32"/>
          <w:szCs w:val="32"/>
        </w:rPr>
      </w:pPr>
      <w:r>
        <w:rPr>
          <w:rFonts w:hint="eastAsia"/>
          <w:sz w:val="32"/>
          <w:szCs w:val="32"/>
        </w:rPr>
        <w:t>批准部门：广东省住房和城乡建设厅</w:t>
      </w:r>
    </w:p>
    <w:p w14:paraId="4F921D31">
      <w:pPr>
        <w:ind w:firstLine="1280" w:firstLineChars="400"/>
        <w:rPr>
          <w:sz w:val="32"/>
          <w:szCs w:val="32"/>
        </w:rPr>
      </w:pPr>
      <w:r>
        <w:rPr>
          <w:rFonts w:hint="eastAsia"/>
          <w:sz w:val="32"/>
          <w:szCs w:val="32"/>
        </w:rPr>
        <w:t>实施日期：XXXX年XX月XX日</w:t>
      </w:r>
    </w:p>
    <w:p w14:paraId="3376D085">
      <w:pPr>
        <w:jc w:val="center"/>
        <w:rPr>
          <w:b/>
          <w:sz w:val="36"/>
          <w:szCs w:val="36"/>
        </w:rPr>
      </w:pPr>
    </w:p>
    <w:p w14:paraId="702A517C">
      <w:pPr>
        <w:jc w:val="center"/>
        <w:rPr>
          <w:b/>
          <w:sz w:val="36"/>
          <w:szCs w:val="36"/>
        </w:rPr>
      </w:pPr>
    </w:p>
    <w:p w14:paraId="2284F3B7">
      <w:pPr>
        <w:jc w:val="center"/>
        <w:rPr>
          <w:b/>
          <w:sz w:val="36"/>
          <w:szCs w:val="36"/>
        </w:rPr>
      </w:pPr>
    </w:p>
    <w:p w14:paraId="61867C16">
      <w:pPr>
        <w:jc w:val="center"/>
        <w:rPr>
          <w:b/>
          <w:sz w:val="36"/>
          <w:szCs w:val="36"/>
        </w:rPr>
      </w:pPr>
    </w:p>
    <w:p w14:paraId="7F533234">
      <w:pPr>
        <w:jc w:val="center"/>
        <w:rPr>
          <w:b/>
          <w:sz w:val="36"/>
          <w:szCs w:val="36"/>
        </w:rPr>
      </w:pPr>
    </w:p>
    <w:p w14:paraId="35B9E968">
      <w:pPr>
        <w:jc w:val="center"/>
        <w:rPr>
          <w:b/>
          <w:sz w:val="36"/>
          <w:szCs w:val="36"/>
        </w:rPr>
      </w:pPr>
    </w:p>
    <w:p w14:paraId="383BFFA4">
      <w:pPr>
        <w:jc w:val="center"/>
        <w:rPr>
          <w:b/>
          <w:sz w:val="36"/>
          <w:szCs w:val="36"/>
        </w:rPr>
      </w:pPr>
    </w:p>
    <w:p w14:paraId="70CB0DA4">
      <w:pPr>
        <w:jc w:val="center"/>
        <w:rPr>
          <w:sz w:val="32"/>
          <w:szCs w:val="32"/>
          <w:u w:val="single"/>
        </w:rPr>
      </w:pPr>
    </w:p>
    <w:p w14:paraId="38D74F54">
      <w:pPr>
        <w:jc w:val="center"/>
        <w:rPr>
          <w:sz w:val="32"/>
          <w:szCs w:val="32"/>
        </w:rPr>
      </w:pPr>
      <w:r>
        <w:rPr>
          <w:sz w:val="32"/>
          <w:szCs w:val="32"/>
        </w:rPr>
        <w:t>XXX</w:t>
      </w:r>
      <w:r>
        <w:rPr>
          <w:rFonts w:hint="eastAsia"/>
          <w:sz w:val="32"/>
          <w:szCs w:val="32"/>
        </w:rPr>
        <w:t>出版社</w:t>
      </w:r>
    </w:p>
    <w:p w14:paraId="370B2202">
      <w:pPr>
        <w:jc w:val="center"/>
        <w:rPr>
          <w:sz w:val="32"/>
          <w:szCs w:val="32"/>
        </w:rPr>
      </w:pPr>
      <w:r>
        <w:rPr>
          <w:rFonts w:hint="eastAsia"/>
          <w:sz w:val="32"/>
          <w:szCs w:val="32"/>
        </w:rPr>
        <w:t>XXXX  广州</w:t>
      </w:r>
    </w:p>
    <w:p w14:paraId="4047D04E">
      <w:pPr>
        <w:widowControl/>
        <w:tabs>
          <w:tab w:val="left" w:pos="425"/>
        </w:tabs>
        <w:jc w:val="center"/>
        <w:outlineLvl w:val="0"/>
        <w:rPr>
          <w:b/>
          <w:kern w:val="0"/>
          <w:sz w:val="24"/>
        </w:rPr>
        <w:sectPr>
          <w:footerReference r:id="rId6" w:type="default"/>
          <w:pgSz w:w="11906" w:h="16838"/>
          <w:pgMar w:top="1440" w:right="1800" w:bottom="1440" w:left="1800" w:header="851" w:footer="992" w:gutter="0"/>
          <w:pgNumType w:start="1"/>
          <w:cols w:space="425" w:num="1"/>
          <w:docGrid w:type="lines" w:linePitch="312" w:charSpace="0"/>
        </w:sectPr>
      </w:pPr>
    </w:p>
    <w:p w14:paraId="2D9F0C4B">
      <w:pPr>
        <w:spacing w:before="624" w:beforeLines="200"/>
        <w:jc w:val="center"/>
        <w:rPr>
          <w:b/>
          <w:kern w:val="36"/>
          <w:sz w:val="36"/>
          <w:szCs w:val="36"/>
        </w:rPr>
      </w:pPr>
      <w:r>
        <w:rPr>
          <w:rFonts w:hint="eastAsia"/>
          <w:b/>
          <w:kern w:val="36"/>
          <w:sz w:val="36"/>
          <w:szCs w:val="36"/>
        </w:rPr>
        <w:t>前    言</w:t>
      </w:r>
    </w:p>
    <w:p w14:paraId="49A760BA">
      <w:pPr>
        <w:spacing w:line="540" w:lineRule="exact"/>
        <w:ind w:firstLine="420" w:firstLineChars="200"/>
      </w:pPr>
      <w:r>
        <w:rPr>
          <w:rFonts w:hint="eastAsia"/>
          <w:kern w:val="36"/>
        </w:rPr>
        <w:t>根据</w:t>
      </w:r>
      <w:r>
        <w:rPr>
          <w:rFonts w:hint="eastAsia"/>
        </w:rPr>
        <w:t>广东省住房和城乡建设厅关于发布《2019年广东省工程建设标准制订、修订计划》的通知（</w:t>
      </w:r>
      <w:r>
        <w:t>粤建科函〔201</w:t>
      </w:r>
      <w:r>
        <w:rPr>
          <w:rFonts w:hint="eastAsia"/>
        </w:rPr>
        <w:t>9</w:t>
      </w:r>
      <w:r>
        <w:t>〕</w:t>
      </w:r>
      <w:r>
        <w:rPr>
          <w:rFonts w:hint="eastAsia"/>
        </w:rPr>
        <w:t>1118</w:t>
      </w:r>
      <w:r>
        <w:t>号</w:t>
      </w:r>
      <w:r>
        <w:rPr>
          <w:rFonts w:hint="eastAsia"/>
        </w:rPr>
        <w:t>）</w:t>
      </w:r>
      <w:r>
        <w:rPr>
          <w:rFonts w:hint="eastAsia"/>
          <w:kern w:val="36"/>
        </w:rPr>
        <w:t>的要求，规范编制组经广泛调查研究，认真总结实践</w:t>
      </w:r>
      <w:r>
        <w:rPr>
          <w:rFonts w:hint="eastAsia"/>
        </w:rPr>
        <w:t>经验，参考国内先进标准，并广泛征求意见，编制了本规范。</w:t>
      </w:r>
    </w:p>
    <w:p w14:paraId="3536A45A">
      <w:pPr>
        <w:spacing w:line="540" w:lineRule="exact"/>
        <w:ind w:left="105" w:leftChars="50" w:firstLine="315" w:firstLineChars="150"/>
      </w:pPr>
      <w:r>
        <w:rPr>
          <w:rFonts w:hint="eastAsia"/>
        </w:rPr>
        <w:t>本规范共7章，主要技术内容是：</w:t>
      </w:r>
      <w:r>
        <w:t xml:space="preserve">1. </w:t>
      </w:r>
      <w:r>
        <w:rPr>
          <w:rFonts w:hint="eastAsia"/>
        </w:rPr>
        <w:t>总则；</w:t>
      </w:r>
      <w:r>
        <w:t xml:space="preserve">2. </w:t>
      </w:r>
      <w:r>
        <w:rPr>
          <w:rFonts w:hint="eastAsia"/>
        </w:rPr>
        <w:t>术语；</w:t>
      </w:r>
      <w:r>
        <w:t xml:space="preserve">3. </w:t>
      </w:r>
      <w:r>
        <w:rPr>
          <w:rFonts w:hint="eastAsia"/>
        </w:rPr>
        <w:t>保护要求；4.安全评估；5</w:t>
      </w:r>
      <w:r>
        <w:t>.</w:t>
      </w:r>
      <w:r>
        <w:rPr>
          <w:rFonts w:hint="eastAsia"/>
        </w:rPr>
        <w:t>外部作业；6.</w:t>
      </w:r>
      <w:r>
        <w:t xml:space="preserve"> </w:t>
      </w:r>
      <w:r>
        <w:rPr>
          <w:rFonts w:hint="eastAsia"/>
        </w:rPr>
        <w:t>保护巡检；7.</w:t>
      </w:r>
      <w:r>
        <w:t xml:space="preserve"> </w:t>
      </w:r>
      <w:r>
        <w:rPr>
          <w:rFonts w:hint="eastAsia"/>
        </w:rPr>
        <w:t>信息管理。</w:t>
      </w:r>
    </w:p>
    <w:p w14:paraId="0C4BCFF0">
      <w:pPr>
        <w:autoSpaceDE w:val="0"/>
        <w:autoSpaceDN w:val="0"/>
        <w:adjustRightInd w:val="0"/>
        <w:spacing w:line="540" w:lineRule="exact"/>
        <w:ind w:firstLine="420" w:firstLineChars="200"/>
        <w:jc w:val="left"/>
        <w:rPr>
          <w:kern w:val="36"/>
        </w:rPr>
      </w:pPr>
      <w:r>
        <w:rPr>
          <w:rFonts w:hint="eastAsia"/>
          <w:kern w:val="36"/>
        </w:rPr>
        <w:t>本规范由广东省住房和城乡建设厅负责管理，由广州有轨电车有限责任公司负责具体技术内容的解释。在执行过程中，如有意见和建议，请反馈给广州有轨电车有限责任公司（地址：广州市海珠区新港东路</w:t>
      </w:r>
      <w:r>
        <w:rPr>
          <w:kern w:val="36"/>
        </w:rPr>
        <w:t>1238</w:t>
      </w:r>
      <w:r>
        <w:rPr>
          <w:rFonts w:hint="eastAsia"/>
          <w:kern w:val="36"/>
        </w:rPr>
        <w:t>号万胜广场</w:t>
      </w:r>
      <w:r>
        <w:rPr>
          <w:kern w:val="36"/>
        </w:rPr>
        <w:t>A</w:t>
      </w:r>
      <w:r>
        <w:rPr>
          <w:rFonts w:hint="eastAsia"/>
          <w:kern w:val="36"/>
        </w:rPr>
        <w:t>塔</w:t>
      </w:r>
      <w:r>
        <w:rPr>
          <w:kern w:val="36"/>
        </w:rPr>
        <w:t>12</w:t>
      </w:r>
      <w:r>
        <w:rPr>
          <w:rFonts w:hint="eastAsia"/>
          <w:kern w:val="36"/>
        </w:rPr>
        <w:t>楼，邮编：</w:t>
      </w:r>
      <w:r>
        <w:rPr>
          <w:kern w:val="36"/>
        </w:rPr>
        <w:t>510335</w:t>
      </w:r>
      <w:r>
        <w:rPr>
          <w:rFonts w:hint="eastAsia"/>
          <w:kern w:val="36"/>
        </w:rPr>
        <w:t>，</w:t>
      </w:r>
      <w:r>
        <w:rPr>
          <w:kern w:val="36"/>
        </w:rPr>
        <w:t>E-mail</w:t>
      </w:r>
      <w:r>
        <w:rPr>
          <w:rFonts w:hint="eastAsia"/>
          <w:kern w:val="36"/>
        </w:rPr>
        <w:t>：</w:t>
      </w:r>
      <w:r>
        <w:fldChar w:fldCharType="begin"/>
      </w:r>
      <w:r>
        <w:instrText xml:space="preserve"> HYPERLINK "mailto:gtrj01072@126.com" </w:instrText>
      </w:r>
      <w:r>
        <w:fldChar w:fldCharType="separate"/>
      </w:r>
      <w:r>
        <w:rPr>
          <w:rStyle w:val="30"/>
        </w:rPr>
        <w:t>gtrj01072@126.com</w:t>
      </w:r>
      <w:r>
        <w:rPr>
          <w:rStyle w:val="30"/>
        </w:rPr>
        <w:fldChar w:fldCharType="end"/>
      </w:r>
      <w:r>
        <w:rPr>
          <w:rFonts w:hint="eastAsia"/>
          <w:kern w:val="36"/>
        </w:rPr>
        <w:t>）。</w:t>
      </w:r>
    </w:p>
    <w:p w14:paraId="5374E95A">
      <w:pPr>
        <w:spacing w:line="540" w:lineRule="exact"/>
        <w:ind w:firstLine="420" w:firstLineChars="200"/>
      </w:pPr>
      <w:r>
        <w:t>本规范主编单位：</w:t>
      </w:r>
      <w:r>
        <w:rPr>
          <w:rFonts w:hint="eastAsia"/>
        </w:rPr>
        <w:t>广州有轨电车有限责任公司</w:t>
      </w:r>
    </w:p>
    <w:p w14:paraId="47290041">
      <w:pPr>
        <w:spacing w:line="540" w:lineRule="exact"/>
        <w:ind w:firstLine="2100" w:firstLineChars="1000"/>
      </w:pPr>
      <w:r>
        <w:rPr>
          <w:rFonts w:hint="eastAsia"/>
        </w:rPr>
        <w:t>广州地铁设计研究院股份有限公司</w:t>
      </w:r>
    </w:p>
    <w:p w14:paraId="0AFBA04C">
      <w:pPr>
        <w:spacing w:line="540" w:lineRule="exact"/>
        <w:ind w:firstLine="420" w:firstLineChars="200"/>
      </w:pPr>
      <w:r>
        <w:rPr>
          <w:rFonts w:hint="eastAsia"/>
        </w:rPr>
        <w:t>本规范参编单位：华南理工大学</w:t>
      </w:r>
    </w:p>
    <w:p w14:paraId="72413F8D">
      <w:pPr>
        <w:spacing w:line="540" w:lineRule="exact"/>
        <w:ind w:firstLine="2100" w:firstLineChars="1000"/>
      </w:pPr>
      <w:r>
        <w:rPr>
          <w:rFonts w:hint="eastAsia"/>
        </w:rPr>
        <w:t>深圳市现代有轨电车有限公司</w:t>
      </w:r>
    </w:p>
    <w:p w14:paraId="6532C8DD">
      <w:pPr>
        <w:spacing w:line="540" w:lineRule="exact"/>
        <w:ind w:firstLine="2100" w:firstLineChars="1000"/>
      </w:pPr>
      <w:r>
        <w:rPr>
          <w:rFonts w:hint="eastAsia" w:ascii="宋体" w:hAnsi="宋体" w:cs="宋体"/>
          <w:kern w:val="0"/>
          <w:shd w:val="clear" w:color="auto" w:fill="FFFFFF"/>
          <w:lang w:bidi="ar"/>
        </w:rPr>
        <w:t>佛山市铁路投资建设集团有限公司</w:t>
      </w:r>
    </w:p>
    <w:p w14:paraId="6850C5D0">
      <w:pPr>
        <w:spacing w:line="540" w:lineRule="exact"/>
        <w:ind w:firstLine="2100" w:firstLineChars="1000"/>
      </w:pPr>
      <w:r>
        <w:rPr>
          <w:rFonts w:hint="eastAsia"/>
        </w:rPr>
        <w:t>中铁第六勘察设计院集团有限公司</w:t>
      </w:r>
    </w:p>
    <w:p w14:paraId="5CDE16BE">
      <w:pPr>
        <w:autoSpaceDE w:val="0"/>
        <w:autoSpaceDN w:val="0"/>
        <w:adjustRightInd w:val="0"/>
        <w:spacing w:line="540" w:lineRule="exact"/>
        <w:ind w:firstLine="420" w:firstLineChars="200"/>
        <w:jc w:val="left"/>
        <w:rPr>
          <w:kern w:val="36"/>
        </w:rPr>
      </w:pPr>
      <w:r>
        <w:rPr>
          <w:rFonts w:hint="eastAsia"/>
          <w:kern w:val="36"/>
        </w:rPr>
        <w:t>本规范主要起草人员：马宏梁、苏浚、柏文锋、吴金鹏、闵星、李毅雄、刘成军、王一兆、李彬、徐涛、吴小辉、赵茹、刘庭金、韩国俊、阮利波、李现森、郎艳梅，曾文泉、</w:t>
      </w:r>
    </w:p>
    <w:p w14:paraId="0793F502">
      <w:pPr>
        <w:spacing w:line="540" w:lineRule="exact"/>
        <w:ind w:firstLine="420" w:firstLineChars="200"/>
      </w:pPr>
      <w:r>
        <w:t xml:space="preserve"> </w:t>
      </w:r>
      <w:r>
        <w:rPr>
          <w:rFonts w:hint="eastAsia"/>
        </w:rPr>
        <w:t>本规范主要审查人员：</w:t>
      </w:r>
      <w:r>
        <w:t xml:space="preserve"> </w:t>
      </w:r>
    </w:p>
    <w:p w14:paraId="7EBA95F1">
      <w:pPr>
        <w:jc w:val="center"/>
        <w:rPr>
          <w:sz w:val="36"/>
          <w:szCs w:val="36"/>
        </w:rPr>
        <w:sectPr>
          <w:pgSz w:w="11906" w:h="16838"/>
          <w:pgMar w:top="1440" w:right="1800" w:bottom="1440" w:left="1800" w:header="851" w:footer="992" w:gutter="0"/>
          <w:cols w:space="425" w:num="1"/>
          <w:docGrid w:type="lines" w:linePitch="312" w:charSpace="0"/>
        </w:sectPr>
      </w:pPr>
    </w:p>
    <w:p w14:paraId="549B136D">
      <w:pPr>
        <w:pStyle w:val="23"/>
        <w:spacing w:before="0" w:beforeAutospacing="0" w:after="0" w:afterAutospacing="0" w:line="300" w:lineRule="auto"/>
        <w:jc w:val="center"/>
        <w:rPr>
          <w:rFonts w:ascii="Times New Roman" w:hAnsi="Times New Roman" w:cs="Times New Roman"/>
          <w:b/>
          <w:sz w:val="28"/>
          <w:szCs w:val="28"/>
        </w:rPr>
      </w:pPr>
      <w:r>
        <w:rPr>
          <w:rFonts w:hint="eastAsia" w:ascii="Times New Roman" w:hAnsi="Times New Roman" w:cs="Times New Roman"/>
          <w:b/>
          <w:sz w:val="28"/>
          <w:szCs w:val="28"/>
        </w:rPr>
        <w:t>目    录</w:t>
      </w:r>
    </w:p>
    <w:p w14:paraId="3B444AA3">
      <w:pPr>
        <w:pStyle w:val="3"/>
        <w:tabs>
          <w:tab w:val="left" w:pos="420"/>
          <w:tab w:val="right" w:leader="dot" w:pos="7828"/>
        </w:tabs>
        <w:rPr>
          <w:rFonts w:eastAsiaTheme="minorEastAsia" w:cstheme="minorBidi"/>
          <w:b w:val="0"/>
          <w:bCs w:val="0"/>
          <w:caps w:val="0"/>
          <w:sz w:val="21"/>
          <w:szCs w:val="22"/>
        </w:rPr>
      </w:pPr>
      <w:r>
        <w:rPr>
          <w:b w:val="0"/>
          <w:caps w:val="0"/>
        </w:rPr>
        <w:fldChar w:fldCharType="begin"/>
      </w:r>
      <w:r>
        <w:rPr>
          <w:b w:val="0"/>
          <w:caps w:val="0"/>
        </w:rPr>
        <w:instrText xml:space="preserve"> TOC \o "1-2" \h \z \u </w:instrText>
      </w:r>
      <w:r>
        <w:rPr>
          <w:b w:val="0"/>
          <w:caps w:val="0"/>
        </w:rPr>
        <w:fldChar w:fldCharType="separate"/>
      </w:r>
      <w:r>
        <w:fldChar w:fldCharType="begin"/>
      </w:r>
      <w:r>
        <w:instrText xml:space="preserve"> HYPERLINK \l "_Toc103169247" </w:instrText>
      </w:r>
      <w:r>
        <w:fldChar w:fldCharType="separate"/>
      </w:r>
      <w:r>
        <w:rPr>
          <w:rStyle w:val="30"/>
          <w:rFonts w:ascii="Times New Roman" w:hAnsi="Times New Roman"/>
          <w:kern w:val="0"/>
        </w:rPr>
        <w:t>1</w:t>
      </w:r>
      <w:r>
        <w:rPr>
          <w:rFonts w:eastAsiaTheme="minorEastAsia" w:cstheme="minorBidi"/>
          <w:b w:val="0"/>
          <w:bCs w:val="0"/>
          <w:caps w:val="0"/>
          <w:sz w:val="21"/>
          <w:szCs w:val="22"/>
        </w:rPr>
        <w:tab/>
      </w:r>
      <w:r>
        <w:rPr>
          <w:rStyle w:val="30"/>
          <w:rFonts w:hint="eastAsia" w:ascii="Times New Roman" w:hAnsi="Times New Roman"/>
          <w:kern w:val="0"/>
        </w:rPr>
        <w:t>总</w:t>
      </w:r>
      <w:r>
        <w:rPr>
          <w:rStyle w:val="30"/>
          <w:rFonts w:ascii="Times New Roman" w:hAnsi="Times New Roman"/>
          <w:kern w:val="0"/>
        </w:rPr>
        <w:t xml:space="preserve">   </w:t>
      </w:r>
      <w:r>
        <w:rPr>
          <w:rStyle w:val="30"/>
          <w:rFonts w:hint="eastAsia" w:ascii="Times New Roman" w:hAnsi="Times New Roman"/>
          <w:kern w:val="0"/>
        </w:rPr>
        <w:t>则</w:t>
      </w:r>
      <w:r>
        <w:tab/>
      </w:r>
      <w:r>
        <w:fldChar w:fldCharType="begin"/>
      </w:r>
      <w:r>
        <w:instrText xml:space="preserve"> PAGEREF _Toc103169247 \h </w:instrText>
      </w:r>
      <w:r>
        <w:fldChar w:fldCharType="separate"/>
      </w:r>
      <w:r>
        <w:t>3</w:t>
      </w:r>
      <w:r>
        <w:fldChar w:fldCharType="end"/>
      </w:r>
      <w:r>
        <w:fldChar w:fldCharType="end"/>
      </w:r>
    </w:p>
    <w:p w14:paraId="45F01C17">
      <w:pPr>
        <w:pStyle w:val="3"/>
        <w:tabs>
          <w:tab w:val="left" w:pos="420"/>
          <w:tab w:val="right" w:leader="dot" w:pos="7828"/>
        </w:tabs>
        <w:rPr>
          <w:rFonts w:eastAsiaTheme="minorEastAsia" w:cstheme="minorBidi"/>
          <w:b w:val="0"/>
          <w:bCs w:val="0"/>
          <w:caps w:val="0"/>
          <w:sz w:val="21"/>
          <w:szCs w:val="22"/>
        </w:rPr>
      </w:pPr>
      <w:r>
        <w:fldChar w:fldCharType="begin"/>
      </w:r>
      <w:r>
        <w:instrText xml:space="preserve"> HYPERLINK \l "_Toc103169248" </w:instrText>
      </w:r>
      <w:r>
        <w:fldChar w:fldCharType="separate"/>
      </w:r>
      <w:r>
        <w:rPr>
          <w:rStyle w:val="30"/>
          <w:rFonts w:ascii="Times New Roman" w:hAnsi="Times New Roman"/>
          <w:kern w:val="0"/>
        </w:rPr>
        <w:t>2</w:t>
      </w:r>
      <w:r>
        <w:rPr>
          <w:rFonts w:eastAsiaTheme="minorEastAsia" w:cstheme="minorBidi"/>
          <w:b w:val="0"/>
          <w:bCs w:val="0"/>
          <w:caps w:val="0"/>
          <w:sz w:val="21"/>
          <w:szCs w:val="22"/>
        </w:rPr>
        <w:tab/>
      </w:r>
      <w:r>
        <w:rPr>
          <w:rStyle w:val="30"/>
          <w:rFonts w:hint="eastAsia" w:ascii="Times New Roman" w:hAnsi="Times New Roman"/>
          <w:kern w:val="0"/>
        </w:rPr>
        <w:t>术</w:t>
      </w:r>
      <w:r>
        <w:rPr>
          <w:rStyle w:val="30"/>
          <w:rFonts w:ascii="Times New Roman" w:hAnsi="Times New Roman"/>
          <w:kern w:val="0"/>
        </w:rPr>
        <w:t xml:space="preserve">   </w:t>
      </w:r>
      <w:r>
        <w:rPr>
          <w:rStyle w:val="30"/>
          <w:rFonts w:hint="eastAsia" w:ascii="Times New Roman" w:hAnsi="Times New Roman"/>
          <w:kern w:val="0"/>
        </w:rPr>
        <w:t>语</w:t>
      </w:r>
      <w:r>
        <w:tab/>
      </w:r>
      <w:r>
        <w:fldChar w:fldCharType="begin"/>
      </w:r>
      <w:r>
        <w:instrText xml:space="preserve"> PAGEREF _Toc103169248 \h </w:instrText>
      </w:r>
      <w:r>
        <w:fldChar w:fldCharType="separate"/>
      </w:r>
      <w:r>
        <w:t>4</w:t>
      </w:r>
      <w:r>
        <w:fldChar w:fldCharType="end"/>
      </w:r>
      <w:r>
        <w:fldChar w:fldCharType="end"/>
      </w:r>
    </w:p>
    <w:p w14:paraId="27728622">
      <w:pPr>
        <w:pStyle w:val="3"/>
        <w:tabs>
          <w:tab w:val="left" w:pos="420"/>
          <w:tab w:val="right" w:leader="dot" w:pos="7828"/>
        </w:tabs>
        <w:rPr>
          <w:rFonts w:eastAsiaTheme="minorEastAsia" w:cstheme="minorBidi"/>
          <w:b w:val="0"/>
          <w:bCs w:val="0"/>
          <w:caps w:val="0"/>
          <w:sz w:val="21"/>
          <w:szCs w:val="22"/>
        </w:rPr>
      </w:pPr>
      <w:r>
        <w:fldChar w:fldCharType="begin"/>
      </w:r>
      <w:r>
        <w:instrText xml:space="preserve"> HYPERLINK \l "_Toc103169249" </w:instrText>
      </w:r>
      <w:r>
        <w:fldChar w:fldCharType="separate"/>
      </w:r>
      <w:r>
        <w:rPr>
          <w:rStyle w:val="30"/>
          <w:rFonts w:ascii="Times New Roman" w:hAnsi="Times New Roman"/>
          <w:kern w:val="0"/>
        </w:rPr>
        <w:t>3</w:t>
      </w:r>
      <w:r>
        <w:rPr>
          <w:rFonts w:eastAsiaTheme="minorEastAsia" w:cstheme="minorBidi"/>
          <w:b w:val="0"/>
          <w:bCs w:val="0"/>
          <w:caps w:val="0"/>
          <w:sz w:val="21"/>
          <w:szCs w:val="22"/>
        </w:rPr>
        <w:tab/>
      </w:r>
      <w:r>
        <w:rPr>
          <w:rStyle w:val="30"/>
          <w:rFonts w:hint="eastAsia" w:ascii="Times New Roman" w:hAnsi="Times New Roman"/>
          <w:kern w:val="0"/>
        </w:rPr>
        <w:t>保护要求</w:t>
      </w:r>
      <w:r>
        <w:tab/>
      </w:r>
      <w:r>
        <w:fldChar w:fldCharType="begin"/>
      </w:r>
      <w:r>
        <w:instrText xml:space="preserve"> PAGEREF _Toc103169249 \h </w:instrText>
      </w:r>
      <w:r>
        <w:fldChar w:fldCharType="separate"/>
      </w:r>
      <w:r>
        <w:t>5</w:t>
      </w:r>
      <w:r>
        <w:fldChar w:fldCharType="end"/>
      </w:r>
      <w:r>
        <w:fldChar w:fldCharType="end"/>
      </w:r>
    </w:p>
    <w:p w14:paraId="6F908FC7">
      <w:pPr>
        <w:pStyle w:val="20"/>
        <w:tabs>
          <w:tab w:val="right" w:leader="dot" w:pos="7828"/>
        </w:tabs>
        <w:rPr>
          <w:rFonts w:eastAsiaTheme="minorEastAsia" w:cstheme="minorBidi"/>
          <w:smallCaps w:val="0"/>
          <w:szCs w:val="22"/>
        </w:rPr>
      </w:pPr>
      <w:r>
        <w:fldChar w:fldCharType="begin"/>
      </w:r>
      <w:r>
        <w:instrText xml:space="preserve"> HYPERLINK \l "_Toc103169250" </w:instrText>
      </w:r>
      <w:r>
        <w:fldChar w:fldCharType="separate"/>
      </w:r>
      <w:r>
        <w:rPr>
          <w:rStyle w:val="30"/>
          <w:rFonts w:ascii="Times New Roman" w:hAnsi="Times New Roman"/>
          <w:kern w:val="0"/>
        </w:rPr>
        <w:t xml:space="preserve">3.1  </w:t>
      </w:r>
      <w:r>
        <w:rPr>
          <w:rStyle w:val="30"/>
          <w:rFonts w:hint="eastAsia" w:ascii="Times New Roman" w:hAnsi="Times New Roman"/>
          <w:kern w:val="0"/>
        </w:rPr>
        <w:t>一般规定</w:t>
      </w:r>
      <w:r>
        <w:tab/>
      </w:r>
      <w:r>
        <w:fldChar w:fldCharType="begin"/>
      </w:r>
      <w:r>
        <w:instrText xml:space="preserve"> PAGEREF _Toc103169250 \h </w:instrText>
      </w:r>
      <w:r>
        <w:fldChar w:fldCharType="separate"/>
      </w:r>
      <w:r>
        <w:t>5</w:t>
      </w:r>
      <w:r>
        <w:fldChar w:fldCharType="end"/>
      </w:r>
      <w:r>
        <w:fldChar w:fldCharType="end"/>
      </w:r>
    </w:p>
    <w:p w14:paraId="17E8C5CC">
      <w:pPr>
        <w:pStyle w:val="20"/>
        <w:tabs>
          <w:tab w:val="right" w:leader="dot" w:pos="7828"/>
        </w:tabs>
        <w:rPr>
          <w:rFonts w:eastAsiaTheme="minorEastAsia" w:cstheme="minorBidi"/>
          <w:smallCaps w:val="0"/>
          <w:szCs w:val="22"/>
        </w:rPr>
      </w:pPr>
      <w:r>
        <w:fldChar w:fldCharType="begin"/>
      </w:r>
      <w:r>
        <w:instrText xml:space="preserve"> HYPERLINK \l "_Toc103169251" </w:instrText>
      </w:r>
      <w:r>
        <w:fldChar w:fldCharType="separate"/>
      </w:r>
      <w:r>
        <w:rPr>
          <w:rStyle w:val="30"/>
          <w:rFonts w:ascii="Times New Roman" w:hAnsi="Times New Roman"/>
          <w:kern w:val="0"/>
        </w:rPr>
        <w:t xml:space="preserve">3.2  </w:t>
      </w:r>
      <w:r>
        <w:rPr>
          <w:rStyle w:val="30"/>
          <w:rFonts w:hint="eastAsia" w:ascii="Times New Roman" w:hAnsi="Times New Roman"/>
          <w:kern w:val="0"/>
        </w:rPr>
        <w:t>设备设施保护</w:t>
      </w:r>
      <w:r>
        <w:tab/>
      </w:r>
      <w:r>
        <w:fldChar w:fldCharType="begin"/>
      </w:r>
      <w:r>
        <w:instrText xml:space="preserve"> PAGEREF _Toc103169251 \h </w:instrText>
      </w:r>
      <w:r>
        <w:fldChar w:fldCharType="separate"/>
      </w:r>
      <w:r>
        <w:t>7</w:t>
      </w:r>
      <w:r>
        <w:fldChar w:fldCharType="end"/>
      </w:r>
      <w:r>
        <w:fldChar w:fldCharType="end"/>
      </w:r>
    </w:p>
    <w:p w14:paraId="57F8EA5D">
      <w:pPr>
        <w:pStyle w:val="20"/>
        <w:tabs>
          <w:tab w:val="right" w:leader="dot" w:pos="7828"/>
        </w:tabs>
        <w:rPr>
          <w:rFonts w:eastAsiaTheme="minorEastAsia" w:cstheme="minorBidi"/>
          <w:smallCaps w:val="0"/>
          <w:szCs w:val="22"/>
        </w:rPr>
      </w:pPr>
      <w:r>
        <w:fldChar w:fldCharType="begin"/>
      </w:r>
      <w:r>
        <w:instrText xml:space="preserve"> HYPERLINK \l "_Toc103169252" </w:instrText>
      </w:r>
      <w:r>
        <w:fldChar w:fldCharType="separate"/>
      </w:r>
      <w:r>
        <w:rPr>
          <w:rStyle w:val="30"/>
          <w:rFonts w:ascii="Times New Roman" w:hAnsi="Times New Roman"/>
          <w:kern w:val="0"/>
        </w:rPr>
        <w:t xml:space="preserve">3.3  </w:t>
      </w:r>
      <w:r>
        <w:rPr>
          <w:rStyle w:val="30"/>
          <w:rFonts w:hint="eastAsia" w:ascii="Times New Roman" w:hAnsi="Times New Roman"/>
          <w:kern w:val="0"/>
        </w:rPr>
        <w:t>土建设施</w:t>
      </w:r>
      <w:r>
        <w:tab/>
      </w:r>
      <w:r>
        <w:fldChar w:fldCharType="begin"/>
      </w:r>
      <w:r>
        <w:instrText xml:space="preserve"> PAGEREF _Toc103169252 \h </w:instrText>
      </w:r>
      <w:r>
        <w:fldChar w:fldCharType="separate"/>
      </w:r>
      <w:r>
        <w:t>7</w:t>
      </w:r>
      <w:r>
        <w:fldChar w:fldCharType="end"/>
      </w:r>
      <w:r>
        <w:fldChar w:fldCharType="end"/>
      </w:r>
    </w:p>
    <w:p w14:paraId="0343E807">
      <w:pPr>
        <w:pStyle w:val="3"/>
        <w:tabs>
          <w:tab w:val="left" w:pos="420"/>
          <w:tab w:val="right" w:leader="dot" w:pos="7828"/>
        </w:tabs>
        <w:rPr>
          <w:rFonts w:eastAsiaTheme="minorEastAsia" w:cstheme="minorBidi"/>
          <w:b w:val="0"/>
          <w:bCs w:val="0"/>
          <w:caps w:val="0"/>
          <w:sz w:val="21"/>
          <w:szCs w:val="22"/>
        </w:rPr>
      </w:pPr>
      <w:r>
        <w:fldChar w:fldCharType="begin"/>
      </w:r>
      <w:r>
        <w:instrText xml:space="preserve"> HYPERLINK \l "_Toc103169253" </w:instrText>
      </w:r>
      <w:r>
        <w:fldChar w:fldCharType="separate"/>
      </w:r>
      <w:r>
        <w:rPr>
          <w:rStyle w:val="30"/>
          <w:rFonts w:ascii="Times New Roman" w:hAnsi="Times New Roman"/>
          <w:kern w:val="0"/>
        </w:rPr>
        <w:t>4</w:t>
      </w:r>
      <w:r>
        <w:rPr>
          <w:rFonts w:eastAsiaTheme="minorEastAsia" w:cstheme="minorBidi"/>
          <w:b w:val="0"/>
          <w:bCs w:val="0"/>
          <w:caps w:val="0"/>
          <w:sz w:val="21"/>
          <w:szCs w:val="22"/>
        </w:rPr>
        <w:tab/>
      </w:r>
      <w:r>
        <w:rPr>
          <w:rStyle w:val="30"/>
          <w:rFonts w:hint="eastAsia" w:ascii="Times New Roman" w:hAnsi="Times New Roman"/>
          <w:kern w:val="0"/>
        </w:rPr>
        <w:t>安全评估</w:t>
      </w:r>
      <w:r>
        <w:tab/>
      </w:r>
      <w:r>
        <w:fldChar w:fldCharType="begin"/>
      </w:r>
      <w:r>
        <w:instrText xml:space="preserve"> PAGEREF _Toc103169253 \h </w:instrText>
      </w:r>
      <w:r>
        <w:fldChar w:fldCharType="separate"/>
      </w:r>
      <w:r>
        <w:t>9</w:t>
      </w:r>
      <w:r>
        <w:fldChar w:fldCharType="end"/>
      </w:r>
      <w:r>
        <w:fldChar w:fldCharType="end"/>
      </w:r>
    </w:p>
    <w:p w14:paraId="5F28F9C8">
      <w:pPr>
        <w:pStyle w:val="20"/>
        <w:tabs>
          <w:tab w:val="right" w:leader="dot" w:pos="7828"/>
        </w:tabs>
        <w:rPr>
          <w:rFonts w:eastAsiaTheme="minorEastAsia" w:cstheme="minorBidi"/>
          <w:smallCaps w:val="0"/>
          <w:szCs w:val="22"/>
        </w:rPr>
      </w:pPr>
      <w:r>
        <w:fldChar w:fldCharType="begin"/>
      </w:r>
      <w:r>
        <w:instrText xml:space="preserve"> HYPERLINK \l "_Toc103169254" </w:instrText>
      </w:r>
      <w:r>
        <w:fldChar w:fldCharType="separate"/>
      </w:r>
      <w:r>
        <w:rPr>
          <w:rStyle w:val="30"/>
          <w:rFonts w:ascii="Times New Roman" w:hAnsi="Times New Roman"/>
          <w:kern w:val="0"/>
        </w:rPr>
        <w:t xml:space="preserve">4.1 </w:t>
      </w:r>
      <w:r>
        <w:rPr>
          <w:rStyle w:val="30"/>
          <w:rFonts w:hint="eastAsia" w:ascii="Times New Roman" w:hAnsi="Times New Roman"/>
          <w:kern w:val="0"/>
        </w:rPr>
        <w:t>一般规定</w:t>
      </w:r>
      <w:r>
        <w:tab/>
      </w:r>
      <w:r>
        <w:fldChar w:fldCharType="begin"/>
      </w:r>
      <w:r>
        <w:instrText xml:space="preserve"> PAGEREF _Toc103169254 \h </w:instrText>
      </w:r>
      <w:r>
        <w:fldChar w:fldCharType="separate"/>
      </w:r>
      <w:r>
        <w:t>9</w:t>
      </w:r>
      <w:r>
        <w:fldChar w:fldCharType="end"/>
      </w:r>
      <w:r>
        <w:fldChar w:fldCharType="end"/>
      </w:r>
    </w:p>
    <w:p w14:paraId="42035210">
      <w:pPr>
        <w:pStyle w:val="20"/>
        <w:tabs>
          <w:tab w:val="right" w:leader="dot" w:pos="7828"/>
        </w:tabs>
        <w:rPr>
          <w:rFonts w:eastAsiaTheme="minorEastAsia" w:cstheme="minorBidi"/>
          <w:smallCaps w:val="0"/>
          <w:szCs w:val="22"/>
        </w:rPr>
      </w:pPr>
      <w:r>
        <w:fldChar w:fldCharType="begin"/>
      </w:r>
      <w:r>
        <w:instrText xml:space="preserve"> HYPERLINK \l "_Toc103169255" </w:instrText>
      </w:r>
      <w:r>
        <w:fldChar w:fldCharType="separate"/>
      </w:r>
      <w:r>
        <w:rPr>
          <w:rStyle w:val="30"/>
          <w:rFonts w:ascii="Times New Roman" w:hAnsi="Times New Roman"/>
          <w:kern w:val="0"/>
        </w:rPr>
        <w:t xml:space="preserve">4.2  </w:t>
      </w:r>
      <w:r>
        <w:rPr>
          <w:rStyle w:val="30"/>
          <w:rFonts w:hint="eastAsia" w:ascii="Times New Roman" w:hAnsi="Times New Roman"/>
          <w:kern w:val="0"/>
        </w:rPr>
        <w:t>技术要求</w:t>
      </w:r>
      <w:r>
        <w:tab/>
      </w:r>
      <w:r>
        <w:fldChar w:fldCharType="begin"/>
      </w:r>
      <w:r>
        <w:instrText xml:space="preserve"> PAGEREF _Toc103169255 \h </w:instrText>
      </w:r>
      <w:r>
        <w:fldChar w:fldCharType="separate"/>
      </w:r>
      <w:r>
        <w:t>9</w:t>
      </w:r>
      <w:r>
        <w:fldChar w:fldCharType="end"/>
      </w:r>
      <w:r>
        <w:fldChar w:fldCharType="end"/>
      </w:r>
    </w:p>
    <w:p w14:paraId="14700994">
      <w:pPr>
        <w:pStyle w:val="3"/>
        <w:tabs>
          <w:tab w:val="left" w:pos="420"/>
          <w:tab w:val="right" w:leader="dot" w:pos="7828"/>
        </w:tabs>
        <w:rPr>
          <w:rFonts w:eastAsiaTheme="minorEastAsia" w:cstheme="minorBidi"/>
          <w:b w:val="0"/>
          <w:bCs w:val="0"/>
          <w:caps w:val="0"/>
          <w:sz w:val="21"/>
          <w:szCs w:val="22"/>
        </w:rPr>
      </w:pPr>
      <w:r>
        <w:fldChar w:fldCharType="begin"/>
      </w:r>
      <w:r>
        <w:instrText xml:space="preserve"> HYPERLINK \l "_Toc103169256" </w:instrText>
      </w:r>
      <w:r>
        <w:fldChar w:fldCharType="separate"/>
      </w:r>
      <w:r>
        <w:rPr>
          <w:rStyle w:val="30"/>
          <w:rFonts w:ascii="Times New Roman" w:hAnsi="Times New Roman"/>
          <w:kern w:val="0"/>
        </w:rPr>
        <w:t>5</w:t>
      </w:r>
      <w:r>
        <w:rPr>
          <w:rFonts w:eastAsiaTheme="minorEastAsia" w:cstheme="minorBidi"/>
          <w:b w:val="0"/>
          <w:bCs w:val="0"/>
          <w:caps w:val="0"/>
          <w:sz w:val="21"/>
          <w:szCs w:val="22"/>
        </w:rPr>
        <w:tab/>
      </w:r>
      <w:r>
        <w:rPr>
          <w:rStyle w:val="30"/>
          <w:rFonts w:hint="eastAsia" w:ascii="Times New Roman" w:hAnsi="Times New Roman"/>
          <w:kern w:val="0"/>
        </w:rPr>
        <w:t>外部作业</w:t>
      </w:r>
      <w:r>
        <w:tab/>
      </w:r>
      <w:r>
        <w:fldChar w:fldCharType="begin"/>
      </w:r>
      <w:r>
        <w:instrText xml:space="preserve"> PAGEREF _Toc103169256 \h </w:instrText>
      </w:r>
      <w:r>
        <w:fldChar w:fldCharType="separate"/>
      </w:r>
      <w:r>
        <w:t>12</w:t>
      </w:r>
      <w:r>
        <w:fldChar w:fldCharType="end"/>
      </w:r>
      <w:r>
        <w:fldChar w:fldCharType="end"/>
      </w:r>
    </w:p>
    <w:p w14:paraId="292C3D79">
      <w:pPr>
        <w:pStyle w:val="20"/>
        <w:tabs>
          <w:tab w:val="right" w:leader="dot" w:pos="7828"/>
        </w:tabs>
        <w:rPr>
          <w:rFonts w:eastAsiaTheme="minorEastAsia" w:cstheme="minorBidi"/>
          <w:smallCaps w:val="0"/>
          <w:szCs w:val="22"/>
        </w:rPr>
      </w:pPr>
      <w:r>
        <w:fldChar w:fldCharType="begin"/>
      </w:r>
      <w:r>
        <w:instrText xml:space="preserve"> HYPERLINK \l "_Toc103169257" </w:instrText>
      </w:r>
      <w:r>
        <w:fldChar w:fldCharType="separate"/>
      </w:r>
      <w:r>
        <w:rPr>
          <w:rStyle w:val="30"/>
          <w:rFonts w:ascii="Times New Roman" w:hAnsi="Times New Roman"/>
          <w:kern w:val="0"/>
        </w:rPr>
        <w:t xml:space="preserve">5.1  </w:t>
      </w:r>
      <w:r>
        <w:rPr>
          <w:rStyle w:val="30"/>
          <w:rFonts w:hint="eastAsia" w:ascii="Times New Roman" w:hAnsi="Times New Roman"/>
          <w:kern w:val="0"/>
        </w:rPr>
        <w:t>一般规定</w:t>
      </w:r>
      <w:r>
        <w:tab/>
      </w:r>
      <w:r>
        <w:fldChar w:fldCharType="begin"/>
      </w:r>
      <w:r>
        <w:instrText xml:space="preserve"> PAGEREF _Toc103169257 \h </w:instrText>
      </w:r>
      <w:r>
        <w:fldChar w:fldCharType="separate"/>
      </w:r>
      <w:r>
        <w:t>12</w:t>
      </w:r>
      <w:r>
        <w:fldChar w:fldCharType="end"/>
      </w:r>
      <w:r>
        <w:fldChar w:fldCharType="end"/>
      </w:r>
    </w:p>
    <w:p w14:paraId="213F021B">
      <w:pPr>
        <w:pStyle w:val="20"/>
        <w:tabs>
          <w:tab w:val="right" w:leader="dot" w:pos="7828"/>
        </w:tabs>
        <w:rPr>
          <w:rFonts w:eastAsiaTheme="minorEastAsia" w:cstheme="minorBidi"/>
          <w:smallCaps w:val="0"/>
          <w:szCs w:val="22"/>
        </w:rPr>
      </w:pPr>
      <w:r>
        <w:fldChar w:fldCharType="begin"/>
      </w:r>
      <w:r>
        <w:instrText xml:space="preserve"> HYPERLINK \l "_Toc103169258" </w:instrText>
      </w:r>
      <w:r>
        <w:fldChar w:fldCharType="separate"/>
      </w:r>
      <w:r>
        <w:rPr>
          <w:rStyle w:val="30"/>
          <w:rFonts w:ascii="Times New Roman" w:hAnsi="Times New Roman"/>
          <w:kern w:val="0"/>
        </w:rPr>
        <w:t xml:space="preserve">5.2  </w:t>
      </w:r>
      <w:r>
        <w:rPr>
          <w:rStyle w:val="30"/>
          <w:rFonts w:hint="eastAsia" w:ascii="Times New Roman" w:hAnsi="Times New Roman"/>
          <w:kern w:val="0"/>
        </w:rPr>
        <w:t>基坑工程</w:t>
      </w:r>
      <w:r>
        <w:tab/>
      </w:r>
      <w:r>
        <w:fldChar w:fldCharType="begin"/>
      </w:r>
      <w:r>
        <w:instrText xml:space="preserve"> PAGEREF _Toc103169258 \h </w:instrText>
      </w:r>
      <w:r>
        <w:fldChar w:fldCharType="separate"/>
      </w:r>
      <w:r>
        <w:t>12</w:t>
      </w:r>
      <w:r>
        <w:fldChar w:fldCharType="end"/>
      </w:r>
      <w:r>
        <w:fldChar w:fldCharType="end"/>
      </w:r>
    </w:p>
    <w:p w14:paraId="094093AA">
      <w:pPr>
        <w:pStyle w:val="20"/>
        <w:tabs>
          <w:tab w:val="right" w:leader="dot" w:pos="7828"/>
        </w:tabs>
        <w:rPr>
          <w:rFonts w:eastAsiaTheme="minorEastAsia" w:cstheme="minorBidi"/>
          <w:smallCaps w:val="0"/>
          <w:szCs w:val="22"/>
        </w:rPr>
      </w:pPr>
      <w:r>
        <w:fldChar w:fldCharType="begin"/>
      </w:r>
      <w:r>
        <w:instrText xml:space="preserve"> HYPERLINK \l "_Toc103169259" </w:instrText>
      </w:r>
      <w:r>
        <w:fldChar w:fldCharType="separate"/>
      </w:r>
      <w:r>
        <w:rPr>
          <w:rStyle w:val="30"/>
          <w:rFonts w:ascii="Times New Roman" w:hAnsi="Times New Roman"/>
          <w:kern w:val="0"/>
        </w:rPr>
        <w:t xml:space="preserve">5.3  </w:t>
      </w:r>
      <w:r>
        <w:rPr>
          <w:rStyle w:val="30"/>
          <w:rFonts w:hint="eastAsia" w:ascii="Times New Roman" w:hAnsi="Times New Roman"/>
          <w:kern w:val="0"/>
        </w:rPr>
        <w:t>桥梁工程</w:t>
      </w:r>
      <w:r>
        <w:tab/>
      </w:r>
      <w:r>
        <w:fldChar w:fldCharType="begin"/>
      </w:r>
      <w:r>
        <w:instrText xml:space="preserve"> PAGEREF _Toc103169259 \h </w:instrText>
      </w:r>
      <w:r>
        <w:fldChar w:fldCharType="separate"/>
      </w:r>
      <w:r>
        <w:t>13</w:t>
      </w:r>
      <w:r>
        <w:fldChar w:fldCharType="end"/>
      </w:r>
      <w:r>
        <w:fldChar w:fldCharType="end"/>
      </w:r>
    </w:p>
    <w:p w14:paraId="0D6D89AC">
      <w:pPr>
        <w:pStyle w:val="20"/>
        <w:tabs>
          <w:tab w:val="right" w:leader="dot" w:pos="7828"/>
        </w:tabs>
        <w:rPr>
          <w:rFonts w:eastAsiaTheme="minorEastAsia" w:cstheme="minorBidi"/>
          <w:smallCaps w:val="0"/>
          <w:szCs w:val="22"/>
        </w:rPr>
      </w:pPr>
      <w:r>
        <w:fldChar w:fldCharType="begin"/>
      </w:r>
      <w:r>
        <w:instrText xml:space="preserve"> HYPERLINK \l "_Toc103169260" </w:instrText>
      </w:r>
      <w:r>
        <w:fldChar w:fldCharType="separate"/>
      </w:r>
      <w:r>
        <w:rPr>
          <w:rStyle w:val="30"/>
          <w:rFonts w:ascii="Times New Roman" w:hAnsi="Times New Roman"/>
          <w:kern w:val="0"/>
        </w:rPr>
        <w:t xml:space="preserve">5.4  </w:t>
      </w:r>
      <w:r>
        <w:rPr>
          <w:rStyle w:val="30"/>
          <w:rFonts w:hint="eastAsia" w:ascii="Times New Roman" w:hAnsi="Times New Roman"/>
          <w:kern w:val="0"/>
        </w:rPr>
        <w:t>隧道工程</w:t>
      </w:r>
      <w:r>
        <w:tab/>
      </w:r>
      <w:r>
        <w:fldChar w:fldCharType="begin"/>
      </w:r>
      <w:r>
        <w:instrText xml:space="preserve"> PAGEREF _Toc103169260 \h </w:instrText>
      </w:r>
      <w:r>
        <w:fldChar w:fldCharType="separate"/>
      </w:r>
      <w:r>
        <w:t>13</w:t>
      </w:r>
      <w:r>
        <w:fldChar w:fldCharType="end"/>
      </w:r>
      <w:r>
        <w:fldChar w:fldCharType="end"/>
      </w:r>
    </w:p>
    <w:p w14:paraId="3E4745B4">
      <w:pPr>
        <w:pStyle w:val="20"/>
        <w:tabs>
          <w:tab w:val="right" w:leader="dot" w:pos="7828"/>
        </w:tabs>
        <w:rPr>
          <w:rFonts w:eastAsiaTheme="minorEastAsia" w:cstheme="minorBidi"/>
          <w:smallCaps w:val="0"/>
          <w:szCs w:val="22"/>
        </w:rPr>
      </w:pPr>
      <w:r>
        <w:fldChar w:fldCharType="begin"/>
      </w:r>
      <w:r>
        <w:instrText xml:space="preserve"> HYPERLINK \l "_Toc103169261" </w:instrText>
      </w:r>
      <w:r>
        <w:fldChar w:fldCharType="separate"/>
      </w:r>
      <w:r>
        <w:rPr>
          <w:rStyle w:val="30"/>
          <w:rFonts w:ascii="Times New Roman" w:hAnsi="Times New Roman"/>
          <w:kern w:val="0"/>
        </w:rPr>
        <w:t xml:space="preserve">5.5  </w:t>
      </w:r>
      <w:r>
        <w:rPr>
          <w:rStyle w:val="30"/>
          <w:rFonts w:hint="eastAsia" w:ascii="Times New Roman" w:hAnsi="Times New Roman"/>
          <w:kern w:val="0"/>
        </w:rPr>
        <w:t>其它作业</w:t>
      </w:r>
      <w:r>
        <w:tab/>
      </w:r>
      <w:r>
        <w:fldChar w:fldCharType="begin"/>
      </w:r>
      <w:r>
        <w:instrText xml:space="preserve"> PAGEREF _Toc103169261 \h </w:instrText>
      </w:r>
      <w:r>
        <w:fldChar w:fldCharType="separate"/>
      </w:r>
      <w:r>
        <w:t>13</w:t>
      </w:r>
      <w:r>
        <w:fldChar w:fldCharType="end"/>
      </w:r>
      <w:r>
        <w:fldChar w:fldCharType="end"/>
      </w:r>
    </w:p>
    <w:p w14:paraId="4F49E966">
      <w:pPr>
        <w:pStyle w:val="3"/>
        <w:tabs>
          <w:tab w:val="left" w:pos="420"/>
          <w:tab w:val="right" w:leader="dot" w:pos="7828"/>
        </w:tabs>
        <w:rPr>
          <w:rFonts w:eastAsiaTheme="minorEastAsia" w:cstheme="minorBidi"/>
          <w:b w:val="0"/>
          <w:bCs w:val="0"/>
          <w:caps w:val="0"/>
          <w:sz w:val="21"/>
          <w:szCs w:val="22"/>
        </w:rPr>
      </w:pPr>
      <w:r>
        <w:fldChar w:fldCharType="begin"/>
      </w:r>
      <w:r>
        <w:instrText xml:space="preserve"> HYPERLINK \l "_Toc103169262" </w:instrText>
      </w:r>
      <w:r>
        <w:fldChar w:fldCharType="separate"/>
      </w:r>
      <w:r>
        <w:rPr>
          <w:rStyle w:val="30"/>
          <w:rFonts w:ascii="Times New Roman" w:hAnsi="Times New Roman"/>
          <w:kern w:val="0"/>
        </w:rPr>
        <w:t>6</w:t>
      </w:r>
      <w:r>
        <w:rPr>
          <w:rFonts w:eastAsiaTheme="minorEastAsia" w:cstheme="minorBidi"/>
          <w:b w:val="0"/>
          <w:bCs w:val="0"/>
          <w:caps w:val="0"/>
          <w:sz w:val="21"/>
          <w:szCs w:val="22"/>
        </w:rPr>
        <w:tab/>
      </w:r>
      <w:r>
        <w:rPr>
          <w:rStyle w:val="30"/>
          <w:rFonts w:hint="eastAsia" w:ascii="Times New Roman" w:hAnsi="Times New Roman"/>
          <w:kern w:val="0"/>
        </w:rPr>
        <w:t>保护巡检</w:t>
      </w:r>
      <w:r>
        <w:tab/>
      </w:r>
      <w:r>
        <w:fldChar w:fldCharType="begin"/>
      </w:r>
      <w:r>
        <w:instrText xml:space="preserve"> PAGEREF _Toc103169262 \h </w:instrText>
      </w:r>
      <w:r>
        <w:fldChar w:fldCharType="separate"/>
      </w:r>
      <w:r>
        <w:t>15</w:t>
      </w:r>
      <w:r>
        <w:fldChar w:fldCharType="end"/>
      </w:r>
      <w:r>
        <w:fldChar w:fldCharType="end"/>
      </w:r>
    </w:p>
    <w:p w14:paraId="618BD42E">
      <w:pPr>
        <w:pStyle w:val="20"/>
        <w:tabs>
          <w:tab w:val="right" w:leader="dot" w:pos="7828"/>
        </w:tabs>
        <w:rPr>
          <w:rFonts w:eastAsiaTheme="minorEastAsia" w:cstheme="minorBidi"/>
          <w:smallCaps w:val="0"/>
          <w:szCs w:val="22"/>
        </w:rPr>
      </w:pPr>
      <w:r>
        <w:fldChar w:fldCharType="begin"/>
      </w:r>
      <w:r>
        <w:instrText xml:space="preserve"> HYPERLINK \l "_Toc103169263" </w:instrText>
      </w:r>
      <w:r>
        <w:fldChar w:fldCharType="separate"/>
      </w:r>
      <w:r>
        <w:rPr>
          <w:rStyle w:val="30"/>
          <w:rFonts w:ascii="Times New Roman" w:hAnsi="Times New Roman"/>
          <w:kern w:val="0"/>
        </w:rPr>
        <w:t xml:space="preserve">6.1  </w:t>
      </w:r>
      <w:r>
        <w:rPr>
          <w:rStyle w:val="30"/>
          <w:rFonts w:hint="eastAsia" w:ascii="Times New Roman" w:hAnsi="Times New Roman"/>
          <w:kern w:val="0"/>
        </w:rPr>
        <w:t>一般规定</w:t>
      </w:r>
      <w:r>
        <w:tab/>
      </w:r>
      <w:r>
        <w:fldChar w:fldCharType="begin"/>
      </w:r>
      <w:r>
        <w:instrText xml:space="preserve"> PAGEREF _Toc103169263 \h </w:instrText>
      </w:r>
      <w:r>
        <w:fldChar w:fldCharType="separate"/>
      </w:r>
      <w:r>
        <w:t>15</w:t>
      </w:r>
      <w:r>
        <w:fldChar w:fldCharType="end"/>
      </w:r>
      <w:r>
        <w:fldChar w:fldCharType="end"/>
      </w:r>
    </w:p>
    <w:p w14:paraId="4C57D8A7">
      <w:pPr>
        <w:pStyle w:val="20"/>
        <w:tabs>
          <w:tab w:val="right" w:leader="dot" w:pos="7828"/>
        </w:tabs>
        <w:rPr>
          <w:rFonts w:eastAsiaTheme="minorEastAsia" w:cstheme="minorBidi"/>
          <w:smallCaps w:val="0"/>
          <w:szCs w:val="22"/>
        </w:rPr>
      </w:pPr>
      <w:r>
        <w:fldChar w:fldCharType="begin"/>
      </w:r>
      <w:r>
        <w:instrText xml:space="preserve"> HYPERLINK \l "_Toc103169264" </w:instrText>
      </w:r>
      <w:r>
        <w:fldChar w:fldCharType="separate"/>
      </w:r>
      <w:r>
        <w:rPr>
          <w:rStyle w:val="30"/>
          <w:rFonts w:ascii="Times New Roman" w:hAnsi="Times New Roman"/>
          <w:kern w:val="0"/>
        </w:rPr>
        <w:t xml:space="preserve">6.2  </w:t>
      </w:r>
      <w:r>
        <w:rPr>
          <w:rStyle w:val="30"/>
          <w:rFonts w:hint="eastAsia" w:ascii="Times New Roman" w:hAnsi="Times New Roman"/>
          <w:kern w:val="0"/>
        </w:rPr>
        <w:t>技术要求</w:t>
      </w:r>
      <w:r>
        <w:tab/>
      </w:r>
      <w:r>
        <w:fldChar w:fldCharType="begin"/>
      </w:r>
      <w:r>
        <w:instrText xml:space="preserve"> PAGEREF _Toc103169264 \h </w:instrText>
      </w:r>
      <w:r>
        <w:fldChar w:fldCharType="separate"/>
      </w:r>
      <w:r>
        <w:t>15</w:t>
      </w:r>
      <w:r>
        <w:fldChar w:fldCharType="end"/>
      </w:r>
      <w:r>
        <w:fldChar w:fldCharType="end"/>
      </w:r>
    </w:p>
    <w:p w14:paraId="611F66BE">
      <w:pPr>
        <w:pStyle w:val="20"/>
        <w:tabs>
          <w:tab w:val="right" w:leader="dot" w:pos="7828"/>
        </w:tabs>
        <w:rPr>
          <w:rFonts w:eastAsiaTheme="minorEastAsia" w:cstheme="minorBidi"/>
          <w:smallCaps w:val="0"/>
          <w:szCs w:val="22"/>
        </w:rPr>
      </w:pPr>
      <w:r>
        <w:fldChar w:fldCharType="begin"/>
      </w:r>
      <w:r>
        <w:instrText xml:space="preserve"> HYPERLINK \l "_Toc103169265" </w:instrText>
      </w:r>
      <w:r>
        <w:fldChar w:fldCharType="separate"/>
      </w:r>
      <w:r>
        <w:rPr>
          <w:rStyle w:val="30"/>
          <w:rFonts w:ascii="Times New Roman" w:hAnsi="Times New Roman"/>
          <w:kern w:val="0"/>
        </w:rPr>
        <w:t xml:space="preserve">6.3  </w:t>
      </w:r>
      <w:r>
        <w:rPr>
          <w:rStyle w:val="30"/>
          <w:rFonts w:hint="eastAsia" w:ascii="Times New Roman" w:hAnsi="Times New Roman"/>
          <w:kern w:val="0"/>
        </w:rPr>
        <w:t>实施要求</w:t>
      </w:r>
      <w:r>
        <w:tab/>
      </w:r>
      <w:r>
        <w:fldChar w:fldCharType="begin"/>
      </w:r>
      <w:r>
        <w:instrText xml:space="preserve"> PAGEREF _Toc103169265 \h </w:instrText>
      </w:r>
      <w:r>
        <w:fldChar w:fldCharType="separate"/>
      </w:r>
      <w:r>
        <w:t>16</w:t>
      </w:r>
      <w:r>
        <w:fldChar w:fldCharType="end"/>
      </w:r>
      <w:r>
        <w:fldChar w:fldCharType="end"/>
      </w:r>
    </w:p>
    <w:p w14:paraId="0CB56C54">
      <w:pPr>
        <w:pStyle w:val="3"/>
        <w:tabs>
          <w:tab w:val="left" w:pos="420"/>
          <w:tab w:val="right" w:leader="dot" w:pos="7828"/>
        </w:tabs>
        <w:rPr>
          <w:rFonts w:eastAsiaTheme="minorEastAsia" w:cstheme="minorBidi"/>
          <w:b w:val="0"/>
          <w:bCs w:val="0"/>
          <w:caps w:val="0"/>
          <w:sz w:val="21"/>
          <w:szCs w:val="22"/>
        </w:rPr>
      </w:pPr>
      <w:r>
        <w:fldChar w:fldCharType="begin"/>
      </w:r>
      <w:r>
        <w:instrText xml:space="preserve"> HYPERLINK \l "_Toc103169266" </w:instrText>
      </w:r>
      <w:r>
        <w:fldChar w:fldCharType="separate"/>
      </w:r>
      <w:r>
        <w:rPr>
          <w:rStyle w:val="30"/>
          <w:rFonts w:ascii="Times New Roman" w:hAnsi="Times New Roman"/>
          <w:kern w:val="0"/>
        </w:rPr>
        <w:t>7</w:t>
      </w:r>
      <w:r>
        <w:rPr>
          <w:rFonts w:eastAsiaTheme="minorEastAsia" w:cstheme="minorBidi"/>
          <w:b w:val="0"/>
          <w:bCs w:val="0"/>
          <w:caps w:val="0"/>
          <w:sz w:val="21"/>
          <w:szCs w:val="22"/>
        </w:rPr>
        <w:tab/>
      </w:r>
      <w:r>
        <w:rPr>
          <w:rStyle w:val="30"/>
          <w:rFonts w:hint="eastAsia" w:ascii="Times New Roman" w:hAnsi="Times New Roman"/>
          <w:kern w:val="0"/>
        </w:rPr>
        <w:t>信息管理</w:t>
      </w:r>
      <w:r>
        <w:tab/>
      </w:r>
      <w:r>
        <w:fldChar w:fldCharType="begin"/>
      </w:r>
      <w:r>
        <w:instrText xml:space="preserve"> PAGEREF _Toc103169266 \h </w:instrText>
      </w:r>
      <w:r>
        <w:fldChar w:fldCharType="separate"/>
      </w:r>
      <w:r>
        <w:t>17</w:t>
      </w:r>
      <w:r>
        <w:fldChar w:fldCharType="end"/>
      </w:r>
      <w:r>
        <w:fldChar w:fldCharType="end"/>
      </w:r>
    </w:p>
    <w:p w14:paraId="27099C2C">
      <w:pPr>
        <w:pStyle w:val="20"/>
        <w:tabs>
          <w:tab w:val="right" w:leader="dot" w:pos="7828"/>
        </w:tabs>
        <w:rPr>
          <w:rFonts w:eastAsiaTheme="minorEastAsia" w:cstheme="minorBidi"/>
          <w:smallCaps w:val="0"/>
          <w:szCs w:val="22"/>
        </w:rPr>
      </w:pPr>
      <w:r>
        <w:fldChar w:fldCharType="begin"/>
      </w:r>
      <w:r>
        <w:instrText xml:space="preserve"> HYPERLINK \l "_Toc103169267" </w:instrText>
      </w:r>
      <w:r>
        <w:fldChar w:fldCharType="separate"/>
      </w:r>
      <w:r>
        <w:rPr>
          <w:rStyle w:val="30"/>
          <w:rFonts w:ascii="Times New Roman" w:hAnsi="Times New Roman"/>
          <w:kern w:val="0"/>
        </w:rPr>
        <w:t xml:space="preserve">7.1  </w:t>
      </w:r>
      <w:r>
        <w:rPr>
          <w:rStyle w:val="30"/>
          <w:rFonts w:hint="eastAsia" w:ascii="Times New Roman" w:hAnsi="Times New Roman"/>
          <w:kern w:val="0"/>
        </w:rPr>
        <w:t>一般规定</w:t>
      </w:r>
      <w:r>
        <w:tab/>
      </w:r>
      <w:r>
        <w:fldChar w:fldCharType="begin"/>
      </w:r>
      <w:r>
        <w:instrText xml:space="preserve"> PAGEREF _Toc103169267 \h </w:instrText>
      </w:r>
      <w:r>
        <w:fldChar w:fldCharType="separate"/>
      </w:r>
      <w:r>
        <w:t>17</w:t>
      </w:r>
      <w:r>
        <w:fldChar w:fldCharType="end"/>
      </w:r>
      <w:r>
        <w:fldChar w:fldCharType="end"/>
      </w:r>
    </w:p>
    <w:p w14:paraId="36B90CAA">
      <w:pPr>
        <w:pStyle w:val="20"/>
        <w:tabs>
          <w:tab w:val="right" w:leader="dot" w:pos="7828"/>
        </w:tabs>
        <w:rPr>
          <w:rFonts w:eastAsiaTheme="minorEastAsia" w:cstheme="minorBidi"/>
          <w:smallCaps w:val="0"/>
          <w:szCs w:val="22"/>
        </w:rPr>
      </w:pPr>
      <w:r>
        <w:fldChar w:fldCharType="begin"/>
      </w:r>
      <w:r>
        <w:instrText xml:space="preserve"> HYPERLINK \l "_Toc103169268" </w:instrText>
      </w:r>
      <w:r>
        <w:fldChar w:fldCharType="separate"/>
      </w:r>
      <w:r>
        <w:rPr>
          <w:rStyle w:val="30"/>
          <w:rFonts w:ascii="Times New Roman" w:hAnsi="Times New Roman"/>
          <w:kern w:val="0"/>
        </w:rPr>
        <w:t xml:space="preserve">7.2  </w:t>
      </w:r>
      <w:r>
        <w:rPr>
          <w:rStyle w:val="30"/>
          <w:rFonts w:hint="eastAsia" w:ascii="Times New Roman" w:hAnsi="Times New Roman"/>
          <w:kern w:val="0"/>
        </w:rPr>
        <w:t>监测信息</w:t>
      </w:r>
      <w:r>
        <w:tab/>
      </w:r>
      <w:r>
        <w:fldChar w:fldCharType="begin"/>
      </w:r>
      <w:r>
        <w:instrText xml:space="preserve"> PAGEREF _Toc103169268 \h </w:instrText>
      </w:r>
      <w:r>
        <w:fldChar w:fldCharType="separate"/>
      </w:r>
      <w:r>
        <w:t>17</w:t>
      </w:r>
      <w:r>
        <w:fldChar w:fldCharType="end"/>
      </w:r>
      <w:r>
        <w:fldChar w:fldCharType="end"/>
      </w:r>
    </w:p>
    <w:p w14:paraId="7427B6F0">
      <w:pPr>
        <w:pStyle w:val="20"/>
        <w:tabs>
          <w:tab w:val="right" w:leader="dot" w:pos="7828"/>
        </w:tabs>
        <w:rPr>
          <w:rFonts w:eastAsiaTheme="minorEastAsia" w:cstheme="minorBidi"/>
          <w:smallCaps w:val="0"/>
          <w:szCs w:val="22"/>
        </w:rPr>
      </w:pPr>
      <w:r>
        <w:fldChar w:fldCharType="begin"/>
      </w:r>
      <w:r>
        <w:instrText xml:space="preserve"> HYPERLINK \l "_Toc103169269" </w:instrText>
      </w:r>
      <w:r>
        <w:fldChar w:fldCharType="separate"/>
      </w:r>
      <w:r>
        <w:rPr>
          <w:rStyle w:val="30"/>
          <w:rFonts w:ascii="Times New Roman" w:hAnsi="Times New Roman"/>
          <w:kern w:val="0"/>
        </w:rPr>
        <w:t xml:space="preserve">7.3  </w:t>
      </w:r>
      <w:r>
        <w:rPr>
          <w:rStyle w:val="30"/>
          <w:rFonts w:hint="eastAsia" w:ascii="Times New Roman" w:hAnsi="Times New Roman"/>
          <w:kern w:val="0"/>
        </w:rPr>
        <w:t>视频信息</w:t>
      </w:r>
      <w:r>
        <w:tab/>
      </w:r>
      <w:r>
        <w:fldChar w:fldCharType="begin"/>
      </w:r>
      <w:r>
        <w:instrText xml:space="preserve"> PAGEREF _Toc103169269 \h </w:instrText>
      </w:r>
      <w:r>
        <w:fldChar w:fldCharType="separate"/>
      </w:r>
      <w:r>
        <w:t>18</w:t>
      </w:r>
      <w:r>
        <w:fldChar w:fldCharType="end"/>
      </w:r>
      <w:r>
        <w:fldChar w:fldCharType="end"/>
      </w:r>
    </w:p>
    <w:p w14:paraId="32A20595">
      <w:pPr>
        <w:pStyle w:val="3"/>
        <w:tabs>
          <w:tab w:val="right" w:leader="dot" w:pos="7828"/>
        </w:tabs>
        <w:rPr>
          <w:rFonts w:eastAsiaTheme="minorEastAsia" w:cstheme="minorBidi"/>
          <w:b w:val="0"/>
          <w:bCs w:val="0"/>
          <w:caps w:val="0"/>
          <w:sz w:val="21"/>
          <w:szCs w:val="22"/>
        </w:rPr>
      </w:pPr>
      <w:r>
        <w:fldChar w:fldCharType="begin"/>
      </w:r>
      <w:r>
        <w:instrText xml:space="preserve"> HYPERLINK \l "_Toc103169270" </w:instrText>
      </w:r>
      <w:r>
        <w:fldChar w:fldCharType="separate"/>
      </w:r>
      <w:r>
        <w:rPr>
          <w:rStyle w:val="30"/>
          <w:rFonts w:hint="eastAsia"/>
        </w:rPr>
        <w:t>本规范用词说明</w:t>
      </w:r>
      <w:r>
        <w:tab/>
      </w:r>
      <w:r>
        <w:fldChar w:fldCharType="begin"/>
      </w:r>
      <w:r>
        <w:instrText xml:space="preserve"> PAGEREF _Toc103169270 \h </w:instrText>
      </w:r>
      <w:r>
        <w:fldChar w:fldCharType="separate"/>
      </w:r>
      <w:r>
        <w:t>19</w:t>
      </w:r>
      <w:r>
        <w:fldChar w:fldCharType="end"/>
      </w:r>
      <w:r>
        <w:fldChar w:fldCharType="end"/>
      </w:r>
    </w:p>
    <w:p w14:paraId="0CBCEA4B">
      <w:pPr>
        <w:pStyle w:val="3"/>
        <w:tabs>
          <w:tab w:val="right" w:leader="dot" w:pos="7828"/>
        </w:tabs>
        <w:rPr>
          <w:rFonts w:eastAsiaTheme="minorEastAsia" w:cstheme="minorBidi"/>
          <w:b w:val="0"/>
          <w:bCs w:val="0"/>
          <w:caps w:val="0"/>
          <w:sz w:val="21"/>
          <w:szCs w:val="22"/>
        </w:rPr>
      </w:pPr>
      <w:r>
        <w:fldChar w:fldCharType="begin"/>
      </w:r>
      <w:r>
        <w:instrText xml:space="preserve"> HYPERLINK \l "_Toc103169271" </w:instrText>
      </w:r>
      <w:r>
        <w:fldChar w:fldCharType="separate"/>
      </w:r>
      <w:r>
        <w:rPr>
          <w:rStyle w:val="30"/>
          <w:rFonts w:hint="eastAsia"/>
        </w:rPr>
        <w:t>引用标准名录</w:t>
      </w:r>
      <w:r>
        <w:tab/>
      </w:r>
      <w:r>
        <w:fldChar w:fldCharType="begin"/>
      </w:r>
      <w:r>
        <w:instrText xml:space="preserve"> PAGEREF _Toc103169271 \h </w:instrText>
      </w:r>
      <w:r>
        <w:fldChar w:fldCharType="separate"/>
      </w:r>
      <w:r>
        <w:t>20</w:t>
      </w:r>
      <w:r>
        <w:fldChar w:fldCharType="end"/>
      </w:r>
      <w:r>
        <w:fldChar w:fldCharType="end"/>
      </w:r>
    </w:p>
    <w:p w14:paraId="4674E576">
      <w:pPr>
        <w:pStyle w:val="3"/>
        <w:tabs>
          <w:tab w:val="right" w:leader="dot" w:pos="7828"/>
        </w:tabs>
        <w:rPr>
          <w:rFonts w:eastAsiaTheme="minorEastAsia" w:cstheme="minorBidi"/>
          <w:b w:val="0"/>
          <w:bCs w:val="0"/>
          <w:caps w:val="0"/>
          <w:sz w:val="21"/>
          <w:szCs w:val="22"/>
        </w:rPr>
      </w:pPr>
      <w:r>
        <w:fldChar w:fldCharType="begin"/>
      </w:r>
      <w:r>
        <w:instrText xml:space="preserve"> HYPERLINK \l "_Toc103169272" </w:instrText>
      </w:r>
      <w:r>
        <w:fldChar w:fldCharType="separate"/>
      </w:r>
      <w:r>
        <w:rPr>
          <w:rStyle w:val="30"/>
          <w:rFonts w:hint="eastAsia"/>
        </w:rPr>
        <w:t>条文说明</w:t>
      </w:r>
      <w:r>
        <w:tab/>
      </w:r>
      <w:r>
        <w:fldChar w:fldCharType="begin"/>
      </w:r>
      <w:r>
        <w:instrText xml:space="preserve"> PAGEREF _Toc103169272 \h </w:instrText>
      </w:r>
      <w:r>
        <w:fldChar w:fldCharType="separate"/>
      </w:r>
      <w:r>
        <w:t>21</w:t>
      </w:r>
      <w:r>
        <w:fldChar w:fldCharType="end"/>
      </w:r>
      <w:r>
        <w:fldChar w:fldCharType="end"/>
      </w:r>
    </w:p>
    <w:p w14:paraId="490B37CE">
      <w:pPr>
        <w:rPr>
          <w:bCs/>
        </w:rPr>
      </w:pPr>
      <w:r>
        <w:rPr>
          <w:rFonts w:asciiTheme="minorHAnsi" w:hAnsiTheme="minorHAnsi"/>
          <w:b/>
          <w:caps/>
          <w:sz w:val="20"/>
          <w:szCs w:val="20"/>
        </w:rPr>
        <w:fldChar w:fldCharType="end"/>
      </w:r>
    </w:p>
    <w:p w14:paraId="59F5BF5E">
      <w:pPr>
        <w:widowControl/>
        <w:tabs>
          <w:tab w:val="clear" w:pos="720"/>
        </w:tabs>
        <w:spacing w:line="240" w:lineRule="auto"/>
        <w:jc w:val="left"/>
        <w:rPr>
          <w:bCs/>
        </w:rPr>
        <w:sectPr>
          <w:headerReference r:id="rId7" w:type="default"/>
          <w:footerReference r:id="rId8" w:type="default"/>
          <w:footerReference r:id="rId9" w:type="even"/>
          <w:pgSz w:w="11906" w:h="16838"/>
          <w:pgMar w:top="1440" w:right="1800" w:bottom="1440" w:left="2268" w:header="851" w:footer="992" w:gutter="0"/>
          <w:pgNumType w:start="1"/>
          <w:cols w:space="425" w:num="1"/>
          <w:docGrid w:type="lines" w:linePitch="312" w:charSpace="0"/>
        </w:sectPr>
      </w:pPr>
    </w:p>
    <w:p w14:paraId="232ED519">
      <w:pPr>
        <w:widowControl/>
        <w:tabs>
          <w:tab w:val="left" w:pos="420"/>
          <w:tab w:val="right" w:leader="dot" w:pos="7828"/>
        </w:tabs>
        <w:jc w:val="center"/>
        <w:rPr>
          <w:kern w:val="0"/>
          <w:sz w:val="28"/>
          <w:szCs w:val="28"/>
        </w:rPr>
      </w:pPr>
      <w:bookmarkStart w:id="19" w:name="_Toc25829164"/>
      <w:r>
        <w:rPr>
          <w:kern w:val="0"/>
          <w:sz w:val="28"/>
          <w:szCs w:val="28"/>
        </w:rPr>
        <w:t>Contents</w:t>
      </w:r>
    </w:p>
    <w:p w14:paraId="60575FD6">
      <w:pPr>
        <w:pStyle w:val="68"/>
        <w:widowControl/>
        <w:numPr>
          <w:ilvl w:val="0"/>
          <w:numId w:val="2"/>
        </w:numPr>
        <w:tabs>
          <w:tab w:val="left" w:pos="420"/>
          <w:tab w:val="right" w:leader="dot" w:pos="7828"/>
        </w:tabs>
        <w:ind w:firstLineChars="0"/>
        <w:jc w:val="left"/>
        <w:rPr>
          <w:b/>
          <w:bCs/>
          <w:kern w:val="0"/>
          <w:sz w:val="24"/>
          <w:szCs w:val="24"/>
        </w:rPr>
      </w:pPr>
      <w:r>
        <w:rPr>
          <w:b/>
          <w:bCs/>
          <w:kern w:val="0"/>
          <w:sz w:val="24"/>
          <w:szCs w:val="24"/>
        </w:rPr>
        <w:t>General Provision</w:t>
      </w:r>
      <w:r>
        <w:rPr>
          <w:b/>
          <w:bCs/>
          <w:kern w:val="0"/>
          <w:sz w:val="24"/>
          <w:szCs w:val="24"/>
        </w:rPr>
        <w:tab/>
      </w:r>
      <w:r>
        <w:rPr>
          <w:rFonts w:hint="eastAsia"/>
          <w:b/>
          <w:bCs/>
          <w:kern w:val="0"/>
          <w:sz w:val="24"/>
          <w:szCs w:val="24"/>
        </w:rPr>
        <w:t>4</w:t>
      </w:r>
    </w:p>
    <w:p w14:paraId="743711EB">
      <w:pPr>
        <w:pStyle w:val="68"/>
        <w:widowControl/>
        <w:numPr>
          <w:ilvl w:val="0"/>
          <w:numId w:val="2"/>
        </w:numPr>
        <w:tabs>
          <w:tab w:val="left" w:pos="420"/>
          <w:tab w:val="right" w:leader="dot" w:pos="7828"/>
        </w:tabs>
        <w:ind w:firstLineChars="0"/>
        <w:jc w:val="left"/>
        <w:rPr>
          <w:b/>
          <w:bCs/>
          <w:kern w:val="0"/>
          <w:sz w:val="24"/>
          <w:szCs w:val="24"/>
        </w:rPr>
      </w:pPr>
      <w:r>
        <w:rPr>
          <w:b/>
          <w:bCs/>
          <w:kern w:val="0"/>
          <w:sz w:val="24"/>
          <w:szCs w:val="24"/>
        </w:rPr>
        <w:t>Terms</w:t>
      </w:r>
      <w:r>
        <w:rPr>
          <w:b/>
          <w:bCs/>
          <w:kern w:val="0"/>
          <w:sz w:val="24"/>
          <w:szCs w:val="24"/>
        </w:rPr>
        <w:tab/>
      </w:r>
      <w:r>
        <w:rPr>
          <w:rFonts w:hint="eastAsia"/>
          <w:b/>
          <w:bCs/>
          <w:kern w:val="0"/>
          <w:sz w:val="24"/>
          <w:szCs w:val="24"/>
        </w:rPr>
        <w:t>5</w:t>
      </w:r>
    </w:p>
    <w:p w14:paraId="42D367EA">
      <w:pPr>
        <w:pStyle w:val="68"/>
        <w:widowControl/>
        <w:numPr>
          <w:ilvl w:val="0"/>
          <w:numId w:val="2"/>
        </w:numPr>
        <w:tabs>
          <w:tab w:val="left" w:pos="420"/>
          <w:tab w:val="right" w:leader="dot" w:pos="7828"/>
        </w:tabs>
        <w:ind w:firstLineChars="0"/>
        <w:jc w:val="left"/>
        <w:rPr>
          <w:b/>
          <w:bCs/>
          <w:kern w:val="0"/>
          <w:sz w:val="24"/>
          <w:szCs w:val="24"/>
        </w:rPr>
      </w:pPr>
      <w:r>
        <w:rPr>
          <w:b/>
          <w:bCs/>
          <w:kern w:val="0"/>
          <w:sz w:val="24"/>
          <w:szCs w:val="24"/>
        </w:rPr>
        <w:t>Protection Requirements</w:t>
      </w:r>
      <w:r>
        <w:rPr>
          <w:b/>
          <w:bCs/>
          <w:kern w:val="0"/>
          <w:sz w:val="24"/>
          <w:szCs w:val="24"/>
        </w:rPr>
        <w:tab/>
      </w:r>
      <w:r>
        <w:rPr>
          <w:rFonts w:hint="eastAsia"/>
          <w:b/>
          <w:bCs/>
          <w:kern w:val="0"/>
          <w:sz w:val="24"/>
          <w:szCs w:val="24"/>
        </w:rPr>
        <w:t>6</w:t>
      </w:r>
    </w:p>
    <w:p w14:paraId="4C4CD6F5">
      <w:pPr>
        <w:pStyle w:val="68"/>
        <w:widowControl/>
        <w:numPr>
          <w:ilvl w:val="0"/>
          <w:numId w:val="3"/>
        </w:numPr>
        <w:tabs>
          <w:tab w:val="left" w:pos="420"/>
          <w:tab w:val="right" w:leader="dot" w:pos="7828"/>
        </w:tabs>
        <w:ind w:firstLineChars="0"/>
        <w:jc w:val="left"/>
        <w:rPr>
          <w:kern w:val="0"/>
        </w:rPr>
      </w:pPr>
      <w:r>
        <w:rPr>
          <w:kern w:val="0"/>
        </w:rPr>
        <w:t>General Requirements</w:t>
      </w:r>
      <w:r>
        <w:rPr>
          <w:kern w:val="0"/>
        </w:rPr>
        <w:tab/>
      </w:r>
      <w:r>
        <w:rPr>
          <w:rFonts w:hint="eastAsia"/>
          <w:kern w:val="0"/>
        </w:rPr>
        <w:t>6</w:t>
      </w:r>
    </w:p>
    <w:p w14:paraId="07D3E216">
      <w:pPr>
        <w:pStyle w:val="68"/>
        <w:widowControl/>
        <w:numPr>
          <w:ilvl w:val="0"/>
          <w:numId w:val="3"/>
        </w:numPr>
        <w:tabs>
          <w:tab w:val="left" w:pos="420"/>
          <w:tab w:val="right" w:leader="dot" w:pos="7828"/>
        </w:tabs>
        <w:ind w:firstLineChars="0"/>
        <w:jc w:val="left"/>
        <w:rPr>
          <w:kern w:val="0"/>
        </w:rPr>
      </w:pPr>
      <w:r>
        <w:rPr>
          <w:kern w:val="0"/>
        </w:rPr>
        <w:t>Protection of Facilities and Equipment</w:t>
      </w:r>
      <w:r>
        <w:rPr>
          <w:kern w:val="0"/>
        </w:rPr>
        <w:tab/>
      </w:r>
      <w:r>
        <w:rPr>
          <w:rFonts w:hint="eastAsia"/>
          <w:kern w:val="0"/>
        </w:rPr>
        <w:t>8</w:t>
      </w:r>
    </w:p>
    <w:p w14:paraId="55E2D5A0">
      <w:pPr>
        <w:pStyle w:val="68"/>
        <w:widowControl/>
        <w:numPr>
          <w:ilvl w:val="0"/>
          <w:numId w:val="3"/>
        </w:numPr>
        <w:tabs>
          <w:tab w:val="left" w:pos="420"/>
          <w:tab w:val="right" w:leader="dot" w:pos="7828"/>
        </w:tabs>
        <w:ind w:firstLineChars="0"/>
        <w:jc w:val="left"/>
        <w:rPr>
          <w:kern w:val="0"/>
        </w:rPr>
      </w:pPr>
      <w:r>
        <w:rPr>
          <w:kern w:val="0"/>
        </w:rPr>
        <w:t>Civil Engineering Facilities</w:t>
      </w:r>
      <w:r>
        <w:rPr>
          <w:kern w:val="0"/>
        </w:rPr>
        <w:tab/>
      </w:r>
      <w:r>
        <w:rPr>
          <w:rFonts w:hint="eastAsia"/>
          <w:kern w:val="0"/>
        </w:rPr>
        <w:t>8</w:t>
      </w:r>
    </w:p>
    <w:p w14:paraId="097D1F7B">
      <w:pPr>
        <w:pStyle w:val="68"/>
        <w:widowControl/>
        <w:numPr>
          <w:ilvl w:val="0"/>
          <w:numId w:val="2"/>
        </w:numPr>
        <w:tabs>
          <w:tab w:val="left" w:pos="420"/>
          <w:tab w:val="right" w:leader="dot" w:pos="7828"/>
        </w:tabs>
        <w:ind w:firstLineChars="0"/>
        <w:jc w:val="left"/>
        <w:rPr>
          <w:b/>
          <w:bCs/>
          <w:kern w:val="0"/>
          <w:sz w:val="24"/>
          <w:szCs w:val="24"/>
        </w:rPr>
      </w:pPr>
      <w:r>
        <w:rPr>
          <w:b/>
          <w:bCs/>
          <w:kern w:val="0"/>
          <w:sz w:val="24"/>
          <w:szCs w:val="24"/>
        </w:rPr>
        <w:t>Safety Assessment</w:t>
      </w:r>
      <w:r>
        <w:rPr>
          <w:b/>
          <w:bCs/>
          <w:kern w:val="0"/>
          <w:sz w:val="24"/>
          <w:szCs w:val="24"/>
        </w:rPr>
        <w:tab/>
      </w:r>
      <w:r>
        <w:rPr>
          <w:rFonts w:hint="eastAsia"/>
          <w:b/>
          <w:bCs/>
          <w:kern w:val="0"/>
          <w:sz w:val="24"/>
          <w:szCs w:val="24"/>
        </w:rPr>
        <w:t>10</w:t>
      </w:r>
    </w:p>
    <w:p w14:paraId="01D7E2C2">
      <w:pPr>
        <w:pStyle w:val="68"/>
        <w:widowControl/>
        <w:numPr>
          <w:ilvl w:val="0"/>
          <w:numId w:val="4"/>
        </w:numPr>
        <w:tabs>
          <w:tab w:val="left" w:pos="420"/>
          <w:tab w:val="right" w:leader="dot" w:pos="7828"/>
        </w:tabs>
        <w:ind w:firstLineChars="0"/>
        <w:jc w:val="left"/>
        <w:rPr>
          <w:kern w:val="0"/>
        </w:rPr>
      </w:pPr>
      <w:r>
        <w:rPr>
          <w:kern w:val="0"/>
        </w:rPr>
        <w:t>General Requirements</w:t>
      </w:r>
      <w:r>
        <w:rPr>
          <w:kern w:val="0"/>
        </w:rPr>
        <w:tab/>
      </w:r>
      <w:r>
        <w:rPr>
          <w:rFonts w:hint="eastAsia"/>
          <w:kern w:val="0"/>
        </w:rPr>
        <w:t>10</w:t>
      </w:r>
    </w:p>
    <w:p w14:paraId="79468DC8">
      <w:pPr>
        <w:pStyle w:val="68"/>
        <w:widowControl/>
        <w:numPr>
          <w:ilvl w:val="0"/>
          <w:numId w:val="4"/>
        </w:numPr>
        <w:tabs>
          <w:tab w:val="left" w:pos="420"/>
          <w:tab w:val="right" w:leader="dot" w:pos="7828"/>
        </w:tabs>
        <w:ind w:firstLineChars="0"/>
        <w:jc w:val="left"/>
        <w:rPr>
          <w:kern w:val="0"/>
        </w:rPr>
      </w:pPr>
      <w:r>
        <w:rPr>
          <w:kern w:val="0"/>
        </w:rPr>
        <w:t>Technical Requirements</w:t>
      </w:r>
      <w:r>
        <w:rPr>
          <w:kern w:val="0"/>
        </w:rPr>
        <w:tab/>
      </w:r>
      <w:r>
        <w:rPr>
          <w:rFonts w:hint="eastAsia"/>
          <w:kern w:val="0"/>
        </w:rPr>
        <w:t>10</w:t>
      </w:r>
    </w:p>
    <w:p w14:paraId="53A39296">
      <w:pPr>
        <w:pStyle w:val="68"/>
        <w:widowControl/>
        <w:numPr>
          <w:ilvl w:val="0"/>
          <w:numId w:val="2"/>
        </w:numPr>
        <w:tabs>
          <w:tab w:val="left" w:pos="420"/>
          <w:tab w:val="right" w:leader="dot" w:pos="7828"/>
        </w:tabs>
        <w:ind w:firstLineChars="0"/>
        <w:jc w:val="left"/>
        <w:rPr>
          <w:b/>
          <w:bCs/>
          <w:kern w:val="0"/>
          <w:sz w:val="24"/>
          <w:szCs w:val="24"/>
        </w:rPr>
      </w:pPr>
      <w:r>
        <w:rPr>
          <w:b/>
          <w:bCs/>
          <w:kern w:val="0"/>
          <w:sz w:val="24"/>
          <w:szCs w:val="24"/>
        </w:rPr>
        <w:t>External Operation</w:t>
      </w:r>
      <w:r>
        <w:rPr>
          <w:b/>
          <w:bCs/>
          <w:kern w:val="0"/>
          <w:sz w:val="24"/>
          <w:szCs w:val="24"/>
        </w:rPr>
        <w:tab/>
      </w:r>
      <w:r>
        <w:rPr>
          <w:b/>
          <w:bCs/>
          <w:kern w:val="0"/>
          <w:sz w:val="24"/>
          <w:szCs w:val="24"/>
        </w:rPr>
        <w:t>1</w:t>
      </w:r>
      <w:r>
        <w:rPr>
          <w:rFonts w:hint="eastAsia"/>
          <w:b/>
          <w:bCs/>
          <w:kern w:val="0"/>
          <w:sz w:val="24"/>
          <w:szCs w:val="24"/>
        </w:rPr>
        <w:t>2</w:t>
      </w:r>
    </w:p>
    <w:p w14:paraId="4903AB8E">
      <w:pPr>
        <w:pStyle w:val="68"/>
        <w:widowControl/>
        <w:numPr>
          <w:ilvl w:val="0"/>
          <w:numId w:val="5"/>
        </w:numPr>
        <w:tabs>
          <w:tab w:val="left" w:pos="420"/>
          <w:tab w:val="right" w:leader="dot" w:pos="7828"/>
        </w:tabs>
        <w:ind w:firstLineChars="0"/>
        <w:jc w:val="left"/>
        <w:rPr>
          <w:kern w:val="0"/>
        </w:rPr>
      </w:pPr>
      <w:r>
        <w:rPr>
          <w:kern w:val="0"/>
        </w:rPr>
        <w:t>General Requirements</w:t>
      </w:r>
      <w:r>
        <w:rPr>
          <w:kern w:val="0"/>
        </w:rPr>
        <w:tab/>
      </w:r>
      <w:r>
        <w:rPr>
          <w:kern w:val="0"/>
        </w:rPr>
        <w:t>1</w:t>
      </w:r>
      <w:r>
        <w:rPr>
          <w:rFonts w:hint="eastAsia"/>
          <w:kern w:val="0"/>
        </w:rPr>
        <w:t>2</w:t>
      </w:r>
    </w:p>
    <w:p w14:paraId="01F14F8D">
      <w:pPr>
        <w:pStyle w:val="68"/>
        <w:widowControl/>
        <w:numPr>
          <w:ilvl w:val="0"/>
          <w:numId w:val="5"/>
        </w:numPr>
        <w:tabs>
          <w:tab w:val="left" w:pos="420"/>
          <w:tab w:val="right" w:leader="dot" w:pos="7828"/>
        </w:tabs>
        <w:ind w:firstLineChars="0"/>
        <w:jc w:val="left"/>
        <w:rPr>
          <w:kern w:val="0"/>
        </w:rPr>
      </w:pPr>
      <w:r>
        <w:rPr>
          <w:kern w:val="0"/>
        </w:rPr>
        <w:t>Foundation Pit Engineering</w:t>
      </w:r>
      <w:r>
        <w:rPr>
          <w:kern w:val="0"/>
        </w:rPr>
        <w:tab/>
      </w:r>
      <w:r>
        <w:rPr>
          <w:kern w:val="0"/>
        </w:rPr>
        <w:t>1</w:t>
      </w:r>
      <w:r>
        <w:rPr>
          <w:rFonts w:hint="eastAsia"/>
          <w:kern w:val="0"/>
        </w:rPr>
        <w:t>2</w:t>
      </w:r>
    </w:p>
    <w:p w14:paraId="7536F8FB">
      <w:pPr>
        <w:pStyle w:val="68"/>
        <w:widowControl/>
        <w:numPr>
          <w:ilvl w:val="0"/>
          <w:numId w:val="5"/>
        </w:numPr>
        <w:tabs>
          <w:tab w:val="left" w:pos="420"/>
          <w:tab w:val="right" w:leader="dot" w:pos="7828"/>
        </w:tabs>
        <w:ind w:firstLineChars="0"/>
        <w:jc w:val="left"/>
        <w:rPr>
          <w:kern w:val="0"/>
        </w:rPr>
      </w:pPr>
      <w:r>
        <w:rPr>
          <w:kern w:val="0"/>
        </w:rPr>
        <w:t>Bridge Engineering</w:t>
      </w:r>
      <w:r>
        <w:rPr>
          <w:kern w:val="0"/>
        </w:rPr>
        <w:tab/>
      </w:r>
      <w:r>
        <w:rPr>
          <w:kern w:val="0"/>
        </w:rPr>
        <w:t>1</w:t>
      </w:r>
      <w:r>
        <w:rPr>
          <w:rFonts w:hint="eastAsia"/>
          <w:kern w:val="0"/>
        </w:rPr>
        <w:t>3</w:t>
      </w:r>
    </w:p>
    <w:p w14:paraId="58604429">
      <w:pPr>
        <w:pStyle w:val="68"/>
        <w:widowControl/>
        <w:numPr>
          <w:ilvl w:val="0"/>
          <w:numId w:val="5"/>
        </w:numPr>
        <w:tabs>
          <w:tab w:val="left" w:pos="420"/>
          <w:tab w:val="right" w:leader="dot" w:pos="7828"/>
        </w:tabs>
        <w:ind w:firstLineChars="0"/>
        <w:jc w:val="left"/>
        <w:rPr>
          <w:kern w:val="0"/>
        </w:rPr>
      </w:pPr>
      <w:r>
        <w:rPr>
          <w:kern w:val="0"/>
        </w:rPr>
        <w:t>Tunnel Engineering</w:t>
      </w:r>
      <w:r>
        <w:rPr>
          <w:kern w:val="0"/>
        </w:rPr>
        <w:tab/>
      </w:r>
      <w:r>
        <w:rPr>
          <w:kern w:val="0"/>
        </w:rPr>
        <w:t>1</w:t>
      </w:r>
      <w:r>
        <w:rPr>
          <w:rFonts w:hint="eastAsia"/>
          <w:kern w:val="0"/>
        </w:rPr>
        <w:t>3</w:t>
      </w:r>
    </w:p>
    <w:p w14:paraId="37E9F73C">
      <w:pPr>
        <w:pStyle w:val="68"/>
        <w:widowControl/>
        <w:numPr>
          <w:ilvl w:val="0"/>
          <w:numId w:val="5"/>
        </w:numPr>
        <w:tabs>
          <w:tab w:val="left" w:pos="420"/>
          <w:tab w:val="right" w:leader="dot" w:pos="7828"/>
        </w:tabs>
        <w:ind w:firstLineChars="0"/>
        <w:jc w:val="left"/>
        <w:rPr>
          <w:kern w:val="0"/>
        </w:rPr>
      </w:pPr>
      <w:r>
        <w:rPr>
          <w:kern w:val="0"/>
        </w:rPr>
        <w:t>Other Engineering</w:t>
      </w:r>
      <w:r>
        <w:rPr>
          <w:kern w:val="0"/>
        </w:rPr>
        <w:tab/>
      </w:r>
      <w:r>
        <w:rPr>
          <w:kern w:val="0"/>
        </w:rPr>
        <w:t>1</w:t>
      </w:r>
      <w:r>
        <w:rPr>
          <w:rFonts w:hint="eastAsia"/>
          <w:kern w:val="0"/>
        </w:rPr>
        <w:t>3</w:t>
      </w:r>
    </w:p>
    <w:p w14:paraId="50B576FC">
      <w:pPr>
        <w:pStyle w:val="68"/>
        <w:widowControl/>
        <w:numPr>
          <w:ilvl w:val="0"/>
          <w:numId w:val="2"/>
        </w:numPr>
        <w:tabs>
          <w:tab w:val="left" w:pos="420"/>
          <w:tab w:val="right" w:leader="dot" w:pos="7828"/>
        </w:tabs>
        <w:ind w:firstLineChars="0"/>
        <w:jc w:val="left"/>
        <w:rPr>
          <w:b/>
          <w:bCs/>
          <w:kern w:val="0"/>
          <w:sz w:val="24"/>
          <w:szCs w:val="24"/>
        </w:rPr>
      </w:pPr>
      <w:r>
        <w:rPr>
          <w:b/>
          <w:bCs/>
          <w:kern w:val="0"/>
          <w:sz w:val="24"/>
          <w:szCs w:val="24"/>
        </w:rPr>
        <w:t>Protection Patrols</w:t>
      </w:r>
      <w:r>
        <w:rPr>
          <w:b/>
          <w:bCs/>
          <w:kern w:val="0"/>
          <w:sz w:val="24"/>
          <w:szCs w:val="24"/>
        </w:rPr>
        <w:tab/>
      </w:r>
      <w:r>
        <w:rPr>
          <w:b/>
          <w:bCs/>
          <w:kern w:val="0"/>
          <w:sz w:val="24"/>
          <w:szCs w:val="24"/>
        </w:rPr>
        <w:t>1</w:t>
      </w:r>
      <w:r>
        <w:rPr>
          <w:rFonts w:hint="eastAsia"/>
          <w:b/>
          <w:bCs/>
          <w:kern w:val="0"/>
          <w:sz w:val="24"/>
          <w:szCs w:val="24"/>
        </w:rPr>
        <w:t>5</w:t>
      </w:r>
    </w:p>
    <w:p w14:paraId="40DA09F3">
      <w:pPr>
        <w:pStyle w:val="68"/>
        <w:widowControl/>
        <w:numPr>
          <w:ilvl w:val="0"/>
          <w:numId w:val="6"/>
        </w:numPr>
        <w:tabs>
          <w:tab w:val="left" w:pos="420"/>
          <w:tab w:val="right" w:leader="dot" w:pos="7828"/>
        </w:tabs>
        <w:ind w:firstLineChars="0"/>
        <w:jc w:val="left"/>
        <w:rPr>
          <w:kern w:val="0"/>
        </w:rPr>
      </w:pPr>
      <w:r>
        <w:rPr>
          <w:kern w:val="0"/>
        </w:rPr>
        <w:t>General Requirements</w:t>
      </w:r>
      <w:r>
        <w:rPr>
          <w:kern w:val="0"/>
        </w:rPr>
        <w:tab/>
      </w:r>
      <w:r>
        <w:rPr>
          <w:kern w:val="0"/>
        </w:rPr>
        <w:t>1</w:t>
      </w:r>
      <w:r>
        <w:rPr>
          <w:rFonts w:hint="eastAsia"/>
          <w:kern w:val="0"/>
        </w:rPr>
        <w:t>5</w:t>
      </w:r>
    </w:p>
    <w:p w14:paraId="30CE3744">
      <w:pPr>
        <w:pStyle w:val="68"/>
        <w:widowControl/>
        <w:numPr>
          <w:ilvl w:val="0"/>
          <w:numId w:val="6"/>
        </w:numPr>
        <w:tabs>
          <w:tab w:val="left" w:pos="420"/>
          <w:tab w:val="right" w:leader="dot" w:pos="7828"/>
        </w:tabs>
        <w:ind w:firstLineChars="0"/>
        <w:jc w:val="left"/>
        <w:rPr>
          <w:kern w:val="0"/>
        </w:rPr>
      </w:pPr>
      <w:r>
        <w:rPr>
          <w:kern w:val="0"/>
        </w:rPr>
        <w:t>Technical Requirements</w:t>
      </w:r>
      <w:r>
        <w:rPr>
          <w:kern w:val="0"/>
        </w:rPr>
        <w:tab/>
      </w:r>
      <w:r>
        <w:rPr>
          <w:kern w:val="0"/>
        </w:rPr>
        <w:t>1</w:t>
      </w:r>
      <w:r>
        <w:rPr>
          <w:rFonts w:hint="eastAsia"/>
          <w:kern w:val="0"/>
        </w:rPr>
        <w:t>5</w:t>
      </w:r>
    </w:p>
    <w:p w14:paraId="0B3EA0F8">
      <w:pPr>
        <w:pStyle w:val="68"/>
        <w:widowControl/>
        <w:numPr>
          <w:ilvl w:val="0"/>
          <w:numId w:val="6"/>
        </w:numPr>
        <w:tabs>
          <w:tab w:val="left" w:pos="420"/>
          <w:tab w:val="right" w:leader="dot" w:pos="7828"/>
        </w:tabs>
        <w:ind w:firstLineChars="0"/>
        <w:jc w:val="left"/>
        <w:rPr>
          <w:kern w:val="0"/>
        </w:rPr>
      </w:pPr>
      <w:r>
        <w:rPr>
          <w:kern w:val="0"/>
        </w:rPr>
        <w:t>Implementation Requirements</w:t>
      </w:r>
      <w:r>
        <w:rPr>
          <w:kern w:val="0"/>
        </w:rPr>
        <w:tab/>
      </w:r>
      <w:r>
        <w:rPr>
          <w:kern w:val="0"/>
        </w:rPr>
        <w:t>1</w:t>
      </w:r>
      <w:r>
        <w:rPr>
          <w:rFonts w:hint="eastAsia"/>
          <w:kern w:val="0"/>
        </w:rPr>
        <w:t>6</w:t>
      </w:r>
    </w:p>
    <w:p w14:paraId="2E0AE0AA">
      <w:pPr>
        <w:pStyle w:val="68"/>
        <w:widowControl/>
        <w:numPr>
          <w:ilvl w:val="0"/>
          <w:numId w:val="2"/>
        </w:numPr>
        <w:tabs>
          <w:tab w:val="left" w:pos="420"/>
          <w:tab w:val="right" w:leader="dot" w:pos="7828"/>
        </w:tabs>
        <w:ind w:firstLineChars="0"/>
        <w:jc w:val="left"/>
        <w:rPr>
          <w:b/>
          <w:bCs/>
          <w:kern w:val="0"/>
          <w:sz w:val="24"/>
          <w:szCs w:val="24"/>
        </w:rPr>
      </w:pPr>
      <w:r>
        <w:rPr>
          <w:b/>
          <w:bCs/>
          <w:kern w:val="0"/>
          <w:sz w:val="24"/>
          <w:szCs w:val="24"/>
        </w:rPr>
        <w:t>Information management</w:t>
      </w:r>
      <w:r>
        <w:rPr>
          <w:b/>
          <w:bCs/>
          <w:kern w:val="0"/>
          <w:sz w:val="24"/>
          <w:szCs w:val="24"/>
        </w:rPr>
        <w:tab/>
      </w:r>
      <w:r>
        <w:rPr>
          <w:b/>
          <w:bCs/>
          <w:kern w:val="0"/>
          <w:sz w:val="24"/>
          <w:szCs w:val="24"/>
        </w:rPr>
        <w:t>1</w:t>
      </w:r>
      <w:r>
        <w:rPr>
          <w:rFonts w:hint="eastAsia"/>
          <w:b/>
          <w:bCs/>
          <w:kern w:val="0"/>
          <w:sz w:val="24"/>
          <w:szCs w:val="24"/>
        </w:rPr>
        <w:t>7</w:t>
      </w:r>
    </w:p>
    <w:p w14:paraId="45E155A9">
      <w:pPr>
        <w:pStyle w:val="68"/>
        <w:widowControl/>
        <w:numPr>
          <w:ilvl w:val="0"/>
          <w:numId w:val="7"/>
        </w:numPr>
        <w:tabs>
          <w:tab w:val="left" w:pos="420"/>
          <w:tab w:val="right" w:leader="dot" w:pos="7828"/>
        </w:tabs>
        <w:ind w:firstLineChars="0"/>
        <w:jc w:val="left"/>
        <w:rPr>
          <w:kern w:val="0"/>
        </w:rPr>
      </w:pPr>
      <w:r>
        <w:rPr>
          <w:kern w:val="0"/>
        </w:rPr>
        <w:t>General Requirements</w:t>
      </w:r>
      <w:r>
        <w:rPr>
          <w:kern w:val="0"/>
        </w:rPr>
        <w:tab/>
      </w:r>
      <w:r>
        <w:rPr>
          <w:kern w:val="0"/>
        </w:rPr>
        <w:t>1</w:t>
      </w:r>
      <w:r>
        <w:rPr>
          <w:rFonts w:hint="eastAsia"/>
          <w:kern w:val="0"/>
        </w:rPr>
        <w:t>7</w:t>
      </w:r>
    </w:p>
    <w:p w14:paraId="39F75C66">
      <w:pPr>
        <w:pStyle w:val="68"/>
        <w:widowControl/>
        <w:numPr>
          <w:ilvl w:val="0"/>
          <w:numId w:val="7"/>
        </w:numPr>
        <w:tabs>
          <w:tab w:val="left" w:pos="420"/>
          <w:tab w:val="right" w:leader="dot" w:pos="7828"/>
        </w:tabs>
        <w:ind w:firstLineChars="0"/>
        <w:jc w:val="left"/>
        <w:rPr>
          <w:kern w:val="0"/>
        </w:rPr>
      </w:pPr>
      <w:r>
        <w:rPr>
          <w:kern w:val="0"/>
        </w:rPr>
        <w:t>Video information</w:t>
      </w:r>
      <w:r>
        <w:rPr>
          <w:kern w:val="0"/>
        </w:rPr>
        <w:tab/>
      </w:r>
      <w:r>
        <w:rPr>
          <w:kern w:val="0"/>
        </w:rPr>
        <w:t>1</w:t>
      </w:r>
      <w:r>
        <w:rPr>
          <w:rFonts w:hint="eastAsia"/>
          <w:kern w:val="0"/>
        </w:rPr>
        <w:t>7</w:t>
      </w:r>
    </w:p>
    <w:p w14:paraId="3ADA20DB">
      <w:pPr>
        <w:pStyle w:val="68"/>
        <w:widowControl/>
        <w:numPr>
          <w:ilvl w:val="0"/>
          <w:numId w:val="7"/>
        </w:numPr>
        <w:tabs>
          <w:tab w:val="left" w:pos="420"/>
          <w:tab w:val="right" w:leader="dot" w:pos="7828"/>
        </w:tabs>
        <w:ind w:firstLineChars="0"/>
        <w:jc w:val="left"/>
        <w:rPr>
          <w:kern w:val="0"/>
        </w:rPr>
      </w:pPr>
      <w:r>
        <w:rPr>
          <w:kern w:val="0"/>
        </w:rPr>
        <w:t>Monitoring</w:t>
      </w:r>
      <w:r>
        <w:rPr>
          <w:kern w:val="0"/>
        </w:rPr>
        <w:tab/>
      </w:r>
      <w:r>
        <w:rPr>
          <w:kern w:val="0"/>
        </w:rPr>
        <w:t>1</w:t>
      </w:r>
      <w:r>
        <w:rPr>
          <w:rFonts w:hint="eastAsia"/>
          <w:kern w:val="0"/>
        </w:rPr>
        <w:t>8</w:t>
      </w:r>
    </w:p>
    <w:p w14:paraId="6144124E">
      <w:pPr>
        <w:widowControl/>
        <w:tabs>
          <w:tab w:val="left" w:pos="420"/>
          <w:tab w:val="right" w:leader="dot" w:pos="7828"/>
        </w:tabs>
        <w:jc w:val="left"/>
        <w:rPr>
          <w:b/>
          <w:bCs/>
          <w:kern w:val="0"/>
          <w:sz w:val="24"/>
          <w:szCs w:val="24"/>
        </w:rPr>
      </w:pPr>
      <w:r>
        <w:rPr>
          <w:b/>
          <w:bCs/>
          <w:kern w:val="0"/>
          <w:sz w:val="24"/>
          <w:szCs w:val="24"/>
        </w:rPr>
        <w:t>Explanation of Wording in This Standard</w:t>
      </w:r>
      <w:r>
        <w:rPr>
          <w:b/>
          <w:bCs/>
          <w:kern w:val="0"/>
          <w:sz w:val="24"/>
          <w:szCs w:val="24"/>
        </w:rPr>
        <w:tab/>
      </w:r>
      <w:r>
        <w:rPr>
          <w:b/>
          <w:bCs/>
          <w:kern w:val="0"/>
          <w:sz w:val="24"/>
          <w:szCs w:val="24"/>
        </w:rPr>
        <w:t>1</w:t>
      </w:r>
      <w:r>
        <w:rPr>
          <w:rFonts w:hint="eastAsia"/>
          <w:b/>
          <w:bCs/>
          <w:kern w:val="0"/>
          <w:sz w:val="24"/>
          <w:szCs w:val="24"/>
        </w:rPr>
        <w:t>9</w:t>
      </w:r>
    </w:p>
    <w:p w14:paraId="71A8B37C">
      <w:pPr>
        <w:widowControl/>
        <w:tabs>
          <w:tab w:val="left" w:pos="420"/>
          <w:tab w:val="right" w:leader="dot" w:pos="7828"/>
        </w:tabs>
        <w:jc w:val="left"/>
        <w:rPr>
          <w:b/>
          <w:bCs/>
          <w:kern w:val="0"/>
          <w:sz w:val="24"/>
          <w:szCs w:val="24"/>
        </w:rPr>
      </w:pPr>
      <w:r>
        <w:rPr>
          <w:b/>
          <w:bCs/>
          <w:kern w:val="0"/>
          <w:sz w:val="24"/>
          <w:szCs w:val="24"/>
        </w:rPr>
        <w:t>List of Quoted Standards</w:t>
      </w:r>
      <w:r>
        <w:rPr>
          <w:b/>
          <w:bCs/>
          <w:kern w:val="0"/>
          <w:sz w:val="24"/>
          <w:szCs w:val="24"/>
        </w:rPr>
        <w:tab/>
      </w:r>
      <w:r>
        <w:rPr>
          <w:rFonts w:hint="eastAsia"/>
          <w:b/>
          <w:bCs/>
          <w:kern w:val="0"/>
          <w:sz w:val="24"/>
          <w:szCs w:val="24"/>
        </w:rPr>
        <w:t>20</w:t>
      </w:r>
    </w:p>
    <w:p w14:paraId="3E32ADDC">
      <w:pPr>
        <w:widowControl/>
        <w:tabs>
          <w:tab w:val="left" w:pos="420"/>
          <w:tab w:val="right" w:leader="dot" w:pos="7828"/>
        </w:tabs>
        <w:jc w:val="left"/>
        <w:rPr>
          <w:b/>
          <w:bCs/>
          <w:kern w:val="0"/>
          <w:sz w:val="24"/>
          <w:szCs w:val="24"/>
        </w:rPr>
      </w:pPr>
      <w:r>
        <w:rPr>
          <w:b/>
          <w:bCs/>
          <w:kern w:val="0"/>
          <w:sz w:val="24"/>
          <w:szCs w:val="24"/>
        </w:rPr>
        <w:t>Addition: Explanations of the Provisions</w:t>
      </w:r>
      <w:r>
        <w:rPr>
          <w:b/>
          <w:bCs/>
          <w:kern w:val="0"/>
          <w:sz w:val="24"/>
          <w:szCs w:val="24"/>
        </w:rPr>
        <w:tab/>
      </w:r>
      <w:r>
        <w:rPr>
          <w:b/>
          <w:bCs/>
          <w:kern w:val="0"/>
          <w:sz w:val="24"/>
          <w:szCs w:val="24"/>
        </w:rPr>
        <w:t>2</w:t>
      </w:r>
      <w:r>
        <w:rPr>
          <w:rFonts w:hint="eastAsia"/>
          <w:b/>
          <w:bCs/>
          <w:kern w:val="0"/>
          <w:sz w:val="24"/>
          <w:szCs w:val="24"/>
        </w:rPr>
        <w:t>1</w:t>
      </w:r>
    </w:p>
    <w:p w14:paraId="3F2DA33A">
      <w:pPr>
        <w:widowControl/>
        <w:tabs>
          <w:tab w:val="left" w:pos="420"/>
          <w:tab w:val="right" w:leader="dot" w:pos="7828"/>
        </w:tabs>
        <w:spacing w:line="240" w:lineRule="auto"/>
        <w:jc w:val="left"/>
        <w:rPr>
          <w:kern w:val="0"/>
          <w:sz w:val="28"/>
          <w:szCs w:val="28"/>
        </w:rPr>
      </w:pPr>
    </w:p>
    <w:p w14:paraId="4AA20661">
      <w:pPr>
        <w:pStyle w:val="3"/>
        <w:widowControl/>
        <w:numPr>
          <w:ilvl w:val="0"/>
          <w:numId w:val="1"/>
        </w:numPr>
        <w:tabs>
          <w:tab w:val="left" w:pos="425"/>
          <w:tab w:val="clear" w:pos="2694"/>
        </w:tabs>
        <w:spacing w:before="0" w:after="0" w:line="360" w:lineRule="auto"/>
        <w:ind w:left="0" w:firstLine="0"/>
        <w:jc w:val="center"/>
        <w:outlineLvl w:val="0"/>
        <w:rPr>
          <w:rFonts w:ascii="Times New Roman" w:hAnsi="Times New Roman"/>
          <w:bCs w:val="0"/>
          <w:caps w:val="0"/>
          <w:kern w:val="0"/>
          <w:szCs w:val="24"/>
        </w:rPr>
        <w:sectPr>
          <w:pgSz w:w="11906" w:h="16838"/>
          <w:pgMar w:top="1440" w:right="1800" w:bottom="1440" w:left="2268" w:header="851" w:footer="992" w:gutter="0"/>
          <w:cols w:space="425" w:num="1"/>
          <w:docGrid w:type="lines" w:linePitch="312" w:charSpace="0"/>
        </w:sectPr>
      </w:pPr>
    </w:p>
    <w:p w14:paraId="010AAFBC">
      <w:pPr>
        <w:pStyle w:val="3"/>
        <w:widowControl/>
        <w:numPr>
          <w:ilvl w:val="0"/>
          <w:numId w:val="1"/>
        </w:numPr>
        <w:tabs>
          <w:tab w:val="left" w:pos="425"/>
          <w:tab w:val="clear" w:pos="2694"/>
        </w:tabs>
        <w:spacing w:before="0" w:after="0" w:line="360" w:lineRule="auto"/>
        <w:ind w:left="0" w:firstLine="0"/>
        <w:jc w:val="center"/>
        <w:outlineLvl w:val="0"/>
        <w:rPr>
          <w:rFonts w:ascii="Times New Roman" w:hAnsi="Times New Roman"/>
          <w:bCs w:val="0"/>
          <w:caps w:val="0"/>
          <w:kern w:val="0"/>
          <w:szCs w:val="24"/>
        </w:rPr>
      </w:pPr>
      <w:bookmarkStart w:id="20" w:name="_Toc103169247"/>
      <w:r>
        <w:rPr>
          <w:rFonts w:hint="eastAsia" w:ascii="Times New Roman" w:hAnsi="Times New Roman"/>
          <w:bCs w:val="0"/>
          <w:caps w:val="0"/>
          <w:kern w:val="0"/>
          <w:szCs w:val="24"/>
        </w:rPr>
        <w:t>总   则</w:t>
      </w:r>
      <w:bookmarkEnd w:id="19"/>
      <w:bookmarkEnd w:id="20"/>
    </w:p>
    <w:p w14:paraId="120471CD">
      <w:pPr>
        <w:tabs>
          <w:tab w:val="left" w:pos="900"/>
        </w:tabs>
        <w:rPr>
          <w:rFonts w:ascii="Times" w:hAnsi="宋体"/>
        </w:rPr>
      </w:pPr>
      <w:r>
        <w:rPr>
          <w:rFonts w:hint="eastAsia" w:ascii="Times" w:hAnsi="宋体"/>
        </w:rPr>
        <w:t>1.0.1  为保护有轨电车的设施安全，避免或降低外部作业对其造成不利影响，确保设施正常使用，</w:t>
      </w:r>
      <w:r>
        <w:rPr>
          <w:rFonts w:ascii="Times" w:hAnsi="宋体"/>
        </w:rPr>
        <w:t>制</w:t>
      </w:r>
      <w:r>
        <w:rPr>
          <w:rFonts w:hint="eastAsia" w:ascii="Times" w:hAnsi="宋体"/>
        </w:rPr>
        <w:t>定</w:t>
      </w:r>
      <w:r>
        <w:rPr>
          <w:rFonts w:ascii="Times" w:hAnsi="宋体"/>
        </w:rPr>
        <w:t>本规范。</w:t>
      </w:r>
    </w:p>
    <w:p w14:paraId="4F8E8949">
      <w:pPr>
        <w:tabs>
          <w:tab w:val="left" w:pos="900"/>
        </w:tabs>
        <w:rPr>
          <w:rFonts w:ascii="Times" w:hAnsi="宋体"/>
        </w:rPr>
      </w:pPr>
      <w:r>
        <w:rPr>
          <w:rFonts w:hint="eastAsia" w:ascii="Times" w:hAnsi="宋体"/>
        </w:rPr>
        <w:t>1.0.2  本规范制定了有轨电车设施安全保护的技术标准和控制保护区内</w:t>
      </w:r>
      <w:r>
        <w:rPr>
          <w:rFonts w:ascii="Times" w:hAnsi="宋体"/>
        </w:rPr>
        <w:t>外部作业的控制标准</w:t>
      </w:r>
      <w:r>
        <w:rPr>
          <w:rFonts w:hint="eastAsia" w:ascii="Times" w:hAnsi="宋体"/>
        </w:rPr>
        <w:t>。</w:t>
      </w:r>
    </w:p>
    <w:p w14:paraId="34EFCAD5">
      <w:pPr>
        <w:tabs>
          <w:tab w:val="left" w:pos="900"/>
        </w:tabs>
        <w:rPr>
          <w:rFonts w:ascii="Times" w:hAnsi="宋体"/>
        </w:rPr>
      </w:pPr>
      <w:r>
        <w:rPr>
          <w:rFonts w:hint="eastAsia" w:ascii="Times" w:hAnsi="宋体"/>
        </w:rPr>
        <w:t xml:space="preserve">1.0.3  </w:t>
      </w:r>
      <w:r>
        <w:rPr>
          <w:rFonts w:ascii="Times" w:hAnsi="宋体"/>
        </w:rPr>
        <w:t>本规范适用于广东省内</w:t>
      </w:r>
      <w:r>
        <w:rPr>
          <w:rFonts w:hint="eastAsia" w:ascii="Times" w:hAnsi="宋体"/>
        </w:rPr>
        <w:t>已运营和已建成但尚未投入运营的有轨电车设施的安全保护。</w:t>
      </w:r>
    </w:p>
    <w:p w14:paraId="6C1E569C">
      <w:pPr>
        <w:tabs>
          <w:tab w:val="left" w:pos="900"/>
        </w:tabs>
        <w:rPr>
          <w:rFonts w:ascii="Times" w:hAnsi="宋体"/>
        </w:rPr>
      </w:pPr>
      <w:r>
        <w:rPr>
          <w:rFonts w:hint="eastAsia" w:ascii="Times" w:hAnsi="宋体"/>
        </w:rPr>
        <w:t>1.0.4  有轨电车</w:t>
      </w:r>
      <w:r>
        <w:rPr>
          <w:rFonts w:ascii="Times" w:hAnsi="宋体"/>
        </w:rPr>
        <w:t>的</w:t>
      </w:r>
      <w:r>
        <w:rPr>
          <w:rFonts w:hint="eastAsia" w:ascii="Times" w:hAnsi="宋体"/>
        </w:rPr>
        <w:t>设施</w:t>
      </w:r>
      <w:r>
        <w:rPr>
          <w:rFonts w:ascii="Times" w:hAnsi="宋体"/>
        </w:rPr>
        <w:t>安全保护除应符合本规范外，尚应符合国家现行有关标准的规定。</w:t>
      </w:r>
    </w:p>
    <w:p w14:paraId="62ED9C2D"/>
    <w:p w14:paraId="508D4DC7"/>
    <w:p w14:paraId="1239BF38">
      <w:pPr>
        <w:pStyle w:val="2"/>
        <w:ind w:left="485" w:hanging="485"/>
        <w:sectPr>
          <w:pgSz w:w="11906" w:h="16838"/>
          <w:pgMar w:top="1440" w:right="1800" w:bottom="1440" w:left="2268" w:header="851" w:footer="992" w:gutter="0"/>
          <w:cols w:space="425" w:num="1"/>
          <w:docGrid w:type="lines" w:linePitch="312" w:charSpace="0"/>
        </w:sectPr>
      </w:pPr>
    </w:p>
    <w:p w14:paraId="531B7891">
      <w:pPr>
        <w:pStyle w:val="3"/>
        <w:widowControl/>
        <w:numPr>
          <w:ilvl w:val="0"/>
          <w:numId w:val="1"/>
        </w:numPr>
        <w:tabs>
          <w:tab w:val="left" w:pos="425"/>
          <w:tab w:val="clear" w:pos="2694"/>
        </w:tabs>
        <w:spacing w:before="0" w:after="0" w:line="360" w:lineRule="auto"/>
        <w:ind w:left="0" w:firstLine="0"/>
        <w:jc w:val="center"/>
        <w:outlineLvl w:val="0"/>
        <w:rPr>
          <w:rFonts w:ascii="Times New Roman" w:hAnsi="Times New Roman"/>
          <w:bCs w:val="0"/>
          <w:caps w:val="0"/>
          <w:kern w:val="0"/>
          <w:szCs w:val="24"/>
        </w:rPr>
      </w:pPr>
      <w:bookmarkStart w:id="21" w:name="_Toc103169248"/>
      <w:bookmarkStart w:id="22" w:name="_Toc25829165"/>
      <w:bookmarkStart w:id="23" w:name="_Toc25828241"/>
      <w:r>
        <w:rPr>
          <w:rFonts w:hint="eastAsia" w:ascii="Times New Roman" w:hAnsi="Times New Roman"/>
          <w:bCs w:val="0"/>
          <w:caps w:val="0"/>
          <w:kern w:val="0"/>
          <w:szCs w:val="24"/>
        </w:rPr>
        <w:t>术   语</w:t>
      </w:r>
      <w:bookmarkEnd w:id="21"/>
      <w:bookmarkEnd w:id="22"/>
    </w:p>
    <w:bookmarkEnd w:id="23"/>
    <w:p w14:paraId="5FED2A7D">
      <w:pPr>
        <w:pStyle w:val="72"/>
        <w:spacing w:before="0" w:beforeAutospacing="0" w:after="0" w:afterAutospacing="0" w:line="360" w:lineRule="auto"/>
      </w:pPr>
      <w:r>
        <w:rPr>
          <w:rFonts w:ascii="Times New Roman" w:hAnsi="Times New Roman" w:cs="Times New Roman"/>
          <w:sz w:val="21"/>
          <w:szCs w:val="21"/>
        </w:rPr>
        <w:t xml:space="preserve">2.0.1 </w:t>
      </w:r>
      <w:r>
        <w:rPr>
          <w:rFonts w:hint="eastAsia"/>
          <w:sz w:val="21"/>
          <w:szCs w:val="21"/>
        </w:rPr>
        <w:t>有轨电车</w:t>
      </w:r>
      <w:r>
        <w:rPr>
          <w:rFonts w:ascii="Times New Roman" w:hAnsi="Times New Roman" w:cs="Times New Roman"/>
          <w:sz w:val="21"/>
          <w:szCs w:val="21"/>
        </w:rPr>
        <w:t xml:space="preserve"> tram</w:t>
      </w:r>
    </w:p>
    <w:p w14:paraId="2883F91E">
      <w:pPr>
        <w:pStyle w:val="72"/>
        <w:spacing w:before="0" w:beforeAutospacing="0" w:after="0" w:afterAutospacing="0" w:line="360" w:lineRule="auto"/>
        <w:ind w:firstLine="480"/>
        <w:jc w:val="both"/>
        <w:rPr>
          <w:sz w:val="21"/>
          <w:szCs w:val="21"/>
        </w:rPr>
      </w:pPr>
      <w:r>
        <w:rPr>
          <w:rFonts w:hint="eastAsia"/>
          <w:sz w:val="21"/>
          <w:szCs w:val="21"/>
          <w:shd w:val="clear" w:color="auto" w:fill="FFFFFF"/>
        </w:rPr>
        <w:t>采用电力驱动并在轨道上行驶的轻型轨道交通车辆</w:t>
      </w:r>
      <w:r>
        <w:rPr>
          <w:rFonts w:hint="eastAsia"/>
          <w:sz w:val="21"/>
          <w:szCs w:val="21"/>
        </w:rPr>
        <w:t>。</w:t>
      </w:r>
    </w:p>
    <w:p w14:paraId="69F8C977">
      <w:pPr>
        <w:pStyle w:val="72"/>
        <w:spacing w:before="0" w:beforeAutospacing="0" w:after="0" w:afterAutospacing="0" w:line="360" w:lineRule="auto"/>
      </w:pPr>
      <w:r>
        <w:rPr>
          <w:rFonts w:ascii="Times New Roman" w:hAnsi="Times New Roman" w:cs="Times New Roman"/>
          <w:sz w:val="21"/>
          <w:szCs w:val="21"/>
        </w:rPr>
        <w:t>2.0.</w:t>
      </w:r>
      <w:r>
        <w:rPr>
          <w:rFonts w:hint="eastAsia" w:ascii="Times New Roman" w:hAnsi="Times New Roman" w:cs="Times New Roman"/>
          <w:sz w:val="21"/>
          <w:szCs w:val="21"/>
        </w:rPr>
        <w:t>2</w:t>
      </w:r>
      <w:r>
        <w:rPr>
          <w:rFonts w:ascii="Times New Roman" w:hAnsi="Times New Roman" w:cs="Times New Roman"/>
          <w:sz w:val="21"/>
          <w:szCs w:val="21"/>
        </w:rPr>
        <w:t xml:space="preserve"> </w:t>
      </w:r>
      <w:r>
        <w:rPr>
          <w:rFonts w:hint="eastAsia"/>
          <w:sz w:val="21"/>
          <w:szCs w:val="21"/>
        </w:rPr>
        <w:t>有轨电车设施</w:t>
      </w:r>
      <w:r>
        <w:rPr>
          <w:rFonts w:ascii="Times New Roman" w:hAnsi="Times New Roman" w:cs="Times New Roman"/>
          <w:sz w:val="21"/>
          <w:szCs w:val="21"/>
        </w:rPr>
        <w:t xml:space="preserve"> tram</w:t>
      </w:r>
    </w:p>
    <w:p w14:paraId="0855C4B5">
      <w:pPr>
        <w:pStyle w:val="72"/>
        <w:spacing w:before="0" w:beforeAutospacing="0" w:after="0" w:afterAutospacing="0" w:line="360" w:lineRule="auto"/>
        <w:ind w:firstLine="480"/>
        <w:jc w:val="both"/>
        <w:rPr>
          <w:sz w:val="21"/>
          <w:szCs w:val="21"/>
          <w:shd w:val="clear" w:color="auto" w:fill="FFFFFF"/>
        </w:rPr>
      </w:pPr>
      <w:r>
        <w:rPr>
          <w:rFonts w:hint="eastAsia"/>
          <w:sz w:val="21"/>
          <w:szCs w:val="21"/>
          <w:shd w:val="clear" w:color="auto" w:fill="FFFFFF"/>
        </w:rPr>
        <w:t>包括车站、区间、车辆段、停车场、附属建</w:t>
      </w:r>
      <w:r>
        <w:rPr>
          <w:sz w:val="21"/>
          <w:szCs w:val="21"/>
          <w:shd w:val="clear" w:color="auto" w:fill="FFFFFF"/>
        </w:rPr>
        <w:t>(</w:t>
      </w:r>
      <w:r>
        <w:rPr>
          <w:rFonts w:hint="eastAsia"/>
          <w:sz w:val="21"/>
          <w:szCs w:val="21"/>
          <w:shd w:val="clear" w:color="auto" w:fill="FFFFFF"/>
        </w:rPr>
        <w:t>构</w:t>
      </w:r>
      <w:r>
        <w:rPr>
          <w:sz w:val="21"/>
          <w:szCs w:val="21"/>
          <w:shd w:val="clear" w:color="auto" w:fill="FFFFFF"/>
        </w:rPr>
        <w:t>)</w:t>
      </w:r>
      <w:r>
        <w:rPr>
          <w:rFonts w:hint="eastAsia"/>
          <w:sz w:val="21"/>
          <w:szCs w:val="21"/>
          <w:shd w:val="clear" w:color="auto" w:fill="FFFFFF"/>
        </w:rPr>
        <w:t>筑物等范围的地下结构、地面结构和高架结构、轨道、机电系统及可能影响有轨电车交通安全和正常使用的内部设备设施。</w:t>
      </w:r>
    </w:p>
    <w:p w14:paraId="7B8E0CBB">
      <w:pPr>
        <w:pStyle w:val="72"/>
        <w:spacing w:before="0" w:beforeAutospacing="0" w:after="0" w:afterAutospacing="0" w:line="360" w:lineRule="auto"/>
      </w:pPr>
      <w:r>
        <w:rPr>
          <w:rFonts w:ascii="Times New Roman" w:hAnsi="Times New Roman" w:cs="Times New Roman"/>
          <w:sz w:val="21"/>
          <w:szCs w:val="21"/>
        </w:rPr>
        <w:t>2.0.</w:t>
      </w:r>
      <w:r>
        <w:rPr>
          <w:rFonts w:hint="eastAsia" w:ascii="Times New Roman" w:hAnsi="Times New Roman" w:cs="Times New Roman"/>
          <w:sz w:val="21"/>
          <w:szCs w:val="21"/>
        </w:rPr>
        <w:t>3</w:t>
      </w:r>
      <w:r>
        <w:rPr>
          <w:rFonts w:ascii="Times New Roman" w:hAnsi="Times New Roman" w:cs="Times New Roman"/>
          <w:sz w:val="21"/>
          <w:szCs w:val="21"/>
        </w:rPr>
        <w:t xml:space="preserve"> </w:t>
      </w:r>
      <w:r>
        <w:rPr>
          <w:rFonts w:hint="eastAsia"/>
          <w:sz w:val="21"/>
          <w:szCs w:val="21"/>
        </w:rPr>
        <w:t>外部作业</w:t>
      </w:r>
      <w:r>
        <w:rPr>
          <w:rFonts w:ascii="Times New Roman" w:hAnsi="Times New Roman" w:cs="Times New Roman"/>
          <w:sz w:val="21"/>
          <w:szCs w:val="21"/>
        </w:rPr>
        <w:t xml:space="preserve"> external </w:t>
      </w:r>
      <w:r>
        <w:rPr>
          <w:rFonts w:hint="eastAsia" w:ascii="Times New Roman" w:hAnsi="Times New Roman" w:cs="Times New Roman"/>
          <w:sz w:val="21"/>
          <w:szCs w:val="21"/>
        </w:rPr>
        <w:t>operation</w:t>
      </w:r>
    </w:p>
    <w:p w14:paraId="138B5CF8">
      <w:pPr>
        <w:pStyle w:val="72"/>
        <w:spacing w:before="0" w:beforeAutospacing="0" w:after="0" w:afterAutospacing="0" w:line="360" w:lineRule="auto"/>
        <w:ind w:firstLine="480"/>
        <w:jc w:val="both"/>
      </w:pPr>
      <w:r>
        <w:rPr>
          <w:rFonts w:hint="eastAsia"/>
          <w:sz w:val="21"/>
          <w:szCs w:val="21"/>
        </w:rPr>
        <w:t>在有轨电车设施周边进行的作业。</w:t>
      </w:r>
    </w:p>
    <w:p w14:paraId="647A5375">
      <w:pPr>
        <w:pStyle w:val="72"/>
        <w:spacing w:before="0" w:beforeAutospacing="0" w:after="0" w:afterAutospacing="0" w:line="360" w:lineRule="auto"/>
      </w:pPr>
      <w:r>
        <w:rPr>
          <w:rFonts w:ascii="Times New Roman" w:hAnsi="Times New Roman" w:cs="Times New Roman"/>
          <w:sz w:val="21"/>
          <w:szCs w:val="21"/>
        </w:rPr>
        <w:t>2.0.</w:t>
      </w:r>
      <w:r>
        <w:rPr>
          <w:rFonts w:hint="eastAsia" w:ascii="Times New Roman" w:hAnsi="Times New Roman" w:cs="Times New Roman"/>
          <w:sz w:val="21"/>
          <w:szCs w:val="21"/>
        </w:rPr>
        <w:t>4</w:t>
      </w:r>
      <w:r>
        <w:rPr>
          <w:rFonts w:ascii="Times New Roman" w:hAnsi="Times New Roman" w:cs="Times New Roman"/>
          <w:sz w:val="21"/>
          <w:szCs w:val="21"/>
        </w:rPr>
        <w:t xml:space="preserve"> </w:t>
      </w:r>
      <w:r>
        <w:rPr>
          <w:rFonts w:hint="eastAsia"/>
          <w:sz w:val="21"/>
          <w:szCs w:val="21"/>
        </w:rPr>
        <w:t>安全评估</w:t>
      </w:r>
      <w:r>
        <w:rPr>
          <w:rFonts w:ascii="Times New Roman" w:hAnsi="Times New Roman" w:cs="Times New Roman"/>
          <w:sz w:val="21"/>
          <w:szCs w:val="21"/>
        </w:rPr>
        <w:t xml:space="preserve"> safety assessment</w:t>
      </w:r>
    </w:p>
    <w:p w14:paraId="43E0A6A4">
      <w:pPr>
        <w:pStyle w:val="72"/>
        <w:spacing w:before="0" w:beforeAutospacing="0" w:after="0" w:afterAutospacing="0" w:line="360" w:lineRule="auto"/>
        <w:ind w:firstLine="480"/>
        <w:jc w:val="both"/>
        <w:rPr>
          <w:sz w:val="21"/>
          <w:szCs w:val="21"/>
        </w:rPr>
      </w:pPr>
      <w:r>
        <w:rPr>
          <w:rFonts w:hint="eastAsia"/>
          <w:sz w:val="21"/>
          <w:szCs w:val="21"/>
        </w:rPr>
        <w:t>根据有轨电车设施调查情况，结合外部作业的设计方案、施工方案、有轨电车设施保护方案，通过建模、计算、分析，系统评估外部作业对有轨电车设施安全影响的工作。</w:t>
      </w:r>
    </w:p>
    <w:p w14:paraId="04BA1639">
      <w:pPr>
        <w:pStyle w:val="72"/>
        <w:spacing w:before="0" w:beforeAutospacing="0" w:after="0" w:afterAutospacing="0" w:line="360" w:lineRule="auto"/>
      </w:pPr>
      <w:r>
        <w:rPr>
          <w:rFonts w:ascii="Times New Roman" w:hAnsi="Times New Roman" w:cs="Times New Roman"/>
          <w:sz w:val="21"/>
          <w:szCs w:val="21"/>
        </w:rPr>
        <w:t>2.0.</w:t>
      </w:r>
      <w:r>
        <w:rPr>
          <w:rFonts w:hint="eastAsia" w:ascii="Times New Roman" w:hAnsi="Times New Roman" w:cs="Times New Roman"/>
          <w:sz w:val="21"/>
          <w:szCs w:val="21"/>
        </w:rPr>
        <w:t>5</w:t>
      </w:r>
      <w:r>
        <w:rPr>
          <w:rFonts w:ascii="Times New Roman" w:hAnsi="Times New Roman" w:cs="Times New Roman"/>
          <w:sz w:val="21"/>
          <w:szCs w:val="21"/>
        </w:rPr>
        <w:t xml:space="preserve"> </w:t>
      </w:r>
      <w:r>
        <w:rPr>
          <w:rFonts w:hint="eastAsia"/>
          <w:sz w:val="21"/>
          <w:szCs w:val="21"/>
        </w:rPr>
        <w:t>控制保护区</w:t>
      </w:r>
      <w:r>
        <w:rPr>
          <w:rFonts w:ascii="Times New Roman" w:hAnsi="Times New Roman" w:cs="Times New Roman"/>
          <w:sz w:val="21"/>
          <w:szCs w:val="21"/>
        </w:rPr>
        <w:t xml:space="preserve"> control and protection area</w:t>
      </w:r>
    </w:p>
    <w:p w14:paraId="71F32999">
      <w:pPr>
        <w:pStyle w:val="72"/>
        <w:spacing w:before="0" w:beforeAutospacing="0" w:after="0" w:afterAutospacing="0" w:line="360" w:lineRule="auto"/>
        <w:ind w:firstLine="480"/>
        <w:jc w:val="both"/>
        <w:rPr>
          <w:sz w:val="21"/>
          <w:szCs w:val="21"/>
        </w:rPr>
      </w:pPr>
      <w:r>
        <w:rPr>
          <w:rFonts w:hint="eastAsia"/>
          <w:sz w:val="21"/>
          <w:szCs w:val="21"/>
        </w:rPr>
        <w:t>为确保有轨电车设施的正常使用和安全，在其设施及周边特定范围内设置的控制和保护区域。</w:t>
      </w:r>
    </w:p>
    <w:p w14:paraId="5F17EC0A">
      <w:pPr>
        <w:pStyle w:val="72"/>
        <w:spacing w:before="0" w:beforeAutospacing="0" w:after="0" w:afterAutospacing="0" w:line="360" w:lineRule="auto"/>
        <w:rPr>
          <w:rFonts w:ascii="Times New Roman" w:hAnsi="Times New Roman" w:cs="Times New Roman"/>
          <w:sz w:val="21"/>
          <w:szCs w:val="21"/>
        </w:rPr>
      </w:pPr>
      <w:r>
        <w:rPr>
          <w:rFonts w:hint="eastAsia" w:ascii="Times New Roman" w:hAnsi="Times New Roman" w:cs="Times New Roman"/>
          <w:sz w:val="21"/>
          <w:szCs w:val="21"/>
        </w:rPr>
        <w:t xml:space="preserve">2.0.6 交通设施 </w:t>
      </w:r>
      <w:r>
        <w:rPr>
          <w:rFonts w:hint="eastAsia" w:ascii="Times New Roman" w:hAnsi="Times New Roman"/>
          <w:sz w:val="21"/>
          <w:szCs w:val="21"/>
        </w:rPr>
        <w:t>t</w:t>
      </w:r>
      <w:r>
        <w:rPr>
          <w:rFonts w:ascii="Times New Roman" w:hAnsi="Times New Roman"/>
          <w:sz w:val="21"/>
          <w:szCs w:val="21"/>
        </w:rPr>
        <w:t>ransport facilities</w:t>
      </w:r>
    </w:p>
    <w:p w14:paraId="33C72DF9">
      <w:pPr>
        <w:pStyle w:val="72"/>
        <w:spacing w:before="0" w:beforeAutospacing="0" w:after="0" w:afterAutospacing="0" w:line="360" w:lineRule="auto"/>
        <w:ind w:firstLine="480"/>
        <w:jc w:val="both"/>
      </w:pPr>
      <w:r>
        <w:rPr>
          <w:rFonts w:hint="eastAsia"/>
          <w:sz w:val="21"/>
          <w:szCs w:val="21"/>
        </w:rPr>
        <w:t>交通信号灯、交通标志、交通标线等附属设施</w:t>
      </w:r>
    </w:p>
    <w:p w14:paraId="7B3B8A56">
      <w:pPr>
        <w:pStyle w:val="72"/>
        <w:spacing w:before="0" w:beforeAutospacing="0" w:after="0" w:afterAutospacing="0" w:line="360" w:lineRule="auto"/>
      </w:pPr>
      <w:r>
        <w:rPr>
          <w:rFonts w:ascii="Times New Roman" w:hAnsi="Times New Roman" w:cs="Times New Roman"/>
          <w:sz w:val="21"/>
          <w:szCs w:val="21"/>
        </w:rPr>
        <w:t>2.0.</w:t>
      </w:r>
      <w:r>
        <w:rPr>
          <w:rFonts w:hint="eastAsia" w:ascii="Times New Roman" w:hAnsi="Times New Roman" w:cs="Times New Roman"/>
          <w:sz w:val="21"/>
          <w:szCs w:val="21"/>
        </w:rPr>
        <w:t>7</w:t>
      </w:r>
      <w:r>
        <w:rPr>
          <w:rFonts w:ascii="Times New Roman" w:hAnsi="Times New Roman" w:cs="Times New Roman"/>
          <w:sz w:val="21"/>
          <w:szCs w:val="21"/>
        </w:rPr>
        <w:t xml:space="preserve"> </w:t>
      </w:r>
      <w:r>
        <w:rPr>
          <w:rFonts w:hint="eastAsia"/>
          <w:sz w:val="21"/>
          <w:szCs w:val="21"/>
        </w:rPr>
        <w:t>安全控制标准</w:t>
      </w:r>
      <w:r>
        <w:rPr>
          <w:rFonts w:ascii="Times New Roman" w:hAnsi="Times New Roman" w:cs="Times New Roman"/>
          <w:sz w:val="21"/>
          <w:szCs w:val="21"/>
        </w:rPr>
        <w:t xml:space="preserve"> standard for safety control</w:t>
      </w:r>
    </w:p>
    <w:p w14:paraId="36370020">
      <w:pPr>
        <w:pStyle w:val="72"/>
        <w:spacing w:before="0" w:beforeAutospacing="0" w:after="0" w:afterAutospacing="0" w:line="360" w:lineRule="auto"/>
        <w:ind w:firstLine="480"/>
        <w:jc w:val="both"/>
      </w:pPr>
      <w:r>
        <w:rPr>
          <w:rFonts w:hint="eastAsia"/>
          <w:sz w:val="21"/>
          <w:szCs w:val="21"/>
        </w:rPr>
        <w:t>根据有轨电车设施安全现状及其保护要求，针对外部作业的特点，为保护有轨电车设施而制定的控制标准。</w:t>
      </w:r>
    </w:p>
    <w:p w14:paraId="770CA144">
      <w:pPr>
        <w:pStyle w:val="72"/>
        <w:spacing w:before="0" w:beforeAutospacing="0" w:after="0" w:afterAutospacing="0" w:line="360" w:lineRule="auto"/>
      </w:pPr>
      <w:r>
        <w:rPr>
          <w:rFonts w:ascii="Times New Roman" w:hAnsi="Times New Roman" w:cs="Times New Roman"/>
          <w:sz w:val="21"/>
          <w:szCs w:val="21"/>
        </w:rPr>
        <w:t>2.0.</w:t>
      </w:r>
      <w:r>
        <w:rPr>
          <w:rFonts w:hint="eastAsia" w:ascii="Times New Roman" w:hAnsi="Times New Roman" w:cs="Times New Roman"/>
          <w:sz w:val="21"/>
          <w:szCs w:val="21"/>
        </w:rPr>
        <w:t>8</w:t>
      </w:r>
      <w:r>
        <w:rPr>
          <w:rFonts w:ascii="Times New Roman" w:hAnsi="Times New Roman" w:cs="Times New Roman"/>
          <w:sz w:val="21"/>
          <w:szCs w:val="21"/>
        </w:rPr>
        <w:t xml:space="preserve"> </w:t>
      </w:r>
      <w:r>
        <w:rPr>
          <w:rFonts w:hint="eastAsia"/>
          <w:sz w:val="21"/>
          <w:szCs w:val="21"/>
        </w:rPr>
        <w:t>信息管理</w:t>
      </w:r>
      <w:r>
        <w:rPr>
          <w:rFonts w:ascii="Times New Roman" w:hAnsi="Times New Roman" w:cs="Times New Roman"/>
          <w:sz w:val="21"/>
          <w:szCs w:val="21"/>
        </w:rPr>
        <w:t xml:space="preserve"> information management</w:t>
      </w:r>
    </w:p>
    <w:p w14:paraId="3A939F25">
      <w:pPr>
        <w:pStyle w:val="72"/>
        <w:spacing w:before="0" w:beforeAutospacing="0" w:after="0" w:afterAutospacing="0" w:line="360" w:lineRule="auto"/>
        <w:ind w:firstLine="480"/>
        <w:jc w:val="both"/>
      </w:pPr>
      <w:r>
        <w:rPr>
          <w:rFonts w:hint="eastAsia"/>
          <w:sz w:val="21"/>
          <w:szCs w:val="21"/>
        </w:rPr>
        <w:t>以现代信息技术为手段，对有轨电车设施安全保护信息进行采集、处理、分析、反馈、指导和管理控制的活动。</w:t>
      </w:r>
    </w:p>
    <w:p w14:paraId="2CE0E4B2">
      <w:pPr>
        <w:sectPr>
          <w:pgSz w:w="11906" w:h="16838"/>
          <w:pgMar w:top="1440" w:right="1800" w:bottom="1440" w:left="2268" w:header="851" w:footer="992" w:gutter="0"/>
          <w:cols w:space="425" w:num="1"/>
          <w:docGrid w:type="lines" w:linePitch="312" w:charSpace="0"/>
        </w:sectPr>
      </w:pPr>
    </w:p>
    <w:p w14:paraId="471AA350">
      <w:pPr>
        <w:pStyle w:val="3"/>
        <w:widowControl/>
        <w:numPr>
          <w:ilvl w:val="0"/>
          <w:numId w:val="1"/>
        </w:numPr>
        <w:tabs>
          <w:tab w:val="left" w:pos="425"/>
          <w:tab w:val="clear" w:pos="2694"/>
        </w:tabs>
        <w:spacing w:before="0" w:after="0" w:line="360" w:lineRule="auto"/>
        <w:ind w:left="0" w:firstLine="0"/>
        <w:jc w:val="center"/>
        <w:outlineLvl w:val="0"/>
        <w:rPr>
          <w:rFonts w:ascii="Times New Roman" w:hAnsi="Times New Roman"/>
          <w:bCs w:val="0"/>
          <w:caps w:val="0"/>
          <w:kern w:val="0"/>
          <w:szCs w:val="24"/>
        </w:rPr>
      </w:pPr>
      <w:bookmarkStart w:id="24" w:name="_Toc103169249"/>
      <w:r>
        <w:rPr>
          <w:rFonts w:hint="eastAsia" w:ascii="Times New Roman" w:hAnsi="Times New Roman"/>
          <w:bCs w:val="0"/>
          <w:caps w:val="0"/>
          <w:kern w:val="0"/>
          <w:szCs w:val="24"/>
        </w:rPr>
        <w:t>保护要求</w:t>
      </w:r>
      <w:bookmarkEnd w:id="24"/>
    </w:p>
    <w:p w14:paraId="63F7FCF7">
      <w:pPr>
        <w:pStyle w:val="3"/>
        <w:widowControl/>
        <w:spacing w:before="0" w:after="0" w:line="360" w:lineRule="auto"/>
        <w:jc w:val="center"/>
        <w:outlineLvl w:val="1"/>
        <w:rPr>
          <w:rStyle w:val="30"/>
          <w:rFonts w:ascii="Times New Roman" w:hAnsi="Times New Roman"/>
          <w:bCs w:val="0"/>
          <w:caps w:val="0"/>
          <w:kern w:val="0"/>
          <w:sz w:val="21"/>
          <w:szCs w:val="21"/>
        </w:rPr>
      </w:pPr>
      <w:bookmarkStart w:id="25" w:name="_Toc103169250"/>
      <w:r>
        <w:rPr>
          <w:rStyle w:val="30"/>
          <w:rFonts w:hint="eastAsia" w:ascii="Times New Roman" w:hAnsi="Times New Roman"/>
          <w:bCs w:val="0"/>
          <w:caps w:val="0"/>
          <w:kern w:val="0"/>
          <w:sz w:val="21"/>
          <w:szCs w:val="21"/>
        </w:rPr>
        <w:t xml:space="preserve">3.1  </w:t>
      </w:r>
      <w:bookmarkStart w:id="26" w:name="_Toc25829167"/>
      <w:r>
        <w:rPr>
          <w:rStyle w:val="30"/>
          <w:rFonts w:hint="eastAsia" w:ascii="Times New Roman" w:hAnsi="Times New Roman"/>
          <w:bCs w:val="0"/>
          <w:caps w:val="0"/>
          <w:kern w:val="0"/>
          <w:sz w:val="21"/>
          <w:szCs w:val="21"/>
        </w:rPr>
        <w:t>一般规定</w:t>
      </w:r>
      <w:bookmarkEnd w:id="25"/>
      <w:bookmarkEnd w:id="26"/>
    </w:p>
    <w:p w14:paraId="3BB085D1">
      <w:pPr>
        <w:pStyle w:val="72"/>
        <w:spacing w:before="0" w:beforeAutospacing="0" w:after="0" w:afterAutospacing="0" w:line="360" w:lineRule="auto"/>
        <w:jc w:val="both"/>
      </w:pPr>
      <w:r>
        <w:rPr>
          <w:rFonts w:ascii="Times New Roman" w:hAnsi="Times New Roman" w:cs="Times New Roman"/>
          <w:sz w:val="21"/>
          <w:szCs w:val="21"/>
        </w:rPr>
        <w:t xml:space="preserve">3.1.1 </w:t>
      </w:r>
      <w:r>
        <w:rPr>
          <w:rFonts w:hint="eastAsia"/>
          <w:sz w:val="21"/>
          <w:szCs w:val="21"/>
        </w:rPr>
        <w:t>有轨电车交通沿线应设置控制保护区，设置范围应包括以下区域：</w:t>
      </w:r>
    </w:p>
    <w:p w14:paraId="7E0A86F4">
      <w:pPr>
        <w:pStyle w:val="72"/>
        <w:spacing w:before="0" w:beforeAutospacing="0" w:after="0" w:afterAutospacing="0" w:line="360" w:lineRule="auto"/>
        <w:ind w:firstLine="480"/>
        <w:jc w:val="both"/>
      </w:pPr>
      <w:r>
        <w:rPr>
          <w:rFonts w:hint="eastAsia" w:ascii="Times New Roman" w:hAnsi="Times New Roman" w:cs="Times New Roman"/>
          <w:sz w:val="21"/>
          <w:szCs w:val="21"/>
        </w:rPr>
        <w:t>1</w:t>
      </w:r>
      <w:r>
        <w:rPr>
          <w:rFonts w:ascii="Times New Roman" w:hAnsi="Times New Roman" w:cs="Times New Roman"/>
          <w:sz w:val="21"/>
          <w:szCs w:val="21"/>
        </w:rPr>
        <w:t xml:space="preserve"> </w:t>
      </w:r>
      <w:r>
        <w:rPr>
          <w:rFonts w:hint="eastAsia"/>
          <w:sz w:val="21"/>
          <w:szCs w:val="21"/>
        </w:rPr>
        <w:t>地面线路轨道结构外边线外侧</w:t>
      </w:r>
      <w:r>
        <w:rPr>
          <w:rFonts w:ascii="Times New Roman" w:hAnsi="Times New Roman" w:cs="Times New Roman"/>
          <w:sz w:val="21"/>
          <w:szCs w:val="21"/>
        </w:rPr>
        <w:t>30m</w:t>
      </w:r>
      <w:r>
        <w:rPr>
          <w:rFonts w:hint="eastAsia"/>
          <w:sz w:val="21"/>
          <w:szCs w:val="21"/>
        </w:rPr>
        <w:t>内；</w:t>
      </w:r>
    </w:p>
    <w:p w14:paraId="74E82B49">
      <w:pPr>
        <w:pStyle w:val="72"/>
        <w:spacing w:before="0" w:beforeAutospacing="0" w:after="0" w:afterAutospacing="0" w:line="360" w:lineRule="auto"/>
        <w:ind w:firstLine="480"/>
        <w:jc w:val="both"/>
      </w:pPr>
      <w:r>
        <w:rPr>
          <w:rFonts w:hint="eastAsia" w:ascii="Times New Roman" w:hAnsi="Times New Roman" w:cs="Times New Roman"/>
          <w:sz w:val="21"/>
          <w:szCs w:val="21"/>
        </w:rPr>
        <w:t>2</w:t>
      </w:r>
      <w:r>
        <w:rPr>
          <w:rFonts w:ascii="Times New Roman" w:hAnsi="Times New Roman" w:cs="Times New Roman"/>
          <w:sz w:val="21"/>
          <w:szCs w:val="21"/>
        </w:rPr>
        <w:t xml:space="preserve"> </w:t>
      </w:r>
      <w:r>
        <w:rPr>
          <w:rFonts w:hint="eastAsia"/>
          <w:sz w:val="21"/>
          <w:szCs w:val="21"/>
        </w:rPr>
        <w:t>隧道结构外边线外侧</w:t>
      </w:r>
      <w:r>
        <w:rPr>
          <w:rFonts w:ascii="Times New Roman" w:hAnsi="Times New Roman" w:cs="Times New Roman"/>
          <w:sz w:val="21"/>
          <w:szCs w:val="21"/>
        </w:rPr>
        <w:t>50m</w:t>
      </w:r>
      <w:r>
        <w:rPr>
          <w:rFonts w:hint="eastAsia"/>
          <w:sz w:val="21"/>
          <w:szCs w:val="21"/>
        </w:rPr>
        <w:t>内；</w:t>
      </w:r>
    </w:p>
    <w:p w14:paraId="43F726D2">
      <w:pPr>
        <w:pStyle w:val="72"/>
        <w:spacing w:before="0" w:beforeAutospacing="0" w:after="0" w:afterAutospacing="0" w:line="360" w:lineRule="auto"/>
        <w:ind w:firstLine="480"/>
        <w:jc w:val="both"/>
      </w:pPr>
      <w:r>
        <w:rPr>
          <w:rFonts w:ascii="Times New Roman" w:hAnsi="Times New Roman" w:cs="Times New Roman"/>
          <w:sz w:val="21"/>
          <w:szCs w:val="21"/>
        </w:rPr>
        <w:t xml:space="preserve">3 </w:t>
      </w:r>
      <w:r>
        <w:rPr>
          <w:rFonts w:hint="eastAsia"/>
          <w:sz w:val="21"/>
          <w:szCs w:val="21"/>
        </w:rPr>
        <w:t>出入口、通风亭、变电站等附属建（构）筑物结构外边线外侧</w:t>
      </w:r>
      <w:r>
        <w:rPr>
          <w:rFonts w:ascii="Times New Roman" w:hAnsi="Times New Roman" w:cs="Times New Roman"/>
          <w:sz w:val="21"/>
          <w:szCs w:val="21"/>
        </w:rPr>
        <w:t>10m</w:t>
      </w:r>
      <w:r>
        <w:rPr>
          <w:rFonts w:hint="eastAsia"/>
          <w:sz w:val="21"/>
          <w:szCs w:val="21"/>
        </w:rPr>
        <w:t>内；</w:t>
      </w:r>
    </w:p>
    <w:p w14:paraId="3D1BFC08">
      <w:pPr>
        <w:pStyle w:val="72"/>
        <w:spacing w:before="0" w:beforeAutospacing="0" w:after="0" w:afterAutospacing="0" w:line="360" w:lineRule="auto"/>
        <w:jc w:val="both"/>
      </w:pPr>
      <w:r>
        <w:rPr>
          <w:rFonts w:ascii="Times New Roman" w:hAnsi="Times New Roman" w:cs="Times New Roman"/>
          <w:sz w:val="21"/>
          <w:szCs w:val="21"/>
        </w:rPr>
        <w:t>3.1.2</w:t>
      </w:r>
      <w:r>
        <w:rPr>
          <w:rFonts w:hint="eastAsia"/>
          <w:sz w:val="21"/>
          <w:szCs w:val="21"/>
        </w:rPr>
        <w:t xml:space="preserve"> 在有轨电车控制保护区内从事外部作业，应当书面征求有轨电车经营单位意见，且作业单位应根据有轨电车经营单位的要求制订有轨电车设施保护方案。</w:t>
      </w:r>
    </w:p>
    <w:p w14:paraId="75A08B68">
      <w:pPr>
        <w:pStyle w:val="72"/>
        <w:spacing w:before="0" w:beforeAutospacing="0" w:after="0" w:afterAutospacing="0" w:line="360" w:lineRule="auto"/>
        <w:jc w:val="both"/>
        <w:rPr>
          <w:sz w:val="21"/>
          <w:szCs w:val="21"/>
        </w:rPr>
      </w:pPr>
      <w:r>
        <w:rPr>
          <w:rFonts w:ascii="Times New Roman" w:hAnsi="Times New Roman" w:cs="Times New Roman"/>
          <w:sz w:val="21"/>
          <w:szCs w:val="21"/>
        </w:rPr>
        <w:t xml:space="preserve">3.1.3 </w:t>
      </w:r>
      <w:r>
        <w:rPr>
          <w:rFonts w:hint="eastAsia"/>
          <w:sz w:val="21"/>
          <w:szCs w:val="21"/>
        </w:rPr>
        <w:t>制订有轨电车设施保护方案前应对有轨电车设施进行调查。</w:t>
      </w:r>
    </w:p>
    <w:p w14:paraId="2B110015">
      <w:pPr>
        <w:widowControl/>
        <w:tabs>
          <w:tab w:val="clear" w:pos="720"/>
        </w:tabs>
        <w:rPr>
          <w:rFonts w:ascii="Times" w:hAnsi="Times" w:cs="宋体"/>
          <w:kern w:val="0"/>
          <w:sz w:val="24"/>
          <w:szCs w:val="24"/>
        </w:rPr>
      </w:pPr>
      <w:r>
        <w:rPr>
          <w:rFonts w:hint="eastAsia" w:ascii="Times" w:hAnsi="Times"/>
          <w:kern w:val="0"/>
        </w:rPr>
        <w:t>3.1.4</w:t>
      </w:r>
      <w:r>
        <w:rPr>
          <w:rFonts w:hint="eastAsia" w:ascii="Times" w:hAnsi="Times" w:cs="宋体"/>
          <w:kern w:val="0"/>
        </w:rPr>
        <w:t xml:space="preserve"> 在地面段有轨电车控制保护区范围内开展外部作业，其影响等级应根据外部作业的类型、外部作业与有轨电车轨道结构的接近程度进行划分，宜参照表</w:t>
      </w:r>
      <w:r>
        <w:rPr>
          <w:rFonts w:hint="eastAsia" w:ascii="Times" w:hAnsi="Times"/>
          <w:kern w:val="0"/>
        </w:rPr>
        <w:t>3.1.4</w:t>
      </w:r>
      <w:r>
        <w:rPr>
          <w:rFonts w:hint="eastAsia" w:ascii="Times" w:hAnsi="Times" w:cs="宋体"/>
          <w:kern w:val="0"/>
        </w:rPr>
        <w:t>执行。</w:t>
      </w:r>
    </w:p>
    <w:p w14:paraId="463CDD4D">
      <w:pPr>
        <w:widowControl/>
        <w:tabs>
          <w:tab w:val="clear" w:pos="720"/>
        </w:tabs>
        <w:jc w:val="center"/>
        <w:rPr>
          <w:rFonts w:ascii="Times" w:hAnsi="Times" w:cs="宋体"/>
          <w:kern w:val="0"/>
        </w:rPr>
      </w:pPr>
      <w:r>
        <w:rPr>
          <w:rFonts w:hint="eastAsia" w:ascii="Times" w:hAnsi="Times" w:cs="宋体"/>
          <w:kern w:val="0"/>
        </w:rPr>
        <w:t>表</w:t>
      </w:r>
      <w:r>
        <w:rPr>
          <w:rFonts w:ascii="Times" w:hAnsi="Times"/>
          <w:kern w:val="0"/>
        </w:rPr>
        <w:t>3.1.4</w:t>
      </w:r>
      <w:r>
        <w:rPr>
          <w:rFonts w:hint="eastAsia" w:ascii="Times" w:hAnsi="Times" w:cs="宋体"/>
          <w:kern w:val="0"/>
        </w:rPr>
        <w:t xml:space="preserve"> 地面段有轨电车附近外部作业影响等级的划分</w:t>
      </w:r>
    </w:p>
    <w:tbl>
      <w:tblPr>
        <w:tblStyle w:val="25"/>
        <w:tblW w:w="7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6"/>
        <w:gridCol w:w="1275"/>
        <w:gridCol w:w="1188"/>
        <w:gridCol w:w="1276"/>
        <w:gridCol w:w="1276"/>
        <w:gridCol w:w="1276"/>
        <w:gridCol w:w="1275"/>
      </w:tblGrid>
      <w:tr w14:paraId="42E8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426" w:type="dxa"/>
            <w:tcBorders>
              <w:top w:val="single" w:color="auto" w:sz="4" w:space="0"/>
              <w:left w:val="single" w:color="auto" w:sz="4" w:space="0"/>
              <w:bottom w:val="single" w:color="auto" w:sz="4" w:space="0"/>
              <w:right w:val="single" w:color="auto" w:sz="4" w:space="0"/>
              <w:tl2br w:val="nil"/>
            </w:tcBorders>
            <w:vAlign w:val="center"/>
          </w:tcPr>
          <w:p w14:paraId="2802AB3D">
            <w:pPr>
              <w:widowControl/>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序号</w:t>
            </w:r>
          </w:p>
        </w:tc>
        <w:tc>
          <w:tcPr>
            <w:tcW w:w="1275" w:type="dxa"/>
            <w:tcBorders>
              <w:top w:val="single" w:color="auto" w:sz="4" w:space="0"/>
              <w:left w:val="single" w:color="auto" w:sz="4" w:space="0"/>
              <w:bottom w:val="single" w:color="auto" w:sz="4" w:space="0"/>
              <w:right w:val="single" w:color="auto" w:sz="4" w:space="0"/>
              <w:tl2br w:val="nil"/>
            </w:tcBorders>
            <w:shd w:val="clear" w:color="auto" w:fill="auto"/>
            <w:vAlign w:val="center"/>
          </w:tcPr>
          <w:p w14:paraId="09701BF4">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外部作业类型</w:t>
            </w:r>
          </w:p>
        </w:tc>
        <w:tc>
          <w:tcPr>
            <w:tcW w:w="1188" w:type="dxa"/>
            <w:tcBorders>
              <w:left w:val="single" w:color="auto" w:sz="4" w:space="0"/>
            </w:tcBorders>
            <w:shd w:val="clear" w:color="auto" w:fill="auto"/>
            <w:vAlign w:val="center"/>
          </w:tcPr>
          <w:p w14:paraId="2CED1C7C">
            <w:pPr>
              <w:widowControl/>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A</w:t>
            </w:r>
          </w:p>
          <w:p w14:paraId="1F6A8768">
            <w:pPr>
              <w:widowControl/>
              <w:spacing w:line="240" w:lineRule="auto"/>
              <w:jc w:val="center"/>
              <w:rPr>
                <w:rFonts w:cs="Arial" w:asciiTheme="minorEastAsia" w:hAnsiTheme="minorEastAsia" w:eastAsiaTheme="minorEastAsia"/>
                <w:kern w:val="0"/>
                <w:sz w:val="18"/>
                <w:szCs w:val="18"/>
              </w:rPr>
            </w:pPr>
            <w:r>
              <w:rPr>
                <w:rFonts w:hint="eastAsia" w:asciiTheme="minorEastAsia" w:hAnsiTheme="minorEastAsia" w:eastAsiaTheme="minorEastAsia"/>
                <w:sz w:val="18"/>
                <w:szCs w:val="18"/>
              </w:rPr>
              <w:t>（0m＜L≤3m）</w:t>
            </w:r>
          </w:p>
        </w:tc>
        <w:tc>
          <w:tcPr>
            <w:tcW w:w="1276" w:type="dxa"/>
            <w:shd w:val="clear" w:color="auto" w:fill="auto"/>
            <w:vAlign w:val="center"/>
          </w:tcPr>
          <w:p w14:paraId="54D969C3">
            <w:pPr>
              <w:widowControl/>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B</w:t>
            </w:r>
          </w:p>
          <w:p w14:paraId="33BB3488">
            <w:pPr>
              <w:widowControl/>
              <w:spacing w:line="240" w:lineRule="auto"/>
              <w:jc w:val="center"/>
              <w:rPr>
                <w:rFonts w:cs="Arial" w:asciiTheme="minorEastAsia" w:hAnsiTheme="minorEastAsia" w:eastAsiaTheme="minorEastAsia"/>
                <w:kern w:val="0"/>
                <w:sz w:val="18"/>
                <w:szCs w:val="18"/>
              </w:rPr>
            </w:pPr>
            <w:r>
              <w:rPr>
                <w:rFonts w:hint="eastAsia" w:asciiTheme="minorEastAsia" w:hAnsiTheme="minorEastAsia" w:eastAsiaTheme="minorEastAsia"/>
                <w:sz w:val="18"/>
                <w:szCs w:val="18"/>
              </w:rPr>
              <w:t>（3m＜L≤6m）</w:t>
            </w:r>
          </w:p>
        </w:tc>
        <w:tc>
          <w:tcPr>
            <w:tcW w:w="1276" w:type="dxa"/>
            <w:shd w:val="clear" w:color="auto" w:fill="auto"/>
            <w:vAlign w:val="center"/>
          </w:tcPr>
          <w:p w14:paraId="2FDB2551">
            <w:pPr>
              <w:widowControl/>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C</w:t>
            </w:r>
          </w:p>
          <w:p w14:paraId="05335B16">
            <w:pPr>
              <w:widowControl/>
              <w:spacing w:line="240" w:lineRule="auto"/>
              <w:jc w:val="center"/>
              <w:rPr>
                <w:rFonts w:cs="Arial" w:asciiTheme="minorEastAsia" w:hAnsiTheme="minorEastAsia" w:eastAsiaTheme="minorEastAsia"/>
                <w:kern w:val="0"/>
                <w:sz w:val="18"/>
                <w:szCs w:val="18"/>
              </w:rPr>
            </w:pPr>
            <w:r>
              <w:rPr>
                <w:rFonts w:hint="eastAsia" w:asciiTheme="minorEastAsia" w:hAnsiTheme="minorEastAsia" w:eastAsiaTheme="minorEastAsia"/>
                <w:sz w:val="18"/>
                <w:szCs w:val="18"/>
              </w:rPr>
              <w:t>（6m＜L≤10m）</w:t>
            </w:r>
          </w:p>
        </w:tc>
        <w:tc>
          <w:tcPr>
            <w:tcW w:w="1276" w:type="dxa"/>
            <w:shd w:val="clear" w:color="auto" w:fill="auto"/>
            <w:vAlign w:val="center"/>
          </w:tcPr>
          <w:p w14:paraId="1E3A197C">
            <w:pPr>
              <w:widowControl/>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D</w:t>
            </w:r>
          </w:p>
          <w:p w14:paraId="35F07041">
            <w:pPr>
              <w:widowControl/>
              <w:spacing w:line="240" w:lineRule="auto"/>
              <w:jc w:val="center"/>
              <w:rPr>
                <w:rFonts w:cs="Arial" w:asciiTheme="minorEastAsia" w:hAnsiTheme="minorEastAsia" w:eastAsiaTheme="minorEastAsia"/>
                <w:kern w:val="0"/>
                <w:sz w:val="18"/>
                <w:szCs w:val="18"/>
              </w:rPr>
            </w:pPr>
            <w:r>
              <w:rPr>
                <w:rFonts w:hint="eastAsia" w:asciiTheme="minorEastAsia" w:hAnsiTheme="minorEastAsia" w:eastAsiaTheme="minorEastAsia"/>
                <w:sz w:val="18"/>
                <w:szCs w:val="18"/>
              </w:rPr>
              <w:t>（10m＜L≤20m）</w:t>
            </w:r>
          </w:p>
        </w:tc>
        <w:tc>
          <w:tcPr>
            <w:tcW w:w="1275" w:type="dxa"/>
            <w:vAlign w:val="center"/>
          </w:tcPr>
          <w:p w14:paraId="640F4F05">
            <w:pPr>
              <w:widowControl/>
              <w:spacing w:line="24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E</w:t>
            </w:r>
          </w:p>
          <w:p w14:paraId="3A5751C0">
            <w:pPr>
              <w:widowControl/>
              <w:spacing w:line="240" w:lineRule="auto"/>
              <w:jc w:val="center"/>
              <w:rPr>
                <w:rFonts w:cs="Arial" w:asciiTheme="minorEastAsia" w:hAnsiTheme="minorEastAsia" w:eastAsiaTheme="minorEastAsia"/>
                <w:kern w:val="0"/>
                <w:sz w:val="18"/>
                <w:szCs w:val="18"/>
              </w:rPr>
            </w:pPr>
            <w:r>
              <w:rPr>
                <w:rFonts w:hint="eastAsia" w:asciiTheme="minorEastAsia" w:hAnsiTheme="minorEastAsia" w:eastAsiaTheme="minorEastAsia"/>
                <w:sz w:val="18"/>
                <w:szCs w:val="18"/>
              </w:rPr>
              <w:t>（20m＜L≤30m）</w:t>
            </w:r>
          </w:p>
        </w:tc>
      </w:tr>
      <w:tr w14:paraId="2623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26" w:type="dxa"/>
            <w:tcBorders>
              <w:top w:val="single" w:color="auto" w:sz="4" w:space="0"/>
            </w:tcBorders>
            <w:vAlign w:val="center"/>
          </w:tcPr>
          <w:p w14:paraId="5C03E558">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1</w:t>
            </w:r>
          </w:p>
        </w:tc>
        <w:tc>
          <w:tcPr>
            <w:tcW w:w="1275" w:type="dxa"/>
            <w:tcBorders>
              <w:top w:val="single" w:color="auto" w:sz="4" w:space="0"/>
            </w:tcBorders>
            <w:shd w:val="clear" w:color="auto" w:fill="auto"/>
            <w:vAlign w:val="center"/>
          </w:tcPr>
          <w:p w14:paraId="1C8248AC">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基础桩</w:t>
            </w:r>
          </w:p>
        </w:tc>
        <w:tc>
          <w:tcPr>
            <w:tcW w:w="1188" w:type="dxa"/>
            <w:shd w:val="clear" w:color="auto" w:fill="auto"/>
            <w:vAlign w:val="center"/>
          </w:tcPr>
          <w:p w14:paraId="4D2AB0F2">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79D3122C">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一级</w:t>
            </w:r>
          </w:p>
        </w:tc>
        <w:tc>
          <w:tcPr>
            <w:tcW w:w="1276" w:type="dxa"/>
            <w:shd w:val="clear" w:color="auto" w:fill="auto"/>
            <w:vAlign w:val="center"/>
          </w:tcPr>
          <w:p w14:paraId="316D0F28">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二级</w:t>
            </w:r>
          </w:p>
        </w:tc>
        <w:tc>
          <w:tcPr>
            <w:tcW w:w="1276" w:type="dxa"/>
            <w:shd w:val="clear" w:color="auto" w:fill="auto"/>
            <w:vAlign w:val="center"/>
          </w:tcPr>
          <w:p w14:paraId="3FEB3E09">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三级</w:t>
            </w:r>
          </w:p>
        </w:tc>
        <w:tc>
          <w:tcPr>
            <w:tcW w:w="1275" w:type="dxa"/>
            <w:vAlign w:val="center"/>
          </w:tcPr>
          <w:p w14:paraId="3EB7A434">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四级</w:t>
            </w:r>
          </w:p>
        </w:tc>
      </w:tr>
      <w:tr w14:paraId="2E5D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426" w:type="dxa"/>
            <w:vAlign w:val="center"/>
          </w:tcPr>
          <w:p w14:paraId="30E5285D">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2</w:t>
            </w:r>
          </w:p>
        </w:tc>
        <w:tc>
          <w:tcPr>
            <w:tcW w:w="1275" w:type="dxa"/>
            <w:shd w:val="clear" w:color="auto" w:fill="auto"/>
            <w:vAlign w:val="center"/>
          </w:tcPr>
          <w:p w14:paraId="624A5093">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基坑围护桩、</w:t>
            </w:r>
          </w:p>
          <w:p w14:paraId="5801FA9B">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地下连续墙</w:t>
            </w:r>
          </w:p>
        </w:tc>
        <w:tc>
          <w:tcPr>
            <w:tcW w:w="1188" w:type="dxa"/>
            <w:shd w:val="clear" w:color="auto" w:fill="auto"/>
            <w:vAlign w:val="center"/>
          </w:tcPr>
          <w:p w14:paraId="5EF7F907">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6A1970E2">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6D0C8B28">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一级</w:t>
            </w:r>
          </w:p>
        </w:tc>
        <w:tc>
          <w:tcPr>
            <w:tcW w:w="1276" w:type="dxa"/>
            <w:shd w:val="clear" w:color="auto" w:fill="auto"/>
            <w:vAlign w:val="center"/>
          </w:tcPr>
          <w:p w14:paraId="15435D71">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二级</w:t>
            </w:r>
          </w:p>
        </w:tc>
        <w:tc>
          <w:tcPr>
            <w:tcW w:w="1275" w:type="dxa"/>
            <w:vAlign w:val="center"/>
          </w:tcPr>
          <w:p w14:paraId="54647EB5">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三级</w:t>
            </w:r>
          </w:p>
        </w:tc>
      </w:tr>
      <w:tr w14:paraId="3A98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426" w:type="dxa"/>
            <w:vAlign w:val="center"/>
          </w:tcPr>
          <w:p w14:paraId="5F3288E1">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3</w:t>
            </w:r>
          </w:p>
        </w:tc>
        <w:tc>
          <w:tcPr>
            <w:tcW w:w="1275" w:type="dxa"/>
            <w:shd w:val="clear" w:color="auto" w:fill="auto"/>
            <w:vAlign w:val="center"/>
          </w:tcPr>
          <w:p w14:paraId="30BA0125">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钻探孔</w:t>
            </w:r>
          </w:p>
        </w:tc>
        <w:tc>
          <w:tcPr>
            <w:tcW w:w="1188" w:type="dxa"/>
            <w:shd w:val="clear" w:color="auto" w:fill="auto"/>
            <w:vAlign w:val="center"/>
          </w:tcPr>
          <w:p w14:paraId="6ACAC760">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004F8D0A">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一级</w:t>
            </w:r>
          </w:p>
        </w:tc>
        <w:tc>
          <w:tcPr>
            <w:tcW w:w="1276" w:type="dxa"/>
            <w:shd w:val="clear" w:color="auto" w:fill="auto"/>
            <w:vAlign w:val="center"/>
          </w:tcPr>
          <w:p w14:paraId="06E26020">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二级</w:t>
            </w:r>
          </w:p>
        </w:tc>
        <w:tc>
          <w:tcPr>
            <w:tcW w:w="1276" w:type="dxa"/>
            <w:shd w:val="clear" w:color="auto" w:fill="auto"/>
            <w:vAlign w:val="center"/>
          </w:tcPr>
          <w:p w14:paraId="358E548A">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三级</w:t>
            </w:r>
          </w:p>
        </w:tc>
        <w:tc>
          <w:tcPr>
            <w:tcW w:w="1275" w:type="dxa"/>
            <w:vAlign w:val="center"/>
          </w:tcPr>
          <w:p w14:paraId="304DFABB">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四级</w:t>
            </w:r>
          </w:p>
        </w:tc>
      </w:tr>
      <w:tr w14:paraId="63F7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426" w:type="dxa"/>
            <w:vAlign w:val="center"/>
          </w:tcPr>
          <w:p w14:paraId="0CACC457">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4</w:t>
            </w:r>
          </w:p>
        </w:tc>
        <w:tc>
          <w:tcPr>
            <w:tcW w:w="1275" w:type="dxa"/>
            <w:shd w:val="clear" w:color="auto" w:fill="auto"/>
            <w:vAlign w:val="center"/>
          </w:tcPr>
          <w:p w14:paraId="5AF4FF17">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锚杆、锚索、土钉（末端）</w:t>
            </w:r>
          </w:p>
        </w:tc>
        <w:tc>
          <w:tcPr>
            <w:tcW w:w="1188" w:type="dxa"/>
            <w:shd w:val="clear" w:color="auto" w:fill="auto"/>
            <w:vAlign w:val="center"/>
          </w:tcPr>
          <w:p w14:paraId="03EB0C1F">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6B3CB0EA">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一级</w:t>
            </w:r>
          </w:p>
        </w:tc>
        <w:tc>
          <w:tcPr>
            <w:tcW w:w="1276" w:type="dxa"/>
            <w:shd w:val="clear" w:color="auto" w:fill="auto"/>
            <w:vAlign w:val="center"/>
          </w:tcPr>
          <w:p w14:paraId="125BEEEE">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二级</w:t>
            </w:r>
          </w:p>
        </w:tc>
        <w:tc>
          <w:tcPr>
            <w:tcW w:w="1276" w:type="dxa"/>
            <w:shd w:val="clear" w:color="auto" w:fill="auto"/>
            <w:vAlign w:val="center"/>
          </w:tcPr>
          <w:p w14:paraId="6BE9E5EB">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三级</w:t>
            </w:r>
          </w:p>
        </w:tc>
        <w:tc>
          <w:tcPr>
            <w:tcW w:w="1275" w:type="dxa"/>
            <w:vAlign w:val="center"/>
          </w:tcPr>
          <w:p w14:paraId="072650D3">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四级</w:t>
            </w:r>
          </w:p>
        </w:tc>
      </w:tr>
      <w:tr w14:paraId="47A2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26" w:type="dxa"/>
            <w:vAlign w:val="center"/>
          </w:tcPr>
          <w:p w14:paraId="25B2CFB2">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5</w:t>
            </w:r>
          </w:p>
        </w:tc>
        <w:tc>
          <w:tcPr>
            <w:tcW w:w="1275" w:type="dxa"/>
            <w:shd w:val="clear" w:color="auto" w:fill="auto"/>
            <w:vAlign w:val="center"/>
          </w:tcPr>
          <w:p w14:paraId="57D6A1F9">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起重、吊装设备</w:t>
            </w:r>
          </w:p>
        </w:tc>
        <w:tc>
          <w:tcPr>
            <w:tcW w:w="1188" w:type="dxa"/>
            <w:shd w:val="clear" w:color="auto" w:fill="auto"/>
            <w:vAlign w:val="center"/>
          </w:tcPr>
          <w:p w14:paraId="6010C424">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7E418E7D">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一级</w:t>
            </w:r>
          </w:p>
        </w:tc>
        <w:tc>
          <w:tcPr>
            <w:tcW w:w="1276" w:type="dxa"/>
            <w:shd w:val="clear" w:color="auto" w:fill="auto"/>
            <w:vAlign w:val="center"/>
          </w:tcPr>
          <w:p w14:paraId="34044374">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三级</w:t>
            </w:r>
          </w:p>
        </w:tc>
        <w:tc>
          <w:tcPr>
            <w:tcW w:w="1276" w:type="dxa"/>
            <w:shd w:val="clear" w:color="auto" w:fill="auto"/>
            <w:vAlign w:val="center"/>
          </w:tcPr>
          <w:p w14:paraId="229C7E4D">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四级</w:t>
            </w:r>
          </w:p>
        </w:tc>
        <w:tc>
          <w:tcPr>
            <w:tcW w:w="1275" w:type="dxa"/>
            <w:vAlign w:val="center"/>
          </w:tcPr>
          <w:p w14:paraId="68A61C8C">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四级</w:t>
            </w:r>
          </w:p>
        </w:tc>
      </w:tr>
      <w:tr w14:paraId="7567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 w:type="dxa"/>
            <w:vAlign w:val="center"/>
          </w:tcPr>
          <w:p w14:paraId="30AABA8A">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6</w:t>
            </w:r>
          </w:p>
        </w:tc>
        <w:tc>
          <w:tcPr>
            <w:tcW w:w="1275" w:type="dxa"/>
            <w:shd w:val="clear" w:color="auto" w:fill="auto"/>
            <w:vAlign w:val="center"/>
          </w:tcPr>
          <w:p w14:paraId="20C318C6">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搭建棚架及</w:t>
            </w:r>
          </w:p>
          <w:p w14:paraId="779A3932">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宣传标志</w:t>
            </w:r>
          </w:p>
        </w:tc>
        <w:tc>
          <w:tcPr>
            <w:tcW w:w="1188" w:type="dxa"/>
            <w:shd w:val="clear" w:color="auto" w:fill="auto"/>
            <w:vAlign w:val="center"/>
          </w:tcPr>
          <w:p w14:paraId="72912820">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45BD424B">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二级</w:t>
            </w:r>
          </w:p>
        </w:tc>
        <w:tc>
          <w:tcPr>
            <w:tcW w:w="1276" w:type="dxa"/>
            <w:shd w:val="clear" w:color="auto" w:fill="auto"/>
            <w:vAlign w:val="center"/>
          </w:tcPr>
          <w:p w14:paraId="08A51C07">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三级</w:t>
            </w:r>
          </w:p>
        </w:tc>
        <w:tc>
          <w:tcPr>
            <w:tcW w:w="1276" w:type="dxa"/>
            <w:shd w:val="clear" w:color="auto" w:fill="auto"/>
            <w:vAlign w:val="center"/>
          </w:tcPr>
          <w:p w14:paraId="4130F7C8">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四级</w:t>
            </w:r>
          </w:p>
        </w:tc>
        <w:tc>
          <w:tcPr>
            <w:tcW w:w="1275" w:type="dxa"/>
            <w:vAlign w:val="center"/>
          </w:tcPr>
          <w:p w14:paraId="0E9E9930">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四级</w:t>
            </w:r>
          </w:p>
        </w:tc>
      </w:tr>
      <w:tr w14:paraId="4547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 w:type="dxa"/>
            <w:vAlign w:val="center"/>
          </w:tcPr>
          <w:p w14:paraId="1E71EF89">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7</w:t>
            </w:r>
          </w:p>
        </w:tc>
        <w:tc>
          <w:tcPr>
            <w:tcW w:w="1275" w:type="dxa"/>
            <w:shd w:val="clear" w:color="auto" w:fill="auto"/>
            <w:vAlign w:val="center"/>
          </w:tcPr>
          <w:p w14:paraId="13FF16CA">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存放易燃物料（非易爆物）</w:t>
            </w:r>
          </w:p>
        </w:tc>
        <w:tc>
          <w:tcPr>
            <w:tcW w:w="1188" w:type="dxa"/>
            <w:shd w:val="clear" w:color="auto" w:fill="auto"/>
            <w:vAlign w:val="center"/>
          </w:tcPr>
          <w:p w14:paraId="3C1A09D1">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4DF766E0">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一级</w:t>
            </w:r>
          </w:p>
        </w:tc>
        <w:tc>
          <w:tcPr>
            <w:tcW w:w="1276" w:type="dxa"/>
            <w:shd w:val="clear" w:color="auto" w:fill="auto"/>
            <w:vAlign w:val="center"/>
          </w:tcPr>
          <w:p w14:paraId="273271F3">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二级</w:t>
            </w:r>
          </w:p>
        </w:tc>
        <w:tc>
          <w:tcPr>
            <w:tcW w:w="1276" w:type="dxa"/>
            <w:shd w:val="clear" w:color="auto" w:fill="auto"/>
            <w:vAlign w:val="center"/>
          </w:tcPr>
          <w:p w14:paraId="554A3132">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三级</w:t>
            </w:r>
          </w:p>
        </w:tc>
        <w:tc>
          <w:tcPr>
            <w:tcW w:w="1275" w:type="dxa"/>
            <w:vAlign w:val="center"/>
          </w:tcPr>
          <w:p w14:paraId="1A4E34AA">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四级</w:t>
            </w:r>
          </w:p>
        </w:tc>
      </w:tr>
      <w:tr w14:paraId="0454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6" w:type="dxa"/>
            <w:vAlign w:val="center"/>
          </w:tcPr>
          <w:p w14:paraId="56BCCACE">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8</w:t>
            </w:r>
          </w:p>
        </w:tc>
        <w:tc>
          <w:tcPr>
            <w:tcW w:w="1275" w:type="dxa"/>
            <w:shd w:val="clear" w:color="auto" w:fill="auto"/>
            <w:vAlign w:val="center"/>
          </w:tcPr>
          <w:p w14:paraId="23BD3700">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冲孔、振冲、</w:t>
            </w:r>
          </w:p>
          <w:p w14:paraId="2CF3BFA3">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挤土</w:t>
            </w:r>
          </w:p>
        </w:tc>
        <w:tc>
          <w:tcPr>
            <w:tcW w:w="1188" w:type="dxa"/>
            <w:shd w:val="clear" w:color="auto" w:fill="auto"/>
            <w:vAlign w:val="center"/>
          </w:tcPr>
          <w:p w14:paraId="1E0B9261">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3CFB55A0">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一级</w:t>
            </w:r>
          </w:p>
        </w:tc>
        <w:tc>
          <w:tcPr>
            <w:tcW w:w="1276" w:type="dxa"/>
            <w:shd w:val="clear" w:color="auto" w:fill="auto"/>
            <w:vAlign w:val="center"/>
          </w:tcPr>
          <w:p w14:paraId="1110B26B">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二级</w:t>
            </w:r>
          </w:p>
        </w:tc>
        <w:tc>
          <w:tcPr>
            <w:tcW w:w="1276" w:type="dxa"/>
            <w:shd w:val="clear" w:color="auto" w:fill="auto"/>
            <w:vAlign w:val="center"/>
          </w:tcPr>
          <w:p w14:paraId="48997DCD">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三级</w:t>
            </w:r>
          </w:p>
        </w:tc>
        <w:tc>
          <w:tcPr>
            <w:tcW w:w="1275" w:type="dxa"/>
            <w:vAlign w:val="center"/>
          </w:tcPr>
          <w:p w14:paraId="437BED86">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四级</w:t>
            </w:r>
          </w:p>
        </w:tc>
      </w:tr>
      <w:tr w14:paraId="7F9A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426" w:type="dxa"/>
            <w:vAlign w:val="center"/>
          </w:tcPr>
          <w:p w14:paraId="28CAD2CE">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9</w:t>
            </w:r>
          </w:p>
        </w:tc>
        <w:tc>
          <w:tcPr>
            <w:tcW w:w="1275" w:type="dxa"/>
            <w:shd w:val="clear" w:color="auto" w:fill="auto"/>
            <w:vAlign w:val="center"/>
          </w:tcPr>
          <w:p w14:paraId="0805FEDB">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浅孔爆破</w:t>
            </w:r>
          </w:p>
        </w:tc>
        <w:tc>
          <w:tcPr>
            <w:tcW w:w="1188" w:type="dxa"/>
            <w:shd w:val="clear" w:color="auto" w:fill="auto"/>
            <w:vAlign w:val="center"/>
          </w:tcPr>
          <w:p w14:paraId="690EDF1D">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7A924747">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58C576A3">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一级</w:t>
            </w:r>
          </w:p>
        </w:tc>
        <w:tc>
          <w:tcPr>
            <w:tcW w:w="1276" w:type="dxa"/>
            <w:shd w:val="clear" w:color="auto" w:fill="auto"/>
            <w:vAlign w:val="center"/>
          </w:tcPr>
          <w:p w14:paraId="2A653132">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二级</w:t>
            </w:r>
          </w:p>
        </w:tc>
        <w:tc>
          <w:tcPr>
            <w:tcW w:w="1275" w:type="dxa"/>
            <w:vAlign w:val="center"/>
          </w:tcPr>
          <w:p w14:paraId="071D06D0">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三级</w:t>
            </w:r>
          </w:p>
        </w:tc>
      </w:tr>
      <w:tr w14:paraId="5842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426" w:type="dxa"/>
            <w:vAlign w:val="center"/>
          </w:tcPr>
          <w:p w14:paraId="77EEA5B8">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10</w:t>
            </w:r>
          </w:p>
        </w:tc>
        <w:tc>
          <w:tcPr>
            <w:tcW w:w="1275" w:type="dxa"/>
            <w:shd w:val="clear" w:color="auto" w:fill="auto"/>
            <w:vAlign w:val="center"/>
          </w:tcPr>
          <w:p w14:paraId="19587B0F">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地面堆载</w:t>
            </w:r>
          </w:p>
        </w:tc>
        <w:tc>
          <w:tcPr>
            <w:tcW w:w="1188" w:type="dxa"/>
            <w:shd w:val="clear" w:color="auto" w:fill="auto"/>
            <w:vAlign w:val="center"/>
          </w:tcPr>
          <w:p w14:paraId="7275A19F">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25C6534A">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一级</w:t>
            </w:r>
          </w:p>
        </w:tc>
        <w:tc>
          <w:tcPr>
            <w:tcW w:w="1276" w:type="dxa"/>
            <w:shd w:val="clear" w:color="auto" w:fill="auto"/>
            <w:vAlign w:val="center"/>
          </w:tcPr>
          <w:p w14:paraId="4476018B">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二级</w:t>
            </w:r>
          </w:p>
        </w:tc>
        <w:tc>
          <w:tcPr>
            <w:tcW w:w="1276" w:type="dxa"/>
            <w:shd w:val="clear" w:color="auto" w:fill="auto"/>
            <w:vAlign w:val="center"/>
          </w:tcPr>
          <w:p w14:paraId="7E260C28">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三级</w:t>
            </w:r>
          </w:p>
        </w:tc>
        <w:tc>
          <w:tcPr>
            <w:tcW w:w="1275" w:type="dxa"/>
            <w:vAlign w:val="center"/>
          </w:tcPr>
          <w:p w14:paraId="14AD527F">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四级</w:t>
            </w:r>
          </w:p>
        </w:tc>
      </w:tr>
      <w:tr w14:paraId="33A2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6" w:type="dxa"/>
            <w:vAlign w:val="center"/>
          </w:tcPr>
          <w:p w14:paraId="09F2F662">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11</w:t>
            </w:r>
          </w:p>
        </w:tc>
        <w:tc>
          <w:tcPr>
            <w:tcW w:w="1275" w:type="dxa"/>
            <w:shd w:val="clear" w:color="auto" w:fill="auto"/>
            <w:vAlign w:val="center"/>
          </w:tcPr>
          <w:p w14:paraId="48E2D4DC">
            <w:pPr>
              <w:spacing w:line="240" w:lineRule="auto"/>
              <w:jc w:val="center"/>
              <w:rPr>
                <w:rFonts w:cs="Arial" w:asciiTheme="minorEastAsia" w:hAnsiTheme="minorEastAsia" w:eastAsiaTheme="minorEastAsia"/>
                <w:kern w:val="0"/>
                <w:sz w:val="18"/>
                <w:szCs w:val="18"/>
              </w:rPr>
            </w:pPr>
            <w:r>
              <w:rPr>
                <w:rFonts w:hint="eastAsia" w:cs="Arial" w:asciiTheme="minorEastAsia" w:hAnsiTheme="minorEastAsia" w:eastAsiaTheme="minorEastAsia"/>
                <w:kern w:val="0"/>
                <w:sz w:val="18"/>
                <w:szCs w:val="18"/>
              </w:rPr>
              <w:t>其他作业</w:t>
            </w:r>
          </w:p>
        </w:tc>
        <w:tc>
          <w:tcPr>
            <w:tcW w:w="1188" w:type="dxa"/>
            <w:shd w:val="clear" w:color="auto" w:fill="auto"/>
            <w:vAlign w:val="center"/>
          </w:tcPr>
          <w:p w14:paraId="410CCBCC">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特级</w:t>
            </w:r>
          </w:p>
        </w:tc>
        <w:tc>
          <w:tcPr>
            <w:tcW w:w="1276" w:type="dxa"/>
            <w:shd w:val="clear" w:color="auto" w:fill="auto"/>
            <w:vAlign w:val="center"/>
          </w:tcPr>
          <w:p w14:paraId="22F31CB7">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一级</w:t>
            </w:r>
          </w:p>
        </w:tc>
        <w:tc>
          <w:tcPr>
            <w:tcW w:w="1276" w:type="dxa"/>
            <w:shd w:val="clear" w:color="auto" w:fill="auto"/>
            <w:vAlign w:val="center"/>
          </w:tcPr>
          <w:p w14:paraId="63A15685">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二级</w:t>
            </w:r>
          </w:p>
        </w:tc>
        <w:tc>
          <w:tcPr>
            <w:tcW w:w="1276" w:type="dxa"/>
            <w:shd w:val="clear" w:color="auto" w:fill="auto"/>
            <w:vAlign w:val="center"/>
          </w:tcPr>
          <w:p w14:paraId="3F811571">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三级</w:t>
            </w:r>
          </w:p>
        </w:tc>
        <w:tc>
          <w:tcPr>
            <w:tcW w:w="1275" w:type="dxa"/>
            <w:vAlign w:val="center"/>
          </w:tcPr>
          <w:p w14:paraId="562063D2">
            <w:pPr>
              <w:spacing w:line="240" w:lineRule="auto"/>
              <w:jc w:val="center"/>
              <w:rPr>
                <w:rFonts w:cs="Arial" w:asciiTheme="minorEastAsia" w:hAnsiTheme="minorEastAsia" w:eastAsiaTheme="minorEastAsia"/>
                <w:kern w:val="0"/>
                <w:sz w:val="18"/>
                <w:szCs w:val="18"/>
              </w:rPr>
            </w:pPr>
            <w:r>
              <w:rPr>
                <w:rFonts w:ascii="宋体" w:hAnsi="宋体"/>
                <w:kern w:val="0"/>
                <w:sz w:val="18"/>
                <w:szCs w:val="18"/>
              </w:rPr>
              <w:t>四级</w:t>
            </w:r>
          </w:p>
        </w:tc>
      </w:tr>
    </w:tbl>
    <w:p w14:paraId="744983BE">
      <w:pPr>
        <w:pStyle w:val="10"/>
        <w:tabs>
          <w:tab w:val="clear" w:pos="720"/>
        </w:tabs>
        <w:spacing w:line="300" w:lineRule="auto"/>
        <w:ind w:left="991" w:leftChars="172" w:hanging="630" w:hangingChars="350"/>
        <w:rPr>
          <w:rFonts w:eastAsia="宋体"/>
          <w:spacing w:val="0"/>
          <w:sz w:val="18"/>
          <w:szCs w:val="18"/>
        </w:rPr>
      </w:pPr>
      <w:r>
        <w:rPr>
          <w:rFonts w:hint="eastAsia" w:eastAsia="宋体"/>
          <w:spacing w:val="0"/>
          <w:sz w:val="18"/>
          <w:szCs w:val="18"/>
        </w:rPr>
        <w:t>注：1  L为外部作业（含施工设备、设施等）与地面段有轨电车轨道结构外边线之间的水平投影净距；</w:t>
      </w:r>
    </w:p>
    <w:p w14:paraId="43500CA1">
      <w:pPr>
        <w:widowControl/>
        <w:tabs>
          <w:tab w:val="clear" w:pos="720"/>
        </w:tabs>
        <w:spacing w:line="240" w:lineRule="auto"/>
        <w:ind w:left="984" w:leftChars="340" w:hanging="270" w:hangingChars="150"/>
        <w:jc w:val="left"/>
        <w:rPr>
          <w:rFonts w:ascii="宋体" w:hAnsi="宋体" w:cs="宋体"/>
          <w:kern w:val="0"/>
          <w:sz w:val="18"/>
          <w:szCs w:val="18"/>
        </w:rPr>
      </w:pPr>
      <w:r>
        <w:rPr>
          <w:rFonts w:hint="eastAsia" w:ascii="宋体" w:hAnsi="宋体" w:cs="宋体"/>
          <w:kern w:val="0"/>
          <w:sz w:val="18"/>
          <w:szCs w:val="18"/>
        </w:rPr>
        <w:t>2  其他作业是指未对有轨电车设施产生影响的控制保护区内的外部作业，包括人行道铺装作业、绿化管养作业、机动车道路面标志翻新等；</w:t>
      </w:r>
    </w:p>
    <w:p w14:paraId="71015906">
      <w:pPr>
        <w:widowControl/>
        <w:tabs>
          <w:tab w:val="clear" w:pos="720"/>
        </w:tabs>
        <w:spacing w:line="240" w:lineRule="auto"/>
        <w:ind w:firstLine="720" w:firstLineChars="400"/>
        <w:jc w:val="left"/>
        <w:rPr>
          <w:rFonts w:ascii="宋体" w:hAnsi="宋体" w:cs="宋体"/>
          <w:kern w:val="0"/>
          <w:sz w:val="18"/>
          <w:szCs w:val="18"/>
        </w:rPr>
      </w:pPr>
      <w:r>
        <w:rPr>
          <w:rFonts w:hint="eastAsia" w:ascii="宋体" w:hAnsi="宋体" w:cs="宋体"/>
          <w:kern w:val="0"/>
          <w:sz w:val="18"/>
          <w:szCs w:val="18"/>
        </w:rPr>
        <w:t>3  外部作业采用爆破法实施时，应根据爆破专项安全评估成果确定净距控制值；</w:t>
      </w:r>
    </w:p>
    <w:p w14:paraId="5BC12188">
      <w:pPr>
        <w:widowControl/>
        <w:tabs>
          <w:tab w:val="clear" w:pos="720"/>
        </w:tabs>
        <w:spacing w:line="240" w:lineRule="auto"/>
        <w:ind w:left="44" w:leftChars="21" w:firstLine="666" w:firstLineChars="370"/>
        <w:jc w:val="left"/>
        <w:rPr>
          <w:rFonts w:ascii="宋体" w:hAnsi="宋体" w:cs="宋体"/>
          <w:kern w:val="0"/>
        </w:rPr>
      </w:pPr>
      <w:r>
        <w:rPr>
          <w:rFonts w:hint="eastAsia" w:ascii="宋体" w:hAnsi="宋体" w:cs="宋体"/>
          <w:kern w:val="0"/>
          <w:sz w:val="18"/>
          <w:szCs w:val="18"/>
        </w:rPr>
        <w:t>4  采用先进爆破技术时，浅孔爆破指标可通过试验确定。</w:t>
      </w:r>
      <w:r>
        <w:rPr>
          <w:rFonts w:ascii="宋体" w:hAnsi="宋体"/>
          <w:sz w:val="32"/>
          <w:szCs w:val="32"/>
        </w:rPr>
        <w:drawing>
          <wp:inline distT="0" distB="0" distL="0" distR="0">
            <wp:extent cx="4969510" cy="1812925"/>
            <wp:effectExtent l="0" t="0" r="2540" b="0"/>
            <wp:docPr id="1"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 工程绘图&#10;&#10;描述已自动生成"/>
                    <pic:cNvPicPr>
                      <a:picLocks noChangeAspect="1"/>
                    </pic:cNvPicPr>
                  </pic:nvPicPr>
                  <pic:blipFill>
                    <a:blip r:embed="rId14"/>
                    <a:srcRect l="3035" t="8259" r="4381" b="6951"/>
                    <a:stretch>
                      <a:fillRect/>
                    </a:stretch>
                  </pic:blipFill>
                  <pic:spPr>
                    <a:xfrm>
                      <a:off x="0" y="0"/>
                      <a:ext cx="4992584" cy="1821213"/>
                    </a:xfrm>
                    <a:prstGeom prst="rect">
                      <a:avLst/>
                    </a:prstGeom>
                    <a:ln>
                      <a:noFill/>
                    </a:ln>
                  </pic:spPr>
                </pic:pic>
              </a:graphicData>
            </a:graphic>
          </wp:inline>
        </w:drawing>
      </w:r>
    </w:p>
    <w:p w14:paraId="1B303D0B">
      <w:pPr>
        <w:jc w:val="center"/>
        <w:rPr>
          <w:rFonts w:ascii="宋体" w:hAnsi="宋体" w:cs="宋体"/>
          <w:kern w:val="0"/>
        </w:rPr>
      </w:pPr>
      <w:r>
        <w:t>图</w:t>
      </w:r>
      <w:r>
        <w:rPr>
          <w:rFonts w:hint="eastAsia"/>
        </w:rPr>
        <w:t xml:space="preserve">3.1.4 </w:t>
      </w:r>
      <w:r>
        <w:rPr>
          <w:rFonts w:hint="eastAsia" w:ascii="宋体" w:hAnsi="宋体" w:cs="宋体"/>
          <w:kern w:val="0"/>
        </w:rPr>
        <w:t>外部作业与地面段有轨电车轨道结构接近程度的判定</w:t>
      </w:r>
    </w:p>
    <w:p w14:paraId="24A29249">
      <w:pPr>
        <w:tabs>
          <w:tab w:val="left" w:pos="900"/>
        </w:tabs>
      </w:pPr>
      <w:r>
        <w:t xml:space="preserve">3.1.5  </w:t>
      </w:r>
      <w:r>
        <w:rPr>
          <w:rFonts w:hint="eastAsia"/>
        </w:rPr>
        <w:t>重大影响外部作业指对有轨电车设施安全有重大影响的项目，主要包括下列项目：</w:t>
      </w:r>
    </w:p>
    <w:p w14:paraId="0BD2B258">
      <w:pPr>
        <w:tabs>
          <w:tab w:val="left" w:pos="900"/>
        </w:tabs>
        <w:ind w:firstLine="420"/>
      </w:pPr>
      <w:r>
        <w:t xml:space="preserve">1  </w:t>
      </w:r>
      <w:r>
        <w:rPr>
          <w:rFonts w:hint="eastAsia"/>
        </w:rPr>
        <w:t>影响等级划分为特级、一级的外部作业；</w:t>
      </w:r>
    </w:p>
    <w:p w14:paraId="2D1099CF">
      <w:pPr>
        <w:tabs>
          <w:tab w:val="left" w:pos="900"/>
        </w:tabs>
        <w:ind w:firstLine="420" w:firstLineChars="200"/>
      </w:pPr>
      <w:r>
        <w:t xml:space="preserve">2  </w:t>
      </w:r>
      <w:r>
        <w:rPr>
          <w:rFonts w:hint="eastAsia"/>
        </w:rPr>
        <w:t>影响等级为二级的外部作业，由于有轨电车既有结构所处工程地质条件、水文地质条件较复杂，主要表现为既有结构处于软土地层、岩溶发育区域或附近存在断裂带、破碎带；</w:t>
      </w:r>
    </w:p>
    <w:p w14:paraId="70E96ABF">
      <w:pPr>
        <w:tabs>
          <w:tab w:val="left" w:pos="900"/>
        </w:tabs>
        <w:ind w:firstLine="420" w:firstLineChars="200"/>
      </w:pPr>
      <w:r>
        <w:t xml:space="preserve">3  </w:t>
      </w:r>
      <w:r>
        <w:rPr>
          <w:rFonts w:hint="eastAsia"/>
        </w:rPr>
        <w:t>存在道床开裂、剥离、结构变形过大等病害的有轨电车既有结构控制保护区的外部作业；</w:t>
      </w:r>
    </w:p>
    <w:p w14:paraId="45B10557">
      <w:pPr>
        <w:tabs>
          <w:tab w:val="left" w:pos="900"/>
        </w:tabs>
        <w:ind w:firstLine="420" w:firstLineChars="200"/>
      </w:pPr>
      <w:r>
        <w:t xml:space="preserve">4  </w:t>
      </w:r>
      <w:r>
        <w:rPr>
          <w:rFonts w:hint="eastAsia"/>
        </w:rPr>
        <w:t>上跨或下穿有轨电车既有结构的作业，不含直径或最大边长小于</w:t>
      </w:r>
      <w:r>
        <w:t>2.5m</w:t>
      </w:r>
      <w:r>
        <w:rPr>
          <w:rFonts w:hint="eastAsia"/>
        </w:rPr>
        <w:t>的浅埋明挖小型管沟、明渠及牵引顶管等平面交叉作业；</w:t>
      </w:r>
    </w:p>
    <w:p w14:paraId="3326C06F">
      <w:pPr>
        <w:tabs>
          <w:tab w:val="left" w:pos="900"/>
        </w:tabs>
        <w:ind w:firstLine="420" w:firstLineChars="200"/>
      </w:pPr>
      <w:r>
        <w:t xml:space="preserve">5   </w:t>
      </w:r>
      <w:r>
        <w:rPr>
          <w:rFonts w:hint="eastAsia"/>
        </w:rPr>
        <w:t>保护区范围内的基坑工程。</w:t>
      </w:r>
    </w:p>
    <w:p w14:paraId="70B13664">
      <w:pPr>
        <w:pStyle w:val="72"/>
        <w:spacing w:before="0" w:beforeAutospacing="0" w:after="0" w:afterAutospacing="0" w:line="360" w:lineRule="auto"/>
        <w:jc w:val="both"/>
      </w:pPr>
      <w:r>
        <w:rPr>
          <w:rFonts w:ascii="Times New Roman" w:hAnsi="Times New Roman" w:cs="Times New Roman"/>
          <w:sz w:val="21"/>
          <w:szCs w:val="21"/>
        </w:rPr>
        <w:t xml:space="preserve">3.1.6  </w:t>
      </w:r>
      <w:r>
        <w:rPr>
          <w:rFonts w:hint="eastAsia"/>
          <w:sz w:val="21"/>
          <w:szCs w:val="21"/>
        </w:rPr>
        <w:t>在有轨电车控制保护区从事重大影响的外部作业，作业单位应当对有轨电车设施进行安全评估和监测，并制定设施保护专项技术方案和应急预案，上报给相关部门和经营单位，应急预案应与经营单位预案相衔接。</w:t>
      </w:r>
    </w:p>
    <w:p w14:paraId="598092E3">
      <w:pPr>
        <w:pStyle w:val="72"/>
        <w:spacing w:before="0" w:beforeAutospacing="0" w:after="0" w:afterAutospacing="0" w:line="360" w:lineRule="auto"/>
        <w:jc w:val="both"/>
      </w:pPr>
      <w:r>
        <w:rPr>
          <w:rFonts w:ascii="Times New Roman" w:hAnsi="Times New Roman" w:cs="Times New Roman"/>
          <w:sz w:val="21"/>
          <w:szCs w:val="21"/>
        </w:rPr>
        <w:t xml:space="preserve">3.1.7 </w:t>
      </w:r>
      <w:r>
        <w:rPr>
          <w:rFonts w:hint="eastAsia" w:ascii="Times New Roman" w:hAnsi="Times New Roman" w:cs="Times New Roman"/>
          <w:sz w:val="21"/>
          <w:szCs w:val="21"/>
        </w:rPr>
        <w:t xml:space="preserve"> </w:t>
      </w:r>
      <w:r>
        <w:rPr>
          <w:rFonts w:hint="eastAsia"/>
          <w:sz w:val="21"/>
          <w:szCs w:val="21"/>
        </w:rPr>
        <w:t>外部作业评估单位应在外部作业的设计、实施全过程中提供真实可靠、满足要求的成果，包括有轨电车设施现状评估、外部作业影响预评估、外部作业施工过程评估及外部作业影响后评估。</w:t>
      </w:r>
    </w:p>
    <w:p w14:paraId="348FF258">
      <w:pPr>
        <w:pStyle w:val="72"/>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sz w:val="21"/>
          <w:szCs w:val="21"/>
        </w:rPr>
        <w:t xml:space="preserve">3.1.8 </w:t>
      </w:r>
      <w:r>
        <w:rPr>
          <w:rFonts w:hint="eastAsia" w:ascii="Times New Roman" w:hAnsi="Times New Roman" w:cs="Times New Roman"/>
          <w:sz w:val="21"/>
          <w:szCs w:val="21"/>
        </w:rPr>
        <w:t xml:space="preserve">有轨电车控制保护区范围内，不应进行大幅度降水作业，如需降水应采取有效的回灌措施。 </w:t>
      </w:r>
    </w:p>
    <w:p w14:paraId="1150F8AE">
      <w:pPr>
        <w:pStyle w:val="72"/>
        <w:spacing w:before="0" w:beforeAutospacing="0" w:after="0" w:afterAutospacing="0" w:line="360" w:lineRule="auto"/>
        <w:jc w:val="both"/>
      </w:pPr>
      <w:r>
        <w:rPr>
          <w:rFonts w:ascii="Times New Roman" w:hAnsi="Times New Roman" w:cs="Times New Roman"/>
          <w:sz w:val="21"/>
          <w:szCs w:val="21"/>
        </w:rPr>
        <w:t xml:space="preserve">3.1.9 </w:t>
      </w:r>
      <w:r>
        <w:rPr>
          <w:rFonts w:hint="eastAsia"/>
          <w:sz w:val="21"/>
          <w:szCs w:val="21"/>
        </w:rPr>
        <w:t>有轨电车设施监测应在外部作业施工前完成监测点的布设工作，并采集初始值，施工过程遵循连续监测的原则，监测成果应能准确及时反映设施的实际状态及外部作业对设施安全的动态影响。</w:t>
      </w:r>
    </w:p>
    <w:p w14:paraId="6A60F576">
      <w:pPr>
        <w:pStyle w:val="72"/>
        <w:spacing w:before="0" w:beforeAutospacing="0" w:after="0" w:afterAutospacing="0" w:line="360" w:lineRule="auto"/>
        <w:jc w:val="both"/>
      </w:pPr>
      <w:r>
        <w:rPr>
          <w:rFonts w:ascii="Times New Roman" w:hAnsi="Times New Roman" w:cs="Times New Roman"/>
          <w:sz w:val="21"/>
          <w:szCs w:val="21"/>
        </w:rPr>
        <w:t xml:space="preserve">3.1.10 </w:t>
      </w:r>
      <w:r>
        <w:rPr>
          <w:rFonts w:hint="eastAsia" w:ascii="Times New Roman" w:hAnsi="Times New Roman" w:cs="Times New Roman"/>
          <w:sz w:val="21"/>
          <w:szCs w:val="21"/>
        </w:rPr>
        <w:t xml:space="preserve"> </w:t>
      </w:r>
      <w:r>
        <w:rPr>
          <w:rFonts w:hint="eastAsia"/>
          <w:sz w:val="21"/>
          <w:szCs w:val="21"/>
        </w:rPr>
        <w:t>外部作业应保障作业安全，避免发生险情。当出现险情时，应优先确保有轨电车设施的安全。</w:t>
      </w:r>
    </w:p>
    <w:p w14:paraId="24B5B04C">
      <w:pPr>
        <w:pStyle w:val="3"/>
        <w:widowControl/>
        <w:spacing w:before="0" w:after="0" w:line="360" w:lineRule="auto"/>
        <w:jc w:val="center"/>
        <w:outlineLvl w:val="1"/>
        <w:rPr>
          <w:rStyle w:val="30"/>
          <w:rFonts w:ascii="Times New Roman" w:hAnsi="Times New Roman"/>
          <w:bCs w:val="0"/>
          <w:caps w:val="0"/>
          <w:kern w:val="0"/>
          <w:sz w:val="21"/>
          <w:szCs w:val="21"/>
        </w:rPr>
      </w:pPr>
      <w:bookmarkStart w:id="27" w:name="_Toc103169251"/>
      <w:r>
        <w:rPr>
          <w:rStyle w:val="30"/>
          <w:rFonts w:ascii="Times New Roman" w:hAnsi="Times New Roman"/>
          <w:bCs w:val="0"/>
          <w:caps w:val="0"/>
          <w:kern w:val="0"/>
          <w:sz w:val="21"/>
          <w:szCs w:val="21"/>
        </w:rPr>
        <w:t xml:space="preserve">3.2  </w:t>
      </w:r>
      <w:r>
        <w:rPr>
          <w:rStyle w:val="30"/>
          <w:rFonts w:hint="eastAsia" w:ascii="Times New Roman" w:hAnsi="Times New Roman"/>
          <w:bCs w:val="0"/>
          <w:caps w:val="0"/>
          <w:kern w:val="0"/>
          <w:sz w:val="21"/>
          <w:szCs w:val="21"/>
        </w:rPr>
        <w:t>设备设施保护</w:t>
      </w:r>
      <w:bookmarkEnd w:id="27"/>
    </w:p>
    <w:p w14:paraId="4DBA52AE">
      <w:pPr>
        <w:pStyle w:val="72"/>
        <w:spacing w:before="0" w:beforeAutospacing="0" w:after="0" w:afterAutospacing="0" w:line="360" w:lineRule="auto"/>
        <w:jc w:val="both"/>
        <w:rPr>
          <w:shd w:val="clear" w:color="auto" w:fill="FFFFFF" w:themeFill="background1"/>
        </w:rPr>
      </w:pPr>
      <w:bookmarkStart w:id="28" w:name="_Toc25828245"/>
      <w:bookmarkStart w:id="29" w:name="_Toc25829169"/>
      <w:r>
        <w:rPr>
          <w:rFonts w:ascii="Times New Roman" w:hAnsi="Times New Roman" w:cs="Times New Roman"/>
          <w:sz w:val="21"/>
          <w:szCs w:val="21"/>
        </w:rPr>
        <w:t>3.2.</w:t>
      </w:r>
      <w:r>
        <w:rPr>
          <w:rFonts w:hint="eastAsia" w:ascii="Times New Roman" w:hAnsi="Times New Roman" w:cs="Times New Roman"/>
          <w:sz w:val="21"/>
          <w:szCs w:val="21"/>
        </w:rPr>
        <w:t xml:space="preserve">1  </w:t>
      </w:r>
      <w:r>
        <w:rPr>
          <w:rFonts w:hint="eastAsia"/>
          <w:sz w:val="21"/>
          <w:szCs w:val="21"/>
        </w:rPr>
        <w:t>有轨电车专有路权路段，路缘石高度不应低于40cm，轨道两侧应设置隔离设施和禁止其他交通方式进入的标志。行驶车辆与有轨电车专用车道相邻时，应与有轨电车防护</w:t>
      </w:r>
      <w:r>
        <w:rPr>
          <w:rFonts w:hint="eastAsia"/>
          <w:sz w:val="21"/>
          <w:szCs w:val="21"/>
          <w:shd w:val="clear" w:color="auto" w:fill="FFFFFF" w:themeFill="background1"/>
        </w:rPr>
        <w:t>栅栏保持</w:t>
      </w:r>
      <w:r>
        <w:rPr>
          <w:rFonts w:ascii="Times New Roman" w:hAnsi="Times New Roman" w:eastAsia="Times New Roman"/>
          <w:sz w:val="21"/>
          <w:szCs w:val="21"/>
          <w:shd w:val="clear" w:color="auto" w:fill="FFFFFF" w:themeFill="background1"/>
        </w:rPr>
        <w:t>0.5m</w:t>
      </w:r>
      <w:r>
        <w:rPr>
          <w:rFonts w:hint="eastAsia" w:ascii="Times New Roman" w:hAnsi="Times New Roman" w:eastAsia="Times New Roman"/>
          <w:sz w:val="21"/>
          <w:szCs w:val="21"/>
          <w:shd w:val="clear" w:color="auto" w:fill="FFFFFF" w:themeFill="background1"/>
        </w:rPr>
        <w:t>以上</w:t>
      </w:r>
      <w:r>
        <w:rPr>
          <w:rFonts w:hint="eastAsia"/>
          <w:sz w:val="21"/>
          <w:szCs w:val="21"/>
          <w:shd w:val="clear" w:color="auto" w:fill="FFFFFF" w:themeFill="background1"/>
        </w:rPr>
        <w:t>的安全距离。</w:t>
      </w:r>
    </w:p>
    <w:p w14:paraId="0002AC90">
      <w:pPr>
        <w:pStyle w:val="72"/>
        <w:spacing w:before="0" w:beforeAutospacing="0" w:after="0" w:afterAutospacing="0" w:line="360" w:lineRule="auto"/>
        <w:jc w:val="both"/>
        <w:rPr>
          <w:sz w:val="21"/>
          <w:szCs w:val="21"/>
        </w:rPr>
      </w:pPr>
      <w:r>
        <w:rPr>
          <w:rFonts w:ascii="Times New Roman" w:hAnsi="Times New Roman" w:cs="Times New Roman"/>
          <w:sz w:val="21"/>
          <w:szCs w:val="21"/>
        </w:rPr>
        <w:t>3.2.</w:t>
      </w:r>
      <w:r>
        <w:rPr>
          <w:rFonts w:hint="eastAsia" w:ascii="Times New Roman" w:hAnsi="Times New Roman" w:cs="Times New Roman"/>
          <w:sz w:val="21"/>
          <w:szCs w:val="21"/>
        </w:rPr>
        <w:t>2</w:t>
      </w:r>
      <w:r>
        <w:rPr>
          <w:rFonts w:hint="eastAsia"/>
          <w:sz w:val="21"/>
          <w:szCs w:val="21"/>
        </w:rPr>
        <w:t xml:space="preserve">  在有轨电车轨行区上方或侧方实施外部作业时，不应侵入限界范围</w:t>
      </w:r>
      <w:r>
        <w:rPr>
          <w:sz w:val="21"/>
          <w:szCs w:val="21"/>
        </w:rPr>
        <w:t>2m</w:t>
      </w:r>
      <w:r>
        <w:rPr>
          <w:rFonts w:hint="eastAsia"/>
          <w:sz w:val="21"/>
          <w:szCs w:val="21"/>
        </w:rPr>
        <w:t>内的区域，且应安装防止物品坠落的安全防护设施。</w:t>
      </w:r>
    </w:p>
    <w:bookmarkEnd w:id="28"/>
    <w:bookmarkEnd w:id="29"/>
    <w:p w14:paraId="5E4BF663">
      <w:pPr>
        <w:pStyle w:val="72"/>
        <w:spacing w:before="0" w:beforeAutospacing="0" w:after="0" w:afterAutospacing="0" w:line="360" w:lineRule="auto"/>
        <w:jc w:val="both"/>
      </w:pPr>
      <w:bookmarkStart w:id="30" w:name="_Toc25828246"/>
      <w:bookmarkStart w:id="31" w:name="_Toc25829170"/>
      <w:r>
        <w:rPr>
          <w:rFonts w:ascii="Times New Roman" w:hAnsi="Times New Roman" w:cs="Times New Roman"/>
          <w:sz w:val="21"/>
          <w:szCs w:val="21"/>
        </w:rPr>
        <w:t>3.2.</w:t>
      </w:r>
      <w:r>
        <w:rPr>
          <w:rFonts w:hint="eastAsia" w:ascii="Times New Roman" w:hAnsi="Times New Roman" w:cs="Times New Roman"/>
          <w:sz w:val="21"/>
          <w:szCs w:val="21"/>
        </w:rPr>
        <w:t>3</w:t>
      </w:r>
      <w:r>
        <w:rPr>
          <w:rFonts w:hint="eastAsia"/>
          <w:sz w:val="21"/>
          <w:szCs w:val="21"/>
        </w:rPr>
        <w:t xml:space="preserve">  外部作业严禁在有轨电车线路附近安装下列设备设施：</w:t>
      </w:r>
    </w:p>
    <w:p w14:paraId="2338284E">
      <w:pPr>
        <w:pStyle w:val="72"/>
        <w:spacing w:before="0" w:beforeAutospacing="0" w:after="0" w:afterAutospacing="0" w:line="360" w:lineRule="auto"/>
        <w:ind w:firstLine="420" w:firstLineChars="200"/>
        <w:jc w:val="both"/>
      </w:pPr>
      <w:r>
        <w:rPr>
          <w:rFonts w:ascii="Times New Roman" w:hAnsi="Times New Roman" w:cs="Times New Roman"/>
          <w:sz w:val="21"/>
          <w:szCs w:val="21"/>
        </w:rPr>
        <w:t>1</w:t>
      </w:r>
      <w:r>
        <w:rPr>
          <w:rFonts w:hint="eastAsia"/>
          <w:sz w:val="21"/>
          <w:szCs w:val="21"/>
        </w:rPr>
        <w:t xml:space="preserve">  影响有轨电车驾施人员瞭望视线的光源设备；</w:t>
      </w:r>
    </w:p>
    <w:p w14:paraId="3C6EF34E">
      <w:pPr>
        <w:pStyle w:val="72"/>
        <w:spacing w:before="0" w:beforeAutospacing="0" w:after="0" w:afterAutospacing="0" w:line="360" w:lineRule="auto"/>
        <w:ind w:firstLine="420" w:firstLineChars="200"/>
        <w:jc w:val="both"/>
      </w:pPr>
      <w:r>
        <w:rPr>
          <w:rFonts w:ascii="Times New Roman" w:hAnsi="Times New Roman" w:cs="Times New Roman"/>
          <w:sz w:val="21"/>
          <w:szCs w:val="21"/>
        </w:rPr>
        <w:t xml:space="preserve">2 </w:t>
      </w:r>
      <w:r>
        <w:rPr>
          <w:rFonts w:hint="eastAsia" w:ascii="Times New Roman" w:hAnsi="Times New Roman" w:cs="Times New Roman"/>
          <w:sz w:val="21"/>
          <w:szCs w:val="21"/>
        </w:rPr>
        <w:t xml:space="preserve"> </w:t>
      </w:r>
      <w:r>
        <w:rPr>
          <w:rFonts w:hint="eastAsia"/>
          <w:sz w:val="21"/>
          <w:szCs w:val="21"/>
        </w:rPr>
        <w:t>超出噪音污染规定的声源设施；</w:t>
      </w:r>
    </w:p>
    <w:p w14:paraId="0778CF4E">
      <w:pPr>
        <w:pStyle w:val="72"/>
        <w:spacing w:before="0" w:beforeAutospacing="0" w:after="0" w:afterAutospacing="0" w:line="360" w:lineRule="auto"/>
        <w:ind w:firstLine="420" w:firstLineChars="200"/>
        <w:jc w:val="both"/>
      </w:pPr>
      <w:r>
        <w:rPr>
          <w:rFonts w:ascii="Times New Roman" w:hAnsi="Times New Roman" w:cs="Times New Roman"/>
          <w:sz w:val="21"/>
          <w:szCs w:val="21"/>
        </w:rPr>
        <w:t xml:space="preserve">3 </w:t>
      </w:r>
      <w:r>
        <w:rPr>
          <w:rFonts w:hint="eastAsia" w:ascii="Times New Roman" w:hAnsi="Times New Roman" w:cs="Times New Roman"/>
          <w:sz w:val="21"/>
          <w:szCs w:val="21"/>
        </w:rPr>
        <w:t xml:space="preserve"> </w:t>
      </w:r>
      <w:r>
        <w:rPr>
          <w:rFonts w:hint="eastAsia"/>
          <w:sz w:val="21"/>
          <w:szCs w:val="21"/>
        </w:rPr>
        <w:t>影响有轨电车安全的热源设备。</w:t>
      </w:r>
    </w:p>
    <w:p w14:paraId="40B5A041">
      <w:pPr>
        <w:pStyle w:val="3"/>
        <w:widowControl/>
        <w:spacing w:before="0" w:after="0" w:line="360" w:lineRule="auto"/>
        <w:jc w:val="center"/>
        <w:outlineLvl w:val="1"/>
        <w:rPr>
          <w:rStyle w:val="30"/>
          <w:rFonts w:ascii="Times New Roman" w:hAnsi="Times New Roman"/>
          <w:bCs w:val="0"/>
          <w:caps w:val="0"/>
          <w:kern w:val="0"/>
          <w:sz w:val="21"/>
          <w:szCs w:val="21"/>
        </w:rPr>
      </w:pPr>
      <w:bookmarkStart w:id="32" w:name="_Toc103169252"/>
      <w:r>
        <w:rPr>
          <w:rStyle w:val="30"/>
          <w:rFonts w:hint="eastAsia" w:ascii="Times New Roman" w:hAnsi="Times New Roman"/>
          <w:bCs w:val="0"/>
          <w:caps w:val="0"/>
          <w:kern w:val="0"/>
          <w:sz w:val="21"/>
          <w:szCs w:val="21"/>
        </w:rPr>
        <w:t>3.3  土建设施</w:t>
      </w:r>
      <w:bookmarkEnd w:id="30"/>
      <w:bookmarkEnd w:id="31"/>
      <w:bookmarkEnd w:id="32"/>
    </w:p>
    <w:p w14:paraId="12D1AAF1">
      <w:pPr>
        <w:widowControl/>
        <w:tabs>
          <w:tab w:val="clear" w:pos="720"/>
        </w:tabs>
        <w:rPr>
          <w:rFonts w:ascii="宋体" w:hAnsi="宋体" w:cs="宋体"/>
          <w:kern w:val="0"/>
        </w:rPr>
      </w:pPr>
      <w:bookmarkStart w:id="33" w:name="_Toc25828247"/>
      <w:bookmarkStart w:id="34" w:name="_Toc25829171"/>
      <w:r>
        <w:rPr>
          <w:kern w:val="0"/>
        </w:rPr>
        <w:t>3.3.1</w:t>
      </w:r>
      <w:r>
        <w:rPr>
          <w:rFonts w:hint="eastAsia" w:ascii="宋体" w:hAnsi="宋体" w:cs="宋体"/>
          <w:kern w:val="0"/>
        </w:rPr>
        <w:t xml:space="preserve">  当地面段有轨电车既有土建设施处于复杂的工程地质条件或存在地质灾害的情况时，其外部作业影响等级应结合类似工程经验综合确定，且不宜低于一级。</w:t>
      </w:r>
    </w:p>
    <w:p w14:paraId="1097A46A">
      <w:pPr>
        <w:rPr>
          <w:rFonts w:ascii="宋体" w:hAnsi="宋体" w:cs="宋体"/>
          <w:kern w:val="0"/>
        </w:rPr>
      </w:pPr>
      <w:r>
        <w:rPr>
          <w:kern w:val="0"/>
        </w:rPr>
        <w:t xml:space="preserve">3.3.2 </w:t>
      </w:r>
      <w:r>
        <w:rPr>
          <w:rFonts w:hint="eastAsia"/>
          <w:kern w:val="0"/>
        </w:rPr>
        <w:t xml:space="preserve"> 上跨或下穿有轨电车</w:t>
      </w:r>
      <w:r>
        <w:rPr>
          <w:rFonts w:hint="eastAsia"/>
        </w:rPr>
        <w:t>地面结构和高架结构的外部作业，与轨道的净空应满足有轨电车行车安全和维护的要求，并应对有轨电车设施设置安全防护措施</w:t>
      </w:r>
      <w:r>
        <w:rPr>
          <w:rFonts w:hint="eastAsia" w:ascii="宋体" w:hAnsi="宋体" w:cs="宋体"/>
          <w:kern w:val="0"/>
        </w:rPr>
        <w:t>。</w:t>
      </w:r>
      <w:bookmarkEnd w:id="33"/>
      <w:bookmarkEnd w:id="34"/>
    </w:p>
    <w:p w14:paraId="248B2737">
      <w:r>
        <w:rPr>
          <w:rFonts w:hint="eastAsia"/>
        </w:rPr>
        <w:t>3.3.3  外部作业的设施、设备、车辆等应与有轨电车设施保持一定的安全距离，有轨电车地下结构上方及路基段旁不得作为材料堆场，不宜设置基坑出土口或作为运输车道。</w:t>
      </w:r>
    </w:p>
    <w:p w14:paraId="096C1F02">
      <w:r>
        <w:rPr>
          <w:rFonts w:hint="eastAsia"/>
        </w:rPr>
        <w:t>3.3.4  外部作业应考虑地层的后续沉降对有轨电车土建设施的附加影响，宜采用桩基础。</w:t>
      </w:r>
    </w:p>
    <w:p w14:paraId="13EE41C8">
      <w:r>
        <w:rPr>
          <w:rFonts w:hint="eastAsia"/>
        </w:rPr>
        <w:t>3.3.5  外部作业应保证有轨电车土建设施邻近的高边坡、高挡墙及其基础的安全，防止对有轨电车设施及其正常运行产生不利影响。</w:t>
      </w:r>
    </w:p>
    <w:p w14:paraId="365E5605">
      <w:r>
        <w:rPr>
          <w:rFonts w:hint="eastAsia"/>
        </w:rPr>
        <w:t>3.3.6  有轨电车控制保护区范围内，不应进行硐室爆破、深孔爆破等装药量较大的爆破作业。</w:t>
      </w:r>
    </w:p>
    <w:p w14:paraId="5C16D8C7">
      <w:r>
        <w:rPr>
          <w:rFonts w:hint="eastAsia"/>
        </w:rPr>
        <w:t>3.3.7  外部作业下穿或上穿有轨电车既有结构，应采用安全可靠的作业实施方案，细化施工控制参数，制定安全保护控制措施。</w:t>
      </w:r>
    </w:p>
    <w:p w14:paraId="738737C3"/>
    <w:p w14:paraId="5C08781C">
      <w:pPr>
        <w:pStyle w:val="3"/>
        <w:widowControl/>
        <w:numPr>
          <w:ilvl w:val="0"/>
          <w:numId w:val="1"/>
        </w:numPr>
        <w:tabs>
          <w:tab w:val="left" w:pos="425"/>
          <w:tab w:val="clear" w:pos="2694"/>
        </w:tabs>
        <w:spacing w:before="0" w:after="0" w:line="360" w:lineRule="auto"/>
        <w:ind w:left="0" w:firstLine="0"/>
        <w:jc w:val="center"/>
        <w:outlineLvl w:val="0"/>
        <w:rPr>
          <w:rFonts w:ascii="Times New Roman" w:hAnsi="Times New Roman"/>
          <w:bCs w:val="0"/>
          <w:caps w:val="0"/>
          <w:kern w:val="0"/>
          <w:szCs w:val="24"/>
        </w:rPr>
        <w:sectPr>
          <w:pgSz w:w="11906" w:h="16838"/>
          <w:pgMar w:top="1440" w:right="1800" w:bottom="1440" w:left="2268" w:header="851" w:footer="992" w:gutter="0"/>
          <w:cols w:space="425" w:num="1"/>
          <w:docGrid w:type="lines" w:linePitch="312" w:charSpace="0"/>
        </w:sectPr>
      </w:pPr>
      <w:bookmarkStart w:id="35" w:name="_Toc469911169"/>
      <w:bookmarkStart w:id="36" w:name="_Toc25828248"/>
      <w:bookmarkStart w:id="37" w:name="_Toc25829172"/>
      <w:bookmarkStart w:id="38" w:name="_Toc25829175"/>
      <w:bookmarkStart w:id="39" w:name="_Toc25828251"/>
    </w:p>
    <w:p w14:paraId="4C0B64EC">
      <w:pPr>
        <w:pStyle w:val="3"/>
        <w:widowControl/>
        <w:numPr>
          <w:ilvl w:val="0"/>
          <w:numId w:val="1"/>
        </w:numPr>
        <w:tabs>
          <w:tab w:val="left" w:pos="425"/>
          <w:tab w:val="clear" w:pos="2694"/>
        </w:tabs>
        <w:spacing w:before="0" w:after="0" w:line="360" w:lineRule="auto"/>
        <w:ind w:left="0" w:firstLine="0"/>
        <w:jc w:val="center"/>
        <w:outlineLvl w:val="0"/>
        <w:rPr>
          <w:rFonts w:ascii="Times New Roman" w:hAnsi="Times New Roman"/>
          <w:bCs w:val="0"/>
          <w:caps w:val="0"/>
          <w:kern w:val="0"/>
          <w:szCs w:val="24"/>
        </w:rPr>
      </w:pPr>
      <w:bookmarkStart w:id="40" w:name="_Toc103169253"/>
      <w:r>
        <w:rPr>
          <w:rFonts w:hint="eastAsia" w:ascii="Times New Roman" w:hAnsi="Times New Roman"/>
          <w:bCs w:val="0"/>
          <w:caps w:val="0"/>
          <w:kern w:val="0"/>
          <w:szCs w:val="24"/>
        </w:rPr>
        <w:t>安全评估</w:t>
      </w:r>
      <w:bookmarkEnd w:id="35"/>
      <w:bookmarkEnd w:id="36"/>
      <w:bookmarkEnd w:id="37"/>
      <w:bookmarkEnd w:id="40"/>
    </w:p>
    <w:p w14:paraId="6C2B9563">
      <w:pPr>
        <w:pStyle w:val="3"/>
        <w:widowControl/>
        <w:spacing w:before="0" w:after="0" w:line="360" w:lineRule="auto"/>
        <w:jc w:val="center"/>
        <w:outlineLvl w:val="1"/>
        <w:rPr>
          <w:rStyle w:val="30"/>
          <w:rFonts w:ascii="Times New Roman" w:hAnsi="Times New Roman"/>
          <w:bCs w:val="0"/>
          <w:caps w:val="0"/>
          <w:kern w:val="0"/>
          <w:sz w:val="21"/>
          <w:szCs w:val="21"/>
        </w:rPr>
      </w:pPr>
      <w:bookmarkStart w:id="41" w:name="_Toc103169254"/>
      <w:r>
        <w:rPr>
          <w:rStyle w:val="30"/>
          <w:rFonts w:ascii="Times New Roman" w:hAnsi="Times New Roman"/>
          <w:bCs w:val="0"/>
          <w:caps w:val="0"/>
          <w:kern w:val="0"/>
          <w:sz w:val="21"/>
          <w:szCs w:val="21"/>
        </w:rPr>
        <w:t xml:space="preserve">4.1 </w:t>
      </w:r>
      <w:r>
        <w:rPr>
          <w:rStyle w:val="30"/>
          <w:rFonts w:hint="eastAsia" w:ascii="Times New Roman" w:hAnsi="Times New Roman"/>
          <w:bCs w:val="0"/>
          <w:caps w:val="0"/>
          <w:kern w:val="0"/>
          <w:sz w:val="21"/>
          <w:szCs w:val="21"/>
        </w:rPr>
        <w:t>一般规定</w:t>
      </w:r>
      <w:bookmarkEnd w:id="41"/>
    </w:p>
    <w:p w14:paraId="5F0EE722">
      <w:pPr>
        <w:pStyle w:val="72"/>
        <w:spacing w:before="0" w:beforeAutospacing="0" w:after="0" w:afterAutospacing="0" w:line="360" w:lineRule="auto"/>
        <w:jc w:val="both"/>
      </w:pPr>
      <w:r>
        <w:rPr>
          <w:rFonts w:ascii="Times New Roman" w:hAnsi="Times New Roman" w:cs="Times New Roman"/>
          <w:sz w:val="21"/>
          <w:szCs w:val="21"/>
        </w:rPr>
        <w:t>4.1.1</w:t>
      </w:r>
      <w:r>
        <w:rPr>
          <w:rFonts w:hint="eastAsia"/>
          <w:sz w:val="21"/>
          <w:szCs w:val="21"/>
        </w:rPr>
        <w:t xml:space="preserve"> 外部作业影响等级为特级或一级时，应开展有轨电车设施安全评估工作。</w:t>
      </w:r>
    </w:p>
    <w:p w14:paraId="59C5DA0B">
      <w:pPr>
        <w:pStyle w:val="72"/>
        <w:spacing w:before="0" w:beforeAutospacing="0" w:after="0" w:afterAutospacing="0" w:line="360" w:lineRule="auto"/>
        <w:jc w:val="both"/>
      </w:pPr>
      <w:r>
        <w:rPr>
          <w:rFonts w:ascii="Times New Roman" w:hAnsi="Times New Roman" w:cs="Times New Roman"/>
          <w:sz w:val="21"/>
          <w:szCs w:val="21"/>
        </w:rPr>
        <w:t xml:space="preserve">4.1.2 </w:t>
      </w:r>
      <w:r>
        <w:rPr>
          <w:rFonts w:hint="eastAsia"/>
          <w:sz w:val="21"/>
          <w:szCs w:val="21"/>
        </w:rPr>
        <w:t>有轨电车设施安全评估包括有轨电车设施的现状评估和外部作业影响预评估、外部作业施工过程评估以及外部作业影响后评估三个阶段。</w:t>
      </w:r>
    </w:p>
    <w:p w14:paraId="164AB7E8">
      <w:pPr>
        <w:pStyle w:val="72"/>
        <w:spacing w:before="0" w:beforeAutospacing="0" w:after="0" w:afterAutospacing="0" w:line="360" w:lineRule="auto"/>
        <w:jc w:val="both"/>
      </w:pPr>
      <w:r>
        <w:rPr>
          <w:rFonts w:ascii="Times New Roman" w:hAnsi="Times New Roman" w:cs="Times New Roman"/>
          <w:sz w:val="21"/>
          <w:szCs w:val="21"/>
        </w:rPr>
        <w:t xml:space="preserve">4.1.3 </w:t>
      </w:r>
      <w:r>
        <w:rPr>
          <w:rFonts w:hint="eastAsia"/>
          <w:sz w:val="21"/>
          <w:szCs w:val="21"/>
        </w:rPr>
        <w:t>有轨电车设施安全评估宜采用定性与定量分析相结合的方式进行。对于土建设施，应采取理论计算分析与案例结合、模型试验、数值模拟等定量分析的方式；对于其他设施，可采用定性或定量分析的方式。</w:t>
      </w:r>
    </w:p>
    <w:p w14:paraId="4B7E05F0">
      <w:pPr>
        <w:pStyle w:val="72"/>
        <w:spacing w:before="0" w:beforeAutospacing="0" w:after="0" w:afterAutospacing="0" w:line="360" w:lineRule="auto"/>
        <w:jc w:val="both"/>
      </w:pPr>
      <w:r>
        <w:rPr>
          <w:rFonts w:ascii="Times New Roman" w:hAnsi="Times New Roman" w:cs="Times New Roman"/>
          <w:sz w:val="21"/>
          <w:szCs w:val="21"/>
        </w:rPr>
        <w:t xml:space="preserve">4.1.4 </w:t>
      </w:r>
      <w:r>
        <w:rPr>
          <w:rFonts w:hint="eastAsia"/>
          <w:sz w:val="21"/>
          <w:szCs w:val="21"/>
        </w:rPr>
        <w:t>有轨电车设施的现状评估应在外部作业实施前，通过现状调查、测量和计算等分析手段，评估当前有轨电车设施的安全状况并提出安全控制指标值。</w:t>
      </w:r>
    </w:p>
    <w:p w14:paraId="3CB6AD0B">
      <w:pPr>
        <w:pStyle w:val="72"/>
        <w:spacing w:before="0" w:beforeAutospacing="0" w:after="0" w:afterAutospacing="0" w:line="360" w:lineRule="auto"/>
        <w:jc w:val="both"/>
      </w:pPr>
      <w:r>
        <w:rPr>
          <w:rFonts w:ascii="Times New Roman" w:hAnsi="Times New Roman" w:cs="Times New Roman"/>
          <w:sz w:val="21"/>
          <w:szCs w:val="21"/>
        </w:rPr>
        <w:t>4.1.5</w:t>
      </w:r>
      <w:r>
        <w:rPr>
          <w:rFonts w:hint="eastAsia"/>
          <w:sz w:val="21"/>
          <w:szCs w:val="21"/>
        </w:rPr>
        <w:t xml:space="preserve"> 外部作业影响预评估应在外部作业实施前，预测外部作业对有轨电车土建设施的不利影响，并应结合现状评估确定的安全控制指标值，评估外部作业方案的可行性，提出外部作业方案的改进建议。</w:t>
      </w:r>
    </w:p>
    <w:p w14:paraId="47194534">
      <w:pPr>
        <w:pStyle w:val="72"/>
        <w:spacing w:before="0" w:beforeAutospacing="0" w:after="0" w:afterAutospacing="0" w:line="360" w:lineRule="auto"/>
        <w:jc w:val="both"/>
      </w:pPr>
      <w:r>
        <w:rPr>
          <w:rFonts w:ascii="Times New Roman" w:hAnsi="Times New Roman" w:cs="Times New Roman"/>
          <w:sz w:val="21"/>
          <w:szCs w:val="21"/>
        </w:rPr>
        <w:t xml:space="preserve">4.1.6 </w:t>
      </w:r>
      <w:r>
        <w:rPr>
          <w:rFonts w:hint="eastAsia"/>
          <w:sz w:val="21"/>
          <w:szCs w:val="21"/>
        </w:rPr>
        <w:t>当出现下列情况时，应开展有轨电车设施的外部作业施工过程评估：</w:t>
      </w:r>
    </w:p>
    <w:p w14:paraId="2F80BD4C">
      <w:pPr>
        <w:pStyle w:val="72"/>
        <w:spacing w:before="0" w:beforeAutospacing="0" w:after="0" w:afterAutospacing="0" w:line="360" w:lineRule="auto"/>
        <w:ind w:firstLine="420" w:firstLineChars="200"/>
        <w:jc w:val="both"/>
      </w:pPr>
      <w:r>
        <w:rPr>
          <w:rFonts w:ascii="Times New Roman" w:hAnsi="Times New Roman" w:cs="Times New Roman"/>
          <w:sz w:val="21"/>
          <w:szCs w:val="21"/>
        </w:rPr>
        <w:t xml:space="preserve">1 </w:t>
      </w:r>
      <w:r>
        <w:rPr>
          <w:rFonts w:hint="eastAsia"/>
          <w:sz w:val="21"/>
          <w:szCs w:val="21"/>
        </w:rPr>
        <w:t>有轨电车设施的监测预警等级达到</w:t>
      </w:r>
      <w:r>
        <w:rPr>
          <w:rFonts w:hint="eastAsia"/>
          <w:sz w:val="21"/>
        </w:rPr>
        <w:t>广东省标准《城市轨道交通既有结构保护技术规范》（</w:t>
      </w:r>
      <w:r>
        <w:rPr>
          <w:sz w:val="21"/>
        </w:rPr>
        <w:t>DBJ/T 15-120</w:t>
      </w:r>
      <w:r>
        <w:rPr>
          <w:rFonts w:hint="eastAsia"/>
          <w:sz w:val="21"/>
        </w:rPr>
        <w:t>）</w:t>
      </w:r>
      <w:r>
        <w:rPr>
          <w:sz w:val="21"/>
        </w:rPr>
        <w:t>C</w:t>
      </w:r>
      <w:r>
        <w:rPr>
          <w:rFonts w:hint="eastAsia"/>
          <w:sz w:val="21"/>
        </w:rPr>
        <w:t>级；</w:t>
      </w:r>
    </w:p>
    <w:p w14:paraId="675B12A7">
      <w:pPr>
        <w:pStyle w:val="72"/>
        <w:spacing w:before="0" w:beforeAutospacing="0" w:after="0" w:afterAutospacing="0" w:line="360" w:lineRule="auto"/>
        <w:ind w:firstLine="420" w:firstLineChars="200"/>
        <w:jc w:val="both"/>
      </w:pPr>
      <w:r>
        <w:rPr>
          <w:rFonts w:ascii="Times New Roman" w:hAnsi="Times New Roman" w:cs="Times New Roman"/>
          <w:sz w:val="21"/>
          <w:szCs w:val="21"/>
        </w:rPr>
        <w:t xml:space="preserve">2 </w:t>
      </w:r>
      <w:r>
        <w:rPr>
          <w:rFonts w:hint="eastAsia"/>
          <w:sz w:val="21"/>
          <w:szCs w:val="21"/>
        </w:rPr>
        <w:t>外部作业方案有较大变动，且对有轨电车设施安全保护不利。</w:t>
      </w:r>
    </w:p>
    <w:p w14:paraId="2BE784E2">
      <w:pPr>
        <w:pStyle w:val="72"/>
        <w:spacing w:before="0" w:beforeAutospacing="0" w:after="0" w:afterAutospacing="0" w:line="360" w:lineRule="auto"/>
        <w:jc w:val="both"/>
      </w:pPr>
      <w:r>
        <w:rPr>
          <w:rFonts w:ascii="Times New Roman" w:hAnsi="Times New Roman" w:cs="Times New Roman"/>
          <w:sz w:val="21"/>
          <w:szCs w:val="21"/>
        </w:rPr>
        <w:t xml:space="preserve">4.1.7 </w:t>
      </w:r>
      <w:r>
        <w:rPr>
          <w:rFonts w:hint="eastAsia"/>
          <w:sz w:val="21"/>
          <w:szCs w:val="21"/>
        </w:rPr>
        <w:t>外部作业施工过程评估需结合有轨电车设施的监测数据、病害情况、外部作业实施状况以及预评估结果，确定有轨电车设施当前的安全状况和安全控制指标值，评估后续外部作业方案的可行性。</w:t>
      </w:r>
    </w:p>
    <w:p w14:paraId="6BE1A160">
      <w:pPr>
        <w:pStyle w:val="72"/>
        <w:spacing w:before="0" w:beforeAutospacing="0" w:after="0" w:afterAutospacing="0" w:line="360" w:lineRule="auto"/>
        <w:jc w:val="both"/>
      </w:pPr>
      <w:r>
        <w:rPr>
          <w:rFonts w:ascii="Times New Roman" w:hAnsi="Times New Roman" w:cs="Times New Roman"/>
          <w:sz w:val="21"/>
          <w:szCs w:val="21"/>
        </w:rPr>
        <w:t>4.1.8</w:t>
      </w:r>
      <w:r>
        <w:rPr>
          <w:rFonts w:hint="eastAsia"/>
          <w:sz w:val="21"/>
          <w:szCs w:val="21"/>
        </w:rPr>
        <w:t xml:space="preserve"> 外部作业影响后评估应在外部作业完成且对有轨电车设施的影响停止后，根据对有轨电车设施造成的影响程度，评估有轨电车设施的安全状况，并提出其维修和养护建议。</w:t>
      </w:r>
    </w:p>
    <w:p w14:paraId="49F8C075">
      <w:pPr>
        <w:pStyle w:val="72"/>
        <w:spacing w:before="0" w:beforeAutospacing="0" w:after="0" w:afterAutospacing="0" w:line="360" w:lineRule="auto"/>
        <w:jc w:val="both"/>
      </w:pPr>
      <w:r>
        <w:rPr>
          <w:rFonts w:ascii="Times New Roman" w:hAnsi="Times New Roman" w:cs="Times New Roman"/>
          <w:sz w:val="21"/>
          <w:szCs w:val="21"/>
        </w:rPr>
        <w:t xml:space="preserve">4.1.9 </w:t>
      </w:r>
      <w:r>
        <w:rPr>
          <w:rFonts w:hint="eastAsia"/>
          <w:sz w:val="21"/>
          <w:szCs w:val="21"/>
        </w:rPr>
        <w:t>有轨电车设施的安全评估报告至少应包含以下内容：</w:t>
      </w:r>
    </w:p>
    <w:p w14:paraId="66FC2796">
      <w:pPr>
        <w:pStyle w:val="72"/>
        <w:spacing w:before="0" w:beforeAutospacing="0" w:after="0" w:afterAutospacing="0" w:line="360" w:lineRule="auto"/>
        <w:ind w:firstLine="420" w:firstLineChars="200"/>
        <w:jc w:val="both"/>
        <w:rPr>
          <w:sz w:val="21"/>
          <w:szCs w:val="21"/>
        </w:rPr>
      </w:pPr>
      <w:r>
        <w:rPr>
          <w:rFonts w:ascii="Times New Roman" w:hAnsi="Times New Roman" w:cs="Times New Roman"/>
          <w:sz w:val="21"/>
          <w:szCs w:val="21"/>
        </w:rPr>
        <w:t>1</w:t>
      </w:r>
      <w:r>
        <w:rPr>
          <w:rFonts w:hint="eastAsia"/>
          <w:sz w:val="21"/>
          <w:szCs w:val="21"/>
        </w:rPr>
        <w:t xml:space="preserve"> 外部作业和有轨电车设施的工程概况；</w:t>
      </w:r>
    </w:p>
    <w:p w14:paraId="560F7050">
      <w:pPr>
        <w:pStyle w:val="72"/>
        <w:spacing w:before="0" w:beforeAutospacing="0" w:after="0" w:afterAutospacing="0" w:line="360" w:lineRule="auto"/>
        <w:ind w:firstLine="420" w:firstLineChars="200"/>
        <w:jc w:val="both"/>
      </w:pPr>
      <w:r>
        <w:rPr>
          <w:rFonts w:ascii="Times New Roman" w:hAnsi="Times New Roman" w:cs="Times New Roman"/>
          <w:sz w:val="21"/>
          <w:szCs w:val="21"/>
        </w:rPr>
        <w:t>2</w:t>
      </w:r>
      <w:r>
        <w:rPr>
          <w:rFonts w:hint="eastAsia"/>
          <w:sz w:val="21"/>
          <w:szCs w:val="21"/>
        </w:rPr>
        <w:t xml:space="preserve"> 安全评估方法、过程及结果；</w:t>
      </w:r>
    </w:p>
    <w:p w14:paraId="29549597">
      <w:pPr>
        <w:pStyle w:val="72"/>
        <w:spacing w:before="0" w:beforeAutospacing="0" w:after="0" w:afterAutospacing="0" w:line="360" w:lineRule="auto"/>
        <w:ind w:firstLine="420" w:firstLineChars="200"/>
        <w:jc w:val="both"/>
      </w:pPr>
      <w:r>
        <w:rPr>
          <w:rFonts w:ascii="Times New Roman" w:hAnsi="Times New Roman" w:cs="Times New Roman"/>
          <w:sz w:val="21"/>
          <w:szCs w:val="21"/>
        </w:rPr>
        <w:t>3</w:t>
      </w:r>
      <w:r>
        <w:rPr>
          <w:rFonts w:hint="eastAsia"/>
          <w:sz w:val="21"/>
          <w:szCs w:val="21"/>
        </w:rPr>
        <w:t xml:space="preserve"> 安全评估结论和建议。</w:t>
      </w:r>
    </w:p>
    <w:p w14:paraId="2CFB843E">
      <w:pPr>
        <w:pStyle w:val="3"/>
        <w:widowControl/>
        <w:spacing w:before="0" w:after="0" w:line="360" w:lineRule="auto"/>
        <w:jc w:val="center"/>
        <w:outlineLvl w:val="1"/>
        <w:rPr>
          <w:rStyle w:val="30"/>
          <w:rFonts w:ascii="Times New Roman" w:hAnsi="Times New Roman"/>
          <w:bCs w:val="0"/>
          <w:caps w:val="0"/>
          <w:kern w:val="0"/>
          <w:sz w:val="21"/>
          <w:szCs w:val="21"/>
        </w:rPr>
      </w:pPr>
      <w:bookmarkStart w:id="42" w:name="_Toc103169255"/>
      <w:r>
        <w:rPr>
          <w:rStyle w:val="30"/>
          <w:rFonts w:ascii="Times New Roman" w:hAnsi="Times New Roman"/>
          <w:bCs w:val="0"/>
          <w:caps w:val="0"/>
          <w:kern w:val="0"/>
          <w:sz w:val="21"/>
          <w:szCs w:val="21"/>
        </w:rPr>
        <w:t>4</w:t>
      </w:r>
      <w:r>
        <w:rPr>
          <w:rStyle w:val="30"/>
          <w:rFonts w:hint="eastAsia" w:ascii="Times New Roman" w:hAnsi="Times New Roman"/>
          <w:bCs w:val="0"/>
          <w:caps w:val="0"/>
          <w:kern w:val="0"/>
          <w:sz w:val="21"/>
          <w:szCs w:val="21"/>
        </w:rPr>
        <w:t>.2  技术要求</w:t>
      </w:r>
      <w:bookmarkEnd w:id="42"/>
    </w:p>
    <w:p w14:paraId="480D15D1">
      <w:pPr>
        <w:pStyle w:val="72"/>
        <w:spacing w:before="0" w:beforeAutospacing="0" w:after="0" w:afterAutospacing="0" w:line="360" w:lineRule="auto"/>
      </w:pPr>
      <w:r>
        <w:rPr>
          <w:rFonts w:ascii="Times New Roman" w:hAnsi="Times New Roman" w:cs="Times New Roman"/>
          <w:sz w:val="21"/>
          <w:szCs w:val="21"/>
        </w:rPr>
        <w:t xml:space="preserve">4.2.1 </w:t>
      </w:r>
      <w:r>
        <w:rPr>
          <w:rFonts w:hint="eastAsia"/>
          <w:sz w:val="21"/>
          <w:szCs w:val="21"/>
        </w:rPr>
        <w:t>对于时空相近的多项外部作业，应综合考虑其对有轨电车设施产生的叠加影响。</w:t>
      </w:r>
    </w:p>
    <w:p w14:paraId="390ABDDB">
      <w:pPr>
        <w:pStyle w:val="72"/>
        <w:spacing w:before="0" w:beforeAutospacing="0" w:after="0" w:afterAutospacing="0" w:line="360" w:lineRule="auto"/>
        <w:jc w:val="both"/>
        <w:rPr>
          <w:sz w:val="21"/>
          <w:szCs w:val="21"/>
        </w:rPr>
      </w:pPr>
      <w:r>
        <w:rPr>
          <w:rFonts w:ascii="Times New Roman" w:hAnsi="Times New Roman" w:cs="Times New Roman"/>
          <w:sz w:val="21"/>
          <w:szCs w:val="21"/>
        </w:rPr>
        <w:t xml:space="preserve">4.2.2 </w:t>
      </w:r>
      <w:r>
        <w:rPr>
          <w:rFonts w:hint="eastAsia"/>
          <w:sz w:val="21"/>
          <w:szCs w:val="21"/>
        </w:rPr>
        <w:t>对于有轨电车线路上方的架空作业，应结合有轨电车的车辆轮廓线、动态限界和线路建筑限界进行安全距离的复核。</w:t>
      </w:r>
    </w:p>
    <w:p w14:paraId="6C22469C">
      <w:pPr>
        <w:pStyle w:val="72"/>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sz w:val="21"/>
          <w:szCs w:val="21"/>
        </w:rPr>
        <w:t>4.2.3</w:t>
      </w:r>
      <w:r>
        <w:rPr>
          <w:sz w:val="21"/>
          <w:szCs w:val="21"/>
        </w:rPr>
        <w:t xml:space="preserve"> </w:t>
      </w:r>
      <w:r>
        <w:rPr>
          <w:rFonts w:hint="eastAsia"/>
          <w:sz w:val="21"/>
          <w:szCs w:val="21"/>
        </w:rPr>
        <w:t>在开展有轨电车设施的现状评估和外部作业影响预评估之前，应开展设施的基础资料收集工作和工前调查，对象包括</w:t>
      </w:r>
      <w:r>
        <w:rPr>
          <w:rFonts w:hint="eastAsia" w:ascii="Times New Roman" w:hAnsi="Times New Roman" w:cs="Times New Roman"/>
          <w:sz w:val="21"/>
          <w:szCs w:val="21"/>
        </w:rPr>
        <w:t>涉及行车安全的轨道、道床和供电设备的土建设施，以及隧道、桥梁、路基路面等土建设施。其中，需要收集的基础资料包括岩土工程勘察报告、设施的竣工资料和历史监测数据。</w:t>
      </w:r>
    </w:p>
    <w:p w14:paraId="79FBB685">
      <w:pPr>
        <w:pStyle w:val="72"/>
        <w:spacing w:before="0" w:beforeAutospacing="0" w:after="0" w:afterAutospacing="0" w:line="360" w:lineRule="auto"/>
        <w:jc w:val="both"/>
        <w:rPr>
          <w:sz w:val="21"/>
          <w:szCs w:val="21"/>
        </w:rPr>
      </w:pPr>
      <w:r>
        <w:rPr>
          <w:rFonts w:ascii="Times New Roman" w:hAnsi="Times New Roman" w:cs="Times New Roman"/>
          <w:sz w:val="21"/>
          <w:szCs w:val="21"/>
        </w:rPr>
        <w:t xml:space="preserve">4.2.4 </w:t>
      </w:r>
      <w:r>
        <w:rPr>
          <w:rFonts w:hint="eastAsia" w:ascii="Times New Roman" w:hAnsi="Times New Roman" w:cs="Times New Roman"/>
          <w:sz w:val="21"/>
          <w:szCs w:val="21"/>
        </w:rPr>
        <w:t>有轨电车设施的工前调查宜采用技术先进、信息全面的检测手段，并充分结合影像数据。调查内容包含但不限于以下内容：</w:t>
      </w:r>
    </w:p>
    <w:p w14:paraId="4896033A">
      <w:pPr>
        <w:pStyle w:val="72"/>
        <w:spacing w:before="0" w:beforeAutospacing="0" w:after="0" w:afterAutospacing="0"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 xml:space="preserve">1 </w:t>
      </w:r>
      <w:r>
        <w:rPr>
          <w:rFonts w:hint="eastAsia" w:ascii="Times New Roman" w:hAnsi="Times New Roman" w:cs="Times New Roman"/>
          <w:sz w:val="21"/>
          <w:szCs w:val="21"/>
        </w:rPr>
        <w:t>对评估或影响范围内的隧道结构进行断面测量并绘制断面图，其中盾构隧道宜对每环管片进行测量，明挖及暗挖隧道断面测量间距宜不大于</w:t>
      </w:r>
      <w:r>
        <w:rPr>
          <w:rFonts w:ascii="Times New Roman" w:hAnsi="Times New Roman" w:cs="Times New Roman"/>
          <w:sz w:val="21"/>
          <w:szCs w:val="21"/>
        </w:rPr>
        <w:t>5m</w:t>
      </w:r>
      <w:r>
        <w:rPr>
          <w:rFonts w:hint="eastAsia" w:ascii="Times New Roman" w:hAnsi="Times New Roman" w:cs="Times New Roman"/>
          <w:sz w:val="21"/>
          <w:szCs w:val="21"/>
        </w:rPr>
        <w:t>；</w:t>
      </w:r>
    </w:p>
    <w:p w14:paraId="3E06AC1A">
      <w:pPr>
        <w:pStyle w:val="72"/>
        <w:spacing w:before="0" w:beforeAutospacing="0" w:after="0" w:afterAutospacing="0"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 xml:space="preserve">2 </w:t>
      </w:r>
      <w:r>
        <w:rPr>
          <w:rFonts w:hint="eastAsia" w:ascii="Times New Roman" w:hAnsi="Times New Roman" w:cs="Times New Roman"/>
          <w:sz w:val="21"/>
          <w:szCs w:val="21"/>
        </w:rPr>
        <w:t>对隧道、桥梁及路基路面开展结构损伤、渗漏水、倾斜等调查工作。</w:t>
      </w:r>
    </w:p>
    <w:p w14:paraId="210527BB">
      <w:pPr>
        <w:pStyle w:val="72"/>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sz w:val="21"/>
          <w:szCs w:val="21"/>
        </w:rPr>
        <w:t xml:space="preserve">4.2.5 </w:t>
      </w:r>
      <w:r>
        <w:rPr>
          <w:rFonts w:hint="eastAsia" w:ascii="Times New Roman" w:hAnsi="Times New Roman" w:cs="Times New Roman"/>
          <w:sz w:val="21"/>
          <w:szCs w:val="21"/>
        </w:rPr>
        <w:t>外部作业影响预评估的内容和成果应包括：</w:t>
      </w:r>
    </w:p>
    <w:p w14:paraId="5DD1F2F2">
      <w:pPr>
        <w:pStyle w:val="72"/>
        <w:spacing w:before="0" w:beforeAutospacing="0" w:after="0" w:afterAutospacing="0"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 xml:space="preserve">1 </w:t>
      </w:r>
      <w:r>
        <w:rPr>
          <w:rFonts w:hint="eastAsia" w:ascii="Times New Roman" w:hAnsi="Times New Roman" w:cs="Times New Roman"/>
          <w:sz w:val="21"/>
          <w:szCs w:val="21"/>
        </w:rPr>
        <w:t>以外部作业设计方案、施工方案及有轨电车设施安全保护方案为依据，分析外部作业对有轨电车设施的影响；</w:t>
      </w:r>
    </w:p>
    <w:p w14:paraId="5A6208BA">
      <w:pPr>
        <w:pStyle w:val="72"/>
        <w:spacing w:before="0" w:beforeAutospacing="0" w:after="0" w:afterAutospacing="0"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 xml:space="preserve">2 </w:t>
      </w:r>
      <w:r>
        <w:rPr>
          <w:rFonts w:hint="eastAsia" w:ascii="Times New Roman" w:hAnsi="Times New Roman" w:cs="Times New Roman"/>
          <w:sz w:val="21"/>
          <w:szCs w:val="21"/>
        </w:rPr>
        <w:t>结合有轨电车设施的现状，并征求有轨电车设施设计单位和经营单位的意见，确定设施安全控制指标和标准；</w:t>
      </w:r>
    </w:p>
    <w:p w14:paraId="7DF5A71A">
      <w:pPr>
        <w:pStyle w:val="72"/>
        <w:spacing w:before="0" w:beforeAutospacing="0" w:after="0" w:afterAutospacing="0"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 xml:space="preserve">3 </w:t>
      </w:r>
      <w:r>
        <w:rPr>
          <w:rFonts w:hint="eastAsia" w:ascii="Times New Roman" w:hAnsi="Times New Roman" w:cs="Times New Roman"/>
          <w:sz w:val="21"/>
          <w:szCs w:val="21"/>
        </w:rPr>
        <w:t>综合评定外部作业设计方案和有轨电车设施安全保护方案的可行性。</w:t>
      </w:r>
    </w:p>
    <w:p w14:paraId="541880FD">
      <w:pPr>
        <w:pStyle w:val="72"/>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sz w:val="21"/>
          <w:szCs w:val="21"/>
        </w:rPr>
        <w:t xml:space="preserve">4.2.6 </w:t>
      </w:r>
      <w:r>
        <w:rPr>
          <w:rFonts w:hint="eastAsia" w:ascii="Times New Roman" w:hAnsi="Times New Roman" w:cs="Times New Roman"/>
          <w:sz w:val="21"/>
          <w:szCs w:val="21"/>
        </w:rPr>
        <w:t>外部作业施工过程评估前应开展有轨电车设施的过程调查。外部作业施工过程评估的内容和成果应包括：</w:t>
      </w:r>
    </w:p>
    <w:p w14:paraId="4B193D28">
      <w:pPr>
        <w:pStyle w:val="72"/>
        <w:spacing w:before="0" w:beforeAutospacing="0" w:after="0" w:afterAutospacing="0"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 xml:space="preserve">1 </w:t>
      </w:r>
      <w:r>
        <w:rPr>
          <w:rFonts w:hint="eastAsia" w:ascii="Times New Roman" w:hAnsi="Times New Roman" w:cs="Times New Roman"/>
          <w:sz w:val="21"/>
          <w:szCs w:val="21"/>
        </w:rPr>
        <w:t>结合外部作业影响预评估报告、有轨电车设施的过程调查报告和相关分析结果，提出关于有轨电车设施安全控制标准的修正建议。</w:t>
      </w:r>
    </w:p>
    <w:p w14:paraId="224BF9CE">
      <w:pPr>
        <w:pStyle w:val="72"/>
        <w:spacing w:before="0" w:beforeAutospacing="0" w:after="0" w:afterAutospacing="0"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 xml:space="preserve">2 </w:t>
      </w:r>
      <w:r>
        <w:rPr>
          <w:rFonts w:hint="eastAsia" w:ascii="Times New Roman" w:hAnsi="Times New Roman" w:cs="Times New Roman"/>
          <w:sz w:val="21"/>
          <w:szCs w:val="21"/>
        </w:rPr>
        <w:t>必要时需调整外部作业设计方案或重新制定有轨电车设施安全保护方案；</w:t>
      </w:r>
    </w:p>
    <w:p w14:paraId="57BB183F">
      <w:pPr>
        <w:pStyle w:val="72"/>
        <w:spacing w:before="0" w:beforeAutospacing="0" w:after="0" w:afterAutospacing="0"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 xml:space="preserve">3 </w:t>
      </w:r>
      <w:r>
        <w:rPr>
          <w:rFonts w:hint="eastAsia" w:ascii="Times New Roman" w:hAnsi="Times New Roman" w:cs="Times New Roman"/>
          <w:sz w:val="21"/>
          <w:szCs w:val="21"/>
        </w:rPr>
        <w:t>针对调整后的外部作业设计方案，预测分析其对既有有轨电车设施的影响程度，并综合评定外部作业设计方案和有轨电车设施安全保护方案的可行性。</w:t>
      </w:r>
    </w:p>
    <w:p w14:paraId="3F9DFC82">
      <w:pPr>
        <w:pStyle w:val="72"/>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sz w:val="21"/>
          <w:szCs w:val="21"/>
        </w:rPr>
        <w:t xml:space="preserve">4.2.7 </w:t>
      </w:r>
      <w:r>
        <w:rPr>
          <w:rFonts w:hint="eastAsia" w:ascii="Times New Roman" w:hAnsi="Times New Roman" w:cs="Times New Roman"/>
          <w:sz w:val="21"/>
          <w:szCs w:val="21"/>
        </w:rPr>
        <w:t>外部作业影响后评估前应开展有轨电车设施的工后调查和确认工作。外部作业影响后评估的内容和成果应包括：</w:t>
      </w:r>
    </w:p>
    <w:p w14:paraId="2AECD5FA">
      <w:pPr>
        <w:pStyle w:val="72"/>
        <w:spacing w:before="0" w:beforeAutospacing="0" w:after="0" w:afterAutospacing="0"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 xml:space="preserve">1 </w:t>
      </w:r>
      <w:r>
        <w:rPr>
          <w:rFonts w:hint="eastAsia" w:ascii="Times New Roman" w:hAnsi="Times New Roman" w:cs="Times New Roman"/>
          <w:sz w:val="21"/>
          <w:szCs w:val="21"/>
        </w:rPr>
        <w:t>结合有轨电车设施在外部作业施工期间的监测数据、工后调查报告分析和有轨电车设施安全控制标准，评价外部作业对有轨电车设施的影响；</w:t>
      </w:r>
    </w:p>
    <w:p w14:paraId="5AD9ADFD">
      <w:pPr>
        <w:pStyle w:val="72"/>
        <w:spacing w:before="0" w:beforeAutospacing="0" w:after="0" w:afterAutospacing="0"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 xml:space="preserve">2 </w:t>
      </w:r>
      <w:r>
        <w:rPr>
          <w:rFonts w:hint="eastAsia" w:ascii="Times New Roman" w:hAnsi="Times New Roman" w:cs="Times New Roman"/>
          <w:sz w:val="21"/>
          <w:szCs w:val="21"/>
        </w:rPr>
        <w:t>综合评定有轨电车设施的持续抗变形能力和承载能力；</w:t>
      </w:r>
    </w:p>
    <w:p w14:paraId="6BF49867">
      <w:pPr>
        <w:pStyle w:val="72"/>
        <w:spacing w:before="0" w:beforeAutospacing="0" w:after="0" w:afterAutospacing="0" w:line="360" w:lineRule="auto"/>
        <w:ind w:firstLine="420" w:firstLineChars="200"/>
        <w:jc w:val="both"/>
        <w:rPr>
          <w:rFonts w:ascii="Times New Roman" w:hAnsi="Times New Roman" w:cs="Times New Roman"/>
          <w:sz w:val="21"/>
          <w:szCs w:val="21"/>
        </w:rPr>
      </w:pPr>
      <w:r>
        <w:rPr>
          <w:rFonts w:ascii="Times New Roman" w:hAnsi="Times New Roman" w:cs="Times New Roman"/>
          <w:sz w:val="21"/>
          <w:szCs w:val="21"/>
        </w:rPr>
        <w:t xml:space="preserve">3 </w:t>
      </w:r>
      <w:r>
        <w:rPr>
          <w:rFonts w:hint="eastAsia" w:ascii="Times New Roman" w:hAnsi="Times New Roman" w:cs="Times New Roman"/>
          <w:sz w:val="21"/>
          <w:szCs w:val="21"/>
        </w:rPr>
        <w:t>必要时提出有轨电车设施的修复和加固建议。</w:t>
      </w:r>
    </w:p>
    <w:p w14:paraId="44932987">
      <w:pPr>
        <w:pStyle w:val="3"/>
        <w:widowControl/>
        <w:numPr>
          <w:ilvl w:val="0"/>
          <w:numId w:val="1"/>
        </w:numPr>
        <w:spacing w:before="0" w:after="0" w:line="360" w:lineRule="auto"/>
        <w:ind w:left="487" w:hanging="487" w:hangingChars="202"/>
        <w:jc w:val="center"/>
        <w:outlineLvl w:val="0"/>
        <w:sectPr>
          <w:pgSz w:w="11906" w:h="16838"/>
          <w:pgMar w:top="1440" w:right="1800" w:bottom="1440" w:left="2268" w:header="851" w:footer="992" w:gutter="0"/>
          <w:cols w:space="425" w:num="1"/>
          <w:docGrid w:type="lines" w:linePitch="312" w:charSpace="0"/>
        </w:sectPr>
      </w:pPr>
    </w:p>
    <w:p w14:paraId="67E961F7">
      <w:pPr>
        <w:pStyle w:val="3"/>
        <w:widowControl/>
        <w:numPr>
          <w:ilvl w:val="0"/>
          <w:numId w:val="1"/>
        </w:numPr>
        <w:tabs>
          <w:tab w:val="left" w:pos="425"/>
          <w:tab w:val="clear" w:pos="2694"/>
        </w:tabs>
        <w:spacing w:before="0" w:after="0" w:line="360" w:lineRule="auto"/>
        <w:ind w:left="0" w:firstLine="0"/>
        <w:jc w:val="center"/>
        <w:outlineLvl w:val="0"/>
        <w:rPr>
          <w:rFonts w:ascii="Times New Roman" w:hAnsi="Times New Roman"/>
          <w:bCs w:val="0"/>
          <w:caps w:val="0"/>
          <w:kern w:val="0"/>
          <w:szCs w:val="24"/>
        </w:rPr>
      </w:pPr>
      <w:bookmarkStart w:id="43" w:name="_Toc103169256"/>
      <w:r>
        <w:rPr>
          <w:rFonts w:hint="eastAsia" w:ascii="Times New Roman" w:hAnsi="Times New Roman"/>
          <w:bCs w:val="0"/>
          <w:caps w:val="0"/>
          <w:kern w:val="0"/>
          <w:szCs w:val="24"/>
        </w:rPr>
        <w:t>外部作业</w:t>
      </w:r>
      <w:bookmarkEnd w:id="38"/>
      <w:bookmarkEnd w:id="39"/>
      <w:bookmarkEnd w:id="43"/>
    </w:p>
    <w:p w14:paraId="7F601F96">
      <w:pPr>
        <w:pStyle w:val="3"/>
        <w:widowControl/>
        <w:spacing w:before="0" w:after="0" w:line="360" w:lineRule="auto"/>
        <w:jc w:val="center"/>
        <w:outlineLvl w:val="1"/>
        <w:rPr>
          <w:rStyle w:val="30"/>
          <w:rFonts w:ascii="Times New Roman" w:hAnsi="Times New Roman"/>
          <w:bCs w:val="0"/>
          <w:caps w:val="0"/>
          <w:kern w:val="0"/>
          <w:sz w:val="21"/>
          <w:szCs w:val="21"/>
        </w:rPr>
      </w:pPr>
      <w:bookmarkStart w:id="44" w:name="_Toc25828252"/>
      <w:bookmarkStart w:id="45" w:name="_Toc25829176"/>
      <w:bookmarkStart w:id="46" w:name="_Toc103169257"/>
      <w:r>
        <w:rPr>
          <w:rStyle w:val="30"/>
          <w:rFonts w:hint="eastAsia" w:ascii="Times New Roman" w:hAnsi="Times New Roman"/>
          <w:bCs w:val="0"/>
          <w:caps w:val="0"/>
          <w:kern w:val="0"/>
          <w:sz w:val="21"/>
          <w:szCs w:val="21"/>
        </w:rPr>
        <w:t>5.1  一般规定</w:t>
      </w:r>
      <w:bookmarkEnd w:id="44"/>
      <w:bookmarkEnd w:id="45"/>
      <w:bookmarkEnd w:id="46"/>
    </w:p>
    <w:p w14:paraId="25A8BC0C">
      <w:bookmarkStart w:id="47" w:name="_Toc25828253"/>
      <w:bookmarkStart w:id="48" w:name="_Toc25829177"/>
      <w:r>
        <w:t xml:space="preserve">5.1.1 </w:t>
      </w:r>
      <w:r>
        <w:rPr>
          <w:rFonts w:hint="eastAsia"/>
        </w:rPr>
        <w:t>在有轨电车控制保护区内实施外部作业前，应当根据有轨电车设施现状并结合工程地质条件等因素，开展方案设计、安全评估。</w:t>
      </w:r>
    </w:p>
    <w:p w14:paraId="5542EA41">
      <w:r>
        <w:t xml:space="preserve">5.1.2 </w:t>
      </w:r>
      <w:r>
        <w:rPr>
          <w:rFonts w:hint="eastAsia"/>
        </w:rPr>
        <w:t>有轨电车经营单位应对外部作业的设计方案提出要求，可对外部作业的实施过程进行监督检查。</w:t>
      </w:r>
    </w:p>
    <w:p w14:paraId="0321ADE9">
      <w:r>
        <w:t xml:space="preserve">5.1.3 </w:t>
      </w:r>
      <w:r>
        <w:rPr>
          <w:rFonts w:hint="eastAsia"/>
        </w:rPr>
        <w:t>外部作业建设单位应组织落实有轨电车设施的保护方案，并对外部作业实施过程进行监督检查，制止施工单位危及有轨电车设施安全的违规行为。当出现危及有轨电车设施安全的情况时，负责组织外部作业参建单位应启动应急预案。</w:t>
      </w:r>
    </w:p>
    <w:p w14:paraId="3E198582">
      <w:r>
        <w:t xml:space="preserve">5.1.4 </w:t>
      </w:r>
      <w:r>
        <w:rPr>
          <w:rFonts w:hint="eastAsia"/>
        </w:rPr>
        <w:t>外部作业设计单位应提供满足有轨电车设施安全保护的设计文件，明确相关保护控制指标、技术措施和设施监测要求。</w:t>
      </w:r>
    </w:p>
    <w:p w14:paraId="7423991A">
      <w:r>
        <w:t xml:space="preserve">5.1.5 </w:t>
      </w:r>
      <w:r>
        <w:rPr>
          <w:rFonts w:hint="eastAsia"/>
        </w:rPr>
        <w:t>外部作业评估单位应在设计、实施全过程提供真实可靠、满足要求的成果，包括有轨电车设施现状评估、外部作业影响预评估、外部作业施工过程评估、外部作业影响后评估三个阶段。</w:t>
      </w:r>
    </w:p>
    <w:p w14:paraId="14B5793A">
      <w:r>
        <w:t xml:space="preserve">5.1.6 </w:t>
      </w:r>
      <w:r>
        <w:rPr>
          <w:rFonts w:hint="eastAsia"/>
        </w:rPr>
        <w:t>外部作业监测单位应编制并实施有轨电车设施监测方案，提供监测数据和分析报告，并保证其可靠性和及时性。</w:t>
      </w:r>
    </w:p>
    <w:p w14:paraId="10F86670">
      <w:r>
        <w:t xml:space="preserve">5.1.7 </w:t>
      </w:r>
      <w:r>
        <w:rPr>
          <w:rFonts w:hint="eastAsia"/>
        </w:rPr>
        <w:t>外部作业监理单位应制定有轨电车设施保护监理细则，并按照细则监督施工单</w:t>
      </w:r>
      <w:r>
        <w:t xml:space="preserve"> </w:t>
      </w:r>
      <w:r>
        <w:rPr>
          <w:rFonts w:hint="eastAsia"/>
        </w:rPr>
        <w:t>位落实有轨电车设施保护方案。</w:t>
      </w:r>
    </w:p>
    <w:p w14:paraId="247E8B4A">
      <w:pPr>
        <w:pStyle w:val="3"/>
        <w:widowControl/>
        <w:spacing w:before="0" w:after="0" w:line="360" w:lineRule="auto"/>
        <w:jc w:val="center"/>
        <w:outlineLvl w:val="1"/>
        <w:rPr>
          <w:rStyle w:val="30"/>
          <w:rFonts w:ascii="Times New Roman" w:hAnsi="Times New Roman"/>
          <w:bCs w:val="0"/>
          <w:caps w:val="0"/>
          <w:kern w:val="0"/>
          <w:sz w:val="21"/>
          <w:szCs w:val="21"/>
        </w:rPr>
      </w:pPr>
      <w:bookmarkStart w:id="49" w:name="_Toc103169258"/>
      <w:r>
        <w:rPr>
          <w:rStyle w:val="30"/>
          <w:rFonts w:hint="eastAsia" w:ascii="Times New Roman" w:hAnsi="Times New Roman"/>
          <w:bCs w:val="0"/>
          <w:caps w:val="0"/>
          <w:kern w:val="0"/>
          <w:sz w:val="21"/>
          <w:szCs w:val="21"/>
        </w:rPr>
        <w:t>5.2</w:t>
      </w:r>
      <w:r>
        <w:rPr>
          <w:rStyle w:val="30"/>
          <w:rFonts w:ascii="Times New Roman" w:hAnsi="Times New Roman"/>
          <w:bCs w:val="0"/>
          <w:caps w:val="0"/>
          <w:kern w:val="0"/>
          <w:sz w:val="21"/>
          <w:szCs w:val="21"/>
        </w:rPr>
        <w:t xml:space="preserve">  </w:t>
      </w:r>
      <w:r>
        <w:rPr>
          <w:rStyle w:val="30"/>
          <w:rFonts w:hint="eastAsia" w:ascii="Times New Roman" w:hAnsi="Times New Roman"/>
          <w:bCs w:val="0"/>
          <w:caps w:val="0"/>
          <w:kern w:val="0"/>
          <w:sz w:val="21"/>
          <w:szCs w:val="21"/>
        </w:rPr>
        <w:t>基坑</w:t>
      </w:r>
      <w:bookmarkEnd w:id="47"/>
      <w:bookmarkEnd w:id="48"/>
      <w:r>
        <w:rPr>
          <w:rStyle w:val="30"/>
          <w:rFonts w:hint="eastAsia" w:ascii="Times New Roman" w:hAnsi="Times New Roman"/>
          <w:bCs w:val="0"/>
          <w:caps w:val="0"/>
          <w:kern w:val="0"/>
          <w:sz w:val="21"/>
          <w:szCs w:val="21"/>
        </w:rPr>
        <w:t>工程</w:t>
      </w:r>
      <w:bookmarkEnd w:id="49"/>
    </w:p>
    <w:p w14:paraId="25B25CFE">
      <w:bookmarkStart w:id="50" w:name="_Toc25828254"/>
      <w:bookmarkStart w:id="51" w:name="_Toc25829178"/>
      <w:r>
        <w:rPr>
          <w:rFonts w:hint="eastAsia"/>
        </w:rPr>
        <w:t>5.2.1</w:t>
      </w:r>
      <w:r>
        <w:t xml:space="preserve">  </w:t>
      </w:r>
      <w:r>
        <w:rPr>
          <w:rFonts w:hint="eastAsia"/>
        </w:rPr>
        <w:t>有轨电车设施侧方有重大影响的基坑作业应采用整体刚度较大、止水效果好的支护结构体系，确保拆、换撑施工安全和侧方施工间隙的回填质量。</w:t>
      </w:r>
    </w:p>
    <w:p w14:paraId="46A63E36">
      <w:r>
        <w:rPr>
          <w:rFonts w:hint="eastAsia"/>
        </w:rPr>
        <w:t>5.2.2  邻近有轨电车设施的基坑作业，应遵循“分区、分块、分层、对称、限时、先支 撑后开挖”的原则，实行信息化施工；基坑开挖至坑底设计高程时，及时浇筑地下室底板结构，避免基坑长时间暴露。</w:t>
      </w:r>
    </w:p>
    <w:p w14:paraId="72AD7176">
      <w:r>
        <w:rPr>
          <w:rFonts w:hint="eastAsia"/>
        </w:rPr>
        <w:t xml:space="preserve">5.2.3 </w:t>
      </w:r>
      <w:r>
        <w:t xml:space="preserve"> </w:t>
      </w:r>
      <w:r>
        <w:rPr>
          <w:rFonts w:hint="eastAsia"/>
        </w:rPr>
        <w:t>有轨电车控制保护区内的结构拆除应采用冲击、振动较小的作业方案。拆除过程中应采取措施确保有轨电车设施及人员安全。</w:t>
      </w:r>
    </w:p>
    <w:p w14:paraId="02E69F87">
      <w:r>
        <w:rPr>
          <w:rFonts w:hint="eastAsia"/>
        </w:rPr>
        <w:t xml:space="preserve">5.2.4 </w:t>
      </w:r>
      <w:r>
        <w:t xml:space="preserve"> </w:t>
      </w:r>
      <w:r>
        <w:rPr>
          <w:rFonts w:hint="eastAsia"/>
        </w:rPr>
        <w:t>邻近有轨电车的基坑设计应注意控制地下水流失，避免基坑抽排水对有轨电车设施产生较大沉降。</w:t>
      </w:r>
    </w:p>
    <w:p w14:paraId="6482A1A2">
      <w:r>
        <w:rPr>
          <w:rFonts w:hint="eastAsia"/>
        </w:rPr>
        <w:t xml:space="preserve">5.2.5 </w:t>
      </w:r>
      <w:r>
        <w:t xml:space="preserve"> </w:t>
      </w:r>
      <w:r>
        <w:rPr>
          <w:rFonts w:hint="eastAsia"/>
        </w:rPr>
        <w:t>邻近有轨电车设施的基坑吊装作业应避免经过有轨电车设施上方，同时应对吊装设施进行防倾覆验算，必要时应增加吊装作业防护设施。</w:t>
      </w:r>
    </w:p>
    <w:p w14:paraId="027FA869">
      <w:pPr>
        <w:pStyle w:val="3"/>
        <w:widowControl/>
        <w:spacing w:before="0" w:after="0" w:line="360" w:lineRule="auto"/>
        <w:jc w:val="center"/>
        <w:outlineLvl w:val="1"/>
        <w:rPr>
          <w:rStyle w:val="30"/>
          <w:rFonts w:ascii="Times New Roman" w:hAnsi="Times New Roman"/>
          <w:bCs w:val="0"/>
          <w:caps w:val="0"/>
          <w:kern w:val="0"/>
          <w:sz w:val="21"/>
          <w:szCs w:val="21"/>
        </w:rPr>
      </w:pPr>
      <w:bookmarkStart w:id="52" w:name="_Toc103169259"/>
      <w:r>
        <w:rPr>
          <w:rStyle w:val="30"/>
          <w:rFonts w:hint="eastAsia" w:ascii="Times New Roman" w:hAnsi="Times New Roman"/>
          <w:bCs w:val="0"/>
          <w:caps w:val="0"/>
          <w:kern w:val="0"/>
          <w:sz w:val="21"/>
          <w:szCs w:val="21"/>
        </w:rPr>
        <w:t>5.3</w:t>
      </w:r>
      <w:r>
        <w:rPr>
          <w:rStyle w:val="30"/>
          <w:rFonts w:ascii="Times New Roman" w:hAnsi="Times New Roman"/>
          <w:bCs w:val="0"/>
          <w:caps w:val="0"/>
          <w:kern w:val="0"/>
          <w:sz w:val="21"/>
          <w:szCs w:val="21"/>
        </w:rPr>
        <w:t xml:space="preserve">  </w:t>
      </w:r>
      <w:r>
        <w:rPr>
          <w:rStyle w:val="30"/>
          <w:rFonts w:hint="eastAsia" w:ascii="Times New Roman" w:hAnsi="Times New Roman"/>
          <w:bCs w:val="0"/>
          <w:caps w:val="0"/>
          <w:kern w:val="0"/>
          <w:sz w:val="21"/>
          <w:szCs w:val="21"/>
        </w:rPr>
        <w:t>桥梁工程</w:t>
      </w:r>
      <w:bookmarkEnd w:id="50"/>
      <w:bookmarkEnd w:id="51"/>
      <w:bookmarkEnd w:id="52"/>
    </w:p>
    <w:p w14:paraId="766C857B">
      <w:r>
        <w:rPr>
          <w:rFonts w:hint="eastAsia"/>
        </w:rPr>
        <w:t>5.3.1</w:t>
      </w:r>
      <w:r>
        <w:t xml:space="preserve"> </w:t>
      </w:r>
      <w:r>
        <w:rPr>
          <w:rFonts w:hint="eastAsia"/>
        </w:rPr>
        <w:t xml:space="preserve"> 邻近有轨电车设施的桥梁设计应尽量远离有轨电车保护区，若需跨越保护区，应避免侵入有轨电车限界。</w:t>
      </w:r>
    </w:p>
    <w:p w14:paraId="3C49A883">
      <w:r>
        <w:rPr>
          <w:rFonts w:hint="eastAsia"/>
        </w:rPr>
        <w:t>5.3.2</w:t>
      </w:r>
      <w:r>
        <w:t xml:space="preserve">  </w:t>
      </w:r>
      <w:r>
        <w:rPr>
          <w:rFonts w:hint="eastAsia"/>
        </w:rPr>
        <w:t>有轨电车保护区上方的桥梁两侧应设置隔离设施，防止桥梁上部物体坠落。</w:t>
      </w:r>
    </w:p>
    <w:p w14:paraId="70D2787D">
      <w:r>
        <w:rPr>
          <w:rFonts w:hint="eastAsia"/>
        </w:rPr>
        <w:t xml:space="preserve">5.3.3 </w:t>
      </w:r>
      <w:r>
        <w:t xml:space="preserve"> </w:t>
      </w:r>
      <w:r>
        <w:rPr>
          <w:rFonts w:hint="eastAsia"/>
        </w:rPr>
        <w:t>横跨邻近有轨电车设施的桥梁上部结构应尽量采取对有轨电车运营影响小的架设方案。</w:t>
      </w:r>
    </w:p>
    <w:p w14:paraId="55653783">
      <w:r>
        <w:rPr>
          <w:rFonts w:hint="eastAsia"/>
        </w:rPr>
        <w:t xml:space="preserve">5.3.4 </w:t>
      </w:r>
      <w:r>
        <w:t xml:space="preserve"> </w:t>
      </w:r>
      <w:r>
        <w:rPr>
          <w:rFonts w:hint="eastAsia"/>
        </w:rPr>
        <w:t>邻近有轨电车设施的桥梁吊装作业应尽量避免经过有轨电车设施上方，同时应对吊装设施进行防倾覆验证，必要时应增加吊装作业防护设施。</w:t>
      </w:r>
    </w:p>
    <w:p w14:paraId="270F9035">
      <w:pPr>
        <w:pStyle w:val="3"/>
        <w:widowControl/>
        <w:spacing w:before="0" w:after="0" w:line="360" w:lineRule="auto"/>
        <w:jc w:val="center"/>
        <w:outlineLvl w:val="1"/>
        <w:rPr>
          <w:rStyle w:val="30"/>
          <w:rFonts w:ascii="Times New Roman" w:hAnsi="Times New Roman"/>
          <w:bCs w:val="0"/>
          <w:caps w:val="0"/>
          <w:kern w:val="0"/>
          <w:sz w:val="21"/>
          <w:szCs w:val="21"/>
        </w:rPr>
      </w:pPr>
      <w:bookmarkStart w:id="53" w:name="_Toc25828255"/>
      <w:bookmarkStart w:id="54" w:name="_Toc25829179"/>
      <w:bookmarkStart w:id="55" w:name="_Toc103169260"/>
      <w:r>
        <w:rPr>
          <w:rStyle w:val="30"/>
          <w:rFonts w:hint="eastAsia" w:ascii="Times New Roman" w:hAnsi="Times New Roman"/>
          <w:bCs w:val="0"/>
          <w:caps w:val="0"/>
          <w:kern w:val="0"/>
          <w:sz w:val="21"/>
          <w:szCs w:val="21"/>
        </w:rPr>
        <w:t xml:space="preserve">5.4 </w:t>
      </w:r>
      <w:r>
        <w:rPr>
          <w:rStyle w:val="30"/>
          <w:rFonts w:ascii="Times New Roman" w:hAnsi="Times New Roman"/>
          <w:bCs w:val="0"/>
          <w:caps w:val="0"/>
          <w:kern w:val="0"/>
          <w:sz w:val="21"/>
          <w:szCs w:val="21"/>
        </w:rPr>
        <w:t xml:space="preserve"> </w:t>
      </w:r>
      <w:r>
        <w:rPr>
          <w:rStyle w:val="30"/>
          <w:rFonts w:hint="eastAsia" w:ascii="Times New Roman" w:hAnsi="Times New Roman"/>
          <w:bCs w:val="0"/>
          <w:caps w:val="0"/>
          <w:kern w:val="0"/>
          <w:sz w:val="21"/>
          <w:szCs w:val="21"/>
        </w:rPr>
        <w:t>隧道工程</w:t>
      </w:r>
      <w:bookmarkEnd w:id="53"/>
      <w:bookmarkEnd w:id="54"/>
      <w:bookmarkEnd w:id="55"/>
    </w:p>
    <w:p w14:paraId="1B1BFF26">
      <w:bookmarkStart w:id="56" w:name="_Toc25828256"/>
      <w:bookmarkStart w:id="57" w:name="_Toc25829180"/>
      <w:r>
        <w:t xml:space="preserve">5.4.1  </w:t>
      </w:r>
      <w:r>
        <w:rPr>
          <w:rFonts w:hint="eastAsia"/>
        </w:rPr>
        <w:t>位于有轨电车安全保护区下方的隧道工程应尽量采取地面沉降较小的工法，如盾构法、顶管法等。应保证隧道与有轨电车设施有足够的净距。</w:t>
      </w:r>
    </w:p>
    <w:p w14:paraId="1C1809A2">
      <w:r>
        <w:t xml:space="preserve">5.4.2  </w:t>
      </w:r>
      <w:r>
        <w:rPr>
          <w:rFonts w:hint="eastAsia"/>
        </w:rPr>
        <w:t>隧道施工应避免采用爆破作业，若无法避免，应采用控制爆破，有轨电车设施的安全允许振速应为</w:t>
      </w:r>
      <w:r>
        <w:t>2.0cm/s</w:t>
      </w:r>
      <w:r>
        <w:rPr>
          <w:rFonts w:hint="eastAsia"/>
        </w:rPr>
        <w:t>，对安装有精密设备的设施应满足精密设备的安全允许振速。</w:t>
      </w:r>
    </w:p>
    <w:p w14:paraId="61364180">
      <w:r>
        <w:t xml:space="preserve">5.4.3  </w:t>
      </w:r>
      <w:r>
        <w:rPr>
          <w:rFonts w:hint="eastAsia"/>
        </w:rPr>
        <w:t>有轨电车控制保护区内的爆破作业，应进行爆破安全评估和爆破设计审查，应对爆破作业影响范围内的有轨电车工程进行安全评估。</w:t>
      </w:r>
    </w:p>
    <w:p w14:paraId="797BA76F">
      <w:r>
        <w:t xml:space="preserve">5.4.4  </w:t>
      </w:r>
      <w:r>
        <w:rPr>
          <w:rFonts w:hint="eastAsia"/>
        </w:rPr>
        <w:t>有轨电车控制保护区内的爆破作业，实施前应制定技术方案、安全措施、安全应急预案和爆破安全监控方案。应做好包括爆破作业点、爆破规模、爆破参数、爆破效果及爆破有害效应等内容的作业记录。</w:t>
      </w:r>
    </w:p>
    <w:p w14:paraId="17D348A9">
      <w:r>
        <w:t xml:space="preserve">5.4.5  </w:t>
      </w:r>
      <w:r>
        <w:rPr>
          <w:rFonts w:hint="eastAsia"/>
        </w:rPr>
        <w:t>有轨电车控制保护区内的爆破作业前，应进行试爆作业和爆破振动监测，并根据试爆效果及监测信息优化爆破作业。</w:t>
      </w:r>
    </w:p>
    <w:p w14:paraId="1F972E46">
      <w:r>
        <w:t xml:space="preserve">5.4.6  </w:t>
      </w:r>
      <w:r>
        <w:rPr>
          <w:rFonts w:hint="eastAsia"/>
        </w:rPr>
        <w:t>有轨电车控制保护区内的爆破作业不应在运营高峰期进行，实施前应进行试爆作业并采取安全防护措施。</w:t>
      </w:r>
    </w:p>
    <w:p w14:paraId="05D6F3B9">
      <w:r>
        <w:t xml:space="preserve">5.4.7  </w:t>
      </w:r>
      <w:r>
        <w:rPr>
          <w:rFonts w:hint="eastAsia"/>
        </w:rPr>
        <w:t>有轨电车设施下方的隧道作业应及时注浆回填管片背后或初支、二衬之间的空隙，减小设施沉降，同时应注意控制注浆压力，避免设施隆起。</w:t>
      </w:r>
    </w:p>
    <w:p w14:paraId="2250ADD7">
      <w:pPr>
        <w:pStyle w:val="3"/>
        <w:widowControl/>
        <w:spacing w:before="0" w:after="0" w:line="360" w:lineRule="auto"/>
        <w:jc w:val="center"/>
        <w:outlineLvl w:val="1"/>
        <w:rPr>
          <w:rStyle w:val="30"/>
          <w:rFonts w:ascii="Times New Roman" w:hAnsi="Times New Roman"/>
          <w:bCs w:val="0"/>
          <w:caps w:val="0"/>
          <w:kern w:val="0"/>
          <w:sz w:val="21"/>
          <w:szCs w:val="21"/>
        </w:rPr>
      </w:pPr>
      <w:bookmarkStart w:id="58" w:name="_Toc103169261"/>
      <w:r>
        <w:rPr>
          <w:rStyle w:val="30"/>
          <w:rFonts w:hint="eastAsia" w:ascii="Times New Roman" w:hAnsi="Times New Roman"/>
          <w:bCs w:val="0"/>
          <w:caps w:val="0"/>
          <w:kern w:val="0"/>
          <w:sz w:val="21"/>
          <w:szCs w:val="21"/>
        </w:rPr>
        <w:t>5.5</w:t>
      </w:r>
      <w:r>
        <w:rPr>
          <w:rStyle w:val="30"/>
          <w:rFonts w:ascii="Times New Roman" w:hAnsi="Times New Roman"/>
          <w:bCs w:val="0"/>
          <w:caps w:val="0"/>
          <w:kern w:val="0"/>
          <w:sz w:val="21"/>
          <w:szCs w:val="21"/>
        </w:rPr>
        <w:t xml:space="preserve">  </w:t>
      </w:r>
      <w:r>
        <w:rPr>
          <w:rStyle w:val="30"/>
          <w:rFonts w:hint="eastAsia" w:ascii="Times New Roman" w:hAnsi="Times New Roman"/>
          <w:bCs w:val="0"/>
          <w:caps w:val="0"/>
          <w:kern w:val="0"/>
          <w:sz w:val="21"/>
          <w:szCs w:val="21"/>
        </w:rPr>
        <w:t>其它作业</w:t>
      </w:r>
      <w:bookmarkEnd w:id="56"/>
      <w:bookmarkEnd w:id="57"/>
      <w:bookmarkEnd w:id="58"/>
    </w:p>
    <w:p w14:paraId="0C29DC56">
      <w:bookmarkStart w:id="59" w:name="_Toc25829181"/>
      <w:bookmarkStart w:id="60" w:name="_Toc25828257"/>
      <w:r>
        <w:t xml:space="preserve">5.5.1  </w:t>
      </w:r>
      <w:r>
        <w:rPr>
          <w:rFonts w:hint="eastAsia"/>
        </w:rPr>
        <w:t>有轨电车控制保护区内的地下水作业，应采取措施避免设施周边地层发生流砂、管涌等渗流破坏。</w:t>
      </w:r>
    </w:p>
    <w:p w14:paraId="3CF690CE">
      <w:r>
        <w:t xml:space="preserve">5.5.2  </w:t>
      </w:r>
      <w:r>
        <w:rPr>
          <w:rFonts w:hint="eastAsia"/>
        </w:rPr>
        <w:t>对外部作业有重大影响的地下水作业空间宜形成封闭的截水系统。</w:t>
      </w:r>
    </w:p>
    <w:p w14:paraId="5A1E0633">
      <w:r>
        <w:t xml:space="preserve">5.5.3  </w:t>
      </w:r>
      <w:r>
        <w:rPr>
          <w:rFonts w:hint="eastAsia"/>
        </w:rPr>
        <w:t>有轨电车设施周边为深厚砂层、软土及岩溶土洞等特殊性地层时，应严格控制地下水位的下降幅度。</w:t>
      </w:r>
    </w:p>
    <w:p w14:paraId="4CE0CAC9">
      <w:r>
        <w:t xml:space="preserve">5.5.4  </w:t>
      </w:r>
      <w:r>
        <w:rPr>
          <w:rFonts w:hint="eastAsia"/>
        </w:rPr>
        <w:t>有轨电车控制保护区内的地下水作业，应监测有轨电车设施周边地层的水位变化。</w:t>
      </w:r>
    </w:p>
    <w:p w14:paraId="66D06F50">
      <w:r>
        <w:t xml:space="preserve">5.5.5  </w:t>
      </w:r>
      <w:r>
        <w:rPr>
          <w:rFonts w:hint="eastAsia"/>
        </w:rPr>
        <w:t>在强透水性的地层进行地下水作业，当采用落底式竖向截水帷幕难以形成有效的封闭截水系统时，可采用悬挂式竖向截水帷幕与水平封底隔渗相结合的地下水控制措施。</w:t>
      </w:r>
    </w:p>
    <w:p w14:paraId="654B3849">
      <w:r>
        <w:t xml:space="preserve">5.5.6  </w:t>
      </w:r>
      <w:r>
        <w:rPr>
          <w:rFonts w:hint="eastAsia"/>
        </w:rPr>
        <w:t>当有轨电车地下设施下方地层存在承压水时，应验算外部作业过程中基坑突涌稳定性和地下结构的抗浮安全系数，必要时可采用钻孔降水减压措施或水平封底隔渗措施。</w:t>
      </w:r>
    </w:p>
    <w:p w14:paraId="11BB3BC3">
      <w:r>
        <w:t xml:space="preserve">5.5.7  </w:t>
      </w:r>
      <w:r>
        <w:rPr>
          <w:rFonts w:hint="eastAsia"/>
        </w:rPr>
        <w:t>当外部作业影响有轨电车地下结构周围的水位变化时，应验算作用于地下结构上的水土压力，确保地下结构的安全。</w:t>
      </w:r>
    </w:p>
    <w:p w14:paraId="56F06940">
      <w:r>
        <w:t xml:space="preserve">5.5.8  </w:t>
      </w:r>
      <w:r>
        <w:rPr>
          <w:rFonts w:hint="eastAsia"/>
        </w:rPr>
        <w:t>外部作业采用挤土或半挤土桩时，应合理安排成桩施工顺序及措施，减少挤土效应。</w:t>
      </w:r>
    </w:p>
    <w:p w14:paraId="6002AC0B">
      <w:r>
        <w:t xml:space="preserve">5.5.9  </w:t>
      </w:r>
      <w:r>
        <w:rPr>
          <w:rFonts w:hint="eastAsia"/>
        </w:rPr>
        <w:t>有轨电车控制保护区内的冻结法作业，应采取措施降低地层冻胀、融沉对设施产生的不利影响。</w:t>
      </w:r>
    </w:p>
    <w:p w14:paraId="618EFC22">
      <w:r>
        <w:t xml:space="preserve">5.5.10  </w:t>
      </w:r>
      <w:r>
        <w:rPr>
          <w:rFonts w:hint="eastAsia"/>
        </w:rPr>
        <w:t>有轨电车控制保护区的管道、箱涵施工，应采用耐久性高、整体性强的材质和</w:t>
      </w:r>
      <w:r>
        <w:t xml:space="preserve"> </w:t>
      </w:r>
      <w:r>
        <w:rPr>
          <w:rFonts w:hint="eastAsia"/>
        </w:rPr>
        <w:t>可靠的连接形式。</w:t>
      </w:r>
    </w:p>
    <w:p w14:paraId="456B91E6">
      <w:r>
        <w:t xml:space="preserve">5.5.11  </w:t>
      </w:r>
      <w:r>
        <w:rPr>
          <w:rFonts w:hint="eastAsia"/>
        </w:rPr>
        <w:t>塔吊等外部高空作业吊重时严禁经过有轨电车轨行区地面设施和高架设施的正上方，并应保持安全距离。</w:t>
      </w:r>
    </w:p>
    <w:p w14:paraId="4AC8ED76">
      <w:r>
        <w:t xml:space="preserve">5.5.12  </w:t>
      </w:r>
      <w:r>
        <w:rPr>
          <w:rFonts w:hint="eastAsia"/>
        </w:rPr>
        <w:t>有轨电车控制保护区附近的其他建（构）筑物在设计与施工时，应注意控制与既有有轨电车设施之间的距离，做好永久隔离措施和施工期间防护措施。</w:t>
      </w:r>
    </w:p>
    <w:p w14:paraId="5DA65FE2">
      <w:r>
        <w:t>5.5.1</w:t>
      </w:r>
      <w:r>
        <w:rPr>
          <w:rFonts w:hint="eastAsia"/>
        </w:rPr>
        <w:t>3</w:t>
      </w:r>
      <w:r>
        <w:t xml:space="preserve">  </w:t>
      </w:r>
      <w:r>
        <w:rPr>
          <w:rFonts w:hint="eastAsia"/>
        </w:rPr>
        <w:t>邻近有轨电车保护区的电力设施应尽量采取地下管线形式通过，横跨有轨电车设施应有足够的坠落安全储备和接地安全措施。</w:t>
      </w:r>
    </w:p>
    <w:p w14:paraId="52B94DBF">
      <w:r>
        <w:t>5.5.1</w:t>
      </w:r>
      <w:r>
        <w:rPr>
          <w:rFonts w:hint="eastAsia"/>
        </w:rPr>
        <w:t>4</w:t>
      </w:r>
      <w:r>
        <w:t xml:space="preserve">  </w:t>
      </w:r>
      <w:r>
        <w:rPr>
          <w:rFonts w:hint="eastAsia"/>
        </w:rPr>
        <w:t>邻近有轨电车保护区的通讯设施应避免对有轨电车的运营产生信号干扰。</w:t>
      </w:r>
    </w:p>
    <w:bookmarkEnd w:id="59"/>
    <w:p w14:paraId="22CEEFD8">
      <w:pPr>
        <w:pStyle w:val="3"/>
        <w:widowControl/>
        <w:numPr>
          <w:ilvl w:val="0"/>
          <w:numId w:val="1"/>
        </w:numPr>
        <w:tabs>
          <w:tab w:val="left" w:pos="425"/>
          <w:tab w:val="clear" w:pos="2694"/>
        </w:tabs>
        <w:spacing w:before="0" w:after="0" w:line="360" w:lineRule="auto"/>
        <w:ind w:left="0" w:firstLine="0"/>
        <w:jc w:val="center"/>
        <w:outlineLvl w:val="0"/>
        <w:rPr>
          <w:rFonts w:ascii="Times New Roman" w:hAnsi="Times New Roman"/>
          <w:bCs w:val="0"/>
          <w:caps w:val="0"/>
          <w:kern w:val="0"/>
          <w:szCs w:val="24"/>
        </w:rPr>
        <w:sectPr>
          <w:pgSz w:w="11906" w:h="16838"/>
          <w:pgMar w:top="1440" w:right="1800" w:bottom="1440" w:left="2268" w:header="851" w:footer="992" w:gutter="0"/>
          <w:cols w:space="425" w:num="1"/>
          <w:docGrid w:type="lines" w:linePitch="312" w:charSpace="0"/>
        </w:sectPr>
      </w:pPr>
      <w:bookmarkStart w:id="61" w:name="_Toc25829182"/>
    </w:p>
    <w:p w14:paraId="57A093A7">
      <w:pPr>
        <w:pStyle w:val="3"/>
        <w:widowControl/>
        <w:numPr>
          <w:ilvl w:val="0"/>
          <w:numId w:val="1"/>
        </w:numPr>
        <w:tabs>
          <w:tab w:val="left" w:pos="425"/>
          <w:tab w:val="clear" w:pos="2694"/>
        </w:tabs>
        <w:spacing w:before="0" w:after="0" w:line="360" w:lineRule="auto"/>
        <w:ind w:left="0" w:firstLine="0"/>
        <w:jc w:val="center"/>
        <w:outlineLvl w:val="0"/>
        <w:rPr>
          <w:rFonts w:ascii="Times New Roman" w:hAnsi="Times New Roman"/>
          <w:bCs w:val="0"/>
          <w:caps w:val="0"/>
          <w:kern w:val="0"/>
          <w:szCs w:val="24"/>
        </w:rPr>
      </w:pPr>
      <w:bookmarkStart w:id="62" w:name="_Toc103169262"/>
      <w:r>
        <w:rPr>
          <w:rFonts w:hint="eastAsia" w:ascii="Times New Roman" w:hAnsi="Times New Roman"/>
          <w:bCs w:val="0"/>
          <w:caps w:val="0"/>
          <w:kern w:val="0"/>
          <w:szCs w:val="24"/>
        </w:rPr>
        <w:t>保护巡检</w:t>
      </w:r>
      <w:bookmarkEnd w:id="60"/>
      <w:bookmarkEnd w:id="61"/>
      <w:bookmarkEnd w:id="62"/>
    </w:p>
    <w:p w14:paraId="464D4D34">
      <w:pPr>
        <w:pStyle w:val="3"/>
        <w:widowControl/>
        <w:spacing w:before="0" w:after="0" w:line="360" w:lineRule="auto"/>
        <w:jc w:val="center"/>
        <w:outlineLvl w:val="1"/>
        <w:rPr>
          <w:rStyle w:val="30"/>
          <w:rFonts w:ascii="Times New Roman" w:hAnsi="Times New Roman"/>
          <w:bCs w:val="0"/>
          <w:caps w:val="0"/>
          <w:kern w:val="0"/>
          <w:sz w:val="21"/>
          <w:szCs w:val="21"/>
        </w:rPr>
      </w:pPr>
      <w:bookmarkStart w:id="63" w:name="_Toc103169263"/>
      <w:r>
        <w:rPr>
          <w:rStyle w:val="30"/>
          <w:rFonts w:hint="eastAsia" w:ascii="Times New Roman" w:hAnsi="Times New Roman"/>
          <w:bCs w:val="0"/>
          <w:caps w:val="0"/>
          <w:kern w:val="0"/>
          <w:sz w:val="21"/>
          <w:szCs w:val="21"/>
        </w:rPr>
        <w:t>6.1  一般规定</w:t>
      </w:r>
      <w:bookmarkEnd w:id="63"/>
    </w:p>
    <w:p w14:paraId="1E978E12">
      <w:r>
        <w:t xml:space="preserve">6.1.1  </w:t>
      </w:r>
      <w:r>
        <w:rPr>
          <w:rFonts w:hint="eastAsia"/>
        </w:rPr>
        <w:t>有轨电车经营单位应在有轨电车沿线控制保护区内开展保护巡检，及时发现并消除外部作业对有轨电车设施造成影响和伤害。</w:t>
      </w:r>
      <w:r>
        <w:t xml:space="preserve"> </w:t>
      </w:r>
    </w:p>
    <w:p w14:paraId="185B008D">
      <w:r>
        <w:rPr>
          <w:rFonts w:hint="eastAsia"/>
        </w:rPr>
        <w:t>6.1.2  保护巡检工作内容主要包括巡查、记录、监督、协调、处置、归档等。</w:t>
      </w:r>
    </w:p>
    <w:p w14:paraId="7630EDDF">
      <w:pPr>
        <w:pStyle w:val="3"/>
        <w:widowControl/>
        <w:spacing w:before="0" w:after="0" w:line="360" w:lineRule="auto"/>
        <w:jc w:val="center"/>
        <w:outlineLvl w:val="1"/>
        <w:rPr>
          <w:rStyle w:val="30"/>
          <w:rFonts w:ascii="Times New Roman" w:hAnsi="Times New Roman"/>
          <w:bCs w:val="0"/>
          <w:caps w:val="0"/>
          <w:kern w:val="0"/>
          <w:sz w:val="21"/>
          <w:szCs w:val="21"/>
        </w:rPr>
      </w:pPr>
      <w:bookmarkStart w:id="64" w:name="_Toc103169264"/>
      <w:r>
        <w:rPr>
          <w:rStyle w:val="30"/>
          <w:rFonts w:hint="eastAsia" w:ascii="Times New Roman" w:hAnsi="Times New Roman"/>
          <w:bCs w:val="0"/>
          <w:caps w:val="0"/>
          <w:kern w:val="0"/>
          <w:sz w:val="21"/>
          <w:szCs w:val="21"/>
        </w:rPr>
        <w:t>6.2  技术要求</w:t>
      </w:r>
      <w:bookmarkEnd w:id="64"/>
    </w:p>
    <w:p w14:paraId="4E227D3F">
      <w:r>
        <w:t>6.2.1</w:t>
      </w:r>
      <w:r>
        <w:rPr>
          <w:rFonts w:hint="eastAsia"/>
        </w:rPr>
        <w:t xml:space="preserve">  有轨电车设施</w:t>
      </w:r>
      <w:r>
        <w:t>的</w:t>
      </w:r>
      <w:r>
        <w:rPr>
          <w:rFonts w:hint="eastAsia"/>
        </w:rPr>
        <w:t>保护巡检应</w:t>
      </w:r>
      <w:r>
        <w:t>按照以下流程开展工作：</w:t>
      </w:r>
    </w:p>
    <w:p w14:paraId="1C2BAFD5">
      <w:r>
        <w:rPr>
          <w:rFonts w:hint="eastAsia"/>
        </w:rPr>
        <w:t>（1）现状</w:t>
      </w:r>
      <w:r>
        <w:t>调查、信息确认</w:t>
      </w:r>
      <w:r>
        <w:rPr>
          <w:rFonts w:hint="eastAsia"/>
        </w:rPr>
        <w:t>；（</w:t>
      </w:r>
      <w:r>
        <w:t>2</w:t>
      </w:r>
      <w:r>
        <w:rPr>
          <w:rFonts w:hint="eastAsia"/>
        </w:rPr>
        <w:t>）编制</w:t>
      </w:r>
      <w:r>
        <w:t>和</w:t>
      </w:r>
      <w:r>
        <w:rPr>
          <w:rFonts w:hint="eastAsia"/>
        </w:rPr>
        <w:t>执行</w:t>
      </w:r>
      <w:r>
        <w:t>巡检</w:t>
      </w:r>
      <w:r>
        <w:rPr>
          <w:rFonts w:hint="eastAsia"/>
        </w:rPr>
        <w:t>计划；（</w:t>
      </w:r>
      <w:r>
        <w:t>3</w:t>
      </w:r>
      <w:r>
        <w:rPr>
          <w:rFonts w:hint="eastAsia"/>
        </w:rPr>
        <w:t>）巡检</w:t>
      </w:r>
      <w:r>
        <w:t>记录整理、分析</w:t>
      </w:r>
      <w:r>
        <w:rPr>
          <w:rFonts w:hint="eastAsia"/>
        </w:rPr>
        <w:t>；（</w:t>
      </w:r>
      <w:r>
        <w:t>4</w:t>
      </w:r>
      <w:r>
        <w:rPr>
          <w:rFonts w:hint="eastAsia"/>
        </w:rPr>
        <w:t>）情况</w:t>
      </w:r>
      <w:r>
        <w:t>反馈及应急处置</w:t>
      </w:r>
      <w:r>
        <w:rPr>
          <w:rFonts w:hint="eastAsia"/>
        </w:rPr>
        <w:t>。</w:t>
      </w:r>
    </w:p>
    <w:p w14:paraId="53053EF7">
      <w:r>
        <w:t xml:space="preserve">6.2.2 </w:t>
      </w:r>
      <w:r>
        <w:rPr>
          <w:rFonts w:hint="eastAsia"/>
        </w:rPr>
        <w:t>保护巡检应</w:t>
      </w:r>
      <w:r>
        <w:rPr>
          <w:rFonts w:hint="eastAsia"/>
          <w:lang w:eastAsia="zh-CN"/>
        </w:rPr>
        <w:t>采取</w:t>
      </w:r>
      <w:r>
        <w:rPr>
          <w:rFonts w:hint="eastAsia"/>
        </w:rPr>
        <w:t>重点巡检和日常巡检相结合的方法。重点巡检主要针对重点监控项目，日常巡检包括其他控制保护区范围内外部作业的巡查。巡检记录宜根据表</w:t>
      </w:r>
      <w:r>
        <w:t>6.2.2</w:t>
      </w:r>
      <w:r>
        <w:rPr>
          <w:rFonts w:hint="eastAsia"/>
        </w:rPr>
        <w:t>进行填写。</w:t>
      </w:r>
    </w:p>
    <w:p w14:paraId="0B4D799A">
      <w:pPr>
        <w:jc w:val="center"/>
        <w:rPr>
          <w:rFonts w:asciiTheme="minorEastAsia" w:hAnsiTheme="minorEastAsia" w:eastAsiaTheme="minorEastAsia"/>
        </w:rPr>
      </w:pPr>
      <w:r>
        <w:rPr>
          <w:rFonts w:hint="eastAsia" w:asciiTheme="minorEastAsia" w:hAnsiTheme="minorEastAsia" w:eastAsiaTheme="minorEastAsia"/>
        </w:rPr>
        <w:t>表</w:t>
      </w:r>
      <w:r>
        <w:t>6.2.2</w:t>
      </w:r>
      <w:r>
        <w:rPr>
          <w:rFonts w:hint="eastAsia"/>
        </w:rPr>
        <w:t xml:space="preserve"> </w:t>
      </w:r>
      <w:r>
        <w:rPr>
          <w:rFonts w:hint="eastAsia" w:asciiTheme="minorEastAsia" w:hAnsiTheme="minorEastAsia" w:eastAsiaTheme="minorEastAsia"/>
        </w:rPr>
        <w:t xml:space="preserve"> 巡检记录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2373"/>
        <w:gridCol w:w="2015"/>
        <w:gridCol w:w="781"/>
        <w:gridCol w:w="1234"/>
      </w:tblGrid>
      <w:tr w14:paraId="0DCD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1" w:type="dxa"/>
          </w:tcPr>
          <w:p w14:paraId="363EC3B1">
            <w:pPr>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编   号</w:t>
            </w:r>
          </w:p>
        </w:tc>
        <w:tc>
          <w:tcPr>
            <w:tcW w:w="2373" w:type="dxa"/>
          </w:tcPr>
          <w:p w14:paraId="20E6205D">
            <w:pPr>
              <w:rPr>
                <w:rFonts w:asciiTheme="minorEastAsia" w:hAnsiTheme="minorEastAsia" w:eastAsiaTheme="minorEastAsia"/>
                <w:sz w:val="18"/>
                <w:szCs w:val="18"/>
              </w:rPr>
            </w:pPr>
          </w:p>
        </w:tc>
        <w:tc>
          <w:tcPr>
            <w:tcW w:w="2015" w:type="dxa"/>
          </w:tcPr>
          <w:p w14:paraId="37745911">
            <w:pPr>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监控等级</w:t>
            </w:r>
          </w:p>
        </w:tc>
        <w:tc>
          <w:tcPr>
            <w:tcW w:w="2015" w:type="dxa"/>
            <w:gridSpan w:val="2"/>
          </w:tcPr>
          <w:p w14:paraId="0589AD62">
            <w:pPr>
              <w:rPr>
                <w:rFonts w:asciiTheme="minorEastAsia" w:hAnsiTheme="minorEastAsia" w:eastAsiaTheme="minorEastAsia"/>
                <w:sz w:val="18"/>
                <w:szCs w:val="18"/>
              </w:rPr>
            </w:pPr>
          </w:p>
        </w:tc>
      </w:tr>
      <w:tr w14:paraId="768C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1" w:type="dxa"/>
          </w:tcPr>
          <w:p w14:paraId="13F70EEB">
            <w:pPr>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项目名称</w:t>
            </w:r>
          </w:p>
        </w:tc>
        <w:tc>
          <w:tcPr>
            <w:tcW w:w="2373" w:type="dxa"/>
          </w:tcPr>
          <w:p w14:paraId="0803FDC7">
            <w:pPr>
              <w:rPr>
                <w:rFonts w:asciiTheme="minorEastAsia" w:hAnsiTheme="minorEastAsia" w:eastAsiaTheme="minorEastAsia"/>
                <w:sz w:val="18"/>
                <w:szCs w:val="18"/>
              </w:rPr>
            </w:pPr>
          </w:p>
        </w:tc>
        <w:tc>
          <w:tcPr>
            <w:tcW w:w="2015" w:type="dxa"/>
          </w:tcPr>
          <w:p w14:paraId="1C2B7BCF">
            <w:pPr>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项目位置</w:t>
            </w:r>
          </w:p>
        </w:tc>
        <w:tc>
          <w:tcPr>
            <w:tcW w:w="2015" w:type="dxa"/>
            <w:gridSpan w:val="2"/>
          </w:tcPr>
          <w:p w14:paraId="4B3976BC">
            <w:pPr>
              <w:rPr>
                <w:rFonts w:asciiTheme="minorEastAsia" w:hAnsiTheme="minorEastAsia" w:eastAsiaTheme="minorEastAsia"/>
                <w:sz w:val="18"/>
                <w:szCs w:val="18"/>
              </w:rPr>
            </w:pPr>
          </w:p>
        </w:tc>
      </w:tr>
      <w:tr w14:paraId="0B6F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1" w:type="dxa"/>
          </w:tcPr>
          <w:p w14:paraId="17CDD0BB">
            <w:pPr>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巡查员</w:t>
            </w:r>
          </w:p>
        </w:tc>
        <w:tc>
          <w:tcPr>
            <w:tcW w:w="2373" w:type="dxa"/>
          </w:tcPr>
          <w:p w14:paraId="4DCD62E2">
            <w:pPr>
              <w:rPr>
                <w:rFonts w:asciiTheme="minorEastAsia" w:hAnsiTheme="minorEastAsia" w:eastAsiaTheme="minorEastAsia"/>
                <w:sz w:val="18"/>
                <w:szCs w:val="18"/>
              </w:rPr>
            </w:pPr>
          </w:p>
        </w:tc>
        <w:tc>
          <w:tcPr>
            <w:tcW w:w="2015" w:type="dxa"/>
          </w:tcPr>
          <w:p w14:paraId="5B5766D8">
            <w:pPr>
              <w:rPr>
                <w:rFonts w:asciiTheme="minorEastAsia" w:hAnsiTheme="minorEastAsia" w:eastAsiaTheme="minorEastAsia"/>
                <w:sz w:val="18"/>
                <w:szCs w:val="18"/>
              </w:rPr>
            </w:pPr>
            <w:r>
              <w:rPr>
                <w:rFonts w:hint="eastAsia" w:cs="宋体" w:asciiTheme="minorEastAsia" w:hAnsiTheme="minorEastAsia" w:eastAsiaTheme="minorEastAsia"/>
                <w:kern w:val="0"/>
                <w:sz w:val="18"/>
                <w:szCs w:val="18"/>
              </w:rPr>
              <w:t>主管工程师</w:t>
            </w:r>
          </w:p>
        </w:tc>
        <w:tc>
          <w:tcPr>
            <w:tcW w:w="2015" w:type="dxa"/>
            <w:gridSpan w:val="2"/>
          </w:tcPr>
          <w:p w14:paraId="43115824">
            <w:pPr>
              <w:rPr>
                <w:rFonts w:asciiTheme="minorEastAsia" w:hAnsiTheme="minorEastAsia" w:eastAsiaTheme="minorEastAsia"/>
                <w:sz w:val="18"/>
                <w:szCs w:val="18"/>
              </w:rPr>
            </w:pPr>
          </w:p>
        </w:tc>
      </w:tr>
      <w:tr w14:paraId="4BC0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01" w:type="dxa"/>
          </w:tcPr>
          <w:p w14:paraId="44B485E1">
            <w:pPr>
              <w:rPr>
                <w:rFonts w:asciiTheme="minorEastAsia" w:hAnsiTheme="minorEastAsia" w:eastAsiaTheme="minorEastAsia"/>
                <w:sz w:val="18"/>
                <w:szCs w:val="18"/>
              </w:rPr>
            </w:pPr>
            <w:r>
              <w:rPr>
                <w:rFonts w:hint="eastAsia" w:cs="宋体" w:asciiTheme="minorEastAsia" w:hAnsiTheme="minorEastAsia" w:eastAsiaTheme="minorEastAsia"/>
                <w:sz w:val="18"/>
                <w:szCs w:val="18"/>
              </w:rPr>
              <w:t>记录时间</w:t>
            </w:r>
          </w:p>
        </w:tc>
        <w:tc>
          <w:tcPr>
            <w:tcW w:w="5169" w:type="dxa"/>
            <w:gridSpan w:val="3"/>
            <w:tcBorders>
              <w:right w:val="single" w:color="000000" w:sz="4" w:space="0"/>
            </w:tcBorders>
          </w:tcPr>
          <w:p w14:paraId="5C80E366">
            <w:pPr>
              <w:jc w:val="center"/>
              <w:rPr>
                <w:rFonts w:asciiTheme="minorEastAsia" w:hAnsiTheme="minorEastAsia" w:eastAsiaTheme="minorEastAsia"/>
                <w:sz w:val="18"/>
                <w:szCs w:val="18"/>
              </w:rPr>
            </w:pPr>
            <w:r>
              <w:rPr>
                <w:rFonts w:hint="eastAsia" w:cs="宋体" w:asciiTheme="minorEastAsia" w:hAnsiTheme="minorEastAsia" w:eastAsiaTheme="minorEastAsia"/>
                <w:sz w:val="18"/>
                <w:szCs w:val="18"/>
              </w:rPr>
              <w:t>巡查</w:t>
            </w:r>
            <w:r>
              <w:rPr>
                <w:rFonts w:cs="宋体" w:asciiTheme="minorEastAsia" w:hAnsiTheme="minorEastAsia" w:eastAsiaTheme="minorEastAsia"/>
                <w:sz w:val="18"/>
                <w:szCs w:val="18"/>
              </w:rPr>
              <w:t>情况</w:t>
            </w:r>
          </w:p>
        </w:tc>
        <w:tc>
          <w:tcPr>
            <w:tcW w:w="1234" w:type="dxa"/>
            <w:tcBorders>
              <w:left w:val="single" w:color="000000" w:sz="4" w:space="0"/>
            </w:tcBorders>
          </w:tcPr>
          <w:p w14:paraId="57A0B804">
            <w:pPr>
              <w:rPr>
                <w:rFonts w:asciiTheme="minorEastAsia" w:hAnsiTheme="minorEastAsia" w:eastAsiaTheme="minorEastAsia"/>
                <w:sz w:val="18"/>
                <w:szCs w:val="18"/>
              </w:rPr>
            </w:pPr>
            <w:r>
              <w:rPr>
                <w:rFonts w:hint="eastAsia" w:cs="宋体" w:asciiTheme="minorEastAsia" w:hAnsiTheme="minorEastAsia" w:eastAsiaTheme="minorEastAsia"/>
                <w:sz w:val="18"/>
                <w:szCs w:val="18"/>
              </w:rPr>
              <w:t>记录人</w:t>
            </w:r>
          </w:p>
        </w:tc>
      </w:tr>
      <w:tr w14:paraId="5D49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1" w:type="dxa"/>
          </w:tcPr>
          <w:p w14:paraId="29F8BAB9">
            <w:pPr>
              <w:rPr>
                <w:rFonts w:asciiTheme="minorEastAsia" w:hAnsiTheme="minorEastAsia" w:eastAsiaTheme="minorEastAsia"/>
                <w:sz w:val="18"/>
                <w:szCs w:val="18"/>
              </w:rPr>
            </w:pPr>
          </w:p>
        </w:tc>
        <w:tc>
          <w:tcPr>
            <w:tcW w:w="5169" w:type="dxa"/>
            <w:gridSpan w:val="3"/>
            <w:tcBorders>
              <w:right w:val="single" w:color="000000" w:sz="4" w:space="0"/>
            </w:tcBorders>
          </w:tcPr>
          <w:p w14:paraId="46201696">
            <w:pPr>
              <w:rPr>
                <w:rFonts w:asciiTheme="minorEastAsia" w:hAnsiTheme="minorEastAsia" w:eastAsiaTheme="minorEastAsia"/>
                <w:sz w:val="18"/>
                <w:szCs w:val="18"/>
              </w:rPr>
            </w:pPr>
          </w:p>
        </w:tc>
        <w:tc>
          <w:tcPr>
            <w:tcW w:w="1234" w:type="dxa"/>
            <w:tcBorders>
              <w:left w:val="single" w:color="000000" w:sz="4" w:space="0"/>
            </w:tcBorders>
          </w:tcPr>
          <w:p w14:paraId="580F47FD">
            <w:pPr>
              <w:rPr>
                <w:rFonts w:asciiTheme="minorEastAsia" w:hAnsiTheme="minorEastAsia" w:eastAsiaTheme="minorEastAsia"/>
                <w:sz w:val="18"/>
                <w:szCs w:val="18"/>
              </w:rPr>
            </w:pPr>
          </w:p>
        </w:tc>
      </w:tr>
      <w:tr w14:paraId="27AD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1" w:type="dxa"/>
          </w:tcPr>
          <w:p w14:paraId="6E1ADDB3">
            <w:pPr>
              <w:rPr>
                <w:rFonts w:asciiTheme="minorEastAsia" w:hAnsiTheme="minorEastAsia" w:eastAsiaTheme="minorEastAsia"/>
                <w:sz w:val="18"/>
                <w:szCs w:val="18"/>
              </w:rPr>
            </w:pPr>
          </w:p>
        </w:tc>
        <w:tc>
          <w:tcPr>
            <w:tcW w:w="5169" w:type="dxa"/>
            <w:gridSpan w:val="3"/>
            <w:tcBorders>
              <w:right w:val="single" w:color="000000" w:sz="4" w:space="0"/>
            </w:tcBorders>
          </w:tcPr>
          <w:p w14:paraId="17B80348">
            <w:pPr>
              <w:rPr>
                <w:rFonts w:asciiTheme="minorEastAsia" w:hAnsiTheme="minorEastAsia" w:eastAsiaTheme="minorEastAsia"/>
                <w:sz w:val="18"/>
                <w:szCs w:val="18"/>
              </w:rPr>
            </w:pPr>
          </w:p>
        </w:tc>
        <w:tc>
          <w:tcPr>
            <w:tcW w:w="1234" w:type="dxa"/>
            <w:tcBorders>
              <w:left w:val="single" w:color="000000" w:sz="4" w:space="0"/>
            </w:tcBorders>
          </w:tcPr>
          <w:p w14:paraId="0962A053">
            <w:pPr>
              <w:rPr>
                <w:rFonts w:asciiTheme="minorEastAsia" w:hAnsiTheme="minorEastAsia" w:eastAsiaTheme="minorEastAsia"/>
                <w:sz w:val="18"/>
                <w:szCs w:val="18"/>
              </w:rPr>
            </w:pPr>
          </w:p>
        </w:tc>
      </w:tr>
      <w:tr w14:paraId="3933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1" w:type="dxa"/>
          </w:tcPr>
          <w:p w14:paraId="3DBD6103">
            <w:pPr>
              <w:rPr>
                <w:rFonts w:asciiTheme="minorEastAsia" w:hAnsiTheme="minorEastAsia" w:eastAsiaTheme="minorEastAsia"/>
                <w:sz w:val="18"/>
                <w:szCs w:val="18"/>
              </w:rPr>
            </w:pPr>
          </w:p>
        </w:tc>
        <w:tc>
          <w:tcPr>
            <w:tcW w:w="5169" w:type="dxa"/>
            <w:gridSpan w:val="3"/>
            <w:tcBorders>
              <w:right w:val="single" w:color="000000" w:sz="4" w:space="0"/>
            </w:tcBorders>
          </w:tcPr>
          <w:p w14:paraId="253F9266">
            <w:pPr>
              <w:rPr>
                <w:rFonts w:asciiTheme="minorEastAsia" w:hAnsiTheme="minorEastAsia" w:eastAsiaTheme="minorEastAsia"/>
                <w:sz w:val="18"/>
                <w:szCs w:val="18"/>
              </w:rPr>
            </w:pPr>
          </w:p>
        </w:tc>
        <w:tc>
          <w:tcPr>
            <w:tcW w:w="1234" w:type="dxa"/>
            <w:tcBorders>
              <w:left w:val="single" w:color="000000" w:sz="4" w:space="0"/>
            </w:tcBorders>
          </w:tcPr>
          <w:p w14:paraId="12E01286">
            <w:pPr>
              <w:rPr>
                <w:rFonts w:asciiTheme="minorEastAsia" w:hAnsiTheme="minorEastAsia" w:eastAsiaTheme="minorEastAsia"/>
                <w:sz w:val="18"/>
                <w:szCs w:val="18"/>
              </w:rPr>
            </w:pPr>
          </w:p>
        </w:tc>
      </w:tr>
      <w:tr w14:paraId="13E7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1" w:type="dxa"/>
          </w:tcPr>
          <w:p w14:paraId="0006442A">
            <w:pPr>
              <w:rPr>
                <w:rFonts w:asciiTheme="minorEastAsia" w:hAnsiTheme="minorEastAsia" w:eastAsiaTheme="minorEastAsia"/>
                <w:sz w:val="18"/>
                <w:szCs w:val="18"/>
              </w:rPr>
            </w:pPr>
          </w:p>
        </w:tc>
        <w:tc>
          <w:tcPr>
            <w:tcW w:w="5169" w:type="dxa"/>
            <w:gridSpan w:val="3"/>
            <w:tcBorders>
              <w:right w:val="single" w:color="000000" w:sz="4" w:space="0"/>
            </w:tcBorders>
          </w:tcPr>
          <w:p w14:paraId="0B71BCB4">
            <w:pPr>
              <w:rPr>
                <w:rFonts w:asciiTheme="minorEastAsia" w:hAnsiTheme="minorEastAsia" w:eastAsiaTheme="minorEastAsia"/>
                <w:sz w:val="18"/>
                <w:szCs w:val="18"/>
              </w:rPr>
            </w:pPr>
          </w:p>
        </w:tc>
        <w:tc>
          <w:tcPr>
            <w:tcW w:w="1234" w:type="dxa"/>
            <w:tcBorders>
              <w:left w:val="single" w:color="000000" w:sz="4" w:space="0"/>
            </w:tcBorders>
          </w:tcPr>
          <w:p w14:paraId="2560F6C6">
            <w:pPr>
              <w:rPr>
                <w:rFonts w:asciiTheme="minorEastAsia" w:hAnsiTheme="minorEastAsia" w:eastAsiaTheme="minorEastAsia"/>
                <w:sz w:val="18"/>
                <w:szCs w:val="18"/>
              </w:rPr>
            </w:pPr>
          </w:p>
        </w:tc>
      </w:tr>
    </w:tbl>
    <w:p w14:paraId="3CAE24A7">
      <w:r>
        <w:t xml:space="preserve">6.2.3 </w:t>
      </w:r>
      <w:r>
        <w:rPr>
          <w:rFonts w:hint="eastAsia"/>
        </w:rPr>
        <w:t xml:space="preserve"> 有轨电车保护</w:t>
      </w:r>
      <w:r>
        <w:t>巡检应进行现场巡查</w:t>
      </w:r>
      <w:r>
        <w:rPr>
          <w:rFonts w:hint="eastAsia"/>
        </w:rPr>
        <w:t>、重点巡检和日常巡检相结合，重点巡检对象</w:t>
      </w:r>
      <w:r>
        <w:t>宜</w:t>
      </w:r>
      <w:r>
        <w:rPr>
          <w:rFonts w:hint="eastAsia"/>
        </w:rPr>
        <w:t>为特级、一级和二级监控项目</w:t>
      </w:r>
      <w:r>
        <w:t>。</w:t>
      </w:r>
    </w:p>
    <w:p w14:paraId="7FC0ECDC">
      <w:r>
        <w:t>6.2.4</w:t>
      </w:r>
      <w:r>
        <w:rPr>
          <w:rFonts w:hint="eastAsia"/>
        </w:rPr>
        <w:t xml:space="preserve">  保护巡检宜建立行程</w:t>
      </w:r>
      <w:r>
        <w:t>轨迹图</w:t>
      </w:r>
      <w:r>
        <w:rPr>
          <w:rFonts w:hint="eastAsia"/>
        </w:rPr>
        <w:t>，</w:t>
      </w:r>
      <w:r>
        <w:t>重点区域应</w:t>
      </w:r>
      <w:r>
        <w:rPr>
          <w:rFonts w:hint="eastAsia"/>
        </w:rPr>
        <w:t>加密</w:t>
      </w:r>
      <w:r>
        <w:t>巡检</w:t>
      </w:r>
      <w:r>
        <w:rPr>
          <w:rFonts w:hint="eastAsia"/>
        </w:rPr>
        <w:t>次数</w:t>
      </w:r>
      <w:r>
        <w:t>。</w:t>
      </w:r>
    </w:p>
    <w:p w14:paraId="274BBE17">
      <w:r>
        <w:rPr>
          <w:rFonts w:hint="eastAsia"/>
        </w:rPr>
        <w:t>6.2.</w:t>
      </w:r>
      <w:r>
        <w:t>5</w:t>
      </w:r>
      <w:r>
        <w:rPr>
          <w:rFonts w:hint="eastAsia"/>
        </w:rPr>
        <w:t xml:space="preserve">  保护巡检应及时</w:t>
      </w:r>
      <w:r>
        <w:t>反映外部作业、</w:t>
      </w:r>
      <w:r>
        <w:rPr>
          <w:rFonts w:hint="eastAsia"/>
        </w:rPr>
        <w:t>行人、行车活动对有轨电车设施安全影响及内部的重要</w:t>
      </w:r>
      <w:r>
        <w:t>变化</w:t>
      </w:r>
      <w:r>
        <w:rPr>
          <w:rFonts w:hint="eastAsia"/>
        </w:rPr>
        <w:t>。根据表</w:t>
      </w:r>
      <w:r>
        <w:t>6.2.5</w:t>
      </w:r>
      <w:r>
        <w:rPr>
          <w:rFonts w:hint="eastAsia"/>
        </w:rPr>
        <w:t>进行</w:t>
      </w:r>
      <w:r>
        <w:t>选择。</w:t>
      </w:r>
    </w:p>
    <w:p w14:paraId="1FC85019">
      <w:pPr>
        <w:jc w:val="center"/>
        <w:rPr>
          <w:rFonts w:asciiTheme="minorEastAsia" w:hAnsiTheme="minorEastAsia" w:eastAsiaTheme="minorEastAsia"/>
        </w:rPr>
      </w:pPr>
      <w:r>
        <w:rPr>
          <w:rFonts w:hint="eastAsia" w:asciiTheme="minorEastAsia" w:hAnsiTheme="minorEastAsia" w:eastAsiaTheme="minorEastAsia"/>
        </w:rPr>
        <w:t>表</w:t>
      </w:r>
      <w:r>
        <w:rPr>
          <w:rFonts w:eastAsiaTheme="minorEastAsia"/>
        </w:rPr>
        <w:t xml:space="preserve">6.2.5 </w:t>
      </w:r>
      <w:r>
        <w:rPr>
          <w:rFonts w:asciiTheme="minorEastAsia" w:hAnsiTheme="minorEastAsia" w:eastAsiaTheme="minorEastAsia"/>
        </w:rPr>
        <w:t xml:space="preserve"> </w:t>
      </w:r>
      <w:r>
        <w:rPr>
          <w:rFonts w:hint="eastAsia" w:asciiTheme="minorEastAsia" w:hAnsiTheme="minorEastAsia" w:eastAsiaTheme="minorEastAsia"/>
        </w:rPr>
        <w:t>巡查内容</w:t>
      </w:r>
    </w:p>
    <w:tbl>
      <w:tblPr>
        <w:tblStyle w:val="26"/>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201"/>
        <w:gridCol w:w="1038"/>
        <w:gridCol w:w="959"/>
        <w:gridCol w:w="960"/>
        <w:gridCol w:w="914"/>
        <w:gridCol w:w="975"/>
        <w:gridCol w:w="1134"/>
      </w:tblGrid>
      <w:tr w14:paraId="0AF9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restart"/>
            <w:vAlign w:val="center"/>
          </w:tcPr>
          <w:p w14:paraId="62B59D75">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201" w:type="dxa"/>
            <w:vMerge w:val="restart"/>
            <w:vAlign w:val="center"/>
          </w:tcPr>
          <w:p w14:paraId="6C666B31">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巡查内容</w:t>
            </w:r>
          </w:p>
        </w:tc>
        <w:tc>
          <w:tcPr>
            <w:tcW w:w="4846" w:type="dxa"/>
            <w:gridSpan w:val="5"/>
          </w:tcPr>
          <w:p w14:paraId="302B20E7">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外部</w:t>
            </w:r>
            <w:r>
              <w:rPr>
                <w:rFonts w:asciiTheme="minorEastAsia" w:hAnsiTheme="minorEastAsia" w:eastAsiaTheme="minorEastAsia"/>
                <w:sz w:val="18"/>
                <w:szCs w:val="18"/>
              </w:rPr>
              <w:t>作业活动影响等级</w:t>
            </w:r>
          </w:p>
        </w:tc>
        <w:tc>
          <w:tcPr>
            <w:tcW w:w="1134" w:type="dxa"/>
            <w:vMerge w:val="restart"/>
            <w:vAlign w:val="center"/>
          </w:tcPr>
          <w:p w14:paraId="0199F931">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巡查</w:t>
            </w:r>
            <w:r>
              <w:rPr>
                <w:rFonts w:asciiTheme="minorEastAsia" w:hAnsiTheme="minorEastAsia" w:eastAsiaTheme="minorEastAsia"/>
                <w:sz w:val="18"/>
                <w:szCs w:val="18"/>
              </w:rPr>
              <w:t>对象</w:t>
            </w:r>
          </w:p>
        </w:tc>
      </w:tr>
      <w:tr w14:paraId="5754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tcPr>
          <w:p w14:paraId="1EE0AACF">
            <w:pPr>
              <w:jc w:val="center"/>
              <w:rPr>
                <w:rFonts w:asciiTheme="minorEastAsia" w:hAnsiTheme="minorEastAsia" w:eastAsiaTheme="minorEastAsia"/>
                <w:sz w:val="18"/>
                <w:szCs w:val="18"/>
              </w:rPr>
            </w:pPr>
          </w:p>
        </w:tc>
        <w:tc>
          <w:tcPr>
            <w:tcW w:w="1201" w:type="dxa"/>
            <w:vMerge w:val="continue"/>
          </w:tcPr>
          <w:p w14:paraId="2C057B2A">
            <w:pPr>
              <w:jc w:val="center"/>
              <w:rPr>
                <w:rFonts w:asciiTheme="minorEastAsia" w:hAnsiTheme="minorEastAsia" w:eastAsiaTheme="minorEastAsia"/>
                <w:sz w:val="18"/>
                <w:szCs w:val="18"/>
              </w:rPr>
            </w:pPr>
          </w:p>
        </w:tc>
        <w:tc>
          <w:tcPr>
            <w:tcW w:w="1038" w:type="dxa"/>
          </w:tcPr>
          <w:p w14:paraId="6952BFAD">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特级</w:t>
            </w:r>
          </w:p>
        </w:tc>
        <w:tc>
          <w:tcPr>
            <w:tcW w:w="959" w:type="dxa"/>
          </w:tcPr>
          <w:p w14:paraId="269047FF">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一级</w:t>
            </w:r>
          </w:p>
        </w:tc>
        <w:tc>
          <w:tcPr>
            <w:tcW w:w="960" w:type="dxa"/>
          </w:tcPr>
          <w:p w14:paraId="0826D243">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二级</w:t>
            </w:r>
          </w:p>
        </w:tc>
        <w:tc>
          <w:tcPr>
            <w:tcW w:w="914" w:type="dxa"/>
          </w:tcPr>
          <w:p w14:paraId="545D18E6">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三级</w:t>
            </w:r>
          </w:p>
        </w:tc>
        <w:tc>
          <w:tcPr>
            <w:tcW w:w="975" w:type="dxa"/>
          </w:tcPr>
          <w:p w14:paraId="1291111D">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四级</w:t>
            </w:r>
          </w:p>
        </w:tc>
        <w:tc>
          <w:tcPr>
            <w:tcW w:w="1134" w:type="dxa"/>
            <w:vMerge w:val="continue"/>
          </w:tcPr>
          <w:p w14:paraId="624A4C0A">
            <w:pPr>
              <w:jc w:val="center"/>
              <w:rPr>
                <w:rFonts w:asciiTheme="minorEastAsia" w:hAnsiTheme="minorEastAsia" w:eastAsiaTheme="minorEastAsia"/>
                <w:sz w:val="18"/>
                <w:szCs w:val="18"/>
              </w:rPr>
            </w:pPr>
          </w:p>
        </w:tc>
      </w:tr>
      <w:tr w14:paraId="04EC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14:paraId="504C9775">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201" w:type="dxa"/>
          </w:tcPr>
          <w:p w14:paraId="255B442A">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监控项目</w:t>
            </w:r>
          </w:p>
        </w:tc>
        <w:tc>
          <w:tcPr>
            <w:tcW w:w="1038" w:type="dxa"/>
          </w:tcPr>
          <w:p w14:paraId="3952BEDF">
            <w:pPr>
              <w:ind w:firstLine="90" w:firstLineChar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应巡</w:t>
            </w:r>
          </w:p>
        </w:tc>
        <w:tc>
          <w:tcPr>
            <w:tcW w:w="959" w:type="dxa"/>
          </w:tcPr>
          <w:p w14:paraId="36715305">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应巡</w:t>
            </w:r>
          </w:p>
        </w:tc>
        <w:tc>
          <w:tcPr>
            <w:tcW w:w="960" w:type="dxa"/>
          </w:tcPr>
          <w:p w14:paraId="348AB0C6">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914" w:type="dxa"/>
          </w:tcPr>
          <w:p w14:paraId="47AC5A1F">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975" w:type="dxa"/>
          </w:tcPr>
          <w:p w14:paraId="3A0A27F6">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1134" w:type="dxa"/>
            <w:vMerge w:val="restart"/>
            <w:vAlign w:val="center"/>
          </w:tcPr>
          <w:p w14:paraId="32ABD3E5">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外部</w:t>
            </w:r>
          </w:p>
        </w:tc>
      </w:tr>
      <w:tr w14:paraId="4003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14:paraId="0CCC4860">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201" w:type="dxa"/>
          </w:tcPr>
          <w:p w14:paraId="140137E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违规</w:t>
            </w:r>
            <w:r>
              <w:rPr>
                <w:rFonts w:asciiTheme="minorEastAsia" w:hAnsiTheme="minorEastAsia" w:eastAsiaTheme="minorEastAsia"/>
                <w:sz w:val="18"/>
                <w:szCs w:val="18"/>
              </w:rPr>
              <w:t>项目</w:t>
            </w:r>
          </w:p>
        </w:tc>
        <w:tc>
          <w:tcPr>
            <w:tcW w:w="1038" w:type="dxa"/>
          </w:tcPr>
          <w:p w14:paraId="0DCA9F7E">
            <w:pPr>
              <w:ind w:firstLine="90" w:firstLineChar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应巡</w:t>
            </w:r>
          </w:p>
        </w:tc>
        <w:tc>
          <w:tcPr>
            <w:tcW w:w="959" w:type="dxa"/>
          </w:tcPr>
          <w:p w14:paraId="315560F1">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应巡</w:t>
            </w:r>
          </w:p>
        </w:tc>
        <w:tc>
          <w:tcPr>
            <w:tcW w:w="960" w:type="dxa"/>
          </w:tcPr>
          <w:p w14:paraId="3374D1EC">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914" w:type="dxa"/>
          </w:tcPr>
          <w:p w14:paraId="23A61271">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975" w:type="dxa"/>
          </w:tcPr>
          <w:p w14:paraId="351E4C5F">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1134" w:type="dxa"/>
            <w:vMerge w:val="continue"/>
          </w:tcPr>
          <w:p w14:paraId="6664B1C0">
            <w:pPr>
              <w:jc w:val="center"/>
              <w:rPr>
                <w:rFonts w:asciiTheme="minorEastAsia" w:hAnsiTheme="minorEastAsia" w:eastAsiaTheme="minorEastAsia"/>
                <w:sz w:val="18"/>
                <w:szCs w:val="18"/>
              </w:rPr>
            </w:pPr>
          </w:p>
        </w:tc>
      </w:tr>
      <w:tr w14:paraId="039F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14:paraId="7383B86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201" w:type="dxa"/>
          </w:tcPr>
          <w:p w14:paraId="1F4685BD">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行人</w:t>
            </w:r>
            <w:r>
              <w:rPr>
                <w:rFonts w:asciiTheme="minorEastAsia" w:hAnsiTheme="minorEastAsia" w:eastAsiaTheme="minorEastAsia"/>
                <w:sz w:val="18"/>
                <w:szCs w:val="18"/>
              </w:rPr>
              <w:t>行车</w:t>
            </w:r>
          </w:p>
        </w:tc>
        <w:tc>
          <w:tcPr>
            <w:tcW w:w="1038" w:type="dxa"/>
          </w:tcPr>
          <w:p w14:paraId="6F856538">
            <w:pPr>
              <w:ind w:firstLine="90" w:firstLineChar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应巡</w:t>
            </w:r>
          </w:p>
        </w:tc>
        <w:tc>
          <w:tcPr>
            <w:tcW w:w="959" w:type="dxa"/>
          </w:tcPr>
          <w:p w14:paraId="6B891312">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应巡</w:t>
            </w:r>
          </w:p>
        </w:tc>
        <w:tc>
          <w:tcPr>
            <w:tcW w:w="960" w:type="dxa"/>
          </w:tcPr>
          <w:p w14:paraId="04AD91F4">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914" w:type="dxa"/>
          </w:tcPr>
          <w:p w14:paraId="11C4ED3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975" w:type="dxa"/>
          </w:tcPr>
          <w:p w14:paraId="4ACD644B">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1134" w:type="dxa"/>
            <w:vMerge w:val="continue"/>
          </w:tcPr>
          <w:p w14:paraId="448D811D">
            <w:pPr>
              <w:jc w:val="center"/>
              <w:rPr>
                <w:rFonts w:asciiTheme="minorEastAsia" w:hAnsiTheme="minorEastAsia" w:eastAsiaTheme="minorEastAsia"/>
                <w:sz w:val="18"/>
                <w:szCs w:val="18"/>
              </w:rPr>
            </w:pPr>
          </w:p>
        </w:tc>
      </w:tr>
      <w:tr w14:paraId="0B52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14:paraId="09347B02">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201" w:type="dxa"/>
          </w:tcPr>
          <w:p w14:paraId="3D5F9EA5">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突发</w:t>
            </w:r>
            <w:r>
              <w:rPr>
                <w:rFonts w:asciiTheme="minorEastAsia" w:hAnsiTheme="minorEastAsia" w:eastAsiaTheme="minorEastAsia"/>
                <w:sz w:val="18"/>
                <w:szCs w:val="18"/>
              </w:rPr>
              <w:t>事件</w:t>
            </w:r>
          </w:p>
        </w:tc>
        <w:tc>
          <w:tcPr>
            <w:tcW w:w="1038" w:type="dxa"/>
          </w:tcPr>
          <w:p w14:paraId="1855EC25">
            <w:pPr>
              <w:ind w:firstLine="90" w:firstLineChar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应巡</w:t>
            </w:r>
          </w:p>
        </w:tc>
        <w:tc>
          <w:tcPr>
            <w:tcW w:w="959" w:type="dxa"/>
          </w:tcPr>
          <w:p w14:paraId="335116DE">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应巡</w:t>
            </w:r>
          </w:p>
        </w:tc>
        <w:tc>
          <w:tcPr>
            <w:tcW w:w="960" w:type="dxa"/>
          </w:tcPr>
          <w:p w14:paraId="48E70ACE">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914" w:type="dxa"/>
          </w:tcPr>
          <w:p w14:paraId="6296579A">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975" w:type="dxa"/>
          </w:tcPr>
          <w:p w14:paraId="3CAB95D3">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1134" w:type="dxa"/>
            <w:vMerge w:val="continue"/>
          </w:tcPr>
          <w:p w14:paraId="1D9F8231">
            <w:pPr>
              <w:jc w:val="center"/>
              <w:rPr>
                <w:rFonts w:asciiTheme="minorEastAsia" w:hAnsiTheme="minorEastAsia" w:eastAsiaTheme="minorEastAsia"/>
                <w:sz w:val="18"/>
                <w:szCs w:val="18"/>
              </w:rPr>
            </w:pPr>
          </w:p>
        </w:tc>
      </w:tr>
      <w:tr w14:paraId="124F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14:paraId="6FED72CE">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201" w:type="dxa"/>
          </w:tcPr>
          <w:p w14:paraId="035A3C01">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线路</w:t>
            </w:r>
            <w:r>
              <w:rPr>
                <w:rFonts w:asciiTheme="minorEastAsia" w:hAnsiTheme="minorEastAsia" w:eastAsiaTheme="minorEastAsia"/>
                <w:sz w:val="18"/>
                <w:szCs w:val="18"/>
              </w:rPr>
              <w:t>结构</w:t>
            </w:r>
          </w:p>
        </w:tc>
        <w:tc>
          <w:tcPr>
            <w:tcW w:w="1038" w:type="dxa"/>
          </w:tcPr>
          <w:p w14:paraId="37BCACE2">
            <w:pPr>
              <w:ind w:firstLine="90" w:firstLineChar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应巡</w:t>
            </w:r>
          </w:p>
        </w:tc>
        <w:tc>
          <w:tcPr>
            <w:tcW w:w="959" w:type="dxa"/>
          </w:tcPr>
          <w:p w14:paraId="5C412E9F">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应巡</w:t>
            </w:r>
          </w:p>
        </w:tc>
        <w:tc>
          <w:tcPr>
            <w:tcW w:w="960" w:type="dxa"/>
          </w:tcPr>
          <w:p w14:paraId="4BA65F68">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914" w:type="dxa"/>
          </w:tcPr>
          <w:p w14:paraId="48A6E3DC">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975" w:type="dxa"/>
          </w:tcPr>
          <w:p w14:paraId="458048E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宜巡</w:t>
            </w:r>
          </w:p>
        </w:tc>
        <w:tc>
          <w:tcPr>
            <w:tcW w:w="1134" w:type="dxa"/>
          </w:tcPr>
          <w:p w14:paraId="6579F240">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内部</w:t>
            </w:r>
          </w:p>
        </w:tc>
      </w:tr>
    </w:tbl>
    <w:p w14:paraId="0DD89FD1">
      <w:pPr>
        <w:pStyle w:val="3"/>
        <w:widowControl/>
        <w:spacing w:before="0" w:after="0" w:line="360" w:lineRule="auto"/>
        <w:jc w:val="center"/>
        <w:outlineLvl w:val="1"/>
        <w:rPr>
          <w:rStyle w:val="30"/>
          <w:rFonts w:ascii="Times New Roman" w:hAnsi="Times New Roman"/>
          <w:bCs w:val="0"/>
          <w:caps w:val="0"/>
          <w:kern w:val="0"/>
          <w:sz w:val="21"/>
          <w:szCs w:val="21"/>
        </w:rPr>
      </w:pPr>
      <w:bookmarkStart w:id="65" w:name="_Toc103169265"/>
      <w:r>
        <w:rPr>
          <w:rStyle w:val="30"/>
          <w:rFonts w:hint="eastAsia" w:ascii="Times New Roman" w:hAnsi="Times New Roman"/>
          <w:bCs w:val="0"/>
          <w:caps w:val="0"/>
          <w:kern w:val="0"/>
          <w:sz w:val="21"/>
          <w:szCs w:val="21"/>
        </w:rPr>
        <w:t>6.3  实施要求</w:t>
      </w:r>
      <w:bookmarkEnd w:id="65"/>
    </w:p>
    <w:p w14:paraId="4A77D9A2">
      <w:r>
        <w:t>6.3.1</w:t>
      </w:r>
      <w:r>
        <w:rPr>
          <w:rFonts w:hint="eastAsia"/>
        </w:rPr>
        <w:t>保护巡检成果</w:t>
      </w:r>
      <w:r>
        <w:t>主要包括巡检记录、</w:t>
      </w:r>
      <w:r>
        <w:rPr>
          <w:rFonts w:hint="eastAsia"/>
        </w:rPr>
        <w:t>分析</w:t>
      </w:r>
      <w:r>
        <w:t>预判</w:t>
      </w:r>
      <w:r>
        <w:rPr>
          <w:rFonts w:hint="eastAsia"/>
        </w:rPr>
        <w:t>、违规处理</w:t>
      </w:r>
      <w:r>
        <w:t>、</w:t>
      </w:r>
      <w:r>
        <w:rPr>
          <w:rFonts w:hint="eastAsia"/>
        </w:rPr>
        <w:t>应急</w:t>
      </w:r>
      <w:r>
        <w:t>处置、阶段报告等</w:t>
      </w:r>
      <w:r>
        <w:rPr>
          <w:rFonts w:hint="eastAsia"/>
        </w:rPr>
        <w:t>，应按</w:t>
      </w:r>
      <w:r>
        <w:t>以下几项要求编制：</w:t>
      </w:r>
    </w:p>
    <w:p w14:paraId="72E50B58">
      <w:pPr>
        <w:ind w:firstLine="420" w:firstLineChars="200"/>
      </w:pPr>
      <w:r>
        <w:t xml:space="preserve">1 </w:t>
      </w:r>
      <w:r>
        <w:rPr>
          <w:rFonts w:hint="eastAsia"/>
        </w:rPr>
        <w:t xml:space="preserve"> 保护</w:t>
      </w:r>
      <w:r>
        <w:t>巡检应先编制巡检工作计划，</w:t>
      </w:r>
      <w:r>
        <w:rPr>
          <w:rFonts w:hint="eastAsia"/>
        </w:rPr>
        <w:t>包括项目名称、</w:t>
      </w:r>
      <w:r>
        <w:t>人员分工、</w:t>
      </w:r>
      <w:r>
        <w:rPr>
          <w:rFonts w:hint="eastAsia"/>
        </w:rPr>
        <w:t>时间</w:t>
      </w:r>
      <w:r>
        <w:t>安排等</w:t>
      </w:r>
      <w:r>
        <w:rPr>
          <w:rFonts w:hint="eastAsia"/>
        </w:rPr>
        <w:t>；</w:t>
      </w:r>
    </w:p>
    <w:p w14:paraId="57F11399">
      <w:pPr>
        <w:ind w:firstLine="420" w:firstLineChars="200"/>
      </w:pPr>
      <w:r>
        <w:t>2</w:t>
      </w:r>
      <w:r>
        <w:rPr>
          <w:rFonts w:hint="eastAsia"/>
        </w:rPr>
        <w:t xml:space="preserve">  巡检</w:t>
      </w:r>
      <w:r>
        <w:t>记录应</w:t>
      </w:r>
      <w:r>
        <w:rPr>
          <w:rFonts w:hint="eastAsia"/>
        </w:rPr>
        <w:t>如实记录</w:t>
      </w:r>
      <w:r>
        <w:t>当天保护巡检</w:t>
      </w:r>
      <w:r>
        <w:rPr>
          <w:rFonts w:hint="eastAsia"/>
        </w:rPr>
        <w:t>情况</w:t>
      </w:r>
      <w:r>
        <w:t>，主要内容应包括</w:t>
      </w:r>
      <w:r>
        <w:rPr>
          <w:rFonts w:hint="eastAsia"/>
        </w:rPr>
        <w:t>巡检</w:t>
      </w:r>
      <w:r>
        <w:t>方式、</w:t>
      </w:r>
      <w:r>
        <w:rPr>
          <w:rFonts w:hint="eastAsia"/>
        </w:rPr>
        <w:t>巡检</w:t>
      </w:r>
      <w:r>
        <w:t>地点、</w:t>
      </w:r>
      <w:r>
        <w:rPr>
          <w:rFonts w:hint="eastAsia"/>
        </w:rPr>
        <w:t>巡检里程、起止时间、现场</w:t>
      </w:r>
      <w:r>
        <w:t>照片、要事记录等</w:t>
      </w:r>
      <w:r>
        <w:rPr>
          <w:rFonts w:hint="eastAsia"/>
        </w:rPr>
        <w:t>；</w:t>
      </w:r>
    </w:p>
    <w:p w14:paraId="5689AC52">
      <w:pPr>
        <w:ind w:firstLine="420" w:firstLineChars="200"/>
      </w:pPr>
      <w:r>
        <w:rPr>
          <w:rFonts w:hint="eastAsia"/>
        </w:rPr>
        <w:t>3  分析</w:t>
      </w:r>
      <w:r>
        <w:t>预判应根据巡检情况</w:t>
      </w:r>
      <w:r>
        <w:rPr>
          <w:rFonts w:hint="eastAsia"/>
        </w:rPr>
        <w:t>做出</w:t>
      </w:r>
      <w:r>
        <w:t>后续重点工作方面的预测，便于</w:t>
      </w:r>
      <w:r>
        <w:rPr>
          <w:rFonts w:hint="eastAsia"/>
        </w:rPr>
        <w:t>预控外部</w:t>
      </w:r>
      <w:r>
        <w:t>项目对有轨电车的影响</w:t>
      </w:r>
      <w:r>
        <w:rPr>
          <w:rFonts w:hint="eastAsia"/>
        </w:rPr>
        <w:t>；</w:t>
      </w:r>
    </w:p>
    <w:p w14:paraId="7AA4BA86">
      <w:pPr>
        <w:ind w:firstLine="420" w:firstLineChars="200"/>
      </w:pPr>
      <w:r>
        <w:rPr>
          <w:rFonts w:hint="eastAsia"/>
        </w:rPr>
        <w:t>4</w:t>
      </w:r>
      <w:r>
        <w:t xml:space="preserve"> </w:t>
      </w:r>
      <w:r>
        <w:rPr>
          <w:rFonts w:hint="eastAsia"/>
        </w:rPr>
        <w:t xml:space="preserve"> 当</w:t>
      </w:r>
      <w:r>
        <w:t>发现</w:t>
      </w:r>
      <w:r>
        <w:rPr>
          <w:rFonts w:hint="eastAsia"/>
        </w:rPr>
        <w:t>外部</w:t>
      </w:r>
      <w:r>
        <w:t>项目存在</w:t>
      </w:r>
      <w:r>
        <w:rPr>
          <w:rFonts w:hint="eastAsia"/>
        </w:rPr>
        <w:t>未先</w:t>
      </w:r>
      <w:r>
        <w:t>征求有轨电车经营单位意见</w:t>
      </w:r>
      <w:r>
        <w:rPr>
          <w:rFonts w:hint="eastAsia"/>
        </w:rPr>
        <w:t>就</w:t>
      </w:r>
      <w:r>
        <w:t>自行施工</w:t>
      </w:r>
      <w:r>
        <w:rPr>
          <w:rFonts w:hint="eastAsia"/>
        </w:rPr>
        <w:t>的</w:t>
      </w:r>
      <w:r>
        <w:t>违规</w:t>
      </w:r>
      <w:r>
        <w:rPr>
          <w:rFonts w:hint="eastAsia"/>
        </w:rPr>
        <w:t>行为</w:t>
      </w:r>
      <w:r>
        <w:t>时，</w:t>
      </w:r>
      <w:r>
        <w:rPr>
          <w:rFonts w:hint="eastAsia"/>
        </w:rPr>
        <w:t>应</w:t>
      </w:r>
      <w:r>
        <w:t>按照相关流程</w:t>
      </w:r>
      <w:r>
        <w:rPr>
          <w:rFonts w:hint="eastAsia"/>
        </w:rPr>
        <w:t>及时处理；</w:t>
      </w:r>
    </w:p>
    <w:p w14:paraId="1C94A6BC">
      <w:pPr>
        <w:ind w:firstLine="420" w:firstLineChars="200"/>
      </w:pPr>
      <w:r>
        <w:rPr>
          <w:rFonts w:hint="eastAsia"/>
        </w:rPr>
        <w:t>5  当发现行人</w:t>
      </w:r>
      <w:r>
        <w:t>或行车试图</w:t>
      </w:r>
      <w:r>
        <w:rPr>
          <w:rFonts w:hint="eastAsia"/>
        </w:rPr>
        <w:t>在</w:t>
      </w:r>
      <w:r>
        <w:t>有轨电车行驶</w:t>
      </w:r>
      <w:r>
        <w:rPr>
          <w:rFonts w:hint="eastAsia"/>
        </w:rPr>
        <w:t>经过前强行通过</w:t>
      </w:r>
      <w:r>
        <w:t>时</w:t>
      </w:r>
      <w:r>
        <w:rPr>
          <w:rFonts w:hint="eastAsia"/>
        </w:rPr>
        <w:t>，应及时制止，</w:t>
      </w:r>
      <w:r>
        <w:t>规避</w:t>
      </w:r>
      <w:r>
        <w:rPr>
          <w:rFonts w:hint="eastAsia"/>
        </w:rPr>
        <w:t>事故</w:t>
      </w:r>
      <w:r>
        <w:t>风险</w:t>
      </w:r>
      <w:r>
        <w:rPr>
          <w:rFonts w:hint="eastAsia"/>
        </w:rPr>
        <w:t>；</w:t>
      </w:r>
    </w:p>
    <w:p w14:paraId="0DCD3E1C">
      <w:pPr>
        <w:ind w:firstLine="420" w:firstLineChars="200"/>
      </w:pPr>
      <w:r>
        <w:t xml:space="preserve">6 </w:t>
      </w:r>
      <w:r>
        <w:rPr>
          <w:rFonts w:hint="eastAsia"/>
        </w:rPr>
        <w:t xml:space="preserve"> 当发生有轨</w:t>
      </w:r>
      <w:r>
        <w:t>电车</w:t>
      </w:r>
      <w:r>
        <w:rPr>
          <w:rFonts w:hint="eastAsia"/>
        </w:rPr>
        <w:t>设施安全事故时，应及时上报</w:t>
      </w:r>
      <w:r>
        <w:t>并</w:t>
      </w:r>
      <w:r>
        <w:rPr>
          <w:rFonts w:hint="eastAsia"/>
        </w:rPr>
        <w:t>参与救援抢险、事故调查分析等应急</w:t>
      </w:r>
      <w:r>
        <w:t>处置</w:t>
      </w:r>
      <w:r>
        <w:rPr>
          <w:rFonts w:hint="eastAsia"/>
        </w:rPr>
        <w:t>工作；</w:t>
      </w:r>
    </w:p>
    <w:p w14:paraId="15D47A69">
      <w:pPr>
        <w:ind w:firstLine="420" w:firstLineChars="200"/>
      </w:pPr>
      <w:r>
        <w:t>7</w:t>
      </w:r>
      <w:r>
        <w:rPr>
          <w:rFonts w:hint="eastAsia"/>
        </w:rPr>
        <w:t xml:space="preserve">  阶段</w:t>
      </w:r>
      <w:r>
        <w:t>报告</w:t>
      </w:r>
      <w:r>
        <w:rPr>
          <w:rFonts w:hint="eastAsia"/>
        </w:rPr>
        <w:t>宜</w:t>
      </w:r>
      <w:r>
        <w:t>分为</w:t>
      </w:r>
      <w:r>
        <w:rPr>
          <w:rFonts w:hint="eastAsia"/>
        </w:rPr>
        <w:t>周报</w:t>
      </w:r>
      <w:r>
        <w:t>、月报，应在当</w:t>
      </w:r>
      <w:r>
        <w:rPr>
          <w:rFonts w:hint="eastAsia"/>
        </w:rPr>
        <w:t>周</w:t>
      </w:r>
      <w:r>
        <w:t>（月）</w:t>
      </w:r>
      <w:r>
        <w:rPr>
          <w:rFonts w:hint="eastAsia"/>
        </w:rPr>
        <w:t>保护</w:t>
      </w:r>
      <w:r>
        <w:t>巡检工作完成后提交</w:t>
      </w:r>
      <w:r>
        <w:rPr>
          <w:rFonts w:hint="eastAsia"/>
        </w:rPr>
        <w:t>，</w:t>
      </w:r>
      <w:r>
        <w:t>主要内容应包括工作汇总、分析总结、违规处理</w:t>
      </w:r>
      <w:r>
        <w:rPr>
          <w:rFonts w:hint="eastAsia"/>
        </w:rPr>
        <w:t>、</w:t>
      </w:r>
      <w:r>
        <w:t>重点项目监控</w:t>
      </w:r>
      <w:r>
        <w:rPr>
          <w:rFonts w:hint="eastAsia"/>
        </w:rPr>
        <w:t>情况</w:t>
      </w:r>
      <w:r>
        <w:t>等</w:t>
      </w:r>
      <w:r>
        <w:rPr>
          <w:rFonts w:hint="eastAsia"/>
        </w:rPr>
        <w:t>。</w:t>
      </w:r>
    </w:p>
    <w:p w14:paraId="1368D781">
      <w:r>
        <w:t xml:space="preserve">6.3.2 </w:t>
      </w:r>
      <w:r>
        <w:rPr>
          <w:rFonts w:hint="eastAsia"/>
        </w:rPr>
        <w:t>保护巡检宜</w:t>
      </w:r>
      <w:r>
        <w:t>建立信息化管理系统，</w:t>
      </w:r>
      <w:r>
        <w:rPr>
          <w:rFonts w:hint="eastAsia"/>
        </w:rPr>
        <w:t>实时</w:t>
      </w:r>
      <w:r>
        <w:t>反映</w:t>
      </w:r>
      <w:r>
        <w:rPr>
          <w:rFonts w:hint="eastAsia"/>
        </w:rPr>
        <w:t>巡检</w:t>
      </w:r>
      <w:r>
        <w:t>现场</w:t>
      </w:r>
      <w:r>
        <w:rPr>
          <w:rFonts w:hint="eastAsia"/>
        </w:rPr>
        <w:t>情况，便于相关</w:t>
      </w:r>
      <w:r>
        <w:t>信息的</w:t>
      </w:r>
      <w:r>
        <w:rPr>
          <w:rFonts w:hint="eastAsia"/>
        </w:rPr>
        <w:t>判别</w:t>
      </w:r>
      <w:r>
        <w:t>。</w:t>
      </w:r>
    </w:p>
    <w:p w14:paraId="4438AB3B">
      <w:pPr>
        <w:sectPr>
          <w:pgSz w:w="11906" w:h="16838"/>
          <w:pgMar w:top="1440" w:right="1800" w:bottom="1440" w:left="2268" w:header="851" w:footer="992" w:gutter="0"/>
          <w:cols w:space="425" w:num="1"/>
          <w:docGrid w:type="lines" w:linePitch="312" w:charSpace="0"/>
        </w:sectPr>
      </w:pPr>
    </w:p>
    <w:p w14:paraId="42F8BDCA">
      <w:pPr>
        <w:pStyle w:val="3"/>
        <w:widowControl/>
        <w:numPr>
          <w:ilvl w:val="0"/>
          <w:numId w:val="1"/>
        </w:numPr>
        <w:tabs>
          <w:tab w:val="left" w:pos="425"/>
          <w:tab w:val="clear" w:pos="2694"/>
        </w:tabs>
        <w:spacing w:before="0" w:after="0" w:line="360" w:lineRule="auto"/>
        <w:ind w:left="0" w:firstLine="0"/>
        <w:jc w:val="center"/>
        <w:outlineLvl w:val="0"/>
        <w:rPr>
          <w:rFonts w:ascii="Times New Roman" w:hAnsi="Times New Roman"/>
          <w:bCs w:val="0"/>
          <w:caps w:val="0"/>
          <w:kern w:val="0"/>
          <w:szCs w:val="24"/>
        </w:rPr>
      </w:pPr>
      <w:bookmarkStart w:id="66" w:name="_Toc103169266"/>
      <w:bookmarkStart w:id="67" w:name="_Toc25829186"/>
      <w:bookmarkStart w:id="68" w:name="_Toc25828261"/>
      <w:r>
        <w:rPr>
          <w:rFonts w:hint="eastAsia" w:ascii="Times New Roman" w:hAnsi="Times New Roman"/>
          <w:bCs w:val="0"/>
          <w:caps w:val="0"/>
          <w:kern w:val="0"/>
          <w:szCs w:val="24"/>
        </w:rPr>
        <w:t>信息管理</w:t>
      </w:r>
      <w:bookmarkEnd w:id="66"/>
      <w:bookmarkEnd w:id="67"/>
      <w:bookmarkEnd w:id="68"/>
    </w:p>
    <w:p w14:paraId="5B95B6E9">
      <w:pPr>
        <w:pStyle w:val="3"/>
        <w:widowControl/>
        <w:spacing w:before="0" w:after="0" w:line="360" w:lineRule="auto"/>
        <w:jc w:val="center"/>
        <w:outlineLvl w:val="1"/>
        <w:rPr>
          <w:rStyle w:val="30"/>
          <w:rFonts w:ascii="Times New Roman" w:hAnsi="Times New Roman"/>
          <w:bCs w:val="0"/>
          <w:caps w:val="0"/>
          <w:kern w:val="0"/>
          <w:sz w:val="21"/>
          <w:szCs w:val="21"/>
        </w:rPr>
      </w:pPr>
      <w:bookmarkStart w:id="69" w:name="_Toc103169267"/>
      <w:bookmarkStart w:id="70" w:name="_Toc25829190"/>
      <w:bookmarkStart w:id="71" w:name="_Toc25828265"/>
      <w:r>
        <w:rPr>
          <w:rStyle w:val="30"/>
          <w:rFonts w:hint="eastAsia" w:ascii="Times New Roman" w:hAnsi="Times New Roman"/>
          <w:bCs w:val="0"/>
          <w:caps w:val="0"/>
          <w:kern w:val="0"/>
          <w:sz w:val="21"/>
          <w:szCs w:val="21"/>
        </w:rPr>
        <w:t>7.1  一般规定</w:t>
      </w:r>
      <w:bookmarkEnd w:id="69"/>
    </w:p>
    <w:p w14:paraId="19970241">
      <w:r>
        <w:rPr>
          <w:rFonts w:hint="eastAsia"/>
        </w:rPr>
        <w:t>7.1.1  有轨电车经营单位宜围绕有轨电车设施保护的各项业务需求，统筹设计信息管理系统，为有轨电车设施保护管理创建信息管理平台。</w:t>
      </w:r>
    </w:p>
    <w:p w14:paraId="513E49E2">
      <w:r>
        <w:t xml:space="preserve">7.1.2  </w:t>
      </w:r>
      <w:r>
        <w:rPr>
          <w:rFonts w:hint="eastAsia"/>
        </w:rPr>
        <w:t>信息管理平台的建设应以业务工作划分为基础，采用模块化和可扩展性设计，分批分期逐步组织实施。</w:t>
      </w:r>
    </w:p>
    <w:p w14:paraId="5DA54DDF">
      <w:r>
        <w:t xml:space="preserve">7.1.3  </w:t>
      </w:r>
      <w:r>
        <w:rPr>
          <w:rFonts w:hint="eastAsia"/>
        </w:rPr>
        <w:t>信息管理平台宜实现有轨电车的安全巡检管理、外部作业审批和作业过程管控、监测、预警处置等业务的标准化与信息化管理。</w:t>
      </w:r>
    </w:p>
    <w:p w14:paraId="29A95DFF">
      <w:r>
        <w:t>7.1.</w:t>
      </w:r>
      <w:r>
        <w:rPr>
          <w:rFonts w:hint="eastAsia"/>
        </w:rPr>
        <w:t>4</w:t>
      </w:r>
      <w:r>
        <w:t xml:space="preserve">  </w:t>
      </w:r>
      <w:r>
        <w:rPr>
          <w:rFonts w:hint="eastAsia"/>
        </w:rPr>
        <w:t>信息平台宜录入所有在控工点现场巡检的图片及文字资料等，各层级管理人员根据权限上传、编辑、查阅或下载。</w:t>
      </w:r>
    </w:p>
    <w:p w14:paraId="6187CE62">
      <w:r>
        <w:t>7.1.</w:t>
      </w:r>
      <w:r>
        <w:rPr>
          <w:rFonts w:hint="eastAsia"/>
        </w:rPr>
        <w:t>5</w:t>
      </w:r>
      <w:r>
        <w:t xml:space="preserve">  </w:t>
      </w:r>
      <w:r>
        <w:rPr>
          <w:rFonts w:hint="eastAsia"/>
        </w:rPr>
        <w:t>有轨电车巡查人员可配备手持定位设备，实时反映现场状况与有轨电车的相对关系，便于现场人员和管理人员对巡检信息的判读。</w:t>
      </w:r>
    </w:p>
    <w:p w14:paraId="32058222">
      <w:pPr>
        <w:pStyle w:val="3"/>
        <w:widowControl/>
        <w:spacing w:before="0" w:after="0" w:line="360" w:lineRule="auto"/>
        <w:jc w:val="center"/>
        <w:outlineLvl w:val="1"/>
        <w:rPr>
          <w:rStyle w:val="30"/>
          <w:rFonts w:ascii="Times New Roman" w:hAnsi="Times New Roman"/>
          <w:bCs w:val="0"/>
          <w:caps w:val="0"/>
          <w:kern w:val="0"/>
          <w:sz w:val="21"/>
          <w:szCs w:val="21"/>
        </w:rPr>
      </w:pPr>
      <w:bookmarkStart w:id="72" w:name="_Toc103169268"/>
      <w:r>
        <w:rPr>
          <w:rStyle w:val="30"/>
          <w:rFonts w:hint="eastAsia" w:ascii="Times New Roman" w:hAnsi="Times New Roman"/>
          <w:bCs w:val="0"/>
          <w:caps w:val="0"/>
          <w:kern w:val="0"/>
          <w:sz w:val="21"/>
          <w:szCs w:val="21"/>
        </w:rPr>
        <w:t>7.2  监测信息</w:t>
      </w:r>
      <w:bookmarkEnd w:id="72"/>
    </w:p>
    <w:p w14:paraId="185E27D9">
      <w:r>
        <w:t xml:space="preserve">7.2.1  </w:t>
      </w:r>
      <w:r>
        <w:rPr>
          <w:rFonts w:hint="eastAsia"/>
        </w:rPr>
        <w:t>有轨电车设施的监测工作，不得影响有轨电车的正常运营。</w:t>
      </w:r>
    </w:p>
    <w:p w14:paraId="6F2B6CF9">
      <w:r>
        <w:t xml:space="preserve">7.2.2  </w:t>
      </w:r>
      <w:r>
        <w:rPr>
          <w:rFonts w:hint="eastAsia"/>
        </w:rPr>
        <w:t>有轨电车设施的监测流程应为：（</w:t>
      </w:r>
      <w:r>
        <w:t>1</w:t>
      </w:r>
      <w:r>
        <w:rPr>
          <w:rFonts w:hint="eastAsia"/>
        </w:rPr>
        <w:t>）收集资料、现场踏勘；（</w:t>
      </w:r>
      <w:r>
        <w:t>2</w:t>
      </w:r>
      <w:r>
        <w:rPr>
          <w:rFonts w:hint="eastAsia"/>
        </w:rPr>
        <w:t>）编制和执行监测方案；（</w:t>
      </w:r>
      <w:r>
        <w:t>3</w:t>
      </w:r>
      <w:r>
        <w:rPr>
          <w:rFonts w:hint="eastAsia"/>
        </w:rPr>
        <w:t>）监测信息收集、处理和分析；（</w:t>
      </w:r>
      <w:r>
        <w:t>4</w:t>
      </w:r>
      <w:r>
        <w:rPr>
          <w:rFonts w:hint="eastAsia"/>
        </w:rPr>
        <w:t>）信息反馈及成果提交；（</w:t>
      </w:r>
      <w:r>
        <w:t>5</w:t>
      </w:r>
      <w:r>
        <w:rPr>
          <w:rFonts w:hint="eastAsia"/>
        </w:rPr>
        <w:t>）终止监测。</w:t>
      </w:r>
    </w:p>
    <w:p w14:paraId="70006EAF">
      <w:r>
        <w:t xml:space="preserve">7.2.3  </w:t>
      </w:r>
      <w:r>
        <w:rPr>
          <w:rFonts w:hint="eastAsia" w:ascii="Times" w:hAnsi="宋体"/>
        </w:rPr>
        <w:t>有轨电车设施的监测方案，应依据结构受外部作业的影响特征、结构安全保护要求及外部作业实施前所开展的安全评估成果编制。</w:t>
      </w:r>
    </w:p>
    <w:p w14:paraId="5BA334DF">
      <w:pPr>
        <w:tabs>
          <w:tab w:val="left" w:pos="900"/>
        </w:tabs>
        <w:rPr>
          <w:rFonts w:ascii="Times" w:hAnsi="宋体"/>
        </w:rPr>
      </w:pPr>
      <w:r>
        <w:rPr>
          <w:rFonts w:ascii="Times" w:hAnsi="宋体"/>
        </w:rPr>
        <w:t xml:space="preserve">7.2.4  </w:t>
      </w:r>
      <w:r>
        <w:rPr>
          <w:rFonts w:hint="eastAsia" w:ascii="Times" w:hAnsi="宋体"/>
        </w:rPr>
        <w:t>有轨电车设施的监测方法应根据监测对象和监测项目的特点，工程监测等级、设计要求、精度要求、场地条件和当地工程经验等综合确定。</w:t>
      </w:r>
    </w:p>
    <w:p w14:paraId="1F302E3F">
      <w:pPr>
        <w:tabs>
          <w:tab w:val="left" w:pos="900"/>
        </w:tabs>
        <w:rPr>
          <w:rFonts w:ascii="Times" w:hAnsi="宋体"/>
        </w:rPr>
      </w:pPr>
      <w:r>
        <w:rPr>
          <w:rFonts w:ascii="Times" w:hAnsi="宋体"/>
        </w:rPr>
        <w:t>7.2.</w:t>
      </w:r>
      <w:r>
        <w:rPr>
          <w:rFonts w:hint="eastAsia" w:ascii="Times" w:hAnsi="宋体"/>
        </w:rPr>
        <w:t>5</w:t>
      </w:r>
      <w:r>
        <w:rPr>
          <w:rFonts w:ascii="Times" w:hAnsi="宋体"/>
        </w:rPr>
        <w:t xml:space="preserve">  </w:t>
      </w:r>
      <w:r>
        <w:rPr>
          <w:rFonts w:hint="eastAsia" w:ascii="Times" w:hAnsi="宋体"/>
        </w:rPr>
        <w:t>有轨电车高架结构保护监测应包含桥墩柱结构沉降、桥墩柱倾斜以及裂缝监测；必要时增加桥面结构监测、应变监测、索力监测和环境及效应监测。既有路基结构保护监测应包含基础沉降、差异沉降及裂缝监测等。</w:t>
      </w:r>
    </w:p>
    <w:p w14:paraId="166AFB8F">
      <w:pPr>
        <w:rPr>
          <w:rFonts w:ascii="Times" w:hAnsi="宋体"/>
        </w:rPr>
      </w:pPr>
      <w:r>
        <w:rPr>
          <w:rFonts w:ascii="Times" w:hAnsi="宋体"/>
        </w:rPr>
        <w:t xml:space="preserve">7.2.6  </w:t>
      </w:r>
      <w:r>
        <w:rPr>
          <w:rFonts w:hint="eastAsia" w:ascii="Times" w:hAnsi="宋体"/>
        </w:rPr>
        <w:t>对于临近江、河、湖、海等水体的有轨电车线路，宜设置临近水体的水位监测信息系统，便于应对水位上涨带来的突发事件。</w:t>
      </w:r>
      <w:r>
        <w:rPr>
          <w:rFonts w:ascii="Times" w:hAnsi="宋体"/>
        </w:rPr>
        <w:t>水位监测系统的前端数据采集探头宜采用非接触式设备</w:t>
      </w:r>
      <w:r>
        <w:rPr>
          <w:rFonts w:hint="eastAsia" w:ascii="Times" w:hAnsi="宋体"/>
        </w:rPr>
        <w:t>，</w:t>
      </w:r>
      <w:r>
        <w:rPr>
          <w:rFonts w:ascii="Times" w:hAnsi="宋体"/>
        </w:rPr>
        <w:t>系统应具备短期水位预测及精度校准等功能，以提高预警的时效性。</w:t>
      </w:r>
    </w:p>
    <w:p w14:paraId="21415A2B">
      <w:pPr>
        <w:snapToGrid w:val="0"/>
        <w:rPr>
          <w:rFonts w:ascii="Times" w:hAnsi="宋体"/>
        </w:rPr>
      </w:pPr>
      <w:r>
        <w:rPr>
          <w:rFonts w:ascii="Times" w:hAnsi="宋体"/>
        </w:rPr>
        <w:t>7.2.</w:t>
      </w:r>
      <w:r>
        <w:rPr>
          <w:rFonts w:hint="eastAsia" w:ascii="Times" w:hAnsi="宋体"/>
        </w:rPr>
        <w:t>7</w:t>
      </w:r>
      <w:r>
        <w:rPr>
          <w:rFonts w:ascii="Times" w:hAnsi="宋体"/>
        </w:rPr>
        <w:t xml:space="preserve">  有轨电车地面区段宜设置风力监控信息系统，便于在台风等恶劣天气</w:t>
      </w:r>
      <w:r>
        <w:rPr>
          <w:rFonts w:hint="eastAsia" w:ascii="Times" w:hAnsi="宋体"/>
        </w:rPr>
        <w:t>时，</w:t>
      </w:r>
      <w:r>
        <w:rPr>
          <w:rFonts w:ascii="Times" w:hAnsi="宋体"/>
        </w:rPr>
        <w:t>作出及时、准确的判断和应对，系统应根据应急需求设置不同响应等级的</w:t>
      </w:r>
      <w:r>
        <w:rPr>
          <w:rFonts w:hint="eastAsia" w:ascii="Times" w:hAnsi="宋体"/>
        </w:rPr>
        <w:t>预</w:t>
      </w:r>
      <w:r>
        <w:rPr>
          <w:rFonts w:ascii="Times" w:hAnsi="宋体"/>
        </w:rPr>
        <w:t>警值。</w:t>
      </w:r>
    </w:p>
    <w:p w14:paraId="632CE675">
      <w:r>
        <w:t>7.2.</w:t>
      </w:r>
      <w:r>
        <w:rPr>
          <w:rFonts w:hint="eastAsia"/>
        </w:rPr>
        <w:t>8</w:t>
      </w:r>
      <w:r>
        <w:t xml:space="preserve">  </w:t>
      </w:r>
      <w:r>
        <w:rPr>
          <w:rFonts w:hint="eastAsia"/>
        </w:rPr>
        <w:t>有轨电车设施监测应接入统一的监测信息系统，系统宜与物联网、</w:t>
      </w:r>
      <w:r>
        <w:t>BIM</w:t>
      </w:r>
      <w:r>
        <w:rPr>
          <w:rFonts w:hint="eastAsia"/>
        </w:rPr>
        <w:t>、</w:t>
      </w:r>
      <w:r>
        <w:t>GIS</w:t>
      </w:r>
      <w:r>
        <w:rPr>
          <w:rFonts w:hint="eastAsia"/>
        </w:rPr>
        <w:t>技术相结合，具备信息交换、数据管理、数据查询、数据使用、成果输出及系统维护等功能。</w:t>
      </w:r>
    </w:p>
    <w:p w14:paraId="15E0B017">
      <w:pPr>
        <w:pStyle w:val="3"/>
        <w:widowControl/>
        <w:spacing w:before="0" w:after="0" w:line="360" w:lineRule="auto"/>
        <w:jc w:val="center"/>
        <w:outlineLvl w:val="1"/>
        <w:rPr>
          <w:rStyle w:val="30"/>
          <w:rFonts w:ascii="Times New Roman" w:hAnsi="Times New Roman"/>
          <w:bCs w:val="0"/>
          <w:caps w:val="0"/>
          <w:kern w:val="0"/>
          <w:sz w:val="21"/>
          <w:szCs w:val="21"/>
        </w:rPr>
      </w:pPr>
      <w:bookmarkStart w:id="73" w:name="_Toc103169269"/>
      <w:r>
        <w:rPr>
          <w:rStyle w:val="30"/>
          <w:rFonts w:hint="eastAsia" w:ascii="Times New Roman" w:hAnsi="Times New Roman"/>
          <w:bCs w:val="0"/>
          <w:caps w:val="0"/>
          <w:kern w:val="0"/>
          <w:sz w:val="21"/>
          <w:szCs w:val="21"/>
        </w:rPr>
        <w:t>7.3  视频信息</w:t>
      </w:r>
      <w:bookmarkEnd w:id="73"/>
    </w:p>
    <w:p w14:paraId="67D030A7">
      <w:r>
        <w:rPr>
          <w:rFonts w:hint="eastAsia"/>
        </w:rPr>
        <w:t>7.3.1  为了有效、及时地</w:t>
      </w:r>
      <w:r>
        <w:t>监管外部作业实施过程中</w:t>
      </w:r>
      <w:r>
        <w:rPr>
          <w:rFonts w:hint="eastAsia"/>
        </w:rPr>
        <w:t>有轨电车</w:t>
      </w:r>
      <w:r>
        <w:t>设施保护的</w:t>
      </w:r>
      <w:r>
        <w:rPr>
          <w:rFonts w:hint="eastAsia"/>
        </w:rPr>
        <w:t>落实情况</w:t>
      </w:r>
      <w:r>
        <w:t>，</w:t>
      </w:r>
      <w:r>
        <w:rPr>
          <w:rFonts w:hint="eastAsia"/>
        </w:rPr>
        <w:t>有</w:t>
      </w:r>
      <w:r>
        <w:t>重大影响</w:t>
      </w:r>
      <w:r>
        <w:rPr>
          <w:rFonts w:hint="eastAsia"/>
        </w:rPr>
        <w:t>的</w:t>
      </w:r>
      <w:r>
        <w:t>外部作业实施前应由外部作业建设单位建立</w:t>
      </w:r>
      <w:bookmarkStart w:id="74" w:name="OLE_LINK3"/>
      <w:r>
        <w:t>现场视频监控系统</w:t>
      </w:r>
      <w:bookmarkEnd w:id="74"/>
      <w:r>
        <w:t>。</w:t>
      </w:r>
    </w:p>
    <w:p w14:paraId="38E76FC1">
      <w:r>
        <w:rPr>
          <w:rFonts w:hint="eastAsia"/>
        </w:rPr>
        <w:t xml:space="preserve">7.3.2  </w:t>
      </w:r>
      <w:r>
        <w:t>现场视频监控系统的主要监控范围为可能危害</w:t>
      </w:r>
      <w:r>
        <w:rPr>
          <w:rFonts w:hint="eastAsia"/>
        </w:rPr>
        <w:t>有轨电车</w:t>
      </w:r>
      <w:r>
        <w:t>设施安全的</w:t>
      </w:r>
      <w:r>
        <w:rPr>
          <w:rFonts w:hint="eastAsia"/>
        </w:rPr>
        <w:t>外部</w:t>
      </w:r>
      <w:r>
        <w:t>作业现场。</w:t>
      </w:r>
    </w:p>
    <w:p w14:paraId="21B706F9">
      <w:r>
        <w:t xml:space="preserve">7.3.3  </w:t>
      </w:r>
      <w:r>
        <w:rPr>
          <w:rFonts w:hint="eastAsia"/>
        </w:rPr>
        <w:t>现场视频应能够实现监视、录像、回放、备份、报警及网络浏览等功能，存储设备应能够满足对所有摄像机</w:t>
      </w:r>
      <w:r>
        <w:t>24</w:t>
      </w:r>
      <w:r>
        <w:rPr>
          <w:rFonts w:hint="eastAsia"/>
        </w:rPr>
        <w:t>小时不间断录像，录像保存时间应至外部作业施工完毕且有轨电车结构监测数据稳定一个月后为止。</w:t>
      </w:r>
    </w:p>
    <w:p w14:paraId="0593395B">
      <w:r>
        <w:rPr>
          <w:rFonts w:hint="eastAsia"/>
        </w:rPr>
        <w:t>7.3.4  有轨电车经营单位应能够远程实时查阅外部作业的实时监控</w:t>
      </w:r>
      <w:bookmarkStart w:id="75" w:name="OLE_LINK6"/>
      <w:r>
        <w:rPr>
          <w:rFonts w:hint="eastAsia"/>
        </w:rPr>
        <w:t>视频</w:t>
      </w:r>
      <w:bookmarkEnd w:id="75"/>
      <w:r>
        <w:rPr>
          <w:rFonts w:hint="eastAsia"/>
        </w:rPr>
        <w:t>和历史录像视频。</w:t>
      </w:r>
    </w:p>
    <w:p w14:paraId="7C0C02B1">
      <w:r>
        <w:t xml:space="preserve">7.3.5  </w:t>
      </w:r>
      <w:r>
        <w:rPr>
          <w:rFonts w:hint="eastAsia"/>
        </w:rPr>
        <w:t>外部作业建设单位应负责管理和维护现场视频监控系统，确保作业实施全过程的视频信息传输至信息平台。</w:t>
      </w:r>
    </w:p>
    <w:p w14:paraId="6DE02382"/>
    <w:bookmarkEnd w:id="70"/>
    <w:bookmarkEnd w:id="71"/>
    <w:p w14:paraId="7FC35877">
      <w:pPr>
        <w:sectPr>
          <w:pgSz w:w="11906" w:h="16838"/>
          <w:pgMar w:top="1440" w:right="1800" w:bottom="1440" w:left="2268" w:header="851" w:footer="992" w:gutter="0"/>
          <w:cols w:space="425" w:num="1"/>
          <w:docGrid w:type="lines" w:linePitch="312" w:charSpace="0"/>
        </w:sectPr>
      </w:pPr>
    </w:p>
    <w:p w14:paraId="233260D1">
      <w:pPr>
        <w:spacing w:after="312" w:afterLines="100"/>
        <w:jc w:val="center"/>
        <w:outlineLvl w:val="0"/>
        <w:rPr>
          <w:sz w:val="36"/>
          <w:szCs w:val="36"/>
        </w:rPr>
      </w:pPr>
      <w:bookmarkStart w:id="76" w:name="_Toc469911189"/>
      <w:bookmarkStart w:id="77" w:name="_Toc524103975"/>
      <w:bookmarkStart w:id="78" w:name="_Toc103169270"/>
      <w:r>
        <w:rPr>
          <w:rFonts w:hint="eastAsia"/>
          <w:sz w:val="36"/>
          <w:szCs w:val="36"/>
        </w:rPr>
        <w:t>本规范用词说明</w:t>
      </w:r>
      <w:bookmarkEnd w:id="76"/>
      <w:bookmarkEnd w:id="77"/>
      <w:bookmarkEnd w:id="78"/>
    </w:p>
    <w:p w14:paraId="5EB8FD01">
      <w:pPr>
        <w:ind w:firstLine="422" w:firstLineChars="200"/>
        <w:jc w:val="left"/>
      </w:pPr>
      <w:r>
        <w:rPr>
          <w:b/>
        </w:rPr>
        <w:t>1</w:t>
      </w:r>
      <w:r>
        <w:rPr>
          <w:rFonts w:hint="eastAsia"/>
          <w:b/>
        </w:rPr>
        <w:t xml:space="preserve">  </w:t>
      </w:r>
      <w:r>
        <w:t>为便于在执行本规范条文时区别对待，对要求严格程度不同的用词，说明如下：</w:t>
      </w:r>
    </w:p>
    <w:p w14:paraId="79CEE959">
      <w:pPr>
        <w:ind w:firstLine="420" w:firstLineChars="200"/>
        <w:jc w:val="left"/>
      </w:pPr>
      <w:r>
        <w:rPr>
          <w:rFonts w:hint="eastAsia"/>
        </w:rPr>
        <w:t xml:space="preserve">1） </w:t>
      </w:r>
      <w:r>
        <w:t xml:space="preserve"> </w:t>
      </w:r>
      <w:r>
        <w:rPr>
          <w:rFonts w:hint="eastAsia"/>
        </w:rPr>
        <w:t>表示很严格，非这样做不可的：</w:t>
      </w:r>
    </w:p>
    <w:p w14:paraId="11DB014F">
      <w:pPr>
        <w:ind w:firstLine="420" w:firstLineChars="200"/>
        <w:jc w:val="left"/>
      </w:pPr>
      <w:r>
        <w:rPr>
          <w:rFonts w:hint="eastAsia"/>
        </w:rPr>
        <w:t xml:space="preserve">    </w:t>
      </w:r>
      <w:r>
        <w:t xml:space="preserve"> </w:t>
      </w:r>
      <w:r>
        <w:rPr>
          <w:rFonts w:hint="eastAsia"/>
        </w:rPr>
        <w:t>正面词采用“必须”；反面词采用“严禁”。</w:t>
      </w:r>
    </w:p>
    <w:p w14:paraId="19CDDE7C">
      <w:pPr>
        <w:ind w:firstLine="420" w:firstLineChars="200"/>
        <w:jc w:val="left"/>
      </w:pPr>
      <w:r>
        <w:rPr>
          <w:rFonts w:hint="eastAsia"/>
        </w:rPr>
        <w:t>2）  表示严格，在正常情况下均应这样做的：</w:t>
      </w:r>
    </w:p>
    <w:p w14:paraId="09DD0A06">
      <w:pPr>
        <w:ind w:firstLine="420" w:firstLineChars="200"/>
        <w:jc w:val="left"/>
      </w:pPr>
      <w:r>
        <w:rPr>
          <w:rFonts w:hint="eastAsia"/>
        </w:rPr>
        <w:t xml:space="preserve">    </w:t>
      </w:r>
      <w:r>
        <w:t xml:space="preserve"> </w:t>
      </w:r>
      <w:r>
        <w:rPr>
          <w:rFonts w:hint="eastAsia"/>
        </w:rPr>
        <w:t>正面词采用“应”；反面词采用“不应”或“不得”。</w:t>
      </w:r>
    </w:p>
    <w:p w14:paraId="7FD64CE3">
      <w:pPr>
        <w:ind w:firstLine="420" w:firstLineChars="200"/>
        <w:jc w:val="left"/>
      </w:pPr>
      <w:r>
        <w:rPr>
          <w:rFonts w:hint="eastAsia"/>
        </w:rPr>
        <w:t>3）  表示允许稍有选择，在条件许可时首先应这样做的：</w:t>
      </w:r>
    </w:p>
    <w:p w14:paraId="5B508FF5">
      <w:pPr>
        <w:ind w:firstLine="420" w:firstLineChars="200"/>
        <w:jc w:val="left"/>
      </w:pPr>
      <w:r>
        <w:rPr>
          <w:rFonts w:hint="eastAsia"/>
        </w:rPr>
        <w:t xml:space="preserve">    </w:t>
      </w:r>
      <w:r>
        <w:t xml:space="preserve"> </w:t>
      </w:r>
      <w:r>
        <w:rPr>
          <w:rFonts w:hint="eastAsia"/>
        </w:rPr>
        <w:t>正面词采用“宜”；反面词采用“不宜”。</w:t>
      </w:r>
    </w:p>
    <w:p w14:paraId="3CAF8EA2">
      <w:pPr>
        <w:ind w:firstLine="420" w:firstLineChars="200"/>
        <w:jc w:val="left"/>
      </w:pPr>
      <w:r>
        <w:rPr>
          <w:rFonts w:hint="eastAsia"/>
        </w:rPr>
        <w:t>4）  表示有选择，在一定条件下可以这样做的，采用“可”。</w:t>
      </w:r>
    </w:p>
    <w:p w14:paraId="35FFB485">
      <w:pPr>
        <w:ind w:firstLine="422" w:firstLineChars="200"/>
        <w:jc w:val="left"/>
      </w:pPr>
      <w:r>
        <w:rPr>
          <w:b/>
        </w:rPr>
        <w:t xml:space="preserve">2  </w:t>
      </w:r>
      <w:r>
        <w:rPr>
          <w:rFonts w:hint="eastAsia"/>
        </w:rPr>
        <w:t>条文中指定应按其他有关标准、规范执行时，写法为“</w:t>
      </w:r>
      <w:r>
        <w:t>应按……执行</w:t>
      </w:r>
      <w:r>
        <w:rPr>
          <w:rFonts w:hint="eastAsia"/>
        </w:rPr>
        <w:t>”</w:t>
      </w:r>
      <w:r>
        <w:t>或</w:t>
      </w:r>
      <w:r>
        <w:rPr>
          <w:rFonts w:hint="eastAsia"/>
        </w:rPr>
        <w:t>“</w:t>
      </w:r>
      <w:r>
        <w:t>应符合……</w:t>
      </w:r>
      <w:r>
        <w:rPr>
          <w:rFonts w:hint="eastAsia"/>
        </w:rPr>
        <w:t>的规定”</w:t>
      </w:r>
      <w:r>
        <w:t>。</w:t>
      </w:r>
    </w:p>
    <w:p w14:paraId="2DBD19B9">
      <w:pPr>
        <w:spacing w:before="624" w:beforeLines="200" w:after="312" w:afterLines="100"/>
        <w:jc w:val="center"/>
        <w:outlineLvl w:val="0"/>
        <w:rPr>
          <w:sz w:val="36"/>
          <w:szCs w:val="36"/>
        </w:rPr>
      </w:pPr>
      <w:bookmarkStart w:id="79" w:name="_Toc295745297"/>
      <w:bookmarkStart w:id="80" w:name="_Toc295743974"/>
      <w:bookmarkStart w:id="81" w:name="_Toc295744074"/>
      <w:r>
        <w:rPr>
          <w:sz w:val="36"/>
          <w:szCs w:val="36"/>
        </w:rPr>
        <w:br w:type="page"/>
      </w:r>
      <w:bookmarkStart w:id="82" w:name="_Toc524103976"/>
      <w:bookmarkStart w:id="83" w:name="_Toc103169271"/>
      <w:bookmarkStart w:id="84" w:name="_Toc326729720"/>
      <w:bookmarkStart w:id="85" w:name="_Toc469911190"/>
      <w:r>
        <w:rPr>
          <w:rFonts w:hint="eastAsia"/>
          <w:sz w:val="36"/>
          <w:szCs w:val="36"/>
        </w:rPr>
        <w:t>引用标准名录</w:t>
      </w:r>
      <w:bookmarkEnd w:id="79"/>
      <w:bookmarkEnd w:id="80"/>
      <w:bookmarkEnd w:id="81"/>
      <w:bookmarkEnd w:id="82"/>
      <w:bookmarkEnd w:id="83"/>
      <w:bookmarkEnd w:id="84"/>
      <w:bookmarkEnd w:id="85"/>
    </w:p>
    <w:p w14:paraId="4A90AC04">
      <w:pPr>
        <w:ind w:firstLine="482" w:firstLineChars="200"/>
        <w:jc w:val="left"/>
        <w:rPr>
          <w:sz w:val="24"/>
        </w:rPr>
      </w:pPr>
      <w:r>
        <w:rPr>
          <w:rFonts w:hint="eastAsia"/>
          <w:b/>
          <w:sz w:val="24"/>
        </w:rPr>
        <w:t>1</w:t>
      </w:r>
      <w:r>
        <w:rPr>
          <w:rFonts w:hint="eastAsia"/>
          <w:sz w:val="24"/>
        </w:rPr>
        <w:t xml:space="preserve">  《</w:t>
      </w:r>
      <w:r>
        <w:rPr>
          <w:rFonts w:asciiTheme="minorEastAsia" w:hAnsiTheme="minorEastAsia" w:eastAsiaTheme="minorEastAsia"/>
          <w:sz w:val="24"/>
        </w:rPr>
        <w:t>城市轨道交通结构安全保护技术规范》CJJ 202</w:t>
      </w:r>
    </w:p>
    <w:p w14:paraId="2B23FF2E">
      <w:pPr>
        <w:ind w:firstLine="482" w:firstLineChars="200"/>
        <w:jc w:val="left"/>
        <w:rPr>
          <w:rFonts w:asciiTheme="minorEastAsia" w:hAnsiTheme="minorEastAsia" w:eastAsiaTheme="minorEastAsia"/>
          <w:sz w:val="24"/>
        </w:rPr>
      </w:pPr>
      <w:r>
        <w:rPr>
          <w:rFonts w:hint="eastAsia"/>
          <w:b/>
          <w:sz w:val="24"/>
        </w:rPr>
        <w:t>2</w:t>
      </w:r>
      <w:r>
        <w:rPr>
          <w:rFonts w:hint="eastAsia"/>
          <w:sz w:val="24"/>
        </w:rPr>
        <w:t xml:space="preserve">  </w:t>
      </w:r>
      <w:r>
        <w:rPr>
          <w:rFonts w:hint="eastAsia" w:asciiTheme="minorEastAsia" w:hAnsiTheme="minorEastAsia" w:eastAsiaTheme="minorEastAsia"/>
          <w:sz w:val="24"/>
        </w:rPr>
        <w:t>广东省地方标准</w:t>
      </w:r>
      <w:r>
        <w:rPr>
          <w:rFonts w:asciiTheme="minorEastAsia" w:hAnsiTheme="minorEastAsia" w:eastAsiaTheme="minorEastAsia"/>
          <w:sz w:val="24"/>
        </w:rPr>
        <w:t>《城市轨道交通既有结构保护技术规范》DBJ/T 15-120</w:t>
      </w:r>
    </w:p>
    <w:p w14:paraId="1F014681">
      <w:pPr>
        <w:ind w:firstLine="482" w:firstLineChars="200"/>
        <w:jc w:val="left"/>
        <w:rPr>
          <w:b/>
          <w:bCs/>
          <w:sz w:val="24"/>
        </w:rPr>
      </w:pPr>
      <w:r>
        <w:rPr>
          <w:b/>
          <w:sz w:val="24"/>
        </w:rPr>
        <w:t xml:space="preserve">3  </w:t>
      </w:r>
      <w:r>
        <w:rPr>
          <w:rFonts w:hint="eastAsia"/>
          <w:sz w:val="24"/>
        </w:rPr>
        <w:t>广东省地方标准《城市桥梁隧道结构安全保护技术</w:t>
      </w:r>
      <w:r>
        <w:rPr>
          <w:rFonts w:hint="eastAsia" w:asciiTheme="minorEastAsia" w:hAnsiTheme="minorEastAsia" w:eastAsiaTheme="minorEastAsia"/>
          <w:sz w:val="24"/>
        </w:rPr>
        <w:t>规范》</w:t>
      </w:r>
      <w:r>
        <w:rPr>
          <w:rFonts w:asciiTheme="minorEastAsia" w:hAnsiTheme="minorEastAsia" w:eastAsiaTheme="minorEastAsia"/>
          <w:sz w:val="24"/>
        </w:rPr>
        <w:t>DBJ/T 15-213</w:t>
      </w:r>
    </w:p>
    <w:p w14:paraId="0EFA7E96">
      <w:pPr>
        <w:ind w:firstLine="482" w:firstLineChars="200"/>
        <w:jc w:val="left"/>
        <w:rPr>
          <w:sz w:val="24"/>
        </w:rPr>
      </w:pPr>
      <w:r>
        <w:rPr>
          <w:b/>
          <w:sz w:val="24"/>
        </w:rPr>
        <w:t xml:space="preserve">4 </w:t>
      </w:r>
      <w:r>
        <w:rPr>
          <w:rFonts w:hint="eastAsia"/>
          <w:sz w:val="24"/>
        </w:rPr>
        <w:t xml:space="preserve"> 广东省地方标准《城市轨道交通既有结构保护监测技术标准</w:t>
      </w:r>
      <w:r>
        <w:rPr>
          <w:rFonts w:hint="eastAsia" w:asciiTheme="minorEastAsia" w:hAnsiTheme="minorEastAsia" w:eastAsiaTheme="minorEastAsia"/>
          <w:sz w:val="24"/>
        </w:rPr>
        <w:t>》</w:t>
      </w:r>
      <w:r>
        <w:rPr>
          <w:rFonts w:asciiTheme="minorEastAsia" w:hAnsiTheme="minorEastAsia" w:eastAsiaTheme="minorEastAsia"/>
          <w:sz w:val="24"/>
        </w:rPr>
        <w:t>DBJ/T 15-2</w:t>
      </w:r>
      <w:r>
        <w:rPr>
          <w:rFonts w:hint="eastAsia" w:asciiTheme="minorEastAsia" w:hAnsiTheme="minorEastAsia" w:eastAsiaTheme="minorEastAsia"/>
          <w:sz w:val="24"/>
        </w:rPr>
        <w:t>31</w:t>
      </w:r>
    </w:p>
    <w:p w14:paraId="3AD6EB0D">
      <w:pPr>
        <w:ind w:firstLine="480" w:firstLineChars="200"/>
        <w:jc w:val="left"/>
        <w:rPr>
          <w:b/>
          <w:sz w:val="24"/>
        </w:rPr>
      </w:pPr>
      <w:r>
        <w:rPr>
          <w:sz w:val="24"/>
        </w:rPr>
        <w:br w:type="page"/>
      </w:r>
    </w:p>
    <w:p w14:paraId="4CD97170"/>
    <w:p w14:paraId="4CE1C328">
      <w:pPr>
        <w:spacing w:before="624" w:beforeLines="200"/>
        <w:jc w:val="center"/>
        <w:rPr>
          <w:sz w:val="36"/>
          <w:szCs w:val="36"/>
        </w:rPr>
      </w:pPr>
      <w:r>
        <w:rPr>
          <w:sz w:val="36"/>
          <w:szCs w:val="36"/>
        </w:rPr>
        <w:t>广东省标准</w:t>
      </w:r>
    </w:p>
    <w:p w14:paraId="0C08BDD6">
      <w:pPr>
        <w:rPr>
          <w:b/>
          <w:sz w:val="28"/>
          <w:szCs w:val="28"/>
        </w:rPr>
      </w:pPr>
    </w:p>
    <w:p w14:paraId="46676839">
      <w:pPr>
        <w:jc w:val="center"/>
        <w:rPr>
          <w:b/>
          <w:sz w:val="44"/>
          <w:szCs w:val="44"/>
        </w:rPr>
      </w:pPr>
      <w:r>
        <w:rPr>
          <w:rFonts w:hint="eastAsia"/>
          <w:b/>
          <w:sz w:val="44"/>
          <w:szCs w:val="44"/>
        </w:rPr>
        <w:t>有轨电车设施安全保护技术规范</w:t>
      </w:r>
    </w:p>
    <w:p w14:paraId="0816365E">
      <w:pPr>
        <w:jc w:val="center"/>
        <w:rPr>
          <w:b/>
          <w:sz w:val="36"/>
          <w:szCs w:val="36"/>
        </w:rPr>
      </w:pPr>
    </w:p>
    <w:p w14:paraId="57305797">
      <w:pPr>
        <w:jc w:val="center"/>
        <w:rPr>
          <w:sz w:val="32"/>
          <w:szCs w:val="32"/>
        </w:rPr>
      </w:pPr>
      <w:r>
        <w:rPr>
          <w:sz w:val="32"/>
          <w:szCs w:val="32"/>
        </w:rPr>
        <w:t xml:space="preserve">DBJ/T </w:t>
      </w:r>
      <w:r>
        <w:rPr>
          <w:rFonts w:hint="eastAsia"/>
          <w:sz w:val="32"/>
          <w:szCs w:val="32"/>
        </w:rPr>
        <w:t xml:space="preserve"> </w:t>
      </w:r>
      <w:r>
        <w:rPr>
          <w:rFonts w:hint="eastAsia"/>
          <w:sz w:val="30"/>
          <w:szCs w:val="30"/>
        </w:rPr>
        <w:t>XXX-XXXX</w:t>
      </w:r>
    </w:p>
    <w:p w14:paraId="749D1278"/>
    <w:p w14:paraId="48DA84E6">
      <w:pPr>
        <w:jc w:val="center"/>
        <w:outlineLvl w:val="0"/>
        <w:rPr>
          <w:sz w:val="32"/>
          <w:szCs w:val="32"/>
        </w:rPr>
      </w:pPr>
      <w:bookmarkStart w:id="86" w:name="_Toc18591592"/>
      <w:bookmarkStart w:id="87" w:name="_Toc103169272"/>
      <w:r>
        <w:rPr>
          <w:sz w:val="32"/>
          <w:szCs w:val="32"/>
        </w:rPr>
        <w:t>条文说明</w:t>
      </w:r>
      <w:bookmarkEnd w:id="86"/>
      <w:bookmarkEnd w:id="87"/>
    </w:p>
    <w:p w14:paraId="0229366A">
      <w:pPr>
        <w:jc w:val="center"/>
        <w:rPr>
          <w:sz w:val="32"/>
          <w:szCs w:val="32"/>
        </w:rPr>
      </w:pPr>
    </w:p>
    <w:p w14:paraId="02191F3C">
      <w:pPr>
        <w:jc w:val="center"/>
        <w:rPr>
          <w:sz w:val="32"/>
          <w:szCs w:val="32"/>
        </w:rPr>
      </w:pPr>
    </w:p>
    <w:p w14:paraId="18CFE00C">
      <w:pPr>
        <w:jc w:val="center"/>
        <w:rPr>
          <w:sz w:val="32"/>
          <w:szCs w:val="32"/>
        </w:rPr>
      </w:pPr>
    </w:p>
    <w:p w14:paraId="79D2ED04">
      <w:pPr>
        <w:jc w:val="center"/>
        <w:rPr>
          <w:sz w:val="32"/>
          <w:szCs w:val="32"/>
        </w:rPr>
      </w:pPr>
    </w:p>
    <w:p w14:paraId="2BDBA1AB">
      <w:pPr>
        <w:jc w:val="center"/>
        <w:rPr>
          <w:sz w:val="32"/>
          <w:szCs w:val="32"/>
        </w:rPr>
      </w:pPr>
    </w:p>
    <w:p w14:paraId="23D5DE16">
      <w:pPr>
        <w:jc w:val="center"/>
        <w:rPr>
          <w:sz w:val="32"/>
          <w:szCs w:val="32"/>
        </w:rPr>
      </w:pPr>
    </w:p>
    <w:p w14:paraId="5EB5B7F9">
      <w:pPr>
        <w:jc w:val="center"/>
        <w:rPr>
          <w:sz w:val="32"/>
          <w:szCs w:val="32"/>
        </w:rPr>
      </w:pPr>
    </w:p>
    <w:p w14:paraId="7C5FBE52">
      <w:pPr>
        <w:jc w:val="center"/>
        <w:rPr>
          <w:sz w:val="32"/>
          <w:szCs w:val="32"/>
        </w:rPr>
      </w:pPr>
    </w:p>
    <w:p w14:paraId="00153B17">
      <w:pPr>
        <w:jc w:val="center"/>
        <w:rPr>
          <w:sz w:val="32"/>
          <w:szCs w:val="32"/>
        </w:rPr>
      </w:pPr>
    </w:p>
    <w:p w14:paraId="49889907">
      <w:pPr>
        <w:jc w:val="center"/>
        <w:rPr>
          <w:sz w:val="32"/>
          <w:szCs w:val="32"/>
        </w:rPr>
      </w:pPr>
    </w:p>
    <w:p w14:paraId="186379D0">
      <w:pPr>
        <w:jc w:val="center"/>
        <w:rPr>
          <w:sz w:val="32"/>
          <w:szCs w:val="32"/>
        </w:rPr>
      </w:pPr>
    </w:p>
    <w:p w14:paraId="3B44E0A0">
      <w:pPr>
        <w:jc w:val="center"/>
        <w:rPr>
          <w:sz w:val="32"/>
          <w:szCs w:val="32"/>
        </w:rPr>
      </w:pPr>
    </w:p>
    <w:p w14:paraId="5C6A3F94">
      <w:pPr>
        <w:jc w:val="center"/>
        <w:rPr>
          <w:sz w:val="32"/>
          <w:szCs w:val="32"/>
        </w:rPr>
      </w:pPr>
    </w:p>
    <w:p w14:paraId="791C7F5B">
      <w:pPr>
        <w:widowControl/>
        <w:adjustRightInd w:val="0"/>
        <w:snapToGrid w:val="0"/>
        <w:jc w:val="center"/>
        <w:outlineLvl w:val="0"/>
        <w:rPr>
          <w:b/>
          <w:kern w:val="0"/>
          <w:sz w:val="24"/>
        </w:rPr>
        <w:sectPr>
          <w:footerReference r:id="rId10" w:type="default"/>
          <w:pgSz w:w="11906" w:h="16838"/>
          <w:pgMar w:top="1440" w:right="1797" w:bottom="1440" w:left="1797" w:header="851" w:footer="992" w:gutter="0"/>
          <w:cols w:space="425" w:num="1"/>
          <w:docGrid w:type="lines" w:linePitch="312" w:charSpace="0"/>
        </w:sectPr>
      </w:pPr>
    </w:p>
    <w:p w14:paraId="2A7FD1DD">
      <w:pPr>
        <w:jc w:val="center"/>
        <w:rPr>
          <w:sz w:val="32"/>
          <w:szCs w:val="32"/>
        </w:rPr>
      </w:pPr>
      <w:bookmarkStart w:id="88" w:name="_Toc255188828"/>
      <w:bookmarkStart w:id="89" w:name="_Toc74212677"/>
      <w:r>
        <w:rPr>
          <w:sz w:val="32"/>
          <w:szCs w:val="32"/>
        </w:rPr>
        <w:t>制订说明</w:t>
      </w:r>
      <w:bookmarkEnd w:id="88"/>
    </w:p>
    <w:p w14:paraId="04A2C6DB">
      <w:pPr>
        <w:jc w:val="center"/>
      </w:pPr>
    </w:p>
    <w:p w14:paraId="73B3828B">
      <w:pPr>
        <w:ind w:firstLine="420" w:firstLineChars="200"/>
      </w:pPr>
      <w:r>
        <w:t>《</w:t>
      </w:r>
      <w:r>
        <w:rPr>
          <w:rFonts w:hint="eastAsia"/>
        </w:rPr>
        <w:t>有轨电车设施安全保护技术规范</w:t>
      </w:r>
      <w:r>
        <w:t>》DBJ/T XXX-XXXX，经广东省住房和城乡建设厅</w:t>
      </w:r>
      <w:r>
        <w:rPr>
          <w:rFonts w:hint="eastAsia"/>
        </w:rPr>
        <w:t>XX</w:t>
      </w:r>
      <w:r>
        <w:t>年</w:t>
      </w:r>
      <w:r>
        <w:rPr>
          <w:rFonts w:hint="eastAsia"/>
        </w:rPr>
        <w:t>XX</w:t>
      </w:r>
      <w:r>
        <w:t>月</w:t>
      </w:r>
      <w:r>
        <w:rPr>
          <w:rFonts w:hint="eastAsia"/>
        </w:rPr>
        <w:t>XX</w:t>
      </w:r>
      <w:r>
        <w:t>日以第</w:t>
      </w:r>
      <w:r>
        <w:rPr>
          <w:rFonts w:hint="eastAsia"/>
        </w:rPr>
        <w:t>XX</w:t>
      </w:r>
      <w:r>
        <w:t>号公告批准、发布。</w:t>
      </w:r>
    </w:p>
    <w:p w14:paraId="48A3F72C">
      <w:pPr>
        <w:ind w:firstLine="420" w:firstLineChars="200"/>
      </w:pPr>
      <w:r>
        <w:t>本标</w:t>
      </w:r>
      <w:r>
        <w:rPr>
          <w:rFonts w:hint="eastAsia"/>
        </w:rPr>
        <w:t>规范</w:t>
      </w:r>
      <w:r>
        <w:t>制过程中，编制组进行了广泛调查研究，认真总结了广东省各城市</w:t>
      </w:r>
      <w:r>
        <w:rPr>
          <w:rFonts w:hint="eastAsia"/>
        </w:rPr>
        <w:t>有轨电车</w:t>
      </w:r>
      <w:r>
        <w:t>设施安全保护经验，广泛征求了有关单位和专家的意见，对主要问题进行了反复讨论与修改。</w:t>
      </w:r>
    </w:p>
    <w:p w14:paraId="554E2362">
      <w:pPr>
        <w:ind w:firstLine="420" w:firstLineChars="200"/>
      </w:pPr>
      <w:r>
        <w:t>为便于广大设计、施工、科研、学校等单位有关人员在使用本</w:t>
      </w:r>
      <w:r>
        <w:rPr>
          <w:rFonts w:hint="eastAsia"/>
        </w:rPr>
        <w:t>规范</w:t>
      </w:r>
      <w:r>
        <w:t>时能正确理解和执行条文规定，编制组按章、节、条顺序编制了本</w:t>
      </w:r>
      <w:r>
        <w:rPr>
          <w:rFonts w:hint="eastAsia"/>
        </w:rPr>
        <w:t>规范</w:t>
      </w:r>
      <w:r>
        <w:t>的条文说明，对条文规定的目的、依据以及执行中需注意的有关事项进行了说明。但是，本条文说明不具备与</w:t>
      </w:r>
      <w:r>
        <w:rPr>
          <w:rFonts w:hint="eastAsia"/>
        </w:rPr>
        <w:t>规范</w:t>
      </w:r>
      <w:r>
        <w:t>正文同等的法律效力，仅供使用者作为理解和把握规范规定的参考。</w:t>
      </w:r>
    </w:p>
    <w:p w14:paraId="39CC5968">
      <w:pPr>
        <w:widowControl/>
        <w:adjustRightInd w:val="0"/>
        <w:snapToGrid w:val="0"/>
        <w:jc w:val="center"/>
        <w:outlineLvl w:val="0"/>
        <w:rPr>
          <w:b/>
          <w:kern w:val="0"/>
          <w:sz w:val="24"/>
        </w:rPr>
        <w:sectPr>
          <w:footerReference r:id="rId11" w:type="default"/>
          <w:pgSz w:w="11906" w:h="16838"/>
          <w:pgMar w:top="1440" w:right="1800" w:bottom="1440" w:left="2268" w:header="851" w:footer="992" w:gutter="0"/>
          <w:cols w:space="425" w:num="1"/>
          <w:docGrid w:type="lines" w:linePitch="312" w:charSpace="0"/>
        </w:sectPr>
      </w:pPr>
    </w:p>
    <w:p w14:paraId="51126751">
      <w:pPr>
        <w:widowControl/>
        <w:adjustRightInd w:val="0"/>
        <w:snapToGrid w:val="0"/>
        <w:jc w:val="center"/>
        <w:outlineLvl w:val="0"/>
        <w:rPr>
          <w:b/>
          <w:kern w:val="0"/>
          <w:sz w:val="24"/>
        </w:rPr>
      </w:pPr>
      <w:bookmarkStart w:id="90" w:name="_Toc103169273"/>
      <w:r>
        <w:rPr>
          <w:b/>
          <w:kern w:val="0"/>
          <w:sz w:val="24"/>
        </w:rPr>
        <w:t xml:space="preserve">1  </w:t>
      </w:r>
      <w:r>
        <w:rPr>
          <w:rFonts w:hint="eastAsia"/>
          <w:b/>
          <w:kern w:val="0"/>
          <w:sz w:val="24"/>
        </w:rPr>
        <w:t>总则</w:t>
      </w:r>
      <w:bookmarkEnd w:id="89"/>
      <w:bookmarkEnd w:id="90"/>
    </w:p>
    <w:p w14:paraId="06A97EA1">
      <w:pPr>
        <w:sectPr>
          <w:pgSz w:w="11906" w:h="16838"/>
          <w:pgMar w:top="1440" w:right="1800" w:bottom="1440" w:left="2268" w:header="851" w:footer="992" w:gutter="0"/>
          <w:cols w:space="425" w:num="1"/>
          <w:docGrid w:type="lines" w:linePitch="312" w:charSpace="0"/>
        </w:sectPr>
      </w:pPr>
      <w:r>
        <w:t xml:space="preserve">1.0.4  </w:t>
      </w:r>
      <w:r>
        <w:rPr>
          <w:rFonts w:hint="eastAsia"/>
        </w:rPr>
        <w:t>对于广东省内有轨电车设施的安全保护，凡本规范有规定的，保护工作应按本规范执行；本规范未作规定的，应符合国家现行相关规范的规定。</w:t>
      </w:r>
    </w:p>
    <w:p w14:paraId="41E5CB77">
      <w:pPr>
        <w:pStyle w:val="3"/>
        <w:widowControl/>
        <w:tabs>
          <w:tab w:val="left" w:pos="425"/>
          <w:tab w:val="left" w:pos="2694"/>
        </w:tabs>
        <w:spacing w:before="0" w:after="0" w:line="360" w:lineRule="auto"/>
        <w:jc w:val="center"/>
        <w:outlineLvl w:val="0"/>
        <w:rPr>
          <w:rFonts w:ascii="Times New Roman" w:hAnsi="Times New Roman"/>
          <w:bCs w:val="0"/>
          <w:caps w:val="0"/>
          <w:kern w:val="0"/>
          <w:szCs w:val="24"/>
        </w:rPr>
      </w:pPr>
      <w:bookmarkStart w:id="91" w:name="_Toc103169274"/>
      <w:r>
        <w:rPr>
          <w:rFonts w:hint="eastAsia" w:ascii="Times New Roman" w:hAnsi="Times New Roman"/>
          <w:bCs w:val="0"/>
          <w:caps w:val="0"/>
          <w:kern w:val="0"/>
          <w:szCs w:val="24"/>
        </w:rPr>
        <w:t>3  保护要求</w:t>
      </w:r>
      <w:bookmarkEnd w:id="91"/>
    </w:p>
    <w:p w14:paraId="27BB7A22">
      <w:pPr>
        <w:pStyle w:val="3"/>
        <w:widowControl/>
        <w:spacing w:before="0" w:after="0" w:line="360" w:lineRule="auto"/>
        <w:jc w:val="center"/>
        <w:outlineLvl w:val="1"/>
        <w:rPr>
          <w:rStyle w:val="30"/>
          <w:rFonts w:ascii="Times New Roman" w:hAnsi="Times New Roman"/>
          <w:bCs w:val="0"/>
          <w:caps w:val="0"/>
          <w:kern w:val="0"/>
          <w:sz w:val="21"/>
          <w:szCs w:val="21"/>
        </w:rPr>
      </w:pPr>
      <w:bookmarkStart w:id="92" w:name="_Toc103169275"/>
      <w:r>
        <w:rPr>
          <w:rStyle w:val="30"/>
          <w:rFonts w:hint="eastAsia" w:ascii="Times New Roman" w:hAnsi="Times New Roman"/>
          <w:bCs w:val="0"/>
          <w:caps w:val="0"/>
          <w:kern w:val="0"/>
          <w:sz w:val="21"/>
          <w:szCs w:val="21"/>
        </w:rPr>
        <w:t>3.1  一般规定</w:t>
      </w:r>
      <w:bookmarkEnd w:id="92"/>
    </w:p>
    <w:p w14:paraId="5E494563">
      <w:pPr>
        <w:autoSpaceDE w:val="0"/>
        <w:autoSpaceDN w:val="0"/>
        <w:adjustRightInd w:val="0"/>
        <w:snapToGrid w:val="0"/>
        <w:ind w:firstLine="422"/>
        <w:jc w:val="left"/>
      </w:pPr>
      <w:r>
        <w:t xml:space="preserve">3.1.6  </w:t>
      </w:r>
      <w:r>
        <w:rPr>
          <w:rFonts w:hint="eastAsia"/>
        </w:rPr>
        <w:t>在控制保护区内进行有关活动的，建设单位应当制定有轨电车交通保护方案，经书面征求经营单位意见后，依法办理有关行政许可手续；施工过程应当接受经营单位的安全监控，经营单位发现控制保护区内施工活动危及或者可能危及有轨电车交通安全的，可以要求作业单位停止作业并采取相应的安全措施。</w:t>
      </w:r>
    </w:p>
    <w:p w14:paraId="3BF7DB67">
      <w:pPr>
        <w:autoSpaceDE w:val="0"/>
        <w:autoSpaceDN w:val="0"/>
        <w:adjustRightInd w:val="0"/>
        <w:snapToGrid w:val="0"/>
        <w:ind w:firstLine="422"/>
        <w:jc w:val="left"/>
      </w:pPr>
      <w:r>
        <w:t xml:space="preserve">3.1.8  </w:t>
      </w:r>
      <w:r>
        <w:rPr>
          <w:rFonts w:hint="eastAsia"/>
        </w:rPr>
        <w:t>随着城市土地综合利用程度的不断提高，建筑施工要求也更加规范，对基础埋深要求也愈加严格，建筑基础往往处于地下水位之下，施工过程进行降水的深度和降水量也随之增加。因施工降水控制不当，对周边环境及建筑造成的影响和引发的事故常有发生，因此，有轨电车控制保护区范围内应避免采取大幅度降水作业，如必须采取降水作业，则应采用回灌措施保证基坑开挖的施工条件和安全（即在基坑边抽取地下水，同时在离基坑稍远处回灌抽取的地下水，在保持基坑内地下水位较低的情况下，同时使基坑外保持较高的地下水位，最大限度的降低施工降水对周边环境与建筑的影响）。</w:t>
      </w:r>
    </w:p>
    <w:p w14:paraId="2EA8E299">
      <w:pPr>
        <w:autoSpaceDE w:val="0"/>
        <w:autoSpaceDN w:val="0"/>
        <w:adjustRightInd w:val="0"/>
        <w:snapToGrid w:val="0"/>
        <w:jc w:val="left"/>
      </w:pPr>
      <w:r>
        <w:t xml:space="preserve">3.1.10  </w:t>
      </w:r>
      <w:r>
        <w:rPr>
          <w:rFonts w:hint="eastAsia"/>
        </w:rPr>
        <w:t>有轨电车隶属于公共交通范畴，有轨电车运行安全就是广大乘客的核心利益，在有轨电车进行外部作业，不得影响有轨电车的正常运营。出现险情，应优先确保有轨电车运营安全，其采取的重点措施优先保障有轨电车设施的安全。</w:t>
      </w:r>
    </w:p>
    <w:p w14:paraId="2009DBCE">
      <w:pPr>
        <w:widowControl/>
        <w:adjustRightInd w:val="0"/>
        <w:snapToGrid w:val="0"/>
        <w:jc w:val="center"/>
        <w:outlineLvl w:val="1"/>
        <w:rPr>
          <w:b/>
          <w:kern w:val="0"/>
        </w:rPr>
      </w:pPr>
      <w:bookmarkStart w:id="93" w:name="_Toc103169276"/>
      <w:r>
        <w:rPr>
          <w:b/>
          <w:kern w:val="0"/>
        </w:rPr>
        <w:t xml:space="preserve">3.2 </w:t>
      </w:r>
      <w:r>
        <w:rPr>
          <w:rFonts w:hint="eastAsia"/>
          <w:b/>
          <w:kern w:val="0"/>
        </w:rPr>
        <w:t>设备设施保护</w:t>
      </w:r>
      <w:bookmarkEnd w:id="93"/>
    </w:p>
    <w:p w14:paraId="3542279B">
      <w:pPr>
        <w:autoSpaceDE w:val="0"/>
        <w:autoSpaceDN w:val="0"/>
        <w:adjustRightInd w:val="0"/>
        <w:snapToGrid w:val="0"/>
        <w:jc w:val="left"/>
      </w:pPr>
      <w:r>
        <w:t xml:space="preserve">3.2.1  </w:t>
      </w:r>
      <w:r>
        <w:rPr>
          <w:rFonts w:hint="eastAsia"/>
        </w:rPr>
        <w:t>有轨电车路面线路专有路权路段，应在线路两侧设置物理隔离设施，且路缘石高度应不低于</w:t>
      </w:r>
      <w:r>
        <w:t>40</w:t>
      </w:r>
      <w:r>
        <w:rPr>
          <w:rFonts w:hint="eastAsia"/>
        </w:rPr>
        <w:t>cm：一是有效隔绝行人擅自穿越专行线路，避免可能的人车冲突；二是保障机动车辆因失控等原因冲撞专有线路时，避免车辆冲入专行线路，与电车冲撞，降低影响电车运行等极端情况的发生概率。</w:t>
      </w:r>
    </w:p>
    <w:p w14:paraId="45F640DF">
      <w:pPr>
        <w:autoSpaceDE w:val="0"/>
        <w:autoSpaceDN w:val="0"/>
        <w:adjustRightInd w:val="0"/>
        <w:snapToGrid w:val="0"/>
        <w:jc w:val="left"/>
      </w:pPr>
      <w:r>
        <w:t xml:space="preserve">3.2.2  </w:t>
      </w:r>
      <w:r>
        <w:rPr>
          <w:rFonts w:hint="eastAsia"/>
        </w:rPr>
        <w:t>根据《建筑施工高处作业安全技术规范》</w:t>
      </w:r>
      <w:r>
        <w:t>JGJ80-2016</w:t>
      </w:r>
      <w:r>
        <w:rPr>
          <w:rFonts w:hint="eastAsia"/>
        </w:rPr>
        <w:t>第</w:t>
      </w:r>
      <w:r>
        <w:t>2.0.6</w:t>
      </w:r>
      <w:r>
        <w:rPr>
          <w:rFonts w:hint="eastAsia"/>
        </w:rPr>
        <w:t>条，施工作业场所有坠落可能的物件，应一律先行撤除或加以固定；高处作业中所用的物料，均应堆放平稳，不妨碍通行和装卸；工具应随手放入工具袋；作业中的走道、通道板和登高用具，应随时清扫干净；拆卸下的物件及余料和废料均应及时清理运走，不得任意乱置或向下丢弃；传递物件禁止抛掷。</w:t>
      </w:r>
    </w:p>
    <w:p w14:paraId="13238381">
      <w:pPr>
        <w:widowControl/>
        <w:adjustRightInd w:val="0"/>
        <w:snapToGrid w:val="0"/>
        <w:jc w:val="center"/>
        <w:outlineLvl w:val="1"/>
        <w:rPr>
          <w:b/>
          <w:kern w:val="0"/>
        </w:rPr>
      </w:pPr>
      <w:bookmarkStart w:id="94" w:name="_Toc103169277"/>
      <w:r>
        <w:rPr>
          <w:b/>
          <w:kern w:val="0"/>
        </w:rPr>
        <w:t xml:space="preserve">3.3 </w:t>
      </w:r>
      <w:r>
        <w:rPr>
          <w:rFonts w:hint="eastAsia"/>
          <w:b/>
          <w:kern w:val="0"/>
        </w:rPr>
        <w:t>土建设施</w:t>
      </w:r>
      <w:bookmarkEnd w:id="94"/>
    </w:p>
    <w:p w14:paraId="5478B332">
      <w:pPr>
        <w:autoSpaceDE w:val="0"/>
        <w:autoSpaceDN w:val="0"/>
        <w:adjustRightInd w:val="0"/>
        <w:snapToGrid w:val="0"/>
        <w:jc w:val="left"/>
      </w:pPr>
      <w:r>
        <w:t xml:space="preserve">3.3.4  </w:t>
      </w:r>
      <w:r>
        <w:rPr>
          <w:rFonts w:hint="eastAsia"/>
        </w:rPr>
        <w:t>采用桩基础的优点：①抗地震性能好。桩的静力特性主要研究其强度和沉降，桩的抗震性能主要决定于其刚度和稳定性，基础刚度大抗震性能好；②沉降量小和承载力高。桩的沉降量由三部分组成，桩身弹性压缩、桩侧摩阻力向下传递，引起桩侧土剪切变形和桩端土体压缩变形。③可以解决特殊地基土的承载力；④施工噪音小，适用于城市改造和人口密集场地。</w:t>
      </w:r>
    </w:p>
    <w:p w14:paraId="357F5C02">
      <w:pPr>
        <w:autoSpaceDE w:val="0"/>
        <w:autoSpaceDN w:val="0"/>
        <w:adjustRightInd w:val="0"/>
        <w:snapToGrid w:val="0"/>
        <w:jc w:val="left"/>
      </w:pPr>
      <w:r>
        <w:t xml:space="preserve">3.3.5  </w:t>
      </w:r>
      <w:r>
        <w:rPr>
          <w:rFonts w:hint="eastAsia"/>
        </w:rPr>
        <w:t>高边坡、高挡墙易受各种不稳定因素影响，发生滑坡、崩塌等地质灾害和工程事故。</w:t>
      </w:r>
      <w:r>
        <w:t>.</w:t>
      </w:r>
      <w:r>
        <w:rPr>
          <w:rFonts w:hint="eastAsia"/>
        </w:rPr>
        <w:t>施工中应加快循环施工组织、加强施工人员岗前培训、增加作业面、严格遵循砌筑规范要求等。</w:t>
      </w:r>
    </w:p>
    <w:p w14:paraId="71F98035">
      <w:pPr>
        <w:autoSpaceDE w:val="0"/>
        <w:autoSpaceDN w:val="0"/>
        <w:adjustRightInd w:val="0"/>
        <w:snapToGrid w:val="0"/>
        <w:jc w:val="left"/>
      </w:pPr>
      <w:r>
        <w:t xml:space="preserve">3.3.6  </w:t>
      </w:r>
      <w:r>
        <w:rPr>
          <w:rFonts w:hint="eastAsia"/>
        </w:rPr>
        <w:t>硐室爆破是指将大量炸药集中装填于设计开挖成的药室内，达成一次起爆大量炸药、完成大量土石方开挖或抛填任务的爆破技术。硐室爆破的主要特点是效率高，但对周围环境和地质环境要求较高。一般意义上，将</w:t>
      </w:r>
      <w:r>
        <w:fldChar w:fldCharType="begin"/>
      </w:r>
      <w:r>
        <w:instrText xml:space="preserve"> HYPERLINK "http://www.so.com/s?q=%E5%AD%94%E5%BE%84&amp;ie=utf-8&amp;src=internal_wenda_recommend_textn" \t "_blank" </w:instrText>
      </w:r>
      <w:r>
        <w:fldChar w:fldCharType="separate"/>
      </w:r>
      <w:r>
        <w:rPr>
          <w:rFonts w:hint="eastAsia"/>
        </w:rPr>
        <w:t>孔径</w:t>
      </w:r>
      <w:r>
        <w:rPr>
          <w:rFonts w:hint="eastAsia"/>
        </w:rPr>
        <w:fldChar w:fldCharType="end"/>
      </w:r>
      <w:r>
        <w:rPr>
          <w:rFonts w:hint="eastAsia"/>
        </w:rPr>
        <w:t>大于</w:t>
      </w:r>
      <w:r>
        <w:t>75mm</w:t>
      </w:r>
      <w:r>
        <w:rPr>
          <w:rFonts w:hint="eastAsia"/>
        </w:rPr>
        <w:t>、孔深大于</w:t>
      </w:r>
      <w:r>
        <w:t>5m</w:t>
      </w:r>
      <w:r>
        <w:rPr>
          <w:rFonts w:hint="eastAsia"/>
        </w:rPr>
        <w:t>的钻孔爆破称为</w:t>
      </w:r>
      <w:r>
        <w:fldChar w:fldCharType="begin"/>
      </w:r>
      <w:r>
        <w:instrText xml:space="preserve"> HYPERLINK "http://www.so.com/s?q=%E6%B7%B1%E5%AD%94%E7%88%86%E7%A0%B4&amp;ie=utf-8&amp;src=internal_wenda_recommend_textn" \t "_blank" </w:instrText>
      </w:r>
      <w:r>
        <w:fldChar w:fldCharType="separate"/>
      </w:r>
      <w:r>
        <w:rPr>
          <w:rFonts w:hint="eastAsia"/>
        </w:rPr>
        <w:t>深孔爆破</w:t>
      </w:r>
      <w:r>
        <w:rPr>
          <w:rFonts w:hint="eastAsia"/>
        </w:rPr>
        <w:fldChar w:fldCharType="end"/>
      </w:r>
      <w:r>
        <w:rPr>
          <w:rFonts w:hint="eastAsia"/>
        </w:rPr>
        <w:t>，深孔爆破使用</w:t>
      </w:r>
      <w:r>
        <w:fldChar w:fldCharType="begin"/>
      </w:r>
      <w:r>
        <w:instrText xml:space="preserve"> HYPERLINK "http://www.so.com/s?q=%E7%82%B8%E8%8D%AF&amp;ie=utf-8&amp;src=internal_wenda_recommend_textn" \t "_blank" </w:instrText>
      </w:r>
      <w:r>
        <w:fldChar w:fldCharType="separate"/>
      </w:r>
      <w:r>
        <w:rPr>
          <w:rFonts w:hint="eastAsia"/>
        </w:rPr>
        <w:t>炸药</w:t>
      </w:r>
      <w:r>
        <w:rPr>
          <w:rFonts w:hint="eastAsia"/>
        </w:rPr>
        <w:fldChar w:fldCharType="end"/>
      </w:r>
      <w:r>
        <w:rPr>
          <w:rFonts w:hint="eastAsia"/>
        </w:rPr>
        <w:t>量大，爆破效果不易控制，副作用大，对周围</w:t>
      </w:r>
      <w:r>
        <w:fldChar w:fldCharType="begin"/>
      </w:r>
      <w:r>
        <w:instrText xml:space="preserve"> HYPERLINK "http://www.so.com/s?q=%E5%BB%BA%E7%AD%91%E7%89%A9&amp;ie=utf-8&amp;src=internal_wenda_recommend_textn" \t "_blank" </w:instrText>
      </w:r>
      <w:r>
        <w:fldChar w:fldCharType="separate"/>
      </w:r>
      <w:r>
        <w:rPr>
          <w:rFonts w:hint="eastAsia"/>
        </w:rPr>
        <w:t>建筑物</w:t>
      </w:r>
      <w:r>
        <w:rPr>
          <w:rFonts w:hint="eastAsia"/>
        </w:rPr>
        <w:fldChar w:fldCharType="end"/>
      </w:r>
      <w:r>
        <w:rPr>
          <w:rFonts w:hint="eastAsia"/>
        </w:rPr>
        <w:t>影响</w:t>
      </w:r>
      <w:r>
        <w:fldChar w:fldCharType="begin"/>
      </w:r>
      <w:r>
        <w:instrText xml:space="preserve"> HYPERLINK "http://www.so.com/s?q=%E9%9A%BE%E4%BB%A5%E6%8E%A7%E5%88%B6&amp;ie=utf-8&amp;src=internal_wenda_recommend_textn" \t "_blank" </w:instrText>
      </w:r>
      <w:r>
        <w:fldChar w:fldCharType="separate"/>
      </w:r>
      <w:r>
        <w:rPr>
          <w:rFonts w:hint="eastAsia"/>
        </w:rPr>
        <w:t>难以控制</w:t>
      </w:r>
      <w:r>
        <w:rPr>
          <w:rFonts w:hint="eastAsia"/>
        </w:rPr>
        <w:fldChar w:fldCharType="end"/>
      </w:r>
      <w:r>
        <w:rPr>
          <w:rFonts w:hint="eastAsia"/>
        </w:rPr>
        <w:t>。有轨电车安全控制保护区范围无法满足该两种爆破安全距离要求。</w:t>
      </w:r>
    </w:p>
    <w:p w14:paraId="0BB85609">
      <w:pPr>
        <w:autoSpaceDE w:val="0"/>
        <w:autoSpaceDN w:val="0"/>
        <w:adjustRightInd w:val="0"/>
        <w:snapToGrid w:val="0"/>
        <w:jc w:val="left"/>
      </w:pPr>
      <w:r>
        <w:t xml:space="preserve">3.3.7  </w:t>
      </w:r>
      <w:r>
        <w:rPr>
          <w:rFonts w:hint="eastAsia"/>
        </w:rPr>
        <w:t>随着城市轨道交通的大力发展，新建和既有工程结构之间的相互影响随之增多，尤其是复杂的交叉工程，下穿或上穿既有工程结构的情况，因此开展该类施工，必须考虑对既有工程结构的沉降及使用安全的问题，作业实施方案必须极为慎重，需要科学细化施工，严格控制各项参数，重点分析新建隧道下穿施工对既有工程结构的影响、超浅埋隧道上穿既有工程的结构影响，并制定具有可操作性、实用性的安全保护控制措施。</w:t>
      </w:r>
    </w:p>
    <w:p w14:paraId="06E8FA12">
      <w:pPr>
        <w:widowControl/>
        <w:adjustRightInd w:val="0"/>
        <w:snapToGrid w:val="0"/>
        <w:jc w:val="center"/>
        <w:outlineLvl w:val="0"/>
        <w:rPr>
          <w:b/>
          <w:kern w:val="0"/>
          <w:sz w:val="24"/>
        </w:rPr>
        <w:sectPr>
          <w:pgSz w:w="11906" w:h="16838"/>
          <w:pgMar w:top="1440" w:right="1800" w:bottom="1440" w:left="2268" w:header="851" w:footer="992" w:gutter="0"/>
          <w:cols w:space="425" w:num="1"/>
          <w:docGrid w:type="lines" w:linePitch="312" w:charSpace="0"/>
        </w:sectPr>
      </w:pPr>
      <w:bookmarkStart w:id="115" w:name="_GoBack"/>
      <w:bookmarkEnd w:id="115"/>
    </w:p>
    <w:p w14:paraId="7C0B7E9F">
      <w:pPr>
        <w:widowControl/>
        <w:adjustRightInd w:val="0"/>
        <w:snapToGrid w:val="0"/>
        <w:jc w:val="center"/>
        <w:outlineLvl w:val="0"/>
        <w:rPr>
          <w:b/>
          <w:kern w:val="0"/>
          <w:sz w:val="24"/>
        </w:rPr>
      </w:pPr>
      <w:bookmarkStart w:id="95" w:name="_Toc103169278"/>
      <w:r>
        <w:rPr>
          <w:b/>
          <w:kern w:val="0"/>
          <w:sz w:val="24"/>
        </w:rPr>
        <w:t xml:space="preserve">4  </w:t>
      </w:r>
      <w:r>
        <w:rPr>
          <w:rFonts w:hint="eastAsia"/>
          <w:b/>
          <w:kern w:val="0"/>
          <w:sz w:val="24"/>
        </w:rPr>
        <w:t>安全评估</w:t>
      </w:r>
      <w:bookmarkEnd w:id="95"/>
    </w:p>
    <w:p w14:paraId="60059A90">
      <w:pPr>
        <w:widowControl/>
        <w:adjustRightInd w:val="0"/>
        <w:snapToGrid w:val="0"/>
        <w:jc w:val="center"/>
        <w:outlineLvl w:val="1"/>
        <w:rPr>
          <w:b/>
          <w:kern w:val="0"/>
        </w:rPr>
      </w:pPr>
      <w:bookmarkStart w:id="96" w:name="_Toc103169279"/>
      <w:r>
        <w:rPr>
          <w:b/>
          <w:kern w:val="0"/>
        </w:rPr>
        <w:t xml:space="preserve">4.1 </w:t>
      </w:r>
      <w:r>
        <w:rPr>
          <w:rFonts w:hint="eastAsia"/>
          <w:b/>
          <w:kern w:val="0"/>
        </w:rPr>
        <w:t xml:space="preserve"> 一般规定</w:t>
      </w:r>
      <w:bookmarkEnd w:id="96"/>
    </w:p>
    <w:p w14:paraId="52076971">
      <w:pPr>
        <w:autoSpaceDE w:val="0"/>
        <w:autoSpaceDN w:val="0"/>
        <w:adjustRightInd w:val="0"/>
        <w:snapToGrid w:val="0"/>
        <w:jc w:val="left"/>
      </w:pPr>
      <w:r>
        <w:t xml:space="preserve">4.1.1 </w:t>
      </w:r>
      <w:r>
        <w:rPr>
          <w:rFonts w:hint="eastAsia"/>
        </w:rPr>
        <w:t xml:space="preserve"> 当外部作业影响等级二级时，宜开展有轨电车设施安全评估工作；除有特殊要求之外，当外部作业影响等级为三级、四级时，无需开展有轨电车设施安全评估工作，但外部作业方案应按正常程序进行审查。</w:t>
      </w:r>
    </w:p>
    <w:p w14:paraId="0164F9CF">
      <w:pPr>
        <w:autoSpaceDE w:val="0"/>
        <w:autoSpaceDN w:val="0"/>
        <w:adjustRightInd w:val="0"/>
        <w:snapToGrid w:val="0"/>
        <w:jc w:val="left"/>
      </w:pPr>
      <w:r>
        <w:t xml:space="preserve">4.1.2 </w:t>
      </w:r>
      <w:r>
        <w:rPr>
          <w:rFonts w:hint="eastAsia"/>
        </w:rPr>
        <w:t xml:space="preserve"> 针对影响等级为特级、一级的外部作业，有轨电车设施的现状评估和外部作业影响预评估原则上都应开展，外部作业施工过程评估及外部作业影响后评估工作，应结合实时监测数据的发展情况综合确定。</w:t>
      </w:r>
    </w:p>
    <w:p w14:paraId="19D020F1">
      <w:pPr>
        <w:autoSpaceDE w:val="0"/>
        <w:autoSpaceDN w:val="0"/>
        <w:adjustRightInd w:val="0"/>
        <w:snapToGrid w:val="0"/>
        <w:jc w:val="left"/>
      </w:pPr>
      <w:r>
        <w:t>4.1.3</w:t>
      </w:r>
      <w:r>
        <w:rPr>
          <w:rFonts w:hint="eastAsia"/>
        </w:rPr>
        <w:t xml:space="preserve"> </w:t>
      </w:r>
      <w:r>
        <w:t xml:space="preserve"> </w:t>
      </w:r>
      <w:r>
        <w:rPr>
          <w:rFonts w:hint="eastAsia"/>
        </w:rPr>
        <w:t>对于有轨电车的土建设施，一般采取理论计算分析与案例结合、数值模拟这两种方法中任何一种或二者结合起来开展安全评估，特殊情况下可结合模型试验开展评估工作。</w:t>
      </w:r>
    </w:p>
    <w:p w14:paraId="608C6D81">
      <w:pPr>
        <w:autoSpaceDE w:val="0"/>
        <w:autoSpaceDN w:val="0"/>
        <w:adjustRightInd w:val="0"/>
        <w:snapToGrid w:val="0"/>
        <w:jc w:val="left"/>
      </w:pPr>
      <w:r>
        <w:t>4.1.4~4.1.5</w:t>
      </w:r>
      <w:r>
        <w:rPr>
          <w:rFonts w:hint="eastAsia"/>
        </w:rPr>
        <w:t>、</w:t>
      </w:r>
      <w:r>
        <w:t xml:space="preserve">4.1.7~4.1.8 </w:t>
      </w:r>
      <w:r>
        <w:rPr>
          <w:rFonts w:hint="eastAsia"/>
        </w:rPr>
        <w:t xml:space="preserve"> 对于有轨电车土建设施的各阶段安全评估，可参照现行的中华人民共和国行业标准《城市轨道交通结构安全保护技术规范》（</w:t>
      </w:r>
      <w:r>
        <w:t>CJJ/T 202</w:t>
      </w:r>
      <w:r>
        <w:rPr>
          <w:rFonts w:hint="eastAsia"/>
        </w:rPr>
        <w:t>）、广东省标准《城市轨道交通既有结构保护技术规范》（</w:t>
      </w:r>
      <w:r>
        <w:t>DBJ/T 15-120</w:t>
      </w:r>
      <w:r>
        <w:rPr>
          <w:rFonts w:hint="eastAsia"/>
        </w:rPr>
        <w:t>）等标准执行。</w:t>
      </w:r>
    </w:p>
    <w:p w14:paraId="0D9041B3">
      <w:pPr>
        <w:widowControl/>
        <w:adjustRightInd w:val="0"/>
        <w:snapToGrid w:val="0"/>
        <w:jc w:val="center"/>
        <w:outlineLvl w:val="1"/>
        <w:rPr>
          <w:b/>
          <w:kern w:val="0"/>
        </w:rPr>
      </w:pPr>
      <w:bookmarkStart w:id="97" w:name="_Toc103169280"/>
      <w:r>
        <w:rPr>
          <w:b/>
          <w:kern w:val="0"/>
        </w:rPr>
        <w:t xml:space="preserve">4.2 </w:t>
      </w:r>
      <w:r>
        <w:rPr>
          <w:rFonts w:hint="eastAsia"/>
          <w:b/>
          <w:kern w:val="0"/>
        </w:rPr>
        <w:t xml:space="preserve"> 技术要求</w:t>
      </w:r>
      <w:bookmarkEnd w:id="97"/>
    </w:p>
    <w:p w14:paraId="72351D5B">
      <w:pPr>
        <w:autoSpaceDE w:val="0"/>
        <w:autoSpaceDN w:val="0"/>
        <w:adjustRightInd w:val="0"/>
        <w:snapToGrid w:val="0"/>
        <w:jc w:val="left"/>
      </w:pPr>
      <w:r>
        <w:t xml:space="preserve">4.2.1 </w:t>
      </w:r>
      <w:r>
        <w:rPr>
          <w:rFonts w:hint="eastAsia"/>
        </w:rPr>
        <w:t xml:space="preserve"> 有轨电车控制保护区内出现的时空相近、可能交叉影响的多项外部作业，由于设计和实施方案难以保证同步进行，可能出现多种不利组合。应根据其时空特点，充分考虑多项外部作业的叠加影响，做到出现最危险工况时也能保证有轨电车设施的安全和正常运营。</w:t>
      </w:r>
    </w:p>
    <w:p w14:paraId="7AB42823">
      <w:pPr>
        <w:autoSpaceDE w:val="0"/>
        <w:autoSpaceDN w:val="0"/>
        <w:adjustRightInd w:val="0"/>
        <w:snapToGrid w:val="0"/>
        <w:jc w:val="left"/>
      </w:pPr>
      <w:r>
        <w:t xml:space="preserve">4.2.3~4.2.4 </w:t>
      </w:r>
      <w:r>
        <w:rPr>
          <w:rFonts w:hint="eastAsia"/>
        </w:rPr>
        <w:t xml:space="preserve"> 工前调查是对有轨电车设施原始状态的观察和记录，工前调查和基础资料收集是进行安全评估的基础。应尽可能多地收集有轨电车设施的勘察、设计、施工和竣工资料以及监测等运营相关资料，并详实地观察和记录其外观和运营现状。</w:t>
      </w:r>
    </w:p>
    <w:p w14:paraId="6C74BF1F">
      <w:pPr>
        <w:autoSpaceDE w:val="0"/>
        <w:autoSpaceDN w:val="0"/>
        <w:adjustRightInd w:val="0"/>
        <w:snapToGrid w:val="0"/>
        <w:jc w:val="left"/>
      </w:pPr>
      <w:r>
        <w:t xml:space="preserve">4.2.6 </w:t>
      </w:r>
      <w:r>
        <w:rPr>
          <w:rFonts w:hint="eastAsia"/>
        </w:rPr>
        <w:t xml:space="preserve"> 过程调查是对有轨电车设施在外部作业过程中的响应进行跟踪监控，过程调查报告能反映有轨电车设施在外部作业过程中的动态变化情况，并为进一步采取措施提供依据。</w:t>
      </w:r>
    </w:p>
    <w:p w14:paraId="55D50491">
      <w:pPr>
        <w:autoSpaceDE w:val="0"/>
        <w:autoSpaceDN w:val="0"/>
        <w:adjustRightInd w:val="0"/>
        <w:snapToGrid w:val="0"/>
        <w:jc w:val="left"/>
      </w:pPr>
      <w:r>
        <w:t xml:space="preserve">4.2.7 </w:t>
      </w:r>
      <w:r>
        <w:rPr>
          <w:rFonts w:hint="eastAsia"/>
        </w:rPr>
        <w:t xml:space="preserve"> 工后调查和确认应在监测数据稳定后开展，以便全面、客观地反映外部作业对有轨电车设施的影响。</w:t>
      </w:r>
    </w:p>
    <w:p w14:paraId="29B26B0A">
      <w:pPr>
        <w:pStyle w:val="3"/>
        <w:widowControl/>
        <w:tabs>
          <w:tab w:val="left" w:pos="425"/>
        </w:tabs>
        <w:spacing w:before="0" w:after="0" w:line="360" w:lineRule="auto"/>
        <w:ind w:firstLine="3373" w:firstLineChars="1400"/>
        <w:jc w:val="both"/>
        <w:outlineLvl w:val="0"/>
        <w:rPr>
          <w:rFonts w:ascii="Times New Roman" w:hAnsi="Times New Roman"/>
          <w:bCs w:val="0"/>
          <w:caps w:val="0"/>
          <w:kern w:val="0"/>
          <w:szCs w:val="24"/>
        </w:rPr>
        <w:sectPr>
          <w:pgSz w:w="11906" w:h="16838"/>
          <w:pgMar w:top="1440" w:right="1800" w:bottom="1440" w:left="2268" w:header="851" w:footer="992" w:gutter="0"/>
          <w:cols w:space="425" w:num="1"/>
          <w:docGrid w:type="lines" w:linePitch="312" w:charSpace="0"/>
        </w:sectPr>
      </w:pPr>
    </w:p>
    <w:p w14:paraId="3ED66ADD">
      <w:pPr>
        <w:widowControl/>
        <w:adjustRightInd w:val="0"/>
        <w:snapToGrid w:val="0"/>
        <w:jc w:val="center"/>
        <w:outlineLvl w:val="0"/>
        <w:rPr>
          <w:b/>
          <w:kern w:val="0"/>
          <w:sz w:val="24"/>
        </w:rPr>
      </w:pPr>
      <w:bookmarkStart w:id="98" w:name="_Toc103169281"/>
      <w:r>
        <w:rPr>
          <w:rFonts w:hint="eastAsia"/>
          <w:b/>
          <w:kern w:val="0"/>
          <w:sz w:val="24"/>
        </w:rPr>
        <w:t>5  外部作业</w:t>
      </w:r>
      <w:bookmarkEnd w:id="98"/>
    </w:p>
    <w:p w14:paraId="42CE7D45">
      <w:pPr>
        <w:pStyle w:val="3"/>
        <w:widowControl/>
        <w:spacing w:before="0" w:after="0" w:line="360" w:lineRule="auto"/>
        <w:jc w:val="center"/>
        <w:outlineLvl w:val="1"/>
        <w:rPr>
          <w:rStyle w:val="30"/>
          <w:rFonts w:ascii="Times New Roman" w:hAnsi="Times New Roman"/>
          <w:bCs w:val="0"/>
          <w:caps w:val="0"/>
          <w:kern w:val="0"/>
          <w:sz w:val="21"/>
          <w:szCs w:val="21"/>
        </w:rPr>
      </w:pPr>
      <w:bookmarkStart w:id="99" w:name="_Toc103169282"/>
      <w:r>
        <w:rPr>
          <w:rStyle w:val="30"/>
          <w:rFonts w:hint="eastAsia" w:ascii="Times New Roman" w:hAnsi="Times New Roman"/>
          <w:bCs w:val="0"/>
          <w:caps w:val="0"/>
          <w:kern w:val="0"/>
          <w:sz w:val="21"/>
          <w:szCs w:val="21"/>
        </w:rPr>
        <w:t>5.1  一般规定</w:t>
      </w:r>
      <w:bookmarkEnd w:id="99"/>
    </w:p>
    <w:p w14:paraId="06A8A9DE">
      <w:r>
        <w:t>5.1.5</w:t>
      </w:r>
      <w:r>
        <w:rPr>
          <w:rFonts w:hint="eastAsia"/>
        </w:rPr>
        <w:t xml:space="preserve">  保护方案和安全评估应委托具有相应资质的单位承担，并对方案及评估结果负责。</w:t>
      </w:r>
    </w:p>
    <w:p w14:paraId="0F896F69">
      <w:pPr>
        <w:pStyle w:val="3"/>
        <w:widowControl/>
        <w:spacing w:before="0" w:after="0" w:line="360" w:lineRule="auto"/>
        <w:jc w:val="center"/>
        <w:outlineLvl w:val="1"/>
        <w:rPr>
          <w:rStyle w:val="30"/>
          <w:rFonts w:ascii="Times New Roman" w:hAnsi="Times New Roman"/>
          <w:bCs w:val="0"/>
          <w:caps w:val="0"/>
          <w:kern w:val="0"/>
          <w:sz w:val="21"/>
          <w:szCs w:val="21"/>
        </w:rPr>
      </w:pPr>
      <w:bookmarkStart w:id="100" w:name="_Toc103169283"/>
      <w:r>
        <w:rPr>
          <w:rStyle w:val="30"/>
          <w:rFonts w:hint="eastAsia" w:ascii="Times New Roman" w:hAnsi="Times New Roman"/>
          <w:bCs w:val="0"/>
          <w:caps w:val="0"/>
          <w:kern w:val="0"/>
          <w:sz w:val="21"/>
          <w:szCs w:val="21"/>
        </w:rPr>
        <w:t>5.2</w:t>
      </w:r>
      <w:r>
        <w:rPr>
          <w:rStyle w:val="30"/>
          <w:rFonts w:ascii="Times New Roman" w:hAnsi="Times New Roman"/>
          <w:bCs w:val="0"/>
          <w:caps w:val="0"/>
          <w:kern w:val="0"/>
          <w:sz w:val="21"/>
          <w:szCs w:val="21"/>
        </w:rPr>
        <w:t xml:space="preserve">  </w:t>
      </w:r>
      <w:r>
        <w:rPr>
          <w:rStyle w:val="30"/>
          <w:rFonts w:hint="eastAsia" w:ascii="Times New Roman" w:hAnsi="Times New Roman"/>
          <w:bCs w:val="0"/>
          <w:caps w:val="0"/>
          <w:kern w:val="0"/>
          <w:sz w:val="21"/>
          <w:szCs w:val="21"/>
        </w:rPr>
        <w:t>基坑工程</w:t>
      </w:r>
      <w:bookmarkEnd w:id="100"/>
    </w:p>
    <w:p w14:paraId="2683C6BE">
      <w:r>
        <w:rPr>
          <w:rFonts w:hint="eastAsia"/>
        </w:rPr>
        <w:t>5.2.1</w:t>
      </w:r>
      <w:r>
        <w:t xml:space="preserve">  </w:t>
      </w:r>
      <w:r>
        <w:rPr>
          <w:rFonts w:hint="eastAsia"/>
        </w:rPr>
        <w:t>基于有轨电车的安全运营要求，靠近有轨电车保护区的基坑宜采用抗变形能力强且止水效果好支护结构体系，譬如整体刚度较大的地下连续墙加内支撑，以严格控制既有结构的侧向位移。</w:t>
      </w:r>
    </w:p>
    <w:p w14:paraId="286C3853">
      <w:r>
        <w:rPr>
          <w:rFonts w:hint="eastAsia"/>
        </w:rPr>
        <w:t xml:space="preserve">5.2.4 </w:t>
      </w:r>
      <w:r>
        <w:t xml:space="preserve"> </w:t>
      </w:r>
      <w:r>
        <w:rPr>
          <w:rFonts w:hint="eastAsia"/>
        </w:rPr>
        <w:t>地下水流失会造成地层损失或土体固结沉降，尤其基坑范围内有砂层、淤泥及淤泥质地层时，基坑失水造成的周边设施安全风险较大。因此，基坑应形成可靠的止水帷幕，避免坑外降水。</w:t>
      </w:r>
    </w:p>
    <w:p w14:paraId="5AB97EB3">
      <w:pPr>
        <w:pStyle w:val="3"/>
        <w:widowControl/>
        <w:spacing w:before="0" w:after="0" w:line="360" w:lineRule="auto"/>
        <w:jc w:val="center"/>
        <w:outlineLvl w:val="1"/>
        <w:rPr>
          <w:rStyle w:val="30"/>
          <w:rFonts w:ascii="Times New Roman" w:hAnsi="Times New Roman"/>
          <w:bCs w:val="0"/>
          <w:caps w:val="0"/>
          <w:kern w:val="0"/>
          <w:sz w:val="21"/>
          <w:szCs w:val="21"/>
        </w:rPr>
      </w:pPr>
      <w:bookmarkStart w:id="101" w:name="_Toc103169284"/>
      <w:r>
        <w:rPr>
          <w:rStyle w:val="30"/>
          <w:rFonts w:hint="eastAsia" w:ascii="Times New Roman" w:hAnsi="Times New Roman"/>
          <w:bCs w:val="0"/>
          <w:caps w:val="0"/>
          <w:kern w:val="0"/>
          <w:sz w:val="21"/>
          <w:szCs w:val="21"/>
        </w:rPr>
        <w:t xml:space="preserve">5.4 </w:t>
      </w:r>
      <w:r>
        <w:rPr>
          <w:rStyle w:val="30"/>
          <w:rFonts w:ascii="Times New Roman" w:hAnsi="Times New Roman"/>
          <w:bCs w:val="0"/>
          <w:caps w:val="0"/>
          <w:kern w:val="0"/>
          <w:sz w:val="21"/>
          <w:szCs w:val="21"/>
        </w:rPr>
        <w:t xml:space="preserve"> </w:t>
      </w:r>
      <w:r>
        <w:rPr>
          <w:rStyle w:val="30"/>
          <w:rFonts w:hint="eastAsia" w:ascii="Times New Roman" w:hAnsi="Times New Roman"/>
          <w:bCs w:val="0"/>
          <w:caps w:val="0"/>
          <w:kern w:val="0"/>
          <w:sz w:val="21"/>
          <w:szCs w:val="21"/>
        </w:rPr>
        <w:t>隧道工程</w:t>
      </w:r>
      <w:bookmarkEnd w:id="101"/>
    </w:p>
    <w:p w14:paraId="193E7BDC">
      <w:r>
        <w:t>5.4.6</w:t>
      </w:r>
      <w:r>
        <w:rPr>
          <w:rFonts w:hint="eastAsia"/>
        </w:rPr>
        <w:t xml:space="preserve">  不在运营高峰期进行爆破作业，目的在于避免列车上的乘客产生心理恐慌等不适感，避免发生严重的公共安全事故。在有轨电车附近进行爆破作业之前，应设立安全区，做好安全告示的张贴宣传以及安全警戒工作；还应特别注意爆破作业扬尘、飞石的不利影响，确保有轨电车设施的正常使用和人员的舒适度。</w:t>
      </w:r>
    </w:p>
    <w:p w14:paraId="0D2270CE">
      <w:r>
        <w:t>5.4.7</w:t>
      </w:r>
      <w:r>
        <w:rPr>
          <w:rFonts w:hint="eastAsia"/>
        </w:rPr>
        <w:t xml:space="preserve">  盾构通过有轨电车保护区附近时，尚应控制好土仓或泥水仓的压力；矿山法隧道应采取合适的超前加固措施和具有足够强度、刚度的支护体系，控制开挖进尺，及时封闭；隧道下穿期间应加强对有轨电车设施的监测和巡视。</w:t>
      </w:r>
    </w:p>
    <w:p w14:paraId="7D4E460E">
      <w:pPr>
        <w:pStyle w:val="3"/>
        <w:widowControl/>
        <w:spacing w:before="0" w:after="0" w:line="360" w:lineRule="auto"/>
        <w:jc w:val="center"/>
        <w:outlineLvl w:val="1"/>
        <w:rPr>
          <w:rStyle w:val="30"/>
          <w:rFonts w:ascii="Times New Roman" w:hAnsi="Times New Roman"/>
          <w:bCs w:val="0"/>
          <w:caps w:val="0"/>
          <w:kern w:val="0"/>
          <w:sz w:val="21"/>
          <w:szCs w:val="21"/>
        </w:rPr>
      </w:pPr>
      <w:bookmarkStart w:id="102" w:name="_Toc103169285"/>
      <w:r>
        <w:rPr>
          <w:rStyle w:val="30"/>
          <w:rFonts w:hint="eastAsia" w:ascii="Times New Roman" w:hAnsi="Times New Roman"/>
          <w:bCs w:val="0"/>
          <w:caps w:val="0"/>
          <w:kern w:val="0"/>
          <w:sz w:val="21"/>
          <w:szCs w:val="21"/>
        </w:rPr>
        <w:t>5.5</w:t>
      </w:r>
      <w:r>
        <w:rPr>
          <w:rStyle w:val="30"/>
          <w:rFonts w:ascii="Times New Roman" w:hAnsi="Times New Roman"/>
          <w:bCs w:val="0"/>
          <w:caps w:val="0"/>
          <w:kern w:val="0"/>
          <w:sz w:val="21"/>
          <w:szCs w:val="21"/>
        </w:rPr>
        <w:t xml:space="preserve">  </w:t>
      </w:r>
      <w:r>
        <w:rPr>
          <w:rStyle w:val="30"/>
          <w:rFonts w:hint="eastAsia" w:ascii="Times New Roman" w:hAnsi="Times New Roman"/>
          <w:bCs w:val="0"/>
          <w:caps w:val="0"/>
          <w:kern w:val="0"/>
          <w:sz w:val="21"/>
          <w:szCs w:val="21"/>
        </w:rPr>
        <w:t>其它作业</w:t>
      </w:r>
      <w:bookmarkEnd w:id="102"/>
    </w:p>
    <w:p w14:paraId="3EE28245">
      <w:r>
        <w:t>5.5.1</w:t>
      </w:r>
      <w:r>
        <w:rPr>
          <w:rFonts w:hint="eastAsia"/>
        </w:rPr>
        <w:t xml:space="preserve">  地层发生流砂、管涌等渗流破坏时，往往难以采取有效的措施及时进行事后处理，容易对有轨电车设施产生较大的危害。靠近有轨电车的雨、污、自来水等给排水设施应采取可靠密闭管道和箱涵，避免流水对周边土体产生潜蚀作用。</w:t>
      </w:r>
    </w:p>
    <w:p w14:paraId="12AC5C39">
      <w:r>
        <w:t>5.5.7</w:t>
      </w:r>
      <w:r>
        <w:rPr>
          <w:rFonts w:hint="eastAsia"/>
        </w:rPr>
        <w:t xml:space="preserve">  地下水作业前，应核查有轨电车设施周边的水文地质和地下水位分布情况，计算分析地下水位变化对既有结构的影响，确定地下水位变化的允许值，并在外部作业过程中进行监测。</w:t>
      </w:r>
    </w:p>
    <w:p w14:paraId="795AB14C">
      <w:r>
        <w:t>5.5.9</w:t>
      </w:r>
      <w:r>
        <w:rPr>
          <w:rFonts w:hint="eastAsia"/>
        </w:rPr>
        <w:t xml:space="preserve">  冻结法产生的冻胀融沉一般周期长、变形幅度大，在有轨电车设施敏感区域宜优先选择其他地层加固处理措施，若采用冻结法，应通过采取增大冻结速度、控制冻结范围、控制水分迁移量、设置压力释放孔、注浆填充、工作面释放水和强制解冻等措施，有效降低冻胀融沉问题。</w:t>
      </w:r>
    </w:p>
    <w:p w14:paraId="2750B276">
      <w:pPr>
        <w:rPr>
          <w:b/>
        </w:rPr>
      </w:pPr>
    </w:p>
    <w:p w14:paraId="06838192">
      <w:pPr>
        <w:widowControl/>
        <w:adjustRightInd w:val="0"/>
        <w:snapToGrid w:val="0"/>
        <w:jc w:val="center"/>
        <w:outlineLvl w:val="0"/>
        <w:rPr>
          <w:b/>
          <w:kern w:val="0"/>
          <w:sz w:val="24"/>
        </w:rPr>
        <w:sectPr>
          <w:pgSz w:w="11906" w:h="16838"/>
          <w:pgMar w:top="1440" w:right="1800" w:bottom="1440" w:left="2268" w:header="851" w:footer="992" w:gutter="0"/>
          <w:cols w:space="425" w:num="1"/>
          <w:docGrid w:type="lines" w:linePitch="312" w:charSpace="0"/>
        </w:sectPr>
      </w:pPr>
    </w:p>
    <w:p w14:paraId="3BF8E9A7">
      <w:pPr>
        <w:widowControl/>
        <w:adjustRightInd w:val="0"/>
        <w:snapToGrid w:val="0"/>
        <w:jc w:val="center"/>
        <w:outlineLvl w:val="0"/>
        <w:rPr>
          <w:bCs/>
          <w:caps/>
          <w:kern w:val="0"/>
        </w:rPr>
      </w:pPr>
      <w:bookmarkStart w:id="103" w:name="_Toc103169286"/>
      <w:r>
        <w:rPr>
          <w:b/>
          <w:kern w:val="0"/>
          <w:sz w:val="24"/>
        </w:rPr>
        <w:t>6</w:t>
      </w:r>
      <w:r>
        <w:rPr>
          <w:rFonts w:hint="eastAsia"/>
          <w:b/>
          <w:kern w:val="0"/>
          <w:sz w:val="24"/>
        </w:rPr>
        <w:t xml:space="preserve">  保护巡检</w:t>
      </w:r>
      <w:bookmarkEnd w:id="103"/>
    </w:p>
    <w:p w14:paraId="57287E03">
      <w:pPr>
        <w:pStyle w:val="3"/>
        <w:widowControl/>
        <w:spacing w:before="0" w:after="0" w:line="360" w:lineRule="auto"/>
        <w:jc w:val="center"/>
        <w:outlineLvl w:val="1"/>
        <w:rPr>
          <w:rStyle w:val="30"/>
          <w:rFonts w:ascii="Times New Roman" w:hAnsi="Times New Roman"/>
          <w:bCs w:val="0"/>
          <w:caps w:val="0"/>
          <w:kern w:val="0"/>
          <w:sz w:val="21"/>
          <w:szCs w:val="21"/>
        </w:rPr>
      </w:pPr>
      <w:bookmarkStart w:id="104" w:name="_Toc103169287"/>
      <w:r>
        <w:rPr>
          <w:rStyle w:val="30"/>
          <w:rFonts w:ascii="Times New Roman" w:hAnsi="Times New Roman"/>
          <w:bCs w:val="0"/>
          <w:caps w:val="0"/>
          <w:kern w:val="0"/>
          <w:sz w:val="21"/>
          <w:szCs w:val="21"/>
        </w:rPr>
        <w:t xml:space="preserve">6.1  </w:t>
      </w:r>
      <w:r>
        <w:rPr>
          <w:rStyle w:val="30"/>
          <w:rFonts w:hint="eastAsia" w:ascii="Times New Roman" w:hAnsi="Times New Roman"/>
          <w:bCs w:val="0"/>
          <w:caps w:val="0"/>
          <w:kern w:val="0"/>
          <w:sz w:val="21"/>
          <w:szCs w:val="21"/>
        </w:rPr>
        <w:t>一般规定</w:t>
      </w:r>
      <w:bookmarkEnd w:id="104"/>
    </w:p>
    <w:p w14:paraId="47772AD5">
      <w:r>
        <w:t xml:space="preserve">6.1.1 </w:t>
      </w:r>
      <w:r>
        <w:rPr>
          <w:rFonts w:hint="eastAsia"/>
        </w:rPr>
        <w:t xml:space="preserve"> 有轨电车保护区内的风险点、危险源范围主要源自于外部作业的违规施工。技术审查的要求、重点监控项目监测措施落实不到位的行为都可能对有轨电车现有结构设施或运营安全造成影响，需要经营单位主动沿线巡视检查，发现问题，规避安全隐患。</w:t>
      </w:r>
    </w:p>
    <w:p w14:paraId="0A9C12DE">
      <w:r>
        <w:t>6.1.</w:t>
      </w:r>
      <w:r>
        <w:rPr>
          <w:rFonts w:hint="eastAsia"/>
        </w:rPr>
        <w:t>2</w:t>
      </w:r>
      <w:r>
        <w:t xml:space="preserve"> </w:t>
      </w:r>
      <w:r>
        <w:rPr>
          <w:rFonts w:hint="eastAsia"/>
        </w:rPr>
        <w:t xml:space="preserve"> 开展保护巡检工作，主要是对有轨电车保护区范围的外部作业进行检查，核实建设项目是否按要求履行报审程序、监督检查施工作业是否按审批的方案进行、施工作业是否危及有轨电车设施安全等。对于发现的违规作业，应及时按照流程协调处理，必要时提请政府部门调查处置。应对巡检情况做好记录，并建立相关资料档案台账，以备追溯核查。</w:t>
      </w:r>
    </w:p>
    <w:p w14:paraId="208C7AEF">
      <w:pPr>
        <w:pStyle w:val="3"/>
        <w:widowControl/>
        <w:spacing w:before="0" w:after="0" w:line="360" w:lineRule="auto"/>
        <w:jc w:val="center"/>
        <w:outlineLvl w:val="1"/>
        <w:rPr>
          <w:rStyle w:val="30"/>
          <w:rFonts w:ascii="Times New Roman" w:hAnsi="Times New Roman"/>
          <w:bCs w:val="0"/>
          <w:caps w:val="0"/>
          <w:kern w:val="0"/>
          <w:sz w:val="21"/>
          <w:szCs w:val="21"/>
        </w:rPr>
      </w:pPr>
      <w:bookmarkStart w:id="105" w:name="_Toc103169288"/>
      <w:r>
        <w:rPr>
          <w:rStyle w:val="30"/>
          <w:rFonts w:ascii="Times New Roman" w:hAnsi="Times New Roman"/>
          <w:bCs w:val="0"/>
          <w:caps w:val="0"/>
          <w:kern w:val="0"/>
          <w:sz w:val="21"/>
          <w:szCs w:val="21"/>
        </w:rPr>
        <w:t xml:space="preserve">6.2  </w:t>
      </w:r>
      <w:r>
        <w:rPr>
          <w:rStyle w:val="30"/>
          <w:rFonts w:hint="eastAsia" w:ascii="Times New Roman" w:hAnsi="Times New Roman"/>
          <w:bCs w:val="0"/>
          <w:caps w:val="0"/>
          <w:kern w:val="0"/>
          <w:sz w:val="21"/>
          <w:szCs w:val="21"/>
        </w:rPr>
        <w:t>技术要求</w:t>
      </w:r>
      <w:bookmarkEnd w:id="105"/>
    </w:p>
    <w:p w14:paraId="4854E3B6">
      <w:r>
        <w:t>6.</w:t>
      </w:r>
      <w:r>
        <w:rPr>
          <w:rFonts w:hint="eastAsia"/>
        </w:rPr>
        <w:t>2</w:t>
      </w:r>
      <w:r>
        <w:t xml:space="preserve">.1 </w:t>
      </w:r>
      <w:r>
        <w:rPr>
          <w:rFonts w:hint="eastAsia"/>
        </w:rPr>
        <w:t xml:space="preserve"> 开展保护区巡检前应检查复核有轨电车保护区内标识标牌，进行沿线风险隐患排查，制定巡检周期任务。根据巡检队伍设置巡检人员以及巡检线路，</w:t>
      </w:r>
      <w:r>
        <w:t>在巡</w:t>
      </w:r>
      <w:r>
        <w:rPr>
          <w:rFonts w:hint="eastAsia"/>
        </w:rPr>
        <w:t>检</w:t>
      </w:r>
      <w:r>
        <w:t>任务过程中</w:t>
      </w:r>
      <w:r>
        <w:rPr>
          <w:rFonts w:hint="eastAsia"/>
        </w:rPr>
        <w:t>，做好</w:t>
      </w:r>
      <w:r>
        <w:t>任务</w:t>
      </w:r>
      <w:r>
        <w:rPr>
          <w:rFonts w:hint="eastAsia"/>
        </w:rPr>
        <w:t>记录。根据巡检情况结合线路所属地质条件做出预判，涉及违规作业或存在安全隐患的应及时处理反馈。</w:t>
      </w:r>
    </w:p>
    <w:p w14:paraId="7BB0A27E">
      <w:r>
        <w:t>6.</w:t>
      </w:r>
      <w:r>
        <w:rPr>
          <w:rFonts w:hint="eastAsia"/>
        </w:rPr>
        <w:t>2</w:t>
      </w:r>
      <w:r>
        <w:t>.</w:t>
      </w:r>
      <w:r>
        <w:rPr>
          <w:rFonts w:hint="eastAsia"/>
        </w:rPr>
        <w:t>2</w:t>
      </w:r>
      <w:r>
        <w:t xml:space="preserve"> </w:t>
      </w:r>
      <w:r>
        <w:rPr>
          <w:rFonts w:hint="eastAsia"/>
        </w:rPr>
        <w:t xml:space="preserve"> 对于有轨电车保护区内日常巡检为正常巡检，对于影响等级二级以上的重点监控外部作业，可重点巡检，及时掌握施工动态，做好巡查记录。</w:t>
      </w:r>
    </w:p>
    <w:p w14:paraId="4256B2C2">
      <w:r>
        <w:t>6.</w:t>
      </w:r>
      <w:r>
        <w:rPr>
          <w:rFonts w:hint="eastAsia"/>
        </w:rPr>
        <w:t>2</w:t>
      </w:r>
      <w:r>
        <w:t>.</w:t>
      </w:r>
      <w:r>
        <w:rPr>
          <w:rFonts w:hint="eastAsia"/>
        </w:rPr>
        <w:t>3</w:t>
      </w:r>
      <w:r>
        <w:t xml:space="preserve"> </w:t>
      </w:r>
      <w:r>
        <w:rPr>
          <w:rFonts w:hint="eastAsia"/>
        </w:rPr>
        <w:t xml:space="preserve"> 明确外部作业影响等级，达到一定级别后宜进行重点巡检。</w:t>
      </w:r>
    </w:p>
    <w:p w14:paraId="1314A767">
      <w:r>
        <w:t>6.</w:t>
      </w:r>
      <w:r>
        <w:rPr>
          <w:rFonts w:hint="eastAsia"/>
        </w:rPr>
        <w:t>2</w:t>
      </w:r>
      <w:r>
        <w:t>.</w:t>
      </w:r>
      <w:r>
        <w:rPr>
          <w:rFonts w:hint="eastAsia"/>
        </w:rPr>
        <w:t>4</w:t>
      </w:r>
      <w:r>
        <w:t xml:space="preserve"> </w:t>
      </w:r>
      <w:r>
        <w:rPr>
          <w:rFonts w:hint="eastAsia"/>
        </w:rPr>
        <w:t xml:space="preserve"> 加强有轨电车保护区内的外部风险点管控，借助科技手段基于GIS</w:t>
      </w:r>
      <w:r>
        <w:t>地图</w:t>
      </w:r>
      <w:r>
        <w:rPr>
          <w:rFonts w:hint="eastAsia"/>
        </w:rPr>
        <w:t>建立巡检记录，以便</w:t>
      </w:r>
      <w:r>
        <w:t>查询</w:t>
      </w:r>
      <w:r>
        <w:rPr>
          <w:rFonts w:hint="eastAsia"/>
        </w:rPr>
        <w:t>巡检</w:t>
      </w:r>
      <w:r>
        <w:t>任务</w:t>
      </w:r>
      <w:r>
        <w:rPr>
          <w:rFonts w:hint="eastAsia"/>
        </w:rPr>
        <w:t>、巡查</w:t>
      </w:r>
      <w:r>
        <w:t>轨迹</w:t>
      </w:r>
      <w:r>
        <w:rPr>
          <w:rFonts w:hint="eastAsia"/>
        </w:rPr>
        <w:t>、上报</w:t>
      </w:r>
      <w:r>
        <w:t>项目</w:t>
      </w:r>
      <w:r>
        <w:rPr>
          <w:rFonts w:hint="eastAsia"/>
        </w:rPr>
        <w:t>。重点巡检区域应加大巡查力度，增加巡查频率。</w:t>
      </w:r>
    </w:p>
    <w:p w14:paraId="1A66D59D">
      <w:r>
        <w:t>6.</w:t>
      </w:r>
      <w:r>
        <w:rPr>
          <w:rFonts w:hint="eastAsia"/>
        </w:rPr>
        <w:t>2</w:t>
      </w:r>
      <w:r>
        <w:t>.</w:t>
      </w:r>
      <w:r>
        <w:rPr>
          <w:rFonts w:hint="eastAsia"/>
        </w:rPr>
        <w:t>5</w:t>
      </w:r>
      <w:r>
        <w:t xml:space="preserve"> </w:t>
      </w:r>
      <w:r>
        <w:rPr>
          <w:rFonts w:hint="eastAsia"/>
        </w:rPr>
        <w:t xml:space="preserve"> 对于保护区内可能影响有轨电车设施及运营安全的外部项目，以及自身的设施安全风险点，巡查内容应结合外部作业活动影响等级进行规定。</w:t>
      </w:r>
    </w:p>
    <w:p w14:paraId="761DAE8A">
      <w:pPr>
        <w:pStyle w:val="3"/>
        <w:widowControl/>
        <w:spacing w:before="0" w:after="0" w:line="360" w:lineRule="auto"/>
        <w:jc w:val="center"/>
        <w:outlineLvl w:val="1"/>
        <w:rPr>
          <w:rStyle w:val="30"/>
          <w:rFonts w:ascii="Times New Roman" w:hAnsi="Times New Roman"/>
          <w:bCs w:val="0"/>
          <w:caps w:val="0"/>
          <w:kern w:val="0"/>
          <w:sz w:val="21"/>
          <w:szCs w:val="21"/>
        </w:rPr>
      </w:pPr>
      <w:bookmarkStart w:id="106" w:name="_Toc103169289"/>
      <w:r>
        <w:rPr>
          <w:rStyle w:val="30"/>
          <w:rFonts w:hint="eastAsia" w:ascii="Times New Roman" w:hAnsi="Times New Roman"/>
          <w:bCs w:val="0"/>
          <w:caps w:val="0"/>
          <w:kern w:val="0"/>
          <w:sz w:val="21"/>
          <w:szCs w:val="21"/>
        </w:rPr>
        <w:t>6.3  实施要求</w:t>
      </w:r>
      <w:bookmarkEnd w:id="106"/>
    </w:p>
    <w:p w14:paraId="6BBDE169">
      <w:r>
        <w:t>6.</w:t>
      </w:r>
      <w:r>
        <w:rPr>
          <w:rFonts w:hint="eastAsia"/>
        </w:rPr>
        <w:t>3</w:t>
      </w:r>
      <w:r>
        <w:t xml:space="preserve">.1 </w:t>
      </w:r>
      <w:r>
        <w:rPr>
          <w:rFonts w:hint="eastAsia"/>
        </w:rPr>
        <w:t xml:space="preserve"> 有轨电车保护区内巡检工作包含巡检记录、分析预判、违规处理、应急处置、阶段报告等工作内容，通过实施要求明确包括但不限于条款中所述具体工作事项，以保证巡检工作的完整性、规范性。</w:t>
      </w:r>
    </w:p>
    <w:p w14:paraId="128F8171">
      <w:pPr>
        <w:sectPr>
          <w:pgSz w:w="11906" w:h="16838"/>
          <w:pgMar w:top="1440" w:right="1800" w:bottom="1440" w:left="2268" w:header="851" w:footer="992" w:gutter="0"/>
          <w:cols w:space="425" w:num="1"/>
          <w:docGrid w:type="lines" w:linePitch="312" w:charSpace="0"/>
        </w:sectPr>
      </w:pPr>
      <w:r>
        <w:t>6.</w:t>
      </w:r>
      <w:r>
        <w:rPr>
          <w:rFonts w:hint="eastAsia"/>
        </w:rPr>
        <w:t>3</w:t>
      </w:r>
      <w:r>
        <w:t>.</w:t>
      </w:r>
      <w:r>
        <w:rPr>
          <w:rFonts w:hint="eastAsia"/>
        </w:rPr>
        <w:t>2  保护区巡检重要且任务量大，特别是相关数据自动采集、传输、分析及预警难度大，无法保障数据真实有效，容易出现分析不及时、结论不准确情况，宜建立一套智能信息系统主动应对严峻的运营安全生产形势，推动保护区管理向科学化、制度化、信息化方向发展。</w:t>
      </w:r>
    </w:p>
    <w:p w14:paraId="5CF030BC">
      <w:pPr>
        <w:widowControl/>
        <w:adjustRightInd w:val="0"/>
        <w:snapToGrid w:val="0"/>
        <w:jc w:val="center"/>
        <w:outlineLvl w:val="0"/>
        <w:rPr>
          <w:b/>
          <w:kern w:val="0"/>
          <w:sz w:val="24"/>
        </w:rPr>
      </w:pPr>
      <w:bookmarkStart w:id="107" w:name="_Toc103169290"/>
      <w:r>
        <w:rPr>
          <w:rFonts w:hint="eastAsia"/>
          <w:b/>
          <w:kern w:val="0"/>
          <w:sz w:val="24"/>
        </w:rPr>
        <w:t>7  信息管理</w:t>
      </w:r>
      <w:bookmarkEnd w:id="107"/>
    </w:p>
    <w:p w14:paraId="058A8952">
      <w:pPr>
        <w:widowControl/>
        <w:adjustRightInd w:val="0"/>
        <w:snapToGrid w:val="0"/>
        <w:jc w:val="center"/>
        <w:outlineLvl w:val="1"/>
        <w:rPr>
          <w:b/>
          <w:kern w:val="0"/>
        </w:rPr>
      </w:pPr>
      <w:bookmarkStart w:id="108" w:name="_Toc441507146"/>
      <w:bookmarkStart w:id="109" w:name="_Toc469911217"/>
      <w:bookmarkStart w:id="110" w:name="_Toc455505907"/>
      <w:bookmarkStart w:id="111" w:name="_Toc103169291"/>
      <w:r>
        <w:rPr>
          <w:rFonts w:hint="eastAsia"/>
          <w:b/>
          <w:kern w:val="0"/>
        </w:rPr>
        <w:t>7</w:t>
      </w:r>
      <w:r>
        <w:rPr>
          <w:b/>
          <w:kern w:val="0"/>
        </w:rPr>
        <w:t xml:space="preserve">.1  </w:t>
      </w:r>
      <w:r>
        <w:rPr>
          <w:rFonts w:hint="eastAsia"/>
          <w:b/>
          <w:kern w:val="0"/>
        </w:rPr>
        <w:t>一般规定</w:t>
      </w:r>
      <w:bookmarkEnd w:id="108"/>
      <w:bookmarkEnd w:id="109"/>
      <w:bookmarkEnd w:id="110"/>
      <w:bookmarkEnd w:id="111"/>
    </w:p>
    <w:p w14:paraId="2EC2CD48">
      <w:pPr>
        <w:autoSpaceDE w:val="0"/>
        <w:autoSpaceDN w:val="0"/>
        <w:adjustRightInd w:val="0"/>
        <w:snapToGrid w:val="0"/>
        <w:jc w:val="left"/>
      </w:pPr>
      <w:r>
        <w:rPr>
          <w:rFonts w:hint="eastAsia"/>
        </w:rPr>
        <w:t xml:space="preserve">7.1.1 </w:t>
      </w:r>
      <w:r>
        <w:t xml:space="preserve"> </w:t>
      </w:r>
      <w:r>
        <w:rPr>
          <w:rFonts w:hint="eastAsia"/>
        </w:rPr>
        <w:t>有轨电车信息管理是以现代信息技术为手段，对有轨电车设施安全保护信息进行</w:t>
      </w:r>
      <w:r>
        <w:fldChar w:fldCharType="begin"/>
      </w:r>
      <w:r>
        <w:instrText xml:space="preserve"> HYPERLINK "http://baike.baidu.com/view/149377.htm" \t "_blank" </w:instrText>
      </w:r>
      <w:r>
        <w:fldChar w:fldCharType="separate"/>
      </w:r>
      <w:r>
        <w:rPr>
          <w:rFonts w:hint="eastAsia"/>
        </w:rPr>
        <w:t>计划</w:t>
      </w:r>
      <w:r>
        <w:rPr>
          <w:rFonts w:hint="eastAsia"/>
        </w:rPr>
        <w:fldChar w:fldCharType="end"/>
      </w:r>
      <w:r>
        <w:rPr>
          <w:rFonts w:hint="eastAsia"/>
        </w:rPr>
        <w:t>、组织、指导和控制的管理活动。通过对有轨电车设施安全信息的科学管理，可以有效地了解有轨电车设施的健康状况、预警施工风险、动态控制及指导外部施工，有效避免事故的发生，使信息充分发挥作用。</w:t>
      </w:r>
    </w:p>
    <w:p w14:paraId="1A9E34BD">
      <w:pPr>
        <w:widowControl/>
        <w:adjustRightInd w:val="0"/>
        <w:snapToGrid w:val="0"/>
        <w:jc w:val="center"/>
        <w:outlineLvl w:val="1"/>
        <w:rPr>
          <w:b/>
          <w:kern w:val="0"/>
        </w:rPr>
      </w:pPr>
      <w:bookmarkStart w:id="112" w:name="_Toc103169292"/>
      <w:r>
        <w:rPr>
          <w:rFonts w:hint="eastAsia"/>
          <w:b/>
          <w:kern w:val="0"/>
        </w:rPr>
        <w:t>7</w:t>
      </w:r>
      <w:r>
        <w:rPr>
          <w:b/>
          <w:kern w:val="0"/>
        </w:rPr>
        <w:t>.</w:t>
      </w:r>
      <w:r>
        <w:rPr>
          <w:rFonts w:hint="eastAsia"/>
          <w:b/>
          <w:kern w:val="0"/>
        </w:rPr>
        <w:t>2</w:t>
      </w:r>
      <w:r>
        <w:rPr>
          <w:b/>
          <w:kern w:val="0"/>
        </w:rPr>
        <w:t xml:space="preserve">  </w:t>
      </w:r>
      <w:r>
        <w:rPr>
          <w:rFonts w:hint="eastAsia"/>
          <w:b/>
          <w:kern w:val="0"/>
        </w:rPr>
        <w:t>监测信息</w:t>
      </w:r>
      <w:bookmarkEnd w:id="112"/>
    </w:p>
    <w:p w14:paraId="425A0675">
      <w:pPr>
        <w:autoSpaceDE w:val="0"/>
        <w:autoSpaceDN w:val="0"/>
        <w:adjustRightInd w:val="0"/>
        <w:snapToGrid w:val="0"/>
        <w:jc w:val="left"/>
      </w:pPr>
      <w:r>
        <w:rPr>
          <w:rFonts w:hint="eastAsia"/>
        </w:rPr>
        <w:t>7.2.2  有轨电车既有结构的</w:t>
      </w:r>
      <w:r>
        <w:t>监测</w:t>
      </w:r>
      <w:r>
        <w:rPr>
          <w:rFonts w:hint="eastAsia"/>
        </w:rPr>
        <w:t>流程如图1所示。</w:t>
      </w:r>
    </w:p>
    <w:p w14:paraId="12B6A181">
      <w:pPr>
        <w:pStyle w:val="3"/>
        <w:tabs>
          <w:tab w:val="left" w:pos="709"/>
        </w:tabs>
        <w:ind w:left="28" w:firstLine="684" w:firstLineChars="284"/>
        <w:rPr>
          <w:rFonts w:ascii="Times New Roman" w:hAnsi="Times New Roman"/>
        </w:rPr>
      </w:pPr>
      <w:r>
        <mc:AlternateContent>
          <mc:Choice Requires="wps">
            <w:drawing>
              <wp:anchor distT="0" distB="0" distL="114300" distR="114300" simplePos="0" relativeHeight="251675648" behindDoc="0" locked="0" layoutInCell="1" allowOverlap="1">
                <wp:simplePos x="0" y="0"/>
                <wp:positionH relativeFrom="column">
                  <wp:posOffset>1086485</wp:posOffset>
                </wp:positionH>
                <wp:positionV relativeFrom="paragraph">
                  <wp:posOffset>185420</wp:posOffset>
                </wp:positionV>
                <wp:extent cx="1367790" cy="288925"/>
                <wp:effectExtent l="0" t="0" r="22860" b="15875"/>
                <wp:wrapNone/>
                <wp:docPr id="34" name="Rectangle 64"/>
                <wp:cNvGraphicFramePr/>
                <a:graphic xmlns:a="http://schemas.openxmlformats.org/drawingml/2006/main">
                  <a:graphicData uri="http://schemas.microsoft.com/office/word/2010/wordprocessingShape">
                    <wps:wsp>
                      <wps:cNvSpPr>
                        <a:spLocks noChangeArrowheads="1"/>
                      </wps:cNvSpPr>
                      <wps:spPr bwMode="auto">
                        <a:xfrm>
                          <a:off x="0" y="0"/>
                          <a:ext cx="1367790" cy="288925"/>
                        </a:xfrm>
                        <a:prstGeom prst="rect">
                          <a:avLst/>
                        </a:prstGeom>
                        <a:noFill/>
                        <a:ln w="12700">
                          <a:solidFill>
                            <a:srgbClr val="000000"/>
                          </a:solidFill>
                          <a:miter lim="200000"/>
                        </a:ln>
                      </wps:spPr>
                      <wps:txbx>
                        <w:txbxContent>
                          <w:p w14:paraId="10740312">
                            <w:pPr>
                              <w:spacing w:line="240" w:lineRule="auto"/>
                              <w:jc w:val="center"/>
                            </w:pPr>
                            <w:r>
                              <w:rPr>
                                <w:rFonts w:hint="eastAsia"/>
                              </w:rPr>
                              <w:t>收集资料、现场踏勘</w:t>
                            </w:r>
                          </w:p>
                          <w:p w14:paraId="4DA67539">
                            <w:pPr>
                              <w:rPr>
                                <w:szCs w:val="18"/>
                              </w:rPr>
                            </w:pPr>
                          </w:p>
                        </w:txbxContent>
                      </wps:txbx>
                      <wps:bodyPr rot="0" vert="horz" wrap="square" lIns="91440" tIns="45720" rIns="91440" bIns="45720" anchor="t" anchorCtr="0" upright="1">
                        <a:noAutofit/>
                      </wps:bodyPr>
                    </wps:wsp>
                  </a:graphicData>
                </a:graphic>
              </wp:anchor>
            </w:drawing>
          </mc:Choice>
          <mc:Fallback>
            <w:pict>
              <v:rect id="Rectangle 64" o:spid="_x0000_s1026" o:spt="1" style="position:absolute;left:0pt;margin-left:85.55pt;margin-top:14.6pt;height:22.75pt;width:107.7pt;z-index:251675648;mso-width-relative:page;mso-height-relative:page;" filled="f" stroked="t" coordsize="21600,21600" o:gfxdata="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rac/NkAAAAJAQAADwAAAAAAAAABACAAAAAiAAAAZHJzL2Rvd25yZXYueG1sUEsBAhQA&#10;FAAAAAgAh07iQLxH1KoqAgAAVwQAAA4AAAAAAAAAAQAgAAAAKAEAAGRycy9lMm9Eb2MueG1sUEsF&#10;BgAAAAAGAAYAWQEAAMQFAAAAAA==&#10;">
                <v:fill on="f" focussize="0,0"/>
                <v:stroke weight="1pt" color="#000000" miterlimit="2" joinstyle="miter"/>
                <v:imagedata o:title=""/>
                <o:lock v:ext="edit" aspectratio="f"/>
                <v:textbox>
                  <w:txbxContent>
                    <w:p w14:paraId="10740312">
                      <w:pPr>
                        <w:spacing w:line="240" w:lineRule="auto"/>
                        <w:jc w:val="center"/>
                      </w:pPr>
                      <w:r>
                        <w:rPr>
                          <w:rFonts w:hint="eastAsia"/>
                        </w:rPr>
                        <w:t>收集资料、现场踏勘</w:t>
                      </w:r>
                    </w:p>
                    <w:p w14:paraId="4DA67539">
                      <w:pPr>
                        <w:rPr>
                          <w:szCs w:val="18"/>
                        </w:rPr>
                      </w:pPr>
                    </w:p>
                  </w:txbxContent>
                </v:textbox>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3115310</wp:posOffset>
                </wp:positionH>
                <wp:positionV relativeFrom="paragraph">
                  <wp:posOffset>185420</wp:posOffset>
                </wp:positionV>
                <wp:extent cx="1891665" cy="1103630"/>
                <wp:effectExtent l="0" t="0" r="13335" b="20320"/>
                <wp:wrapNone/>
                <wp:docPr id="33" name="Rectangle 63"/>
                <wp:cNvGraphicFramePr/>
                <a:graphic xmlns:a="http://schemas.openxmlformats.org/drawingml/2006/main">
                  <a:graphicData uri="http://schemas.microsoft.com/office/word/2010/wordprocessingShape">
                    <wps:wsp>
                      <wps:cNvSpPr>
                        <a:spLocks noChangeArrowheads="1"/>
                      </wps:cNvSpPr>
                      <wps:spPr bwMode="auto">
                        <a:xfrm>
                          <a:off x="0" y="0"/>
                          <a:ext cx="1891665" cy="1103630"/>
                        </a:xfrm>
                        <a:prstGeom prst="rect">
                          <a:avLst/>
                        </a:prstGeom>
                        <a:noFill/>
                        <a:ln w="12700">
                          <a:solidFill>
                            <a:srgbClr val="000000"/>
                          </a:solidFill>
                          <a:miter lim="200000"/>
                        </a:ln>
                      </wps:spPr>
                      <wps:txbx>
                        <w:txbxContent>
                          <w:p w14:paraId="4539A463">
                            <w:pPr>
                              <w:spacing w:line="240" w:lineRule="auto"/>
                              <w:rPr>
                                <w:szCs w:val="18"/>
                              </w:rPr>
                            </w:pPr>
                            <w:r>
                              <w:rPr>
                                <w:rFonts w:hint="eastAsia"/>
                              </w:rPr>
                              <w:t>收集</w:t>
                            </w:r>
                            <w:r>
                              <w:t>工程设计要求、调查报告、安全评估报告、施工方案、</w:t>
                            </w:r>
                            <w:r>
                              <w:rPr>
                                <w:rFonts w:hint="eastAsia"/>
                              </w:rPr>
                              <w:t>有轨电车</w:t>
                            </w:r>
                            <w:r>
                              <w:t>结构特点、</w:t>
                            </w:r>
                            <w:r>
                              <w:rPr>
                                <w:rFonts w:hint="eastAsia"/>
                              </w:rPr>
                              <w:t>设施</w:t>
                            </w:r>
                            <w:r>
                              <w:t>保护方案、工程地质条件和周边环境等相关资料</w:t>
                            </w:r>
                          </w:p>
                        </w:txbxContent>
                      </wps:txbx>
                      <wps:bodyPr rot="0" vert="horz" wrap="square" lIns="91440" tIns="45720" rIns="91440" bIns="45720" anchor="t" anchorCtr="0" upright="1">
                        <a:noAutofit/>
                      </wps:bodyPr>
                    </wps:wsp>
                  </a:graphicData>
                </a:graphic>
              </wp:anchor>
            </w:drawing>
          </mc:Choice>
          <mc:Fallback>
            <w:pict>
              <v:rect id="Rectangle 63" o:spid="_x0000_s1026" o:spt="1" style="position:absolute;left:0pt;margin-left:245.3pt;margin-top:14.6pt;height:86.9pt;width:148.95pt;z-index:251672576;mso-width-relative:page;mso-height-relative:page;" filled="f" stroked="t" coordsize="21600,21600" o:gfxdata="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iU3HtoAAAAKAQAADwAAAAAAAAABACAAAAAiAAAAZHJzL2Rvd25yZXYueG1s&#10;UEsBAhQAFAAAAAgAh07iQAvGMtsvAgAAWAQAAA4AAAAAAAAAAQAgAAAAKQEAAGRycy9lMm9Eb2Mu&#10;eG1sUEsFBgAAAAAGAAYAWQEAAMoFAAAAAA==&#10;">
                <v:fill on="f" focussize="0,0"/>
                <v:stroke weight="1pt" color="#000000" miterlimit="2" joinstyle="miter"/>
                <v:imagedata o:title=""/>
                <o:lock v:ext="edit" aspectratio="f"/>
                <v:textbox>
                  <w:txbxContent>
                    <w:p w14:paraId="4539A463">
                      <w:pPr>
                        <w:spacing w:line="240" w:lineRule="auto"/>
                        <w:rPr>
                          <w:szCs w:val="18"/>
                        </w:rPr>
                      </w:pPr>
                      <w:r>
                        <w:rPr>
                          <w:rFonts w:hint="eastAsia"/>
                        </w:rPr>
                        <w:t>收集</w:t>
                      </w:r>
                      <w:r>
                        <w:t>工程设计要求、调查报告、安全评估报告、施工方案、</w:t>
                      </w:r>
                      <w:r>
                        <w:rPr>
                          <w:rFonts w:hint="eastAsia"/>
                        </w:rPr>
                        <w:t>有轨电车</w:t>
                      </w:r>
                      <w:r>
                        <w:t>结构特点、</w:t>
                      </w:r>
                      <w:r>
                        <w:rPr>
                          <w:rFonts w:hint="eastAsia"/>
                        </w:rPr>
                        <w:t>设施</w:t>
                      </w:r>
                      <w:r>
                        <w:t>保护方案、工程地质条件和周边环境等相关资料</w:t>
                      </w:r>
                    </w:p>
                  </w:txbxContent>
                </v:textbox>
              </v:rect>
            </w:pict>
          </mc:Fallback>
        </mc:AlternateContent>
      </w:r>
    </w:p>
    <w:p w14:paraId="035E9407">
      <w:pPr>
        <w:pStyle w:val="3"/>
        <w:tabs>
          <w:tab w:val="left" w:pos="709"/>
        </w:tabs>
        <w:ind w:left="28" w:firstLine="599" w:firstLineChars="284"/>
        <w:rPr>
          <w:rFonts w:ascii="Times New Roman" w:hAnsi="Times New Roman"/>
          <w:sz w:val="21"/>
          <w:szCs w:val="21"/>
        </w:rPr>
      </w:pPr>
      <w:r>
        <w:rPr>
          <w:rFonts w:ascii="Times New Roman" w:hAnsi="Times New Roman"/>
          <w:sz w:val="21"/>
          <w:szCs w:val="21"/>
        </w:rPr>
        <mc:AlternateContent>
          <mc:Choice Requires="wps">
            <w:drawing>
              <wp:anchor distT="0" distB="0" distL="113665" distR="113665" simplePos="0" relativeHeight="251677696" behindDoc="0" locked="0" layoutInCell="1" allowOverlap="1">
                <wp:simplePos x="0" y="0"/>
                <wp:positionH relativeFrom="column">
                  <wp:posOffset>1833880</wp:posOffset>
                </wp:positionH>
                <wp:positionV relativeFrom="paragraph">
                  <wp:posOffset>139065</wp:posOffset>
                </wp:positionV>
                <wp:extent cx="0" cy="369570"/>
                <wp:effectExtent l="76200" t="0" r="76200" b="49530"/>
                <wp:wrapNone/>
                <wp:docPr id="32" name="Line 244"/>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12700">
                          <a:solidFill>
                            <a:srgbClr val="000000"/>
                          </a:solidFill>
                          <a:round/>
                          <a:tailEnd type="triangle" w="med" len="med"/>
                        </a:ln>
                      </wps:spPr>
                      <wps:bodyPr/>
                    </wps:wsp>
                  </a:graphicData>
                </a:graphic>
              </wp:anchor>
            </w:drawing>
          </mc:Choice>
          <mc:Fallback>
            <w:pict>
              <v:line id="Line 244" o:spid="_x0000_s1026" o:spt="20" style="position:absolute;left:0pt;margin-left:144.4pt;margin-top:10.95pt;height:29.1pt;width:0pt;z-index:251677696;mso-width-relative:page;mso-height-relative:page;" filled="f" stroked="t" coordsize="21600,21600" o:gfxdata="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I6xXDWAAAA&#10;CQEAAA8AAAAAAAAAAQAgAAAAIgAAAGRycy9kb3ducmV2LnhtbFBLAQIUABQAAAAIAIdO4kCK1H95&#10;5gEAANADAAAOAAAAAAAAAAEAIAAAACUBAABkcnMvZTJvRG9jLnhtbFBLBQYAAAAABgAGAFkBAAB9&#10;BQAAAAA=&#10;">
                <v:fill on="f" focussize="0,0"/>
                <v:stroke weight="1pt" color="#000000" joinstyle="round" endarrow="block"/>
                <v:imagedata o:title=""/>
                <o:lock v:ext="edit" aspectratio="f"/>
              </v:line>
            </w:pict>
          </mc:Fallback>
        </mc:AlternateContent>
      </w:r>
      <w:r>
        <w:rPr>
          <w:rFonts w:ascii="Times New Roman" w:hAnsi="Times New Roman"/>
          <w:sz w:val="21"/>
          <w:szCs w:val="21"/>
        </w:rPr>
        <mc:AlternateContent>
          <mc:Choice Requires="wps">
            <w:drawing>
              <wp:anchor distT="0" distB="0" distL="114300" distR="114300" simplePos="0" relativeHeight="251671552" behindDoc="0" locked="0" layoutInCell="1" allowOverlap="1">
                <wp:simplePos x="0" y="0"/>
                <wp:positionH relativeFrom="column">
                  <wp:posOffset>2458085</wp:posOffset>
                </wp:positionH>
                <wp:positionV relativeFrom="paragraph">
                  <wp:posOffset>41275</wp:posOffset>
                </wp:positionV>
                <wp:extent cx="659130" cy="0"/>
                <wp:effectExtent l="0" t="0" r="26670" b="19050"/>
                <wp:wrapNone/>
                <wp:docPr id="31" name="Line 239"/>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line">
                          <a:avLst/>
                        </a:prstGeom>
                        <a:noFill/>
                        <a:ln w="12700">
                          <a:solidFill>
                            <a:srgbClr val="000000"/>
                          </a:solidFill>
                          <a:round/>
                        </a:ln>
                      </wps:spPr>
                      <wps:bodyPr/>
                    </wps:wsp>
                  </a:graphicData>
                </a:graphic>
              </wp:anchor>
            </w:drawing>
          </mc:Choice>
          <mc:Fallback>
            <w:pict>
              <v:line id="Line 239" o:spid="_x0000_s1026" o:spt="20" style="position:absolute;left:0pt;margin-left:193.55pt;margin-top:3.25pt;height:0pt;width:51.9pt;z-index:251671552;mso-width-relative:page;mso-height-relative:page;" filled="f" stroked="t" coordsize="21600,21600" o:gfxdata="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7p4rWAAAABwEAAA8AAAAAAAAAAQAgAAAAIgAAAGRycy9k&#10;b3ducmV2LnhtbFBLAQIUABQAAAAIAIdO4kCNetQBywEAAKIDAAAOAAAAAAAAAAEAIAAAACUBAABk&#10;cnMvZTJvRG9jLnhtbFBLBQYAAAAABgAGAFkBAABiBQAAAAA=&#10;">
                <v:fill on="f" focussize="0,0"/>
                <v:stroke weight="1pt" color="#000000" joinstyle="round"/>
                <v:imagedata o:title=""/>
                <o:lock v:ext="edit" aspectratio="f"/>
              </v:line>
            </w:pict>
          </mc:Fallback>
        </mc:AlternateContent>
      </w:r>
    </w:p>
    <w:p w14:paraId="5E6192EE">
      <w:pPr>
        <w:pStyle w:val="3"/>
        <w:tabs>
          <w:tab w:val="left" w:pos="709"/>
        </w:tabs>
        <w:ind w:left="28" w:firstLine="599" w:firstLineChars="284"/>
        <w:rPr>
          <w:rFonts w:ascii="Times New Roman" w:hAnsi="Times New Roman"/>
          <w:sz w:val="21"/>
          <w:szCs w:val="21"/>
        </w:rPr>
      </w:pPr>
      <w:r>
        <w:rPr>
          <w:rFonts w:ascii="Times New Roman" w:hAnsi="Times New Roman"/>
          <w:sz w:val="21"/>
          <w:szCs w:val="21"/>
        </w:rPr>
        <mc:AlternateContent>
          <mc:Choice Requires="wps">
            <w:drawing>
              <wp:anchor distT="0" distB="0" distL="114300" distR="114300" simplePos="0" relativeHeight="251682816" behindDoc="0" locked="0" layoutInCell="1" allowOverlap="1">
                <wp:simplePos x="0" y="0"/>
                <wp:positionH relativeFrom="column">
                  <wp:posOffset>1081405</wp:posOffset>
                </wp:positionH>
                <wp:positionV relativeFrom="paragraph">
                  <wp:posOffset>238125</wp:posOffset>
                </wp:positionV>
                <wp:extent cx="1598295" cy="288925"/>
                <wp:effectExtent l="0" t="0" r="20955" b="15875"/>
                <wp:wrapNone/>
                <wp:docPr id="30" name="Rectangle 62"/>
                <wp:cNvGraphicFramePr/>
                <a:graphic xmlns:a="http://schemas.openxmlformats.org/drawingml/2006/main">
                  <a:graphicData uri="http://schemas.microsoft.com/office/word/2010/wordprocessingShape">
                    <wps:wsp>
                      <wps:cNvSpPr>
                        <a:spLocks noChangeArrowheads="1"/>
                      </wps:cNvSpPr>
                      <wps:spPr bwMode="auto">
                        <a:xfrm>
                          <a:off x="0" y="0"/>
                          <a:ext cx="1598295" cy="288925"/>
                        </a:xfrm>
                        <a:prstGeom prst="rect">
                          <a:avLst/>
                        </a:prstGeom>
                        <a:noFill/>
                        <a:ln w="12700">
                          <a:solidFill>
                            <a:srgbClr val="000000"/>
                          </a:solidFill>
                          <a:miter lim="200000"/>
                        </a:ln>
                      </wps:spPr>
                      <wps:txbx>
                        <w:txbxContent>
                          <w:p w14:paraId="52B57C96">
                            <w:pPr>
                              <w:spacing w:line="240" w:lineRule="auto"/>
                              <w:jc w:val="center"/>
                            </w:pPr>
                            <w:r>
                              <w:t>编制和审查监测方案</w:t>
                            </w:r>
                          </w:p>
                          <w:p w14:paraId="17797371">
                            <w:pPr>
                              <w:rPr>
                                <w:szCs w:val="18"/>
                              </w:rPr>
                            </w:pPr>
                          </w:p>
                        </w:txbxContent>
                      </wps:txbx>
                      <wps:bodyPr rot="0" vert="horz" wrap="square" lIns="91440" tIns="45720" rIns="91440" bIns="45720" anchor="t" anchorCtr="0" upright="1">
                        <a:noAutofit/>
                      </wps:bodyPr>
                    </wps:wsp>
                  </a:graphicData>
                </a:graphic>
              </wp:anchor>
            </w:drawing>
          </mc:Choice>
          <mc:Fallback>
            <w:pict>
              <v:rect id="Rectangle 62" o:spid="_x0000_s1026" o:spt="1" style="position:absolute;left:0pt;margin-left:85.15pt;margin-top:18.75pt;height:22.75pt;width:125.85pt;z-index:251682816;mso-width-relative:page;mso-height-relative:page;" filled="f" stroked="t" coordsize="21600,21600" o:gfxdata="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cbgoHaAAAACQEAAA8AAAAAAAAAAQAgAAAAIgAAAGRycy9kb3ducmV2LnhtbFBLAQIU&#10;ABQAAAAIAIdO4kC73ZV6KgIAAFcEAAAOAAAAAAAAAAEAIAAAACkBAABkcnMvZTJvRG9jLnhtbFBL&#10;BQYAAAAABgAGAFkBAADFBQAAAAA=&#10;">
                <v:fill on="f" focussize="0,0"/>
                <v:stroke weight="1pt" color="#000000" miterlimit="2" joinstyle="miter"/>
                <v:imagedata o:title=""/>
                <o:lock v:ext="edit" aspectratio="f"/>
                <v:textbox>
                  <w:txbxContent>
                    <w:p w14:paraId="52B57C96">
                      <w:pPr>
                        <w:spacing w:line="240" w:lineRule="auto"/>
                        <w:jc w:val="center"/>
                      </w:pPr>
                      <w:r>
                        <w:t>编制和审查监测方案</w:t>
                      </w:r>
                    </w:p>
                    <w:p w14:paraId="17797371">
                      <w:pPr>
                        <w:rPr>
                          <w:szCs w:val="18"/>
                        </w:rPr>
                      </w:pPr>
                    </w:p>
                  </w:txbxContent>
                </v:textbox>
              </v:rect>
            </w:pict>
          </mc:Fallback>
        </mc:AlternateContent>
      </w:r>
    </w:p>
    <w:p w14:paraId="604E8BC0">
      <w:pPr>
        <w:pStyle w:val="3"/>
        <w:tabs>
          <w:tab w:val="left" w:pos="709"/>
        </w:tabs>
        <w:ind w:left="28" w:firstLine="599" w:firstLineChars="284"/>
        <w:rPr>
          <w:rFonts w:ascii="Times New Roman" w:hAnsi="Times New Roman"/>
          <w:sz w:val="21"/>
          <w:szCs w:val="21"/>
        </w:rPr>
      </w:pPr>
      <w:r>
        <w:rPr>
          <w:rFonts w:ascii="Times New Roman" w:hAnsi="Times New Roman"/>
          <w:sz w:val="21"/>
          <w:szCs w:val="21"/>
        </w:rPr>
        <mc:AlternateContent>
          <mc:Choice Requires="wps">
            <w:drawing>
              <wp:anchor distT="0" distB="0" distL="113665" distR="113665" simplePos="0" relativeHeight="251666432" behindDoc="0" locked="0" layoutInCell="1" allowOverlap="1">
                <wp:simplePos x="0" y="0"/>
                <wp:positionH relativeFrom="column">
                  <wp:posOffset>36830</wp:posOffset>
                </wp:positionH>
                <wp:positionV relativeFrom="line">
                  <wp:posOffset>140970</wp:posOffset>
                </wp:positionV>
                <wp:extent cx="0" cy="2452370"/>
                <wp:effectExtent l="0" t="0" r="19050" b="24130"/>
                <wp:wrapNone/>
                <wp:docPr id="28" name="AutoShape 111"/>
                <wp:cNvGraphicFramePr/>
                <a:graphic xmlns:a="http://schemas.openxmlformats.org/drawingml/2006/main">
                  <a:graphicData uri="http://schemas.microsoft.com/office/word/2010/wordprocessingShape">
                    <wps:wsp>
                      <wps:cNvCnPr>
                        <a:cxnSpLocks noChangeShapeType="1"/>
                      </wps:cNvCnPr>
                      <wps:spPr bwMode="auto">
                        <a:xfrm>
                          <a:off x="0" y="0"/>
                          <a:ext cx="0" cy="2452370"/>
                        </a:xfrm>
                        <a:prstGeom prst="straightConnector1">
                          <a:avLst/>
                        </a:prstGeom>
                        <a:noFill/>
                        <a:ln w="12700">
                          <a:solidFill>
                            <a:srgbClr val="000000"/>
                          </a:solidFill>
                          <a:round/>
                        </a:ln>
                      </wps:spPr>
                      <wps:bodyPr/>
                    </wps:wsp>
                  </a:graphicData>
                </a:graphic>
              </wp:anchor>
            </w:drawing>
          </mc:Choice>
          <mc:Fallback>
            <w:pict>
              <v:shape id="AutoShape 111" o:spid="_x0000_s1026" o:spt="32" type="#_x0000_t32" style="position:absolute;left:0pt;margin-left:2.9pt;margin-top:11.1pt;height:193.1pt;width:0pt;mso-position-vertical-relative:line;z-index:251666432;mso-width-relative:page;mso-height-relative:page;" filled="f" stroked="t" coordsize="21600,21600" o:gfxdata="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mZ5Wv0gAAAAYBAAAPAAAAAAAAAAEAIAAAACIA&#10;AABkcnMvZG93bnJldi54bWxQSwECFAAUAAAACACHTuJARcNWUdYBAAC2AwAADgAAAAAAAAABACAA&#10;AAAhAQAAZHJzL2Uyb0RvYy54bWxQSwUGAAAAAAYABgBZAQAAaQUAAAAA&#10;">
                <v:fill on="f" focussize="0,0"/>
                <v:stroke weight="1pt" color="#000000" joinstyle="round"/>
                <v:imagedata o:title=""/>
                <o:lock v:ext="edit" aspectratio="f"/>
              </v:shape>
            </w:pict>
          </mc:Fallback>
        </mc:AlternateContent>
      </w:r>
      <w:r>
        <w:rPr>
          <w:rFonts w:ascii="Times New Roman" w:hAnsi="Times New Roman"/>
          <w:sz w:val="21"/>
          <w:szCs w:val="21"/>
        </w:rPr>
        <mc:AlternateContent>
          <mc:Choice Requires="wps">
            <w:drawing>
              <wp:anchor distT="0" distB="0" distL="113665" distR="113665" simplePos="0" relativeHeight="251676672" behindDoc="0" locked="0" layoutInCell="1" allowOverlap="1">
                <wp:simplePos x="0" y="0"/>
                <wp:positionH relativeFrom="column">
                  <wp:posOffset>1833880</wp:posOffset>
                </wp:positionH>
                <wp:positionV relativeFrom="paragraph">
                  <wp:posOffset>269875</wp:posOffset>
                </wp:positionV>
                <wp:extent cx="0" cy="311150"/>
                <wp:effectExtent l="76200" t="0" r="57150" b="50800"/>
                <wp:wrapNone/>
                <wp:docPr id="26" name="Line 242"/>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12700">
                          <a:solidFill>
                            <a:srgbClr val="000000"/>
                          </a:solidFill>
                          <a:round/>
                          <a:tailEnd type="triangle" w="med" len="med"/>
                        </a:ln>
                      </wps:spPr>
                      <wps:bodyPr/>
                    </wps:wsp>
                  </a:graphicData>
                </a:graphic>
              </wp:anchor>
            </w:drawing>
          </mc:Choice>
          <mc:Fallback>
            <w:pict>
              <v:line id="Line 242" o:spid="_x0000_s1026" o:spt="20" style="position:absolute;left:0pt;margin-left:144.4pt;margin-top:21.25pt;height:24.5pt;width:0pt;z-index:251676672;mso-width-relative:page;mso-height-relative:page;" filled="f" stroked="t" coordsize="21600,21600" o:gfxdata="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9ZUerXAAAA&#10;CQEAAA8AAAAAAAAAAQAgAAAAIgAAAGRycy9kb3ducmV2LnhtbFBLAQIUABQAAAAIAIdO4kA6lIL7&#10;5QEAANADAAAOAAAAAAAAAAEAIAAAACYBAABkcnMvZTJvRG9jLnhtbFBLBQYAAAAABgAGAFkBAAB9&#10;BQAAAAA=&#10;">
                <v:fill on="f" focussize="0,0"/>
                <v:stroke weight="1pt" color="#000000" joinstyle="round" endarrow="block"/>
                <v:imagedata o:title=""/>
                <o:lock v:ext="edit" aspectratio="f"/>
              </v:line>
            </w:pict>
          </mc:Fallback>
        </mc:AlternateContent>
      </w:r>
      <w:r>
        <w:rPr>
          <w:rFonts w:ascii="Times New Roman" w:hAnsi="Times New Roman"/>
          <w:sz w:val="21"/>
          <w:szCs w:val="21"/>
        </w:rPr>
        <mc:AlternateContent>
          <mc:Choice Requires="wps">
            <w:drawing>
              <wp:anchor distT="0" distB="0" distL="114300" distR="114300" simplePos="0" relativeHeight="251665408" behindDoc="0" locked="0" layoutInCell="1" allowOverlap="1">
                <wp:simplePos x="0" y="0"/>
                <wp:positionH relativeFrom="column">
                  <wp:posOffset>36830</wp:posOffset>
                </wp:positionH>
                <wp:positionV relativeFrom="line">
                  <wp:posOffset>142240</wp:posOffset>
                </wp:positionV>
                <wp:extent cx="1050925" cy="0"/>
                <wp:effectExtent l="0" t="76200" r="15875" b="95250"/>
                <wp:wrapNone/>
                <wp:docPr id="29" name="AutoShape 110"/>
                <wp:cNvGraphicFramePr/>
                <a:graphic xmlns:a="http://schemas.openxmlformats.org/drawingml/2006/main">
                  <a:graphicData uri="http://schemas.microsoft.com/office/word/2010/wordprocessingShape">
                    <wps:wsp>
                      <wps:cNvCnPr>
                        <a:cxnSpLocks noChangeShapeType="1"/>
                      </wps:cNvCnPr>
                      <wps:spPr bwMode="auto">
                        <a:xfrm>
                          <a:off x="0" y="0"/>
                          <a:ext cx="1050925" cy="0"/>
                        </a:xfrm>
                        <a:prstGeom prst="straightConnector1">
                          <a:avLst/>
                        </a:prstGeom>
                        <a:noFill/>
                        <a:ln w="12700">
                          <a:solidFill>
                            <a:srgbClr val="000000"/>
                          </a:solidFill>
                          <a:round/>
                          <a:tailEnd type="triangle" w="med" len="med"/>
                        </a:ln>
                      </wps:spPr>
                      <wps:bodyPr/>
                    </wps:wsp>
                  </a:graphicData>
                </a:graphic>
              </wp:anchor>
            </w:drawing>
          </mc:Choice>
          <mc:Fallback>
            <w:pict>
              <v:shape id="AutoShape 110" o:spid="_x0000_s1026" o:spt="32" type="#_x0000_t32" style="position:absolute;left:0pt;margin-left:2.9pt;margin-top:11.2pt;height:0pt;width:82.75pt;mso-position-vertical-relative:line;z-index:251665408;mso-width-relative:page;mso-height-relative:page;" filled="f" stroked="t" coordsize="21600,21600" o:gfxdata="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pXPS1AAAAAcBAAAPAAAAAAAAAAEAIAAAACIAAABkcnMvZG93bnJldi54bWxQSwECFAAUAAAA&#10;CACHTuJAaio+9PIBAADkAwAADgAAAAAAAAABACAAAAAjAQAAZHJzL2Uyb0RvYy54bWxQSwUGAAAA&#10;AAYABgBZAQAAhwUAAAAA&#10;">
                <v:fill on="f" focussize="0,0"/>
                <v:stroke weight="1pt" color="#000000" joinstyle="round" endarrow="block"/>
                <v:imagedata o:title=""/>
                <o:lock v:ext="edit" aspectratio="f"/>
              </v:shape>
            </w:pict>
          </mc:Fallback>
        </mc:AlternateContent>
      </w:r>
    </w:p>
    <w:p w14:paraId="4054360B">
      <w:pPr>
        <w:pStyle w:val="3"/>
        <w:tabs>
          <w:tab w:val="left" w:pos="709"/>
        </w:tabs>
        <w:ind w:left="28" w:firstLine="599" w:firstLineChars="284"/>
        <w:rPr>
          <w:rFonts w:ascii="Times New Roman" w:hAnsi="Times New Roman"/>
          <w:sz w:val="21"/>
          <w:szCs w:val="21"/>
        </w:rPr>
      </w:pPr>
      <w:r>
        <w:rPr>
          <w:rFonts w:ascii="Times New Roman" w:hAnsi="Times New Roman"/>
          <w:sz w:val="21"/>
          <w:szCs w:val="21"/>
        </w:rPr>
        <mc:AlternateContent>
          <mc:Choice Requires="wps">
            <w:drawing>
              <wp:anchor distT="0" distB="0" distL="114300" distR="114300" simplePos="0" relativeHeight="251668480" behindDoc="0" locked="0" layoutInCell="1" allowOverlap="1">
                <wp:simplePos x="0" y="0"/>
                <wp:positionH relativeFrom="column">
                  <wp:posOffset>13970</wp:posOffset>
                </wp:positionH>
                <wp:positionV relativeFrom="paragraph">
                  <wp:posOffset>43180</wp:posOffset>
                </wp:positionV>
                <wp:extent cx="338455" cy="2224405"/>
                <wp:effectExtent l="4445" t="0" r="0" b="0"/>
                <wp:wrapNone/>
                <wp:docPr id="25" name="Rectangle 116"/>
                <wp:cNvGraphicFramePr/>
                <a:graphic xmlns:a="http://schemas.openxmlformats.org/drawingml/2006/main">
                  <a:graphicData uri="http://schemas.microsoft.com/office/word/2010/wordprocessingShape">
                    <wps:wsp>
                      <wps:cNvSpPr>
                        <a:spLocks noChangeArrowheads="1"/>
                      </wps:cNvSpPr>
                      <wps:spPr bwMode="auto">
                        <a:xfrm>
                          <a:off x="0" y="0"/>
                          <a:ext cx="338455" cy="2224405"/>
                        </a:xfrm>
                        <a:prstGeom prst="rect">
                          <a:avLst/>
                        </a:prstGeom>
                        <a:noFill/>
                        <a:ln>
                          <a:noFill/>
                        </a:ln>
                      </wps:spPr>
                      <wps:txbx>
                        <w:txbxContent>
                          <w:p w14:paraId="40CE6ABB">
                            <w:pPr>
                              <w:spacing w:line="240" w:lineRule="auto"/>
                              <w:jc w:val="left"/>
                              <w:rPr>
                                <w:szCs w:val="18"/>
                              </w:rPr>
                            </w:pPr>
                            <w:r>
                              <w:rPr>
                                <w:rFonts w:hint="eastAsia"/>
                              </w:rPr>
                              <w:t>根据需要调整监测方案</w:t>
                            </w:r>
                          </w:p>
                        </w:txbxContent>
                      </wps:txbx>
                      <wps:bodyPr rot="0" vert="horz" wrap="square" lIns="91440" tIns="45720" rIns="91440" bIns="45720" anchor="t" anchorCtr="0" upright="1">
                        <a:noAutofit/>
                      </wps:bodyPr>
                    </wps:wsp>
                  </a:graphicData>
                </a:graphic>
              </wp:anchor>
            </w:drawing>
          </mc:Choice>
          <mc:Fallback>
            <w:pict>
              <v:rect id="Rectangle 116" o:spid="_x0000_s1026" o:spt="1" style="position:absolute;left:0pt;margin-left:1.1pt;margin-top:3.4pt;height:175.15pt;width:26.65pt;z-index:251668480;mso-width-relative:page;mso-height-relative:page;" filled="f" stroked="f" coordsize="21600,21600" o:gfxdata="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5GML1gAAAAYBAAAPAAAAAAAAAAEAIAAAACIAAABkcnMv&#10;ZG93bnJldi54bWxQSwECFAAUAAAACACHTuJAoTbycwUCAAAOBAAADgAAAAAAAAABACAAAAAlAQAA&#10;ZHJzL2Uyb0RvYy54bWxQSwUGAAAAAAYABgBZAQAAnAUAAAAA&#10;">
                <v:fill on="f" focussize="0,0"/>
                <v:stroke on="f"/>
                <v:imagedata o:title=""/>
                <o:lock v:ext="edit" aspectratio="f"/>
                <v:textbox>
                  <w:txbxContent>
                    <w:p w14:paraId="40CE6ABB">
                      <w:pPr>
                        <w:spacing w:line="240" w:lineRule="auto"/>
                        <w:jc w:val="left"/>
                        <w:rPr>
                          <w:szCs w:val="18"/>
                        </w:rPr>
                      </w:pPr>
                      <w:r>
                        <w:rPr>
                          <w:rFonts w:hint="eastAsia"/>
                        </w:rPr>
                        <w:t>根据需要调整监测方案</w:t>
                      </w:r>
                    </w:p>
                  </w:txbxContent>
                </v:textbox>
              </v:rect>
            </w:pict>
          </mc:Fallback>
        </mc:AlternateContent>
      </w:r>
    </w:p>
    <w:p w14:paraId="79AA100C">
      <w:pPr>
        <w:pStyle w:val="3"/>
        <w:tabs>
          <w:tab w:val="left" w:pos="709"/>
        </w:tabs>
        <w:ind w:left="27" w:leftChars="13" w:firstLine="1231" w:firstLineChars="584"/>
        <w:rPr>
          <w:rFonts w:ascii="Times New Roman" w:hAnsi="Times New Roman"/>
          <w:sz w:val="21"/>
          <w:szCs w:val="21"/>
        </w:rPr>
      </w:pPr>
      <w:r>
        <w:rPr>
          <w:rFonts w:ascii="Times New Roman" w:hAnsi="Times New Roman"/>
          <w:sz w:val="21"/>
          <w:szCs w:val="21"/>
        </w:rPr>
        <mc:AlternateContent>
          <mc:Choice Requires="wps">
            <w:drawing>
              <wp:anchor distT="0" distB="0" distL="114300" distR="114300" simplePos="0" relativeHeight="251680768" behindDoc="0" locked="0" layoutInCell="1" allowOverlap="1">
                <wp:simplePos x="0" y="0"/>
                <wp:positionH relativeFrom="column">
                  <wp:posOffset>1081405</wp:posOffset>
                </wp:positionH>
                <wp:positionV relativeFrom="paragraph">
                  <wp:posOffset>40005</wp:posOffset>
                </wp:positionV>
                <wp:extent cx="3275330" cy="289560"/>
                <wp:effectExtent l="0" t="0" r="20320" b="15240"/>
                <wp:wrapNone/>
                <wp:docPr id="24" name="Rectangle 75"/>
                <wp:cNvGraphicFramePr/>
                <a:graphic xmlns:a="http://schemas.openxmlformats.org/drawingml/2006/main">
                  <a:graphicData uri="http://schemas.microsoft.com/office/word/2010/wordprocessingShape">
                    <wps:wsp>
                      <wps:cNvSpPr>
                        <a:spLocks noChangeArrowheads="1"/>
                      </wps:cNvSpPr>
                      <wps:spPr bwMode="auto">
                        <a:xfrm>
                          <a:off x="0" y="0"/>
                          <a:ext cx="3275330" cy="289560"/>
                        </a:xfrm>
                        <a:prstGeom prst="rect">
                          <a:avLst/>
                        </a:prstGeom>
                        <a:noFill/>
                        <a:ln w="12700">
                          <a:solidFill>
                            <a:srgbClr val="000000"/>
                          </a:solidFill>
                          <a:miter lim="200000"/>
                        </a:ln>
                      </wps:spPr>
                      <wps:txbx>
                        <w:txbxContent>
                          <w:p w14:paraId="6784AE2F">
                            <w:pPr>
                              <w:spacing w:line="240" w:lineRule="auto"/>
                              <w:jc w:val="center"/>
                            </w:pPr>
                            <w:r>
                              <w:rPr>
                                <w:rFonts w:hint="eastAsia"/>
                              </w:rPr>
                              <w:t>仪器设备的检校、基准网检核、监测点初始值的测定</w:t>
                            </w:r>
                          </w:p>
                        </w:txbxContent>
                      </wps:txbx>
                      <wps:bodyPr rot="0" vert="horz" wrap="square" lIns="91440" tIns="45720" rIns="91440" bIns="45720" anchor="t" anchorCtr="0" upright="1">
                        <a:noAutofit/>
                      </wps:bodyPr>
                    </wps:wsp>
                  </a:graphicData>
                </a:graphic>
              </wp:anchor>
            </w:drawing>
          </mc:Choice>
          <mc:Fallback>
            <w:pict>
              <v:rect id="Rectangle 75" o:spid="_x0000_s1026" o:spt="1" style="position:absolute;left:0pt;margin-left:85.15pt;margin-top:3.15pt;height:22.8pt;width:257.9pt;z-index:251680768;mso-width-relative:page;mso-height-relative:page;" filled="f" stroked="t" coordsize="21600,21600" o:gfxdata="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rq3ZA2QAAAAgBAAAPAAAAAAAAAAEAIAAAACIAAABkcnMvZG93bnJldi54bWxQSwEC&#10;FAAUAAAACACHTuJAIPvo1CwCAABXBAAADgAAAAAAAAABACAAAAAoAQAAZHJzL2Uyb0RvYy54bWxQ&#10;SwUGAAAAAAYABgBZAQAAxgUAAAAA&#10;">
                <v:fill on="f" focussize="0,0"/>
                <v:stroke weight="1pt" color="#000000" miterlimit="2" joinstyle="miter"/>
                <v:imagedata o:title=""/>
                <o:lock v:ext="edit" aspectratio="f"/>
                <v:textbox>
                  <w:txbxContent>
                    <w:p w14:paraId="6784AE2F">
                      <w:pPr>
                        <w:spacing w:line="240" w:lineRule="auto"/>
                        <w:jc w:val="center"/>
                      </w:pPr>
                      <w:r>
                        <w:rPr>
                          <w:rFonts w:hint="eastAsia"/>
                        </w:rPr>
                        <w:t>仪器设备的检校、基准网检核、监测点初始值的测定</w:t>
                      </w:r>
                    </w:p>
                  </w:txbxContent>
                </v:textbox>
              </v:rect>
            </w:pict>
          </mc:Fallback>
        </mc:AlternateContent>
      </w:r>
    </w:p>
    <w:p w14:paraId="0C368437">
      <w:pPr>
        <w:pStyle w:val="3"/>
        <w:tabs>
          <w:tab w:val="left" w:pos="709"/>
        </w:tabs>
        <w:ind w:left="28" w:firstLine="599" w:firstLineChars="284"/>
        <w:rPr>
          <w:rFonts w:ascii="Times New Roman" w:hAnsi="Times New Roman"/>
          <w:sz w:val="21"/>
          <w:szCs w:val="21"/>
        </w:rPr>
      </w:pPr>
      <w:r>
        <w:rPr>
          <w:rFonts w:ascii="Times New Roman" w:hAnsi="Times New Roman"/>
          <w:sz w:val="21"/>
          <w:szCs w:val="21"/>
        </w:rPr>
        <mc:AlternateContent>
          <mc:Choice Requires="wps">
            <w:drawing>
              <wp:anchor distT="0" distB="0" distL="113665" distR="113665" simplePos="0" relativeHeight="251678720" behindDoc="0" locked="0" layoutInCell="1" allowOverlap="1">
                <wp:simplePos x="0" y="0"/>
                <wp:positionH relativeFrom="column">
                  <wp:posOffset>1833880</wp:posOffset>
                </wp:positionH>
                <wp:positionV relativeFrom="paragraph">
                  <wp:posOffset>69215</wp:posOffset>
                </wp:positionV>
                <wp:extent cx="0" cy="320040"/>
                <wp:effectExtent l="76200" t="0" r="76200" b="60960"/>
                <wp:wrapNone/>
                <wp:docPr id="22" name="Line 246"/>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12700">
                          <a:solidFill>
                            <a:srgbClr val="000000"/>
                          </a:solidFill>
                          <a:round/>
                          <a:tailEnd type="triangle" w="med" len="med"/>
                        </a:ln>
                      </wps:spPr>
                      <wps:bodyPr/>
                    </wps:wsp>
                  </a:graphicData>
                </a:graphic>
              </wp:anchor>
            </w:drawing>
          </mc:Choice>
          <mc:Fallback>
            <w:pict>
              <v:line id="Line 246" o:spid="_x0000_s1026" o:spt="20" style="position:absolute;left:0pt;margin-left:144.4pt;margin-top:5.45pt;height:25.2pt;width:0pt;z-index:251678720;mso-width-relative:page;mso-height-relative:page;" filled="f" stroked="t" coordsize="21600,21600" o:gfxdata="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RzBf9YAAAAJ&#10;AQAADwAAAAAAAAABACAAAAAiAAAAZHJzL2Rvd25yZXYueG1sUEsBAhQAFAAAAAgAh07iQEAEgePl&#10;AQAA0AMAAA4AAAAAAAAAAQAgAAAAJQEAAGRycy9lMm9Eb2MueG1sUEsFBgAAAAAGAAYAWQEAAHwF&#10;AAAAAA==&#10;">
                <v:fill on="f" focussize="0,0"/>
                <v:stroke weight="1pt" color="#000000" joinstyle="round" endarrow="block"/>
                <v:imagedata o:title=""/>
                <o:lock v:ext="edit" aspectratio="f"/>
              </v:line>
            </w:pict>
          </mc:Fallback>
        </mc:AlternateContent>
      </w:r>
    </w:p>
    <w:p w14:paraId="227ADC2B">
      <w:pPr>
        <w:pStyle w:val="3"/>
        <w:tabs>
          <w:tab w:val="left" w:pos="709"/>
        </w:tabs>
        <w:ind w:left="28" w:firstLine="599" w:firstLineChars="284"/>
        <w:rPr>
          <w:rFonts w:ascii="Times New Roman" w:hAnsi="Times New Roman"/>
          <w:sz w:val="21"/>
          <w:szCs w:val="21"/>
        </w:rPr>
      </w:pPr>
      <w:r>
        <w:rPr>
          <w:rFonts w:ascii="Times New Roman" w:hAnsi="Times New Roman"/>
          <w:sz w:val="21"/>
          <w:szCs w:val="21"/>
        </w:rPr>
        <mc:AlternateContent>
          <mc:Choice Requires="wps">
            <w:drawing>
              <wp:anchor distT="0" distB="0" distL="114300" distR="114300" simplePos="0" relativeHeight="251664384" behindDoc="0" locked="0" layoutInCell="1" allowOverlap="1">
                <wp:simplePos x="0" y="0"/>
                <wp:positionH relativeFrom="column">
                  <wp:posOffset>412750</wp:posOffset>
                </wp:positionH>
                <wp:positionV relativeFrom="line">
                  <wp:posOffset>254000</wp:posOffset>
                </wp:positionV>
                <wp:extent cx="635" cy="1247140"/>
                <wp:effectExtent l="0" t="0" r="37465" b="10160"/>
                <wp:wrapNone/>
                <wp:docPr id="17" name="AutoShape 96"/>
                <wp:cNvGraphicFramePr/>
                <a:graphic xmlns:a="http://schemas.openxmlformats.org/drawingml/2006/main">
                  <a:graphicData uri="http://schemas.microsoft.com/office/word/2010/wordprocessingShape">
                    <wps:wsp>
                      <wps:cNvCnPr>
                        <a:cxnSpLocks noChangeShapeType="1"/>
                      </wps:cNvCnPr>
                      <wps:spPr bwMode="auto">
                        <a:xfrm>
                          <a:off x="0" y="0"/>
                          <a:ext cx="635" cy="1247246"/>
                        </a:xfrm>
                        <a:prstGeom prst="straightConnector1">
                          <a:avLst/>
                        </a:prstGeom>
                        <a:noFill/>
                        <a:ln w="12700">
                          <a:solidFill>
                            <a:srgbClr val="000000"/>
                          </a:solidFill>
                          <a:round/>
                        </a:ln>
                      </wps:spPr>
                      <wps:bodyPr/>
                    </wps:wsp>
                  </a:graphicData>
                </a:graphic>
              </wp:anchor>
            </w:drawing>
          </mc:Choice>
          <mc:Fallback>
            <w:pict>
              <v:shape id="AutoShape 96" o:spid="_x0000_s1026" o:spt="32" type="#_x0000_t32" style="position:absolute;left:0pt;margin-left:32.5pt;margin-top:20pt;height:98.2pt;width:0.05pt;mso-position-vertical-relative:line;z-index:251664384;mso-width-relative:page;mso-height-relative:page;" filled="f" stroked="t" coordsize="21600,21600" o:gfxdata="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o71B9UAAAAIAQAADwAAAAAAAAAB&#10;ACAAAAAiAAAAZHJzL2Rvd25yZXYueG1sUEsBAhQAFAAAAAgAh07iQNnP+cDaAQAAtwMAAA4AAAAA&#10;AAAAAQAgAAAAJAEAAGRycy9lMm9Eb2MueG1sUEsFBgAAAAAGAAYAWQEAAHAFAAAAAA==&#10;">
                <v:fill on="f" focussize="0,0"/>
                <v:stroke weight="1pt" color="#000000" joinstyle="round"/>
                <v:imagedata o:title=""/>
                <o:lock v:ext="edit" aspectratio="f"/>
              </v:shape>
            </w:pict>
          </mc:Fallback>
        </mc:AlternateContent>
      </w:r>
      <w:r>
        <w:rPr>
          <w:rFonts w:ascii="Times New Roman" w:hAnsi="Times New Roman"/>
          <w:sz w:val="21"/>
          <w:szCs w:val="21"/>
        </w:rPr>
        <mc:AlternateContent>
          <mc:Choice Requires="wps">
            <w:drawing>
              <wp:anchor distT="0" distB="0" distL="114300" distR="114300" simplePos="0" relativeHeight="251667456" behindDoc="0" locked="0" layoutInCell="1" allowOverlap="1">
                <wp:simplePos x="0" y="0"/>
                <wp:positionH relativeFrom="column">
                  <wp:posOffset>415290</wp:posOffset>
                </wp:positionH>
                <wp:positionV relativeFrom="line">
                  <wp:posOffset>255270</wp:posOffset>
                </wp:positionV>
                <wp:extent cx="672465" cy="635"/>
                <wp:effectExtent l="0" t="76200" r="13335" b="94615"/>
                <wp:wrapNone/>
                <wp:docPr id="18" name="AutoShape 114"/>
                <wp:cNvGraphicFramePr/>
                <a:graphic xmlns:a="http://schemas.openxmlformats.org/drawingml/2006/main">
                  <a:graphicData uri="http://schemas.microsoft.com/office/word/2010/wordprocessingShape">
                    <wps:wsp>
                      <wps:cNvCnPr>
                        <a:cxnSpLocks noChangeShapeType="1"/>
                      </wps:cNvCnPr>
                      <wps:spPr bwMode="auto">
                        <a:xfrm>
                          <a:off x="0" y="0"/>
                          <a:ext cx="672465" cy="635"/>
                        </a:xfrm>
                        <a:prstGeom prst="straightConnector1">
                          <a:avLst/>
                        </a:prstGeom>
                        <a:noFill/>
                        <a:ln w="12700">
                          <a:solidFill>
                            <a:srgbClr val="000000"/>
                          </a:solidFill>
                          <a:round/>
                          <a:tailEnd type="triangle" w="med" len="med"/>
                        </a:ln>
                      </wps:spPr>
                      <wps:bodyPr/>
                    </wps:wsp>
                  </a:graphicData>
                </a:graphic>
              </wp:anchor>
            </w:drawing>
          </mc:Choice>
          <mc:Fallback>
            <w:pict>
              <v:shape id="AutoShape 114" o:spid="_x0000_s1026" o:spt="32" type="#_x0000_t32" style="position:absolute;left:0pt;margin-left:32.7pt;margin-top:20.1pt;height:0.05pt;width:52.95pt;mso-position-vertical-relative:line;z-index:251667456;mso-width-relative:page;mso-height-relative:page;" filled="f" stroked="t" coordsize="21600,21600" o:gfxdata="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pEHD7VAAAACAEAAA8AAAAAAAAAAQAgAAAAIgAAAGRycy9kb3ducmV2LnhtbFBLAQIUABQA&#10;AAAIAIdO4kBqdzZh8wEAAOUDAAAOAAAAAAAAAAEAIAAAACQBAABkcnMvZTJvRG9jLnhtbFBLBQYA&#10;AAAABgAGAFkBAACJBQAAAAA=&#10;">
                <v:fill on="f" focussize="0,0"/>
                <v:stroke weight="1pt" color="#000000" joinstyle="round" endarrow="block"/>
                <v:imagedata o:title=""/>
                <o:lock v:ext="edit" aspectratio="f"/>
              </v:shape>
            </w:pict>
          </mc:Fallback>
        </mc:AlternateContent>
      </w:r>
      <w:r>
        <w:rPr>
          <w:rFonts w:ascii="Times New Roman" w:hAnsi="Times New Roman"/>
          <w:sz w:val="21"/>
          <w:szCs w:val="21"/>
        </w:rPr>
        <mc:AlternateContent>
          <mc:Choice Requires="wps">
            <w:drawing>
              <wp:anchor distT="0" distB="0" distL="114300" distR="114300" simplePos="0" relativeHeight="251681792" behindDoc="0" locked="0" layoutInCell="1" allowOverlap="1">
                <wp:simplePos x="0" y="0"/>
                <wp:positionH relativeFrom="column">
                  <wp:posOffset>1081405</wp:posOffset>
                </wp:positionH>
                <wp:positionV relativeFrom="paragraph">
                  <wp:posOffset>116205</wp:posOffset>
                </wp:positionV>
                <wp:extent cx="1598295" cy="288925"/>
                <wp:effectExtent l="0" t="0" r="20955" b="15875"/>
                <wp:wrapNone/>
                <wp:docPr id="21" name="Rectangle 59"/>
                <wp:cNvGraphicFramePr/>
                <a:graphic xmlns:a="http://schemas.openxmlformats.org/drawingml/2006/main">
                  <a:graphicData uri="http://schemas.microsoft.com/office/word/2010/wordprocessingShape">
                    <wps:wsp>
                      <wps:cNvSpPr>
                        <a:spLocks noChangeArrowheads="1"/>
                      </wps:cNvSpPr>
                      <wps:spPr bwMode="auto">
                        <a:xfrm>
                          <a:off x="0" y="0"/>
                          <a:ext cx="1598295" cy="288925"/>
                        </a:xfrm>
                        <a:prstGeom prst="rect">
                          <a:avLst/>
                        </a:prstGeom>
                        <a:noFill/>
                        <a:ln w="12700">
                          <a:solidFill>
                            <a:srgbClr val="000000"/>
                          </a:solidFill>
                          <a:miter lim="200000"/>
                        </a:ln>
                      </wps:spPr>
                      <wps:txbx>
                        <w:txbxContent>
                          <w:p w14:paraId="76C6E7EE">
                            <w:pPr>
                              <w:spacing w:line="240" w:lineRule="auto"/>
                              <w:jc w:val="center"/>
                            </w:pPr>
                            <w:r>
                              <w:rPr>
                                <w:rFonts w:hint="eastAsia"/>
                              </w:rPr>
                              <w:t>监测信息采集</w:t>
                            </w:r>
                          </w:p>
                          <w:p w14:paraId="47BC8EC5">
                            <w:pPr>
                              <w:rPr>
                                <w:szCs w:val="18"/>
                              </w:rPr>
                            </w:pPr>
                          </w:p>
                        </w:txbxContent>
                      </wps:txbx>
                      <wps:bodyPr rot="0" vert="horz" wrap="square" lIns="91440" tIns="45720" rIns="91440" bIns="45720" anchor="t" anchorCtr="0" upright="1">
                        <a:noAutofit/>
                      </wps:bodyPr>
                    </wps:wsp>
                  </a:graphicData>
                </a:graphic>
              </wp:anchor>
            </w:drawing>
          </mc:Choice>
          <mc:Fallback>
            <w:pict>
              <v:rect id="Rectangle 59" o:spid="_x0000_s1026" o:spt="1" style="position:absolute;left:0pt;margin-left:85.15pt;margin-top:9.15pt;height:22.75pt;width:125.85pt;z-index:251681792;mso-width-relative:page;mso-height-relative:page;" filled="f" stroked="t" coordsize="21600,21600" o:gfxdata="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6xNi62QAAAAkBAAAPAAAAAAAAAAEAIAAAACIAAABkcnMvZG93bnJldi54bWxQSwECFAAU&#10;AAAACACHTuJARjXC5CkCAABXBAAADgAAAAAAAAABACAAAAAoAQAAZHJzL2Uyb0RvYy54bWxQSwUG&#10;AAAAAAYABgBZAQAAwwUAAAAA&#10;">
                <v:fill on="f" focussize="0,0"/>
                <v:stroke weight="1pt" color="#000000" miterlimit="2" joinstyle="miter"/>
                <v:imagedata o:title=""/>
                <o:lock v:ext="edit" aspectratio="f"/>
                <v:textbox>
                  <w:txbxContent>
                    <w:p w14:paraId="76C6E7EE">
                      <w:pPr>
                        <w:spacing w:line="240" w:lineRule="auto"/>
                        <w:jc w:val="center"/>
                      </w:pPr>
                      <w:r>
                        <w:rPr>
                          <w:rFonts w:hint="eastAsia"/>
                        </w:rPr>
                        <w:t>监测信息采集</w:t>
                      </w:r>
                    </w:p>
                    <w:p w14:paraId="47BC8EC5">
                      <w:pPr>
                        <w:rPr>
                          <w:szCs w:val="18"/>
                        </w:rPr>
                      </w:pPr>
                    </w:p>
                  </w:txbxContent>
                </v:textbox>
              </v:rect>
            </w:pict>
          </mc:Fallback>
        </mc:AlternateContent>
      </w:r>
    </w:p>
    <w:p w14:paraId="5E5D1B36">
      <w:pPr>
        <w:pStyle w:val="3"/>
        <w:tabs>
          <w:tab w:val="left" w:pos="709"/>
        </w:tabs>
        <w:jc w:val="center"/>
        <w:rPr>
          <w:rFonts w:ascii="Times New Roman" w:hAnsi="Times New Roman"/>
          <w:sz w:val="21"/>
          <w:szCs w:val="21"/>
        </w:rPr>
      </w:pPr>
      <w:r>
        <w:rPr>
          <w:rFonts w:ascii="Times New Roman" w:hAnsi="Times New Roman"/>
          <w:sz w:val="21"/>
          <w:szCs w:val="21"/>
        </w:rPr>
        <mc:AlternateContent>
          <mc:Choice Requires="wps">
            <w:drawing>
              <wp:anchor distT="0" distB="0" distL="114300" distR="114300" simplePos="0" relativeHeight="251669504" behindDoc="0" locked="0" layoutInCell="1" allowOverlap="1">
                <wp:simplePos x="0" y="0"/>
                <wp:positionH relativeFrom="column">
                  <wp:posOffset>424180</wp:posOffset>
                </wp:positionH>
                <wp:positionV relativeFrom="paragraph">
                  <wp:posOffset>5080</wp:posOffset>
                </wp:positionV>
                <wp:extent cx="628015" cy="1053465"/>
                <wp:effectExtent l="0" t="0" r="0" b="0"/>
                <wp:wrapNone/>
                <wp:docPr id="19" name="Rectangle 117"/>
                <wp:cNvGraphicFramePr/>
                <a:graphic xmlns:a="http://schemas.openxmlformats.org/drawingml/2006/main">
                  <a:graphicData uri="http://schemas.microsoft.com/office/word/2010/wordprocessingShape">
                    <wps:wsp>
                      <wps:cNvSpPr>
                        <a:spLocks noChangeArrowheads="1"/>
                      </wps:cNvSpPr>
                      <wps:spPr bwMode="auto">
                        <a:xfrm>
                          <a:off x="0" y="0"/>
                          <a:ext cx="628015" cy="1053465"/>
                        </a:xfrm>
                        <a:prstGeom prst="rect">
                          <a:avLst/>
                        </a:prstGeom>
                        <a:noFill/>
                        <a:ln>
                          <a:noFill/>
                        </a:ln>
                      </wps:spPr>
                      <wps:txbx>
                        <w:txbxContent>
                          <w:p w14:paraId="3DEF6348">
                            <w:pPr>
                              <w:spacing w:line="240" w:lineRule="auto"/>
                              <w:jc w:val="left"/>
                            </w:pPr>
                            <w:r>
                              <w:rPr>
                                <w:rFonts w:hint="eastAsia"/>
                              </w:rPr>
                              <w:t>外部作业未完成或变形未趋于稳定</w:t>
                            </w:r>
                          </w:p>
                          <w:p w14:paraId="23C08F29">
                            <w:pPr>
                              <w:rPr>
                                <w:szCs w:val="18"/>
                              </w:rPr>
                            </w:pPr>
                          </w:p>
                        </w:txbxContent>
                      </wps:txbx>
                      <wps:bodyPr rot="0" vert="horz" wrap="square" lIns="91440" tIns="45720" rIns="91440" bIns="45720" anchor="t" anchorCtr="0" upright="1">
                        <a:noAutofit/>
                      </wps:bodyPr>
                    </wps:wsp>
                  </a:graphicData>
                </a:graphic>
              </wp:anchor>
            </w:drawing>
          </mc:Choice>
          <mc:Fallback>
            <w:pict>
              <v:rect id="Rectangle 117" o:spid="_x0000_s1026" o:spt="1" style="position:absolute;left:0pt;margin-left:33.4pt;margin-top:0.4pt;height:82.95pt;width:49.45pt;z-index:251669504;mso-width-relative:page;mso-height-relative:page;" filled="f" stroked="f" coordsize="21600,21600" o:gfxdata="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hU9DdYAAAAHAQAADwAAAAAAAAABACAAAAAiAAAAZHJz&#10;L2Rvd25yZXYueG1sUEsBAhQAFAAAAAgAh07iQDZsCX8GAgAADgQAAA4AAAAAAAAAAQAgAAAAJQEA&#10;AGRycy9lMm9Eb2MueG1sUEsFBgAAAAAGAAYAWQEAAJ0FAAAAAA==&#10;">
                <v:fill on="f" focussize="0,0"/>
                <v:stroke on="f"/>
                <v:imagedata o:title=""/>
                <o:lock v:ext="edit" aspectratio="f"/>
                <v:textbox>
                  <w:txbxContent>
                    <w:p w14:paraId="3DEF6348">
                      <w:pPr>
                        <w:spacing w:line="240" w:lineRule="auto"/>
                        <w:jc w:val="left"/>
                      </w:pPr>
                      <w:r>
                        <w:rPr>
                          <w:rFonts w:hint="eastAsia"/>
                        </w:rPr>
                        <w:t>外部作业未完成或变形未趋于稳定</w:t>
                      </w:r>
                    </w:p>
                    <w:p w14:paraId="23C08F29">
                      <w:pPr>
                        <w:rPr>
                          <w:szCs w:val="18"/>
                        </w:rPr>
                      </w:pPr>
                    </w:p>
                  </w:txbxContent>
                </v:textbox>
              </v:rect>
            </w:pict>
          </mc:Fallback>
        </mc:AlternateContent>
      </w:r>
      <w:r>
        <w:rPr>
          <w:rFonts w:ascii="Times New Roman" w:hAnsi="Times New Roman"/>
          <w:sz w:val="21"/>
          <w:szCs w:val="21"/>
        </w:rPr>
        <mc:AlternateContent>
          <mc:Choice Requires="wps">
            <w:drawing>
              <wp:anchor distT="0" distB="0" distL="113665" distR="113665" simplePos="0" relativeHeight="251683840" behindDoc="0" locked="0" layoutInCell="1" allowOverlap="1">
                <wp:simplePos x="0" y="0"/>
                <wp:positionH relativeFrom="column">
                  <wp:posOffset>1835785</wp:posOffset>
                </wp:positionH>
                <wp:positionV relativeFrom="paragraph">
                  <wp:posOffset>143510</wp:posOffset>
                </wp:positionV>
                <wp:extent cx="0" cy="320675"/>
                <wp:effectExtent l="76200" t="0" r="76200" b="60325"/>
                <wp:wrapNone/>
                <wp:docPr id="20" name="Line 244"/>
                <wp:cNvGraphicFramePr/>
                <a:graphic xmlns:a="http://schemas.openxmlformats.org/drawingml/2006/main">
                  <a:graphicData uri="http://schemas.microsoft.com/office/word/2010/wordprocessingShape">
                    <wps:wsp>
                      <wps:cNvCnPr>
                        <a:cxnSpLocks noChangeShapeType="1"/>
                      </wps:cNvCnPr>
                      <wps:spPr bwMode="auto">
                        <a:xfrm>
                          <a:off x="0" y="0"/>
                          <a:ext cx="0" cy="320949"/>
                        </a:xfrm>
                        <a:prstGeom prst="line">
                          <a:avLst/>
                        </a:prstGeom>
                        <a:noFill/>
                        <a:ln w="12700">
                          <a:solidFill>
                            <a:srgbClr val="000000"/>
                          </a:solidFill>
                          <a:round/>
                          <a:tailEnd type="triangle" w="med" len="med"/>
                        </a:ln>
                      </wps:spPr>
                      <wps:bodyPr/>
                    </wps:wsp>
                  </a:graphicData>
                </a:graphic>
              </wp:anchor>
            </w:drawing>
          </mc:Choice>
          <mc:Fallback>
            <w:pict>
              <v:line id="Line 244" o:spid="_x0000_s1026" o:spt="20" style="position:absolute;left:0pt;margin-left:144.55pt;margin-top:11.3pt;height:25.25pt;width:0pt;z-index:251683840;mso-width-relative:page;mso-height-relative:page;" filled="f" stroked="t" coordsize="21600,21600" o:gfxdata="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LA9S9cAAAAJ&#10;AQAADwAAAAAAAAABACAAAAAiAAAAZHJzL2Rvd25yZXYueG1sUEsBAhQAFAAAAAgAh07iQCS3Tu3k&#10;AQAA0AMAAA4AAAAAAAAAAQAgAAAAJgEAAGRycy9lMm9Eb2MueG1sUEsFBgAAAAAGAAYAWQEAAHwF&#10;AAAAAA==&#10;">
                <v:fill on="f" focussize="0,0"/>
                <v:stroke weight="1pt" color="#000000" joinstyle="round" endarrow="block"/>
                <v:imagedata o:title=""/>
                <o:lock v:ext="edit" aspectratio="f"/>
              </v:line>
            </w:pict>
          </mc:Fallback>
        </mc:AlternateContent>
      </w:r>
    </w:p>
    <w:p w14:paraId="34E9CC4C">
      <w:pPr>
        <w:pStyle w:val="3"/>
        <w:tabs>
          <w:tab w:val="left" w:pos="709"/>
        </w:tabs>
        <w:jc w:val="center"/>
        <w:rPr>
          <w:rFonts w:ascii="Times New Roman" w:hAnsi="Times New Roman"/>
          <w:sz w:val="21"/>
          <w:szCs w:val="21"/>
        </w:rPr>
      </w:pPr>
      <w:r>
        <w:rPr>
          <w:rFonts w:ascii="Times New Roman" w:hAnsi="Times New Roman"/>
          <w:sz w:val="21"/>
          <w:szCs w:val="21"/>
        </w:rPr>
        <mc:AlternateContent>
          <mc:Choice Requires="wps">
            <w:drawing>
              <wp:anchor distT="0" distB="0" distL="114300" distR="114300" simplePos="0" relativeHeight="251679744" behindDoc="0" locked="0" layoutInCell="1" allowOverlap="1">
                <wp:simplePos x="0" y="0"/>
                <wp:positionH relativeFrom="column">
                  <wp:posOffset>1081405</wp:posOffset>
                </wp:positionH>
                <wp:positionV relativeFrom="paragraph">
                  <wp:posOffset>196850</wp:posOffset>
                </wp:positionV>
                <wp:extent cx="1598295" cy="287655"/>
                <wp:effectExtent l="0" t="0" r="20955" b="17145"/>
                <wp:wrapNone/>
                <wp:docPr id="16" name="Rectangle 231"/>
                <wp:cNvGraphicFramePr/>
                <a:graphic xmlns:a="http://schemas.openxmlformats.org/drawingml/2006/main">
                  <a:graphicData uri="http://schemas.microsoft.com/office/word/2010/wordprocessingShape">
                    <wps:wsp>
                      <wps:cNvSpPr>
                        <a:spLocks noChangeArrowheads="1"/>
                      </wps:cNvSpPr>
                      <wps:spPr bwMode="auto">
                        <a:xfrm>
                          <a:off x="0" y="0"/>
                          <a:ext cx="1598295" cy="287655"/>
                        </a:xfrm>
                        <a:prstGeom prst="rect">
                          <a:avLst/>
                        </a:prstGeom>
                        <a:noFill/>
                        <a:ln w="12700">
                          <a:solidFill>
                            <a:srgbClr val="000000"/>
                          </a:solidFill>
                          <a:miter lim="200000"/>
                        </a:ln>
                      </wps:spPr>
                      <wps:txbx>
                        <w:txbxContent>
                          <w:p w14:paraId="2A48275E">
                            <w:pPr>
                              <w:spacing w:line="240" w:lineRule="auto"/>
                              <w:jc w:val="center"/>
                            </w:pPr>
                            <w:r>
                              <w:rPr>
                                <w:rFonts w:hint="eastAsia"/>
                              </w:rPr>
                              <w:t>监测信息的处理和分析</w:t>
                            </w:r>
                          </w:p>
                          <w:p w14:paraId="2D1AFA8C">
                            <w:pPr>
                              <w:rPr>
                                <w:szCs w:val="18"/>
                              </w:rPr>
                            </w:pPr>
                          </w:p>
                        </w:txbxContent>
                      </wps:txbx>
                      <wps:bodyPr rot="0" vert="horz" wrap="square" lIns="91440" tIns="45720" rIns="91440" bIns="45720" anchor="t" anchorCtr="0" upright="1">
                        <a:noAutofit/>
                      </wps:bodyPr>
                    </wps:wsp>
                  </a:graphicData>
                </a:graphic>
              </wp:anchor>
            </w:drawing>
          </mc:Choice>
          <mc:Fallback>
            <w:pict>
              <v:rect id="Rectangle 231" o:spid="_x0000_s1026" o:spt="1" style="position:absolute;left:0pt;margin-left:85.15pt;margin-top:15.5pt;height:22.65pt;width:125.85pt;z-index:251679744;mso-width-relative:page;mso-height-relative:page;" filled="f" stroked="t" coordsize="21600,21600" o:gfxdata="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TCpXNkAAAAJAQAADwAAAAAAAAABACAAAAAiAAAAZHJzL2Rvd25yZXYueG1sUEsBAhQA&#10;FAAAAAgAh07iQHzPsZIqAgAAWAQAAA4AAAAAAAAAAQAgAAAAKAEAAGRycy9lMm9Eb2MueG1sUEsF&#10;BgAAAAAGAAYAWQEAAMQFAAAAAA==&#10;">
                <v:fill on="f" focussize="0,0"/>
                <v:stroke weight="1pt" color="#000000" miterlimit="2" joinstyle="miter"/>
                <v:imagedata o:title=""/>
                <o:lock v:ext="edit" aspectratio="f"/>
                <v:textbox>
                  <w:txbxContent>
                    <w:p w14:paraId="2A48275E">
                      <w:pPr>
                        <w:spacing w:line="240" w:lineRule="auto"/>
                        <w:jc w:val="center"/>
                      </w:pPr>
                      <w:r>
                        <w:rPr>
                          <w:rFonts w:hint="eastAsia"/>
                        </w:rPr>
                        <w:t>监测信息的处理和分析</w:t>
                      </w:r>
                    </w:p>
                    <w:p w14:paraId="2D1AFA8C">
                      <w:pPr>
                        <w:rPr>
                          <w:szCs w:val="18"/>
                        </w:rPr>
                      </w:pPr>
                    </w:p>
                  </w:txbxContent>
                </v:textbox>
              </v:rect>
            </w:pict>
          </mc:Fallback>
        </mc:AlternateContent>
      </w:r>
    </w:p>
    <w:p w14:paraId="084F45BF">
      <w:pPr>
        <w:pStyle w:val="3"/>
        <w:tabs>
          <w:tab w:val="left" w:pos="709"/>
        </w:tabs>
        <w:jc w:val="center"/>
        <w:rPr>
          <w:rFonts w:ascii="Times New Roman" w:hAnsi="Times New Roman"/>
          <w:sz w:val="21"/>
          <w:szCs w:val="21"/>
        </w:rPr>
      </w:pPr>
      <w:r>
        <w:rPr>
          <w:rFonts w:ascii="Times New Roman" w:hAnsi="Times New Roman"/>
          <w:sz w:val="21"/>
          <w:szCs w:val="21"/>
        </w:rPr>
        <mc:AlternateContent>
          <mc:Choice Requires="wps">
            <w:drawing>
              <wp:anchor distT="0" distB="0" distL="113665" distR="113665" simplePos="0" relativeHeight="251684864" behindDoc="0" locked="0" layoutInCell="1" allowOverlap="1">
                <wp:simplePos x="0" y="0"/>
                <wp:positionH relativeFrom="column">
                  <wp:posOffset>1833880</wp:posOffset>
                </wp:positionH>
                <wp:positionV relativeFrom="paragraph">
                  <wp:posOffset>219075</wp:posOffset>
                </wp:positionV>
                <wp:extent cx="0" cy="297180"/>
                <wp:effectExtent l="76200" t="0" r="57150" b="64770"/>
                <wp:wrapNone/>
                <wp:docPr id="6" name="Line 246"/>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12700">
                          <a:solidFill>
                            <a:srgbClr val="000000"/>
                          </a:solidFill>
                          <a:round/>
                          <a:tailEnd type="triangle" w="med" len="med"/>
                        </a:ln>
                      </wps:spPr>
                      <wps:bodyPr/>
                    </wps:wsp>
                  </a:graphicData>
                </a:graphic>
              </wp:anchor>
            </w:drawing>
          </mc:Choice>
          <mc:Fallback>
            <w:pict>
              <v:line id="Line 246" o:spid="_x0000_s1026" o:spt="20" style="position:absolute;left:0pt;margin-left:144.4pt;margin-top:17.25pt;height:23.4pt;width:0pt;z-index:251684864;mso-width-relative:page;mso-height-relative:page;" filled="f" stroked="t" coordsize="21600,21600" o:gfxdata="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SzUrXAAAA&#10;CQEAAA8AAAAAAAAAAQAgAAAAIgAAAGRycy9kb3ducmV2LnhtbFBLAQIUABQAAAAIAIdO4kBNKmKf&#10;5QEAAM8DAAAOAAAAAAAAAAEAIAAAACYBAABkcnMvZTJvRG9jLnhtbFBLBQYAAAAABgAGAFkBAAB9&#10;BQAAAAA=&#10;">
                <v:fill on="f" focussize="0,0"/>
                <v:stroke weight="1pt" color="#000000" joinstyle="round" endarrow="block"/>
                <v:imagedata o:title=""/>
                <o:lock v:ext="edit" aspectratio="f"/>
              </v:line>
            </w:pict>
          </mc:Fallback>
        </mc:AlternateContent>
      </w:r>
    </w:p>
    <w:p w14:paraId="64336476">
      <w:pPr>
        <w:pStyle w:val="3"/>
        <w:tabs>
          <w:tab w:val="left" w:pos="709"/>
        </w:tabs>
        <w:jc w:val="center"/>
        <w:rPr>
          <w:rFonts w:ascii="Times New Roman" w:hAnsi="Times New Roman"/>
          <w:sz w:val="21"/>
          <w:szCs w:val="21"/>
        </w:rPr>
      </w:pPr>
      <w:r>
        <w:rPr>
          <w:rFonts w:ascii="Times New Roman" w:hAnsi="Times New Roman"/>
          <w:sz w:val="21"/>
          <w:szCs w:val="21"/>
        </w:rPr>
        <mc:AlternateContent>
          <mc:Choice Requires="wps">
            <w:drawing>
              <wp:anchor distT="0" distB="0" distL="114300" distR="114300" simplePos="0" relativeHeight="251685888" behindDoc="0" locked="0" layoutInCell="1" allowOverlap="1">
                <wp:simplePos x="0" y="0"/>
                <wp:positionH relativeFrom="column">
                  <wp:posOffset>1081405</wp:posOffset>
                </wp:positionH>
                <wp:positionV relativeFrom="paragraph">
                  <wp:posOffset>244475</wp:posOffset>
                </wp:positionV>
                <wp:extent cx="1598295" cy="288925"/>
                <wp:effectExtent l="0" t="0" r="20955" b="15875"/>
                <wp:wrapNone/>
                <wp:docPr id="5" name="Rectangle 78"/>
                <wp:cNvGraphicFramePr/>
                <a:graphic xmlns:a="http://schemas.openxmlformats.org/drawingml/2006/main">
                  <a:graphicData uri="http://schemas.microsoft.com/office/word/2010/wordprocessingShape">
                    <wps:wsp>
                      <wps:cNvSpPr>
                        <a:spLocks noChangeArrowheads="1"/>
                      </wps:cNvSpPr>
                      <wps:spPr bwMode="auto">
                        <a:xfrm>
                          <a:off x="0" y="0"/>
                          <a:ext cx="1598295" cy="288925"/>
                        </a:xfrm>
                        <a:prstGeom prst="rect">
                          <a:avLst/>
                        </a:prstGeom>
                        <a:noFill/>
                        <a:ln w="12700">
                          <a:solidFill>
                            <a:srgbClr val="000000"/>
                          </a:solidFill>
                          <a:miter lim="200000"/>
                        </a:ln>
                      </wps:spPr>
                      <wps:txbx>
                        <w:txbxContent>
                          <w:p w14:paraId="51B36BDC">
                            <w:pPr>
                              <w:spacing w:line="240" w:lineRule="auto"/>
                              <w:jc w:val="center"/>
                            </w:pPr>
                            <w:r>
                              <w:rPr>
                                <w:rFonts w:hint="eastAsia"/>
                              </w:rPr>
                              <w:t>信息反馈</w:t>
                            </w:r>
                          </w:p>
                        </w:txbxContent>
                      </wps:txbx>
                      <wps:bodyPr rot="0" vert="horz" wrap="square" lIns="91440" tIns="45720" rIns="91440" bIns="45720" anchor="t" anchorCtr="0" upright="1">
                        <a:noAutofit/>
                      </wps:bodyPr>
                    </wps:wsp>
                  </a:graphicData>
                </a:graphic>
              </wp:anchor>
            </w:drawing>
          </mc:Choice>
          <mc:Fallback>
            <w:pict>
              <v:rect id="Rectangle 78" o:spid="_x0000_s1026" o:spt="1" style="position:absolute;left:0pt;margin-left:85.15pt;margin-top:19.25pt;height:22.75pt;width:125.85pt;z-index:251685888;mso-width-relative:page;mso-height-relative:page;" filled="f" stroked="t" coordsize="21600,21600" o:gfxdata="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eVKI2QAAAAkBAAAPAAAAAAAAAAEAIAAAACIAAABkcnMvZG93bnJldi54bWxQSwECFAAU&#10;AAAACACHTuJAmfnjQikCAABWBAAADgAAAAAAAAABACAAAAAoAQAAZHJzL2Uyb0RvYy54bWxQSwUG&#10;AAAAAAYABgBZAQAAwwUAAAAA&#10;">
                <v:fill on="f" focussize="0,0"/>
                <v:stroke weight="1pt" color="#000000" miterlimit="2" joinstyle="miter"/>
                <v:imagedata o:title=""/>
                <o:lock v:ext="edit" aspectratio="f"/>
                <v:textbox>
                  <w:txbxContent>
                    <w:p w14:paraId="51B36BDC">
                      <w:pPr>
                        <w:spacing w:line="240" w:lineRule="auto"/>
                        <w:jc w:val="center"/>
                      </w:pPr>
                      <w:r>
                        <w:rPr>
                          <w:rFonts w:hint="eastAsia"/>
                        </w:rPr>
                        <w:t>信息反馈</w:t>
                      </w:r>
                    </w:p>
                  </w:txbxContent>
                </v:textbox>
              </v:rect>
            </w:pict>
          </mc:Fallback>
        </mc:AlternateContent>
      </w:r>
    </w:p>
    <w:p w14:paraId="22A1E5ED">
      <w:pPr>
        <w:pStyle w:val="3"/>
        <w:tabs>
          <w:tab w:val="left" w:pos="709"/>
        </w:tabs>
        <w:jc w:val="center"/>
        <w:rPr>
          <w:rFonts w:ascii="Times New Roman" w:hAnsi="Times New Roman"/>
          <w:sz w:val="21"/>
          <w:szCs w:val="21"/>
        </w:rPr>
      </w:pPr>
      <w:r>
        <w:rPr>
          <w:rFonts w:ascii="Times New Roman" w:hAnsi="Times New Roman"/>
          <w:sz w:val="21"/>
          <w:szCs w:val="21"/>
        </w:rPr>
        <mc:AlternateContent>
          <mc:Choice Requires="wps">
            <w:drawing>
              <wp:anchor distT="0" distB="0" distL="114300" distR="114300" simplePos="0" relativeHeight="251663360" behindDoc="0" locked="0" layoutInCell="1" allowOverlap="1">
                <wp:simplePos x="0" y="0"/>
                <wp:positionH relativeFrom="column">
                  <wp:posOffset>36830</wp:posOffset>
                </wp:positionH>
                <wp:positionV relativeFrom="paragraph">
                  <wp:posOffset>126365</wp:posOffset>
                </wp:positionV>
                <wp:extent cx="1050925" cy="0"/>
                <wp:effectExtent l="0" t="0" r="15875" b="19050"/>
                <wp:wrapNone/>
                <wp:docPr id="27" name="Line 239"/>
                <wp:cNvGraphicFramePr/>
                <a:graphic xmlns:a="http://schemas.openxmlformats.org/drawingml/2006/main">
                  <a:graphicData uri="http://schemas.microsoft.com/office/word/2010/wordprocessingShape">
                    <wps:wsp>
                      <wps:cNvCnPr>
                        <a:cxnSpLocks noChangeShapeType="1"/>
                      </wps:cNvCnPr>
                      <wps:spPr bwMode="auto">
                        <a:xfrm>
                          <a:off x="0" y="0"/>
                          <a:ext cx="1050925" cy="0"/>
                        </a:xfrm>
                        <a:prstGeom prst="line">
                          <a:avLst/>
                        </a:prstGeom>
                        <a:noFill/>
                        <a:ln w="12700">
                          <a:solidFill>
                            <a:srgbClr val="000000"/>
                          </a:solidFill>
                          <a:round/>
                        </a:ln>
                      </wps:spPr>
                      <wps:bodyPr/>
                    </wps:wsp>
                  </a:graphicData>
                </a:graphic>
              </wp:anchor>
            </w:drawing>
          </mc:Choice>
          <mc:Fallback>
            <w:pict>
              <v:line id="Line 239" o:spid="_x0000_s1026" o:spt="20" style="position:absolute;left:0pt;margin-left:2.9pt;margin-top:9.95pt;height:0pt;width:82.75pt;z-index:251663360;mso-width-relative:page;mso-height-relative:page;" filled="f" stroked="t" coordsize="21600,21600" o:gfxdata="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9QD19QAAAAHAQAADwAAAAAAAAABACAAAAAiAAAAZHJzL2Rv&#10;d25yZXYueG1sUEsBAhQAFAAAAAgAh07iQPgTFFjMAQAAowMAAA4AAAAAAAAAAQAgAAAAIwEAAGRy&#10;cy9lMm9Eb2MueG1sUEsFBgAAAAAGAAYAWQEAAGEFAAAAAA==&#10;">
                <v:fill on="f" focussize="0,0"/>
                <v:stroke weight="1pt" color="#000000" joinstyle="round"/>
                <v:imagedata o:title=""/>
                <o:lock v:ext="edit" aspectratio="f"/>
              </v:line>
            </w:pict>
          </mc:Fallback>
        </mc:AlternateContent>
      </w:r>
      <w:r>
        <w:rPr>
          <w:rFonts w:ascii="Times New Roman" w:hAnsi="Times New Roman"/>
          <w:sz w:val="21"/>
          <w:szCs w:val="21"/>
        </w:rPr>
        <mc:AlternateContent>
          <mc:Choice Requires="wps">
            <w:drawing>
              <wp:anchor distT="0" distB="0" distL="114300" distR="114300" simplePos="0" relativeHeight="251662336" behindDoc="0" locked="0" layoutInCell="1" allowOverlap="1">
                <wp:simplePos x="0" y="0"/>
                <wp:positionH relativeFrom="column">
                  <wp:posOffset>1814195</wp:posOffset>
                </wp:positionH>
                <wp:positionV relativeFrom="paragraph">
                  <wp:posOffset>253365</wp:posOffset>
                </wp:positionV>
                <wp:extent cx="1250315" cy="583565"/>
                <wp:effectExtent l="0" t="0" r="0" b="6985"/>
                <wp:wrapNone/>
                <wp:docPr id="4" name="Rectangle 58"/>
                <wp:cNvGraphicFramePr/>
                <a:graphic xmlns:a="http://schemas.openxmlformats.org/drawingml/2006/main">
                  <a:graphicData uri="http://schemas.microsoft.com/office/word/2010/wordprocessingShape">
                    <wps:wsp>
                      <wps:cNvSpPr>
                        <a:spLocks noChangeArrowheads="1"/>
                      </wps:cNvSpPr>
                      <wps:spPr bwMode="auto">
                        <a:xfrm>
                          <a:off x="0" y="0"/>
                          <a:ext cx="1250315" cy="583565"/>
                        </a:xfrm>
                        <a:prstGeom prst="rect">
                          <a:avLst/>
                        </a:prstGeom>
                        <a:noFill/>
                        <a:ln>
                          <a:noFill/>
                        </a:ln>
                      </wps:spPr>
                      <wps:txbx>
                        <w:txbxContent>
                          <w:p w14:paraId="3B64DB79">
                            <w:pPr>
                              <w:spacing w:line="240" w:lineRule="auto"/>
                              <w:jc w:val="left"/>
                            </w:pPr>
                            <w:r>
                              <w:rPr>
                                <w:rFonts w:hint="eastAsia"/>
                              </w:rPr>
                              <w:t>外部作业完成且变形趋于稳定</w:t>
                            </w:r>
                          </w:p>
                          <w:p w14:paraId="274492E4">
                            <w:pPr>
                              <w:rPr>
                                <w:szCs w:val="18"/>
                              </w:rPr>
                            </w:pPr>
                          </w:p>
                        </w:txbxContent>
                      </wps:txbx>
                      <wps:bodyPr rot="0" vert="horz" wrap="square" lIns="91440" tIns="45720" rIns="91440" bIns="45720" anchor="t" anchorCtr="0" upright="1">
                        <a:noAutofit/>
                      </wps:bodyPr>
                    </wps:wsp>
                  </a:graphicData>
                </a:graphic>
              </wp:anchor>
            </w:drawing>
          </mc:Choice>
          <mc:Fallback>
            <w:pict>
              <v:rect id="Rectangle 58" o:spid="_x0000_s1026" o:spt="1" style="position:absolute;left:0pt;margin-left:142.85pt;margin-top:19.95pt;height:45.95pt;width:98.45pt;z-index:251662336;mso-width-relative:page;mso-height-relative:page;" filled="f" stroked="f" coordsize="21600,21600" o:gfxdata="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LmHA9sAAAAKAQAADwAAAAAAAAABACAAAAAiAAAA&#10;ZHJzL2Rvd25yZXYueG1sUEsBAhQAFAAAAAgAh07iQDqogY0EAgAADAQAAA4AAAAAAAAAAQAgAAAA&#10;KgEAAGRycy9lMm9Eb2MueG1sUEsFBgAAAAAGAAYAWQEAAKAFAAAAAA==&#10;">
                <v:fill on="f" focussize="0,0"/>
                <v:stroke on="f"/>
                <v:imagedata o:title=""/>
                <o:lock v:ext="edit" aspectratio="f"/>
                <v:textbox>
                  <w:txbxContent>
                    <w:p w14:paraId="3B64DB79">
                      <w:pPr>
                        <w:spacing w:line="240" w:lineRule="auto"/>
                        <w:jc w:val="left"/>
                      </w:pPr>
                      <w:r>
                        <w:rPr>
                          <w:rFonts w:hint="eastAsia"/>
                        </w:rPr>
                        <w:t>外部作业完成且变形趋于稳定</w:t>
                      </w:r>
                    </w:p>
                    <w:p w14:paraId="274492E4">
                      <w:pPr>
                        <w:rPr>
                          <w:szCs w:val="18"/>
                        </w:rPr>
                      </w:pPr>
                    </w:p>
                  </w:txbxContent>
                </v:textbox>
              </v:rect>
            </w:pict>
          </mc:Fallback>
        </mc:AlternateContent>
      </w:r>
      <w:r>
        <w:rPr>
          <w:rFonts w:ascii="Times New Roman" w:hAnsi="Times New Roman"/>
          <w:sz w:val="21"/>
          <w:szCs w:val="21"/>
        </w:rPr>
        <mc:AlternateContent>
          <mc:Choice Requires="wps">
            <w:drawing>
              <wp:anchor distT="0" distB="0" distL="113665" distR="113665" simplePos="0" relativeHeight="251687936" behindDoc="0" locked="0" layoutInCell="1" allowOverlap="1">
                <wp:simplePos x="0" y="0"/>
                <wp:positionH relativeFrom="column">
                  <wp:posOffset>1833880</wp:posOffset>
                </wp:positionH>
                <wp:positionV relativeFrom="paragraph">
                  <wp:posOffset>259080</wp:posOffset>
                </wp:positionV>
                <wp:extent cx="0" cy="697230"/>
                <wp:effectExtent l="76200" t="0" r="57150" b="64770"/>
                <wp:wrapNone/>
                <wp:docPr id="23" name="Line 246"/>
                <wp:cNvGraphicFramePr/>
                <a:graphic xmlns:a="http://schemas.openxmlformats.org/drawingml/2006/main">
                  <a:graphicData uri="http://schemas.microsoft.com/office/word/2010/wordprocessingShape">
                    <wps:wsp>
                      <wps:cNvCnPr>
                        <a:cxnSpLocks noChangeShapeType="1"/>
                      </wps:cNvCnPr>
                      <wps:spPr bwMode="auto">
                        <a:xfrm>
                          <a:off x="0" y="0"/>
                          <a:ext cx="0" cy="697230"/>
                        </a:xfrm>
                        <a:prstGeom prst="line">
                          <a:avLst/>
                        </a:prstGeom>
                        <a:noFill/>
                        <a:ln w="12700">
                          <a:solidFill>
                            <a:srgbClr val="000000"/>
                          </a:solidFill>
                          <a:round/>
                          <a:tailEnd type="triangle" w="med" len="med"/>
                        </a:ln>
                      </wps:spPr>
                      <wps:bodyPr/>
                    </wps:wsp>
                  </a:graphicData>
                </a:graphic>
              </wp:anchor>
            </w:drawing>
          </mc:Choice>
          <mc:Fallback>
            <w:pict>
              <v:line id="Line 246" o:spid="_x0000_s1026" o:spt="20" style="position:absolute;left:0pt;margin-left:144.4pt;margin-top:20.4pt;height:54.9pt;width:0pt;z-index:251687936;mso-width-relative:page;mso-height-relative:page;" filled="f" stroked="t" coordsize="21600,21600" o:gfxdata="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hFDh1wAA&#10;AAoBAAAPAAAAAAAAAAEAIAAAACIAAABkcnMvZG93bnJldi54bWxQSwECFAAUAAAACACHTuJA3zt6&#10;SuYBAADQAwAADgAAAAAAAAABACAAAAAmAQAAZHJzL2Uyb0RvYy54bWxQSwUGAAAAAAYABgBZAQAA&#10;fgUAAAAA&#10;">
                <v:fill on="f" focussize="0,0"/>
                <v:stroke weight="1pt" color="#000000" joinstyle="round" endarrow="block"/>
                <v:imagedata o:title=""/>
                <o:lock v:ext="edit" aspectratio="f"/>
              </v:line>
            </w:pict>
          </mc:Fallback>
        </mc:AlternateContent>
      </w:r>
    </w:p>
    <w:p w14:paraId="37FE6D85">
      <w:pPr>
        <w:pStyle w:val="3"/>
        <w:tabs>
          <w:tab w:val="left" w:pos="709"/>
        </w:tabs>
        <w:jc w:val="center"/>
        <w:rPr>
          <w:rFonts w:ascii="Times New Roman" w:hAnsi="Times New Roman"/>
          <w:sz w:val="21"/>
          <w:szCs w:val="21"/>
        </w:rPr>
      </w:pPr>
    </w:p>
    <w:p w14:paraId="36BC588A">
      <w:pPr>
        <w:pStyle w:val="3"/>
        <w:tabs>
          <w:tab w:val="left" w:pos="709"/>
        </w:tabs>
        <w:jc w:val="center"/>
        <w:rPr>
          <w:rFonts w:ascii="Times New Roman" w:hAnsi="Times New Roman"/>
          <w:sz w:val="21"/>
          <w:szCs w:val="21"/>
        </w:rPr>
      </w:pPr>
      <w:r>
        <w:rPr>
          <w:rFonts w:ascii="Times New Roman" w:hAnsi="Times New Roman"/>
          <w:sz w:val="21"/>
          <w:szCs w:val="21"/>
        </w:rPr>
        <mc:AlternateContent>
          <mc:Choice Requires="wps">
            <w:drawing>
              <wp:anchor distT="0" distB="0" distL="114300" distR="114300" simplePos="0" relativeHeight="251674624" behindDoc="0" locked="0" layoutInCell="1" allowOverlap="1">
                <wp:simplePos x="0" y="0"/>
                <wp:positionH relativeFrom="column">
                  <wp:posOffset>2738120</wp:posOffset>
                </wp:positionH>
                <wp:positionV relativeFrom="paragraph">
                  <wp:posOffset>84455</wp:posOffset>
                </wp:positionV>
                <wp:extent cx="1017270" cy="516890"/>
                <wp:effectExtent l="0" t="0" r="0" b="0"/>
                <wp:wrapNone/>
                <wp:docPr id="3" name="Rectangle 106"/>
                <wp:cNvGraphicFramePr/>
                <a:graphic xmlns:a="http://schemas.openxmlformats.org/drawingml/2006/main">
                  <a:graphicData uri="http://schemas.microsoft.com/office/word/2010/wordprocessingShape">
                    <wps:wsp>
                      <wps:cNvSpPr>
                        <a:spLocks noChangeArrowheads="1"/>
                      </wps:cNvSpPr>
                      <wps:spPr bwMode="auto">
                        <a:xfrm>
                          <a:off x="0" y="0"/>
                          <a:ext cx="1017346" cy="516890"/>
                        </a:xfrm>
                        <a:prstGeom prst="rect">
                          <a:avLst/>
                        </a:prstGeom>
                        <a:noFill/>
                        <a:ln>
                          <a:noFill/>
                        </a:ln>
                      </wps:spPr>
                      <wps:txbx>
                        <w:txbxContent>
                          <w:p w14:paraId="5506CF3D">
                            <w:pPr>
                              <w:spacing w:line="240" w:lineRule="auto"/>
                              <w:jc w:val="left"/>
                            </w:pPr>
                            <w:r>
                              <w:rPr>
                                <w:rFonts w:hint="eastAsia"/>
                              </w:rPr>
                              <w:t>经有轨电车经营单位同意</w:t>
                            </w:r>
                          </w:p>
                          <w:p w14:paraId="0149277D">
                            <w:pPr>
                              <w:rPr>
                                <w:szCs w:val="18"/>
                              </w:rPr>
                            </w:pPr>
                          </w:p>
                        </w:txbxContent>
                      </wps:txbx>
                      <wps:bodyPr rot="0" vert="horz" wrap="square" lIns="91440" tIns="45720" rIns="91440" bIns="45720" anchor="t" anchorCtr="0" upright="1">
                        <a:noAutofit/>
                      </wps:bodyPr>
                    </wps:wsp>
                  </a:graphicData>
                </a:graphic>
              </wp:anchor>
            </w:drawing>
          </mc:Choice>
          <mc:Fallback>
            <w:pict>
              <v:rect id="Rectangle 106" o:spid="_x0000_s1026" o:spt="1" style="position:absolute;left:0pt;margin-left:215.6pt;margin-top:6.65pt;height:40.7pt;width:80.1pt;z-index:251674624;mso-width-relative:page;mso-height-relative:page;" filled="f" stroked="f" coordsize="21600,21600" o:gfxdata="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4Zw1XbAAAACQEAAA8AAAAAAAAAAQAgAAAAIgAA&#10;AGRycy9kb3ducmV2LnhtbFBLAQIUABQAAAAIAIdO4kD6txxKBQIAAA0EAAAOAAAAAAAAAAEAIAAA&#10;ACoBAABkcnMvZTJvRG9jLnhtbFBLBQYAAAAABgAGAFkBAAChBQAAAAA=&#10;">
                <v:fill on="f" focussize="0,0"/>
                <v:stroke on="f"/>
                <v:imagedata o:title=""/>
                <o:lock v:ext="edit" aspectratio="f"/>
                <v:textbox>
                  <w:txbxContent>
                    <w:p w14:paraId="5506CF3D">
                      <w:pPr>
                        <w:spacing w:line="240" w:lineRule="auto"/>
                        <w:jc w:val="left"/>
                      </w:pPr>
                      <w:r>
                        <w:rPr>
                          <w:rFonts w:hint="eastAsia"/>
                        </w:rPr>
                        <w:t>经有轨电车经营单位同意</w:t>
                      </w:r>
                    </w:p>
                    <w:p w14:paraId="0149277D">
                      <w:pPr>
                        <w:rPr>
                          <w:szCs w:val="18"/>
                        </w:rPr>
                      </w:pPr>
                    </w:p>
                  </w:txbxContent>
                </v:textbox>
              </v:rect>
            </w:pict>
          </mc:Fallback>
        </mc:AlternateContent>
      </w:r>
    </w:p>
    <w:p w14:paraId="729D7C13">
      <w:pPr>
        <w:pStyle w:val="3"/>
        <w:tabs>
          <w:tab w:val="left" w:pos="709"/>
        </w:tabs>
        <w:jc w:val="center"/>
        <w:rPr>
          <w:rFonts w:ascii="Times New Roman" w:hAnsi="Times New Roman"/>
          <w:sz w:val="21"/>
          <w:szCs w:val="21"/>
        </w:rPr>
      </w:pPr>
      <w:r>
        <w:rPr>
          <w:rFonts w:ascii="Times New Roman" w:hAnsi="Times New Roman"/>
          <w:sz w:val="21"/>
          <w:szCs w:val="21"/>
        </w:rPr>
        <mc:AlternateContent>
          <mc:Choice Requires="wps">
            <w:drawing>
              <wp:anchor distT="0" distB="0" distL="114300" distR="114300" simplePos="0" relativeHeight="251673600" behindDoc="0" locked="0" layoutInCell="1" allowOverlap="1">
                <wp:simplePos x="0" y="0"/>
                <wp:positionH relativeFrom="column">
                  <wp:posOffset>3909060</wp:posOffset>
                </wp:positionH>
                <wp:positionV relativeFrom="paragraph">
                  <wp:posOffset>144780</wp:posOffset>
                </wp:positionV>
                <wp:extent cx="1069975" cy="288925"/>
                <wp:effectExtent l="0" t="0" r="15875" b="15875"/>
                <wp:wrapNone/>
                <wp:docPr id="9" name="Rectangle 81"/>
                <wp:cNvGraphicFramePr/>
                <a:graphic xmlns:a="http://schemas.openxmlformats.org/drawingml/2006/main">
                  <a:graphicData uri="http://schemas.microsoft.com/office/word/2010/wordprocessingShape">
                    <wps:wsp>
                      <wps:cNvSpPr>
                        <a:spLocks noChangeArrowheads="1"/>
                      </wps:cNvSpPr>
                      <wps:spPr bwMode="auto">
                        <a:xfrm>
                          <a:off x="0" y="0"/>
                          <a:ext cx="1069975" cy="288925"/>
                        </a:xfrm>
                        <a:prstGeom prst="rect">
                          <a:avLst/>
                        </a:prstGeom>
                        <a:noFill/>
                        <a:ln w="12700">
                          <a:solidFill>
                            <a:srgbClr val="000000"/>
                          </a:solidFill>
                          <a:miter lim="200000"/>
                        </a:ln>
                      </wps:spPr>
                      <wps:txbx>
                        <w:txbxContent>
                          <w:p w14:paraId="3B8A7DC3">
                            <w:pPr>
                              <w:spacing w:line="240" w:lineRule="auto"/>
                              <w:jc w:val="center"/>
                              <w:rPr>
                                <w:szCs w:val="18"/>
                              </w:rPr>
                            </w:pPr>
                            <w:r>
                              <w:rPr>
                                <w:rFonts w:hint="eastAsia"/>
                              </w:rPr>
                              <w:t>监测工作结束</w:t>
                            </w:r>
                          </w:p>
                        </w:txbxContent>
                      </wps:txbx>
                      <wps:bodyPr rot="0" vert="horz" wrap="square" lIns="91440" tIns="45720" rIns="91440" bIns="45720" anchor="t" anchorCtr="0" upright="1">
                        <a:noAutofit/>
                      </wps:bodyPr>
                    </wps:wsp>
                  </a:graphicData>
                </a:graphic>
              </wp:anchor>
            </w:drawing>
          </mc:Choice>
          <mc:Fallback>
            <w:pict>
              <v:rect id="Rectangle 81" o:spid="_x0000_s1026" o:spt="1" style="position:absolute;left:0pt;margin-left:307.8pt;margin-top:11.4pt;height:22.75pt;width:84.25pt;z-index:251673600;mso-width-relative:page;mso-height-relative:page;" filled="f" stroked="t" coordsize="21600,21600" o:gfxdata="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h/4/m2gAAAAkBAAAPAAAAAAAAAAEAIAAAACIAAABkcnMvZG93bnJldi54bWxQSwECFAAU&#10;AAAACACHTuJAlWrSJSgCAABWBAAADgAAAAAAAAABACAAAAApAQAAZHJzL2Uyb0RvYy54bWxQSwUG&#10;AAAAAAYABgBZAQAAwwUAAAAA&#10;">
                <v:fill on="f" focussize="0,0"/>
                <v:stroke weight="1pt" color="#000000" miterlimit="2" joinstyle="miter"/>
                <v:imagedata o:title=""/>
                <o:lock v:ext="edit" aspectratio="f"/>
                <v:textbox>
                  <w:txbxContent>
                    <w:p w14:paraId="3B8A7DC3">
                      <w:pPr>
                        <w:spacing w:line="240" w:lineRule="auto"/>
                        <w:jc w:val="center"/>
                        <w:rPr>
                          <w:szCs w:val="18"/>
                        </w:rPr>
                      </w:pPr>
                      <w:r>
                        <w:rPr>
                          <w:rFonts w:hint="eastAsia"/>
                        </w:rPr>
                        <w:t>监测工作结束</w:t>
                      </w:r>
                    </w:p>
                  </w:txbxContent>
                </v:textbox>
              </v:rect>
            </w:pict>
          </mc:Fallback>
        </mc:AlternateContent>
      </w:r>
      <w:r>
        <w:rPr>
          <w:rFonts w:ascii="Times New Roman" w:hAnsi="Times New Roman"/>
          <w:sz w:val="21"/>
          <w:szCs w:val="21"/>
        </w:rPr>
        <mc:AlternateContent>
          <mc:Choice Requires="wps">
            <w:drawing>
              <wp:anchor distT="0" distB="0" distL="114300" distR="114300" simplePos="0" relativeHeight="251686912" behindDoc="0" locked="0" layoutInCell="1" allowOverlap="1">
                <wp:simplePos x="0" y="0"/>
                <wp:positionH relativeFrom="column">
                  <wp:posOffset>1078230</wp:posOffset>
                </wp:positionH>
                <wp:positionV relativeFrom="paragraph">
                  <wp:posOffset>141605</wp:posOffset>
                </wp:positionV>
                <wp:extent cx="1593215" cy="288925"/>
                <wp:effectExtent l="0" t="0" r="26035" b="15875"/>
                <wp:wrapNone/>
                <wp:docPr id="7" name="Rectangle 79"/>
                <wp:cNvGraphicFramePr/>
                <a:graphic xmlns:a="http://schemas.openxmlformats.org/drawingml/2006/main">
                  <a:graphicData uri="http://schemas.microsoft.com/office/word/2010/wordprocessingShape">
                    <wps:wsp>
                      <wps:cNvSpPr>
                        <a:spLocks noChangeArrowheads="1"/>
                      </wps:cNvSpPr>
                      <wps:spPr bwMode="auto">
                        <a:xfrm>
                          <a:off x="0" y="0"/>
                          <a:ext cx="1593215" cy="288925"/>
                        </a:xfrm>
                        <a:prstGeom prst="rect">
                          <a:avLst/>
                        </a:prstGeom>
                        <a:noFill/>
                        <a:ln w="12700">
                          <a:solidFill>
                            <a:srgbClr val="000000"/>
                          </a:solidFill>
                          <a:miter lim="200000"/>
                        </a:ln>
                      </wps:spPr>
                      <wps:txbx>
                        <w:txbxContent>
                          <w:p w14:paraId="77BC23EB">
                            <w:pPr>
                              <w:spacing w:line="240" w:lineRule="auto"/>
                              <w:jc w:val="center"/>
                              <w:rPr>
                                <w:szCs w:val="18"/>
                              </w:rPr>
                            </w:pPr>
                            <w:r>
                              <w:rPr>
                                <w:rFonts w:hint="eastAsia"/>
                              </w:rPr>
                              <w:t>成果提交</w:t>
                            </w:r>
                          </w:p>
                        </w:txbxContent>
                      </wps:txbx>
                      <wps:bodyPr rot="0" vert="horz" wrap="square" lIns="91440" tIns="45720" rIns="91440" bIns="45720" anchor="t" anchorCtr="0" upright="1">
                        <a:noAutofit/>
                      </wps:bodyPr>
                    </wps:wsp>
                  </a:graphicData>
                </a:graphic>
              </wp:anchor>
            </w:drawing>
          </mc:Choice>
          <mc:Fallback>
            <w:pict>
              <v:rect id="Rectangle 79" o:spid="_x0000_s1026" o:spt="1" style="position:absolute;left:0pt;margin-left:84.9pt;margin-top:11.15pt;height:22.75pt;width:125.45pt;z-index:251686912;mso-width-relative:page;mso-height-relative:page;" filled="f" stroked="t" coordsize="21600,21600" o:gfxdata="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nmlWtoAAAAJAQAADwAAAAAAAAABACAAAAAiAAAAZHJzL2Rvd25yZXYueG1sUEsBAhQA&#10;FAAAAAgAh07iQNRX97EpAgAAVgQAAA4AAAAAAAAAAQAgAAAAKQEAAGRycy9lMm9Eb2MueG1sUEsF&#10;BgAAAAAGAAYAWQEAAMQFAAAAAA==&#10;">
                <v:fill on="f" focussize="0,0"/>
                <v:stroke weight="1pt" color="#000000" miterlimit="2" joinstyle="miter"/>
                <v:imagedata o:title=""/>
                <o:lock v:ext="edit" aspectratio="f"/>
                <v:textbox>
                  <w:txbxContent>
                    <w:p w14:paraId="77BC23EB">
                      <w:pPr>
                        <w:spacing w:line="240" w:lineRule="auto"/>
                        <w:jc w:val="center"/>
                        <w:rPr>
                          <w:szCs w:val="18"/>
                        </w:rPr>
                      </w:pPr>
                      <w:r>
                        <w:rPr>
                          <w:rFonts w:hint="eastAsia"/>
                        </w:rPr>
                        <w:t>成果提交</w:t>
                      </w:r>
                    </w:p>
                  </w:txbxContent>
                </v:textbox>
              </v:rect>
            </w:pict>
          </mc:Fallback>
        </mc:AlternateContent>
      </w:r>
    </w:p>
    <w:p w14:paraId="1EADCBDB">
      <w:pPr>
        <w:adjustRightInd w:val="0"/>
        <w:snapToGrid w:val="0"/>
        <w:spacing w:before="312" w:beforeLines="100" w:after="156" w:afterLines="50" w:line="240" w:lineRule="auto"/>
        <w:jc w:val="center"/>
      </w:pPr>
      <w:r>
        <mc:AlternateContent>
          <mc:Choice Requires="wps">
            <w:drawing>
              <wp:anchor distT="0" distB="0" distL="114300" distR="114300" simplePos="0" relativeHeight="251670528" behindDoc="0" locked="0" layoutInCell="1" allowOverlap="1">
                <wp:simplePos x="0" y="0"/>
                <wp:positionH relativeFrom="column">
                  <wp:posOffset>2679700</wp:posOffset>
                </wp:positionH>
                <wp:positionV relativeFrom="line">
                  <wp:posOffset>17145</wp:posOffset>
                </wp:positionV>
                <wp:extent cx="1237615" cy="8255"/>
                <wp:effectExtent l="0" t="57150" r="38735" b="86995"/>
                <wp:wrapNone/>
                <wp:docPr id="2" name="AutoShape 95"/>
                <wp:cNvGraphicFramePr/>
                <a:graphic xmlns:a="http://schemas.openxmlformats.org/drawingml/2006/main">
                  <a:graphicData uri="http://schemas.microsoft.com/office/word/2010/wordprocessingShape">
                    <wps:wsp>
                      <wps:cNvCnPr>
                        <a:cxnSpLocks noChangeShapeType="1"/>
                      </wps:cNvCnPr>
                      <wps:spPr bwMode="auto">
                        <a:xfrm>
                          <a:off x="0" y="0"/>
                          <a:ext cx="1237615" cy="8255"/>
                        </a:xfrm>
                        <a:prstGeom prst="straightConnector1">
                          <a:avLst/>
                        </a:prstGeom>
                        <a:noFill/>
                        <a:ln w="12700">
                          <a:solidFill>
                            <a:srgbClr val="000000"/>
                          </a:solidFill>
                          <a:round/>
                          <a:tailEnd type="triangle" w="med" len="med"/>
                        </a:ln>
                      </wps:spPr>
                      <wps:bodyPr/>
                    </wps:wsp>
                  </a:graphicData>
                </a:graphic>
              </wp:anchor>
            </w:drawing>
          </mc:Choice>
          <mc:Fallback>
            <w:pict>
              <v:shape id="AutoShape 95" o:spid="_x0000_s1026" o:spt="32" type="#_x0000_t32" style="position:absolute;left:0pt;margin-left:211pt;margin-top:1.35pt;height:0.65pt;width:97.45pt;mso-position-vertical-relative:line;z-index:251670528;mso-width-relative:page;mso-height-relative:page;" filled="f" stroked="t" coordsize="21600,21600" o:gfxdata="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Ku6zvUAAAABwEAAA8AAAAAAAAAAQAgAAAAIgAAAGRycy9kb3ducmV2LnhtbFBLAQIUABQA&#10;AAAIAIdO4kCcbFNC9AEAAOUDAAAOAAAAAAAAAAEAIAAAACMBAABkcnMvZTJvRG9jLnhtbFBLBQYA&#10;AAAABgAGAFkBAACJBQAAAAA=&#10;">
                <v:fill on="f" focussize="0,0"/>
                <v:stroke weight="1pt" color="#000000" joinstyle="round" endarrow="block"/>
                <v:imagedata o:title=""/>
                <o:lock v:ext="edit" aspectratio="f"/>
              </v:shape>
            </w:pict>
          </mc:Fallback>
        </mc:AlternateContent>
      </w:r>
    </w:p>
    <w:p w14:paraId="0C725A37">
      <w:pPr>
        <w:adjustRightInd w:val="0"/>
        <w:snapToGrid w:val="0"/>
        <w:spacing w:before="312" w:beforeLines="100" w:after="156" w:afterLines="50" w:line="240" w:lineRule="auto"/>
        <w:jc w:val="center"/>
      </w:pPr>
      <w:r>
        <w:rPr>
          <w:rFonts w:hint="eastAsia"/>
        </w:rPr>
        <w:t>图1  有轨电车设施的监测流程</w:t>
      </w:r>
    </w:p>
    <w:p w14:paraId="19FBB8AA">
      <w:pPr>
        <w:autoSpaceDE w:val="0"/>
        <w:autoSpaceDN w:val="0"/>
        <w:adjustRightInd w:val="0"/>
        <w:snapToGrid w:val="0"/>
        <w:jc w:val="left"/>
      </w:pPr>
      <w:r>
        <w:t>7.2</w:t>
      </w:r>
      <w:r>
        <w:rPr>
          <w:rFonts w:hint="eastAsia"/>
        </w:rPr>
        <w:t>.3</w:t>
      </w:r>
      <w:r>
        <w:t xml:space="preserve"> </w:t>
      </w:r>
      <w:r>
        <w:rPr>
          <w:rFonts w:hint="eastAsia"/>
        </w:rPr>
        <w:t xml:space="preserve"> 有轨电车既有结构的监测方案，除应根据</w:t>
      </w:r>
      <w:r>
        <w:rPr>
          <w:rFonts w:hint="eastAsia" w:ascii="Times" w:hAnsi="宋体"/>
        </w:rPr>
        <w:t>结构受外部作业的影响特征、结构安全保护要求及外部作业实施前所开展的安全评估成果编制，</w:t>
      </w:r>
      <w:r>
        <w:rPr>
          <w:rFonts w:hint="eastAsia"/>
        </w:rPr>
        <w:t>还应依据所选监测项目、监测仪器及国家现行相关技术标准进行编制。</w:t>
      </w:r>
      <w:bookmarkStart w:id="113" w:name="OLE_LINK2"/>
      <w:r>
        <w:t>监测方案由建设单位确认后，</w:t>
      </w:r>
      <w:r>
        <w:rPr>
          <w:rFonts w:hint="eastAsia"/>
        </w:rPr>
        <w:t>应向有轨电车</w:t>
      </w:r>
      <w:r>
        <w:t>经营单位征求意见，方案通过后方</w:t>
      </w:r>
      <w:r>
        <w:rPr>
          <w:rFonts w:hint="eastAsia"/>
        </w:rPr>
        <w:t>可办理进场作业手续</w:t>
      </w:r>
      <w:bookmarkEnd w:id="113"/>
      <w:r>
        <w:rPr>
          <w:rFonts w:hint="eastAsia"/>
        </w:rPr>
        <w:t>。</w:t>
      </w:r>
    </w:p>
    <w:p w14:paraId="68E80C93">
      <w:pPr>
        <w:jc w:val="left"/>
      </w:pPr>
      <w:r>
        <w:rPr>
          <w:rFonts w:hint="eastAsia"/>
        </w:rPr>
        <w:t>7.2.4</w:t>
      </w:r>
      <w:r>
        <w:t xml:space="preserve">  监测项目所采用的监测方法多种多样，监测对象和监测项目不同，监测方法就不同，工程监测等级和监测精度不同，场地条件和工程经验不同，监测方法也不一样。总之，监测方法的选择应根据设计要求、施工需要</w:t>
      </w:r>
      <w:r>
        <w:rPr>
          <w:rFonts w:hint="eastAsia"/>
        </w:rPr>
        <w:t>及</w:t>
      </w:r>
      <w:r>
        <w:t>现场条件等综合确定，</w:t>
      </w:r>
      <w:r>
        <w:rPr>
          <w:rFonts w:hint="eastAsia"/>
        </w:rPr>
        <w:t>且应</w:t>
      </w:r>
      <w:r>
        <w:t>便于现场操作实施。同时根据现场实际，一个项目可以同时选择</w:t>
      </w:r>
      <w:r>
        <w:rPr>
          <w:rFonts w:hint="eastAsia"/>
        </w:rPr>
        <w:t>并</w:t>
      </w:r>
      <w:r>
        <w:t>组合多种观测方法，以便相互校验。</w:t>
      </w:r>
    </w:p>
    <w:p w14:paraId="293753CC">
      <w:pPr>
        <w:tabs>
          <w:tab w:val="left" w:pos="900"/>
        </w:tabs>
      </w:pPr>
      <w:r>
        <w:rPr>
          <w:rFonts w:hint="eastAsia"/>
        </w:rPr>
        <w:t>7.2.5</w:t>
      </w:r>
      <w:r>
        <w:t xml:space="preserve">  桥梁承台或墩柱是整个桥梁的支撑结构</w:t>
      </w:r>
      <w:r>
        <w:rPr>
          <w:rFonts w:hint="eastAsia"/>
        </w:rPr>
        <w:t>。当有轨电车</w:t>
      </w:r>
      <w:r>
        <w:t>既有高架结构外部</w:t>
      </w:r>
      <w:r>
        <w:rPr>
          <w:rFonts w:hint="eastAsia"/>
        </w:rPr>
        <w:t>受到</w:t>
      </w:r>
      <w:r>
        <w:t>工程施工影响时，在桥梁</w:t>
      </w:r>
      <w:r>
        <w:rPr>
          <w:rFonts w:hint="eastAsia"/>
        </w:rPr>
        <w:t>承台</w:t>
      </w:r>
      <w:r>
        <w:t>或墩柱上布设监测点可获得评价桥梁变形的数据。当外部工程施工对地层的扰动过大，引起桥梁承台或墩柱发生变形时，会通过桥梁承台或墩柱传递到桥梁上部结构，引起桥梁整体变形和应力变化，因此必要时增加</w:t>
      </w:r>
      <w:r>
        <w:rPr>
          <w:rFonts w:hint="eastAsia"/>
        </w:rPr>
        <w:t>对</w:t>
      </w:r>
      <w:r>
        <w:t>桥面结构应变等</w:t>
      </w:r>
      <w:r>
        <w:rPr>
          <w:rFonts w:hint="eastAsia"/>
        </w:rPr>
        <w:t>数据的</w:t>
      </w:r>
      <w:r>
        <w:t>监测。</w:t>
      </w:r>
    </w:p>
    <w:p w14:paraId="4A967E45">
      <w:pPr>
        <w:tabs>
          <w:tab w:val="left" w:pos="900"/>
        </w:tabs>
      </w:pPr>
      <w:r>
        <w:t>7.2.</w:t>
      </w:r>
      <w:r>
        <w:rPr>
          <w:rFonts w:hint="eastAsia"/>
        </w:rPr>
        <w:t>6</w:t>
      </w:r>
      <w:r>
        <w:t xml:space="preserve">  </w:t>
      </w:r>
      <w:r>
        <w:rPr>
          <w:rFonts w:hint="eastAsia"/>
        </w:rPr>
        <w:t>根据《城市轨道交通运营险性事件信息报告与分析管理办法》城市轨道交通主要运营险性事件清单，车站、轨行区淹水倒灌为险性事件，有轨电车线路主要为地面线路，每当到了雨季汛期的时候，河道、水库等河流的水位高低就成为了值得关注的安全问题。如线路临近江、河、湖、海等水体进行建设，容易受外界水体的水体变化影响，应结合运营安全需求设置临近水体的水位监测信息系统，保障运营安全。非接触式设备测量不受风、温度、雾霾、泥沙、漂浮物等影响，减少了外界干扰因素，监测更加及时准确。在监测过程中宜选择非接触式设备进行安装布置，并根据不同设备特点、监测项目、监测仪器、监测组织方式及国家现行相关技术标准要求进行安装布置。</w:t>
      </w:r>
    </w:p>
    <w:p w14:paraId="0A76E9A6">
      <w:r>
        <w:t>7.2.</w:t>
      </w:r>
      <w:r>
        <w:rPr>
          <w:rFonts w:hint="eastAsia"/>
        </w:rPr>
        <w:t>7</w:t>
      </w:r>
      <w:r>
        <w:t xml:space="preserve">  </w:t>
      </w:r>
      <w:r>
        <w:rPr>
          <w:rFonts w:hint="eastAsia"/>
        </w:rPr>
        <w:t>有轨电车线路主要为地面线路，容易受环境因素影响。根据《城市轨道交通行车组织管理办法》（交运规〔</w:t>
      </w:r>
      <w:r>
        <w:t>2019</w:t>
      </w:r>
      <w:r>
        <w:rPr>
          <w:rFonts w:hint="eastAsia"/>
        </w:rPr>
        <w:t>〕</w:t>
      </w:r>
      <w:r>
        <w:t>14</w:t>
      </w:r>
      <w:r>
        <w:rPr>
          <w:rFonts w:hint="eastAsia"/>
        </w:rPr>
        <w:t>号），遇恶劣天气时，行车相关人员可根据情况及时采取加强瞭望、限速、停运、封站等措施。为确保运营安全，针对有轨电车地面区段，宜设置风力监控信息系统，便于在台风等恶劣天气下做出及时、准确的判断和应对。</w:t>
      </w:r>
    </w:p>
    <w:p w14:paraId="0EEE2AD9">
      <w:r>
        <w:t>7.2.</w:t>
      </w:r>
      <w:r>
        <w:rPr>
          <w:rFonts w:hint="eastAsia"/>
        </w:rPr>
        <w:t>8</w:t>
      </w:r>
      <w:r>
        <w:t xml:space="preserve">  </w:t>
      </w:r>
      <w:r>
        <w:rPr>
          <w:rFonts w:hint="eastAsia"/>
        </w:rPr>
        <w:t>各级政府部门搭建“智慧城市环境监测平台”，如将有轨电车监测应接入统一的监测信息系统，可实现信息共享，有利于企业及时接收预警信息，提前落实风险管控措施。</w:t>
      </w:r>
    </w:p>
    <w:p w14:paraId="61EE7A62">
      <w:pPr>
        <w:widowControl/>
        <w:adjustRightInd w:val="0"/>
        <w:snapToGrid w:val="0"/>
        <w:jc w:val="center"/>
        <w:outlineLvl w:val="1"/>
        <w:rPr>
          <w:b/>
          <w:kern w:val="0"/>
        </w:rPr>
      </w:pPr>
      <w:bookmarkStart w:id="114" w:name="_Toc103169293"/>
      <w:r>
        <w:rPr>
          <w:rFonts w:hint="eastAsia"/>
          <w:b/>
          <w:kern w:val="0"/>
        </w:rPr>
        <w:t>7</w:t>
      </w:r>
      <w:r>
        <w:rPr>
          <w:b/>
          <w:kern w:val="0"/>
        </w:rPr>
        <w:t>.</w:t>
      </w:r>
      <w:r>
        <w:rPr>
          <w:rFonts w:hint="eastAsia"/>
          <w:b/>
          <w:kern w:val="0"/>
        </w:rPr>
        <w:t>3</w:t>
      </w:r>
      <w:r>
        <w:rPr>
          <w:b/>
          <w:kern w:val="0"/>
        </w:rPr>
        <w:t xml:space="preserve">  </w:t>
      </w:r>
      <w:r>
        <w:rPr>
          <w:rFonts w:hint="eastAsia"/>
          <w:b/>
          <w:kern w:val="0"/>
        </w:rPr>
        <w:t>视频信息</w:t>
      </w:r>
      <w:bookmarkEnd w:id="114"/>
    </w:p>
    <w:p w14:paraId="1F92EC6E">
      <w:r>
        <w:rPr>
          <w:rFonts w:hint="eastAsia"/>
        </w:rPr>
        <w:t>7</w:t>
      </w:r>
      <w:r>
        <w:t>.</w:t>
      </w:r>
      <w:r>
        <w:rPr>
          <w:rFonts w:hint="eastAsia"/>
        </w:rPr>
        <w:t>3</w:t>
      </w:r>
      <w:r>
        <w:t>.1  现场视频监控系统</w:t>
      </w:r>
      <w:r>
        <w:rPr>
          <w:rFonts w:hint="eastAsia"/>
        </w:rPr>
        <w:t>是指由图像采集、传输、显示等设备及语音系统、控制软件组成的安全管理监控系统。该系统能够对外部作业进行监视、跟踪和信息记录，有利于进一步控制工程施工质量，避免事故发生。</w:t>
      </w:r>
      <w:bookmarkEnd w:id="0"/>
    </w:p>
    <w:sectPr>
      <w:pgSz w:w="11906" w:h="16838"/>
      <w:pgMar w:top="1440" w:right="1800" w:bottom="1440" w:left="226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MingLiU">
    <w:altName w:val="思源黑體 Medium"/>
    <w:panose1 w:val="02010609000101010101"/>
    <w:charset w:val="88"/>
    <w:family w:val="modern"/>
    <w:pitch w:val="default"/>
    <w:sig w:usb0="00000000" w:usb1="00000000" w:usb2="00000010" w:usb3="00000000" w:csb0="00100000" w:csb1="00000000"/>
  </w:font>
  <w:font w:name="細明體">
    <w:altName w:val="WOX-Striped Triple Demo"/>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7A66">
    <w:pPr>
      <w:pStyle w:val="16"/>
      <w:jc w:val="center"/>
    </w:pPr>
    <w:r>
      <w:fldChar w:fldCharType="begin"/>
    </w:r>
    <w:r>
      <w:instrText xml:space="preserve">PAGE   \* MERGEFORMAT</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7848658"/>
      <w:docPartObj>
        <w:docPartGallery w:val="AutoText"/>
      </w:docPartObj>
    </w:sdtPr>
    <w:sdtEndPr>
      <w:rPr>
        <w:sz w:val="21"/>
      </w:rPr>
    </w:sdtEndPr>
    <w:sdtContent>
      <w:p w14:paraId="7685FBF1">
        <w:pPr>
          <w:pStyle w:val="16"/>
          <w:jc w:val="center"/>
          <w:rPr>
            <w:sz w:val="21"/>
          </w:rPr>
        </w:pPr>
        <w:r>
          <w:rPr>
            <w:sz w:val="21"/>
          </w:rPr>
          <w:fldChar w:fldCharType="begin"/>
        </w:r>
        <w:r>
          <w:rPr>
            <w:sz w:val="21"/>
          </w:rPr>
          <w:instrText xml:space="preserve">PAGE   \* MERGEFORMAT</w:instrText>
        </w:r>
        <w:r>
          <w:rPr>
            <w:sz w:val="21"/>
          </w:rPr>
          <w:fldChar w:fldCharType="separate"/>
        </w:r>
        <w:r>
          <w:rPr>
            <w:sz w:val="21"/>
          </w:rPr>
          <w:t>17</w:t>
        </w:r>
        <w:r>
          <w:rPr>
            <w:sz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6179657"/>
      <w:docPartObj>
        <w:docPartGallery w:val="AutoText"/>
      </w:docPartObj>
    </w:sdtPr>
    <w:sdtContent>
      <w:p w14:paraId="133D5357">
        <w:pPr>
          <w:pStyle w:val="16"/>
          <w:jc w:val="center"/>
        </w:pPr>
        <w:r>
          <w:fldChar w:fldCharType="begin"/>
        </w:r>
        <w:r>
          <w:instrText xml:space="preserve">PAGE   \* MERGEFORMAT</w:instrText>
        </w:r>
        <w:r>
          <w:fldChar w:fldCharType="separate"/>
        </w:r>
        <w:r>
          <w:t>32</w:t>
        </w:r>
        <w:r>
          <w:fldChar w:fldCharType="end"/>
        </w:r>
      </w:p>
    </w:sdtContent>
  </w:sdt>
  <w:p w14:paraId="32B2E9D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5BE56">
    <w:pPr>
      <w:pStyle w:val="16"/>
      <w:jc w:val="center"/>
    </w:pPr>
    <w:r>
      <w:fldChar w:fldCharType="begin"/>
    </w:r>
    <w:r>
      <w:instrText xml:space="preserve">PAGE   \* MERGEFORMAT</w:instrText>
    </w:r>
    <w:r>
      <w:fldChar w:fldCharType="separate"/>
    </w:r>
    <w:r>
      <w:t>21</w:t>
    </w:r>
    <w:r>
      <w:fldChar w:fldCharType="end"/>
    </w:r>
  </w:p>
  <w:p w14:paraId="4E83881D">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314980"/>
      <w:docPartObj>
        <w:docPartGallery w:val="AutoText"/>
      </w:docPartObj>
    </w:sdtPr>
    <w:sdtContent>
      <w:p w14:paraId="7D39EBC4">
        <w:pPr>
          <w:pStyle w:val="16"/>
          <w:jc w:val="center"/>
        </w:pPr>
        <w:r>
          <w:fldChar w:fldCharType="begin"/>
        </w:r>
        <w:r>
          <w:instrText xml:space="preserve">PAGE   \* MERGEFORMAT</w:instrText>
        </w:r>
        <w:r>
          <w:fldChar w:fldCharType="separate"/>
        </w:r>
        <w:r>
          <w:t>33</w:t>
        </w:r>
        <w:r>
          <w:fldChar w:fldCharType="end"/>
        </w:r>
      </w:p>
    </w:sdtContent>
  </w:sdt>
  <w:p w14:paraId="3582BCE0">
    <w:pPr>
      <w:pStyle w:val="16"/>
      <w:jc w:val="center"/>
    </w:pPr>
  </w:p>
  <w:p w14:paraId="7394AFA5">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15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4D7FD">
    <w:pPr>
      <w:pStyle w:val="23"/>
      <w:spacing w:before="0" w:beforeAutospacing="0" w:after="0" w:afterAutospacing="0"/>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14F59"/>
    <w:multiLevelType w:val="multilevel"/>
    <w:tmpl w:val="10814F59"/>
    <w:lvl w:ilvl="0" w:tentative="0">
      <w:start w:val="1"/>
      <w:numFmt w:val="decimal"/>
      <w:lvlText w:val="4.%1"/>
      <w:lvlJc w:val="left"/>
      <w:pPr>
        <w:ind w:left="840" w:hanging="420"/>
      </w:pPr>
      <w:rPr>
        <w:rFonts w:hint="default" w:ascii="Times New Roman" w:hAnsi="Times New Roman"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AD5CF4"/>
    <w:multiLevelType w:val="multilevel"/>
    <w:tmpl w:val="10AD5CF4"/>
    <w:lvl w:ilvl="0" w:tentative="0">
      <w:start w:val="1"/>
      <w:numFmt w:val="decimal"/>
      <w:lvlText w:val="7.%1"/>
      <w:lvlJc w:val="left"/>
      <w:pPr>
        <w:ind w:left="840" w:hanging="420"/>
      </w:pPr>
      <w:rPr>
        <w:rFonts w:hint="default" w:ascii="Times New Roman" w:hAnsi="Times New Roman"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0F5680"/>
    <w:multiLevelType w:val="multilevel"/>
    <w:tmpl w:val="1E0F5680"/>
    <w:lvl w:ilvl="0" w:tentative="0">
      <w:start w:val="1"/>
      <w:numFmt w:val="decimal"/>
      <w:lvlText w:val="5.%1"/>
      <w:lvlJc w:val="left"/>
      <w:pPr>
        <w:ind w:left="840" w:hanging="420"/>
      </w:pPr>
      <w:rPr>
        <w:rFonts w:hint="default" w:ascii="Times New Roman" w:hAnsi="Times New Roman"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033468D"/>
    <w:multiLevelType w:val="multilevel"/>
    <w:tmpl w:val="3033468D"/>
    <w:lvl w:ilvl="0" w:tentative="0">
      <w:start w:val="1"/>
      <w:numFmt w:val="decimal"/>
      <w:lvlText w:val="6.%1"/>
      <w:lvlJc w:val="left"/>
      <w:pPr>
        <w:ind w:left="840" w:hanging="420"/>
      </w:pPr>
      <w:rPr>
        <w:rFonts w:hint="default" w:ascii="Times New Roman" w:hAnsi="Times New Roman"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03937D8"/>
    <w:multiLevelType w:val="multilevel"/>
    <w:tmpl w:val="303937D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126F54"/>
    <w:multiLevelType w:val="multilevel"/>
    <w:tmpl w:val="3B126F54"/>
    <w:lvl w:ilvl="0" w:tentative="0">
      <w:start w:val="1"/>
      <w:numFmt w:val="decimal"/>
      <w:pStyle w:val="2"/>
      <w:lvlText w:val="%1"/>
      <w:lvlJc w:val="left"/>
      <w:pPr>
        <w:tabs>
          <w:tab w:val="left" w:pos="2694"/>
        </w:tabs>
        <w:ind w:left="2694" w:hanging="425"/>
      </w:pPr>
      <w:rPr>
        <w:rFonts w:hint="default" w:ascii="Times New Roman" w:hAnsi="Times New Roman" w:eastAsia="宋体" w:cs="Times New Roman"/>
        <w:b/>
      </w:rPr>
    </w:lvl>
    <w:lvl w:ilvl="1" w:tentative="0">
      <w:start w:val="1"/>
      <w:numFmt w:val="decimal"/>
      <w:lvlText w:val="%1.%2"/>
      <w:lvlJc w:val="left"/>
      <w:pPr>
        <w:tabs>
          <w:tab w:val="left" w:pos="992"/>
        </w:tabs>
        <w:ind w:left="992" w:hanging="567"/>
      </w:pPr>
      <w:rPr>
        <w:rFonts w:hint="default" w:ascii="Times New Roman" w:hAnsi="Times New Roman" w:eastAsia="宋体" w:cs="Times New Roman"/>
        <w:b w:val="0"/>
        <w:sz w:val="24"/>
        <w:szCs w:val="24"/>
      </w:rPr>
    </w:lvl>
    <w:lvl w:ilvl="2" w:tentative="0">
      <w:start w:val="1"/>
      <w:numFmt w:val="decimal"/>
      <w:lvlText w:val="%1.%2.%3"/>
      <w:lvlJc w:val="left"/>
      <w:pPr>
        <w:tabs>
          <w:tab w:val="left" w:pos="1440"/>
        </w:tabs>
        <w:ind w:left="1287" w:hanging="567"/>
      </w:pPr>
      <w:rPr>
        <w:rFonts w:hint="eastAsia" w:ascii="宋体" w:hAnsi="宋体" w:eastAsia="宋体" w:cs="Times New Roman"/>
        <w:b w:val="0"/>
        <w:i w:val="0"/>
        <w:color w:val="auto"/>
        <w:sz w:val="21"/>
        <w:szCs w:val="21"/>
      </w:rPr>
    </w:lvl>
    <w:lvl w:ilvl="3" w:tentative="0">
      <w:start w:val="1"/>
      <w:numFmt w:val="decimal"/>
      <w:lvlText w:val="%1.%2.%3.%4"/>
      <w:lvlJc w:val="left"/>
      <w:pPr>
        <w:tabs>
          <w:tab w:val="left" w:pos="2356"/>
        </w:tabs>
        <w:ind w:left="1984" w:hanging="708"/>
      </w:pPr>
      <w:rPr>
        <w:rFonts w:hint="eastAsia" w:cs="Times New Roman"/>
      </w:rPr>
    </w:lvl>
    <w:lvl w:ilvl="4" w:tentative="0">
      <w:start w:val="1"/>
      <w:numFmt w:val="decimal"/>
      <w:lvlText w:val="%1.%2.%3.%4.%5"/>
      <w:lvlJc w:val="left"/>
      <w:pPr>
        <w:tabs>
          <w:tab w:val="left" w:pos="3141"/>
        </w:tabs>
        <w:ind w:left="2551" w:hanging="850"/>
      </w:pPr>
      <w:rPr>
        <w:rFonts w:hint="eastAsia" w:cs="Times New Roman"/>
      </w:rPr>
    </w:lvl>
    <w:lvl w:ilvl="5" w:tentative="0">
      <w:start w:val="1"/>
      <w:numFmt w:val="decimal"/>
      <w:lvlText w:val="%1.%2.%3.%4.%5.%6"/>
      <w:lvlJc w:val="left"/>
      <w:pPr>
        <w:tabs>
          <w:tab w:val="left" w:pos="3926"/>
        </w:tabs>
        <w:ind w:left="3260" w:hanging="1134"/>
      </w:pPr>
      <w:rPr>
        <w:rFonts w:hint="eastAsia" w:cs="Times New Roman"/>
      </w:rPr>
    </w:lvl>
    <w:lvl w:ilvl="6" w:tentative="0">
      <w:start w:val="1"/>
      <w:numFmt w:val="decimal"/>
      <w:lvlText w:val="%1.%2.%3.%4.%5.%6.%7"/>
      <w:lvlJc w:val="left"/>
      <w:pPr>
        <w:tabs>
          <w:tab w:val="left" w:pos="4711"/>
        </w:tabs>
        <w:ind w:left="3827" w:hanging="1276"/>
      </w:pPr>
      <w:rPr>
        <w:rFonts w:hint="eastAsia" w:cs="Times New Roman"/>
      </w:rPr>
    </w:lvl>
    <w:lvl w:ilvl="7" w:tentative="0">
      <w:start w:val="1"/>
      <w:numFmt w:val="decimal"/>
      <w:lvlText w:val="%1.%2.%3.%4.%5.%6.%7.%8"/>
      <w:lvlJc w:val="left"/>
      <w:pPr>
        <w:tabs>
          <w:tab w:val="left" w:pos="5136"/>
        </w:tabs>
        <w:ind w:left="4394" w:hanging="1418"/>
      </w:pPr>
      <w:rPr>
        <w:rFonts w:hint="eastAsia" w:cs="Times New Roman"/>
      </w:rPr>
    </w:lvl>
    <w:lvl w:ilvl="8" w:tentative="0">
      <w:start w:val="1"/>
      <w:numFmt w:val="decimal"/>
      <w:lvlText w:val="%1.%2.%3.%4.%5.%6.%7.%8.%9"/>
      <w:lvlJc w:val="left"/>
      <w:pPr>
        <w:tabs>
          <w:tab w:val="left" w:pos="5922"/>
        </w:tabs>
        <w:ind w:left="5102" w:hanging="1700"/>
      </w:pPr>
      <w:rPr>
        <w:rFonts w:hint="eastAsia" w:cs="Times New Roman"/>
      </w:rPr>
    </w:lvl>
  </w:abstractNum>
  <w:abstractNum w:abstractNumId="6">
    <w:nsid w:val="7DBC726E"/>
    <w:multiLevelType w:val="multilevel"/>
    <w:tmpl w:val="7DBC726E"/>
    <w:lvl w:ilvl="0" w:tentative="0">
      <w:start w:val="1"/>
      <w:numFmt w:val="decimal"/>
      <w:lvlText w:val="3.%1"/>
      <w:lvlJc w:val="left"/>
      <w:pPr>
        <w:ind w:left="840" w:hanging="420"/>
      </w:pPr>
      <w:rPr>
        <w:rFonts w:hint="default" w:ascii="Times New Roman" w:hAnsi="Times New Roman"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0D"/>
    <w:rsid w:val="000002D9"/>
    <w:rsid w:val="00001598"/>
    <w:rsid w:val="00001B0C"/>
    <w:rsid w:val="00002B7B"/>
    <w:rsid w:val="00003CEA"/>
    <w:rsid w:val="00004757"/>
    <w:rsid w:val="00006DA2"/>
    <w:rsid w:val="00010114"/>
    <w:rsid w:val="00011181"/>
    <w:rsid w:val="000112C5"/>
    <w:rsid w:val="0001196F"/>
    <w:rsid w:val="00011E21"/>
    <w:rsid w:val="00012213"/>
    <w:rsid w:val="00012665"/>
    <w:rsid w:val="00012B43"/>
    <w:rsid w:val="00013848"/>
    <w:rsid w:val="0001655B"/>
    <w:rsid w:val="00017185"/>
    <w:rsid w:val="000174B0"/>
    <w:rsid w:val="00017586"/>
    <w:rsid w:val="000204C5"/>
    <w:rsid w:val="00022176"/>
    <w:rsid w:val="00022AE9"/>
    <w:rsid w:val="00023AAE"/>
    <w:rsid w:val="00023E16"/>
    <w:rsid w:val="00023E59"/>
    <w:rsid w:val="0002422F"/>
    <w:rsid w:val="00025131"/>
    <w:rsid w:val="000265BF"/>
    <w:rsid w:val="0002727A"/>
    <w:rsid w:val="00027491"/>
    <w:rsid w:val="00030DFB"/>
    <w:rsid w:val="000314BE"/>
    <w:rsid w:val="0003162E"/>
    <w:rsid w:val="000318C1"/>
    <w:rsid w:val="00031FEE"/>
    <w:rsid w:val="00032660"/>
    <w:rsid w:val="00032B56"/>
    <w:rsid w:val="00033A58"/>
    <w:rsid w:val="0003530E"/>
    <w:rsid w:val="000355FA"/>
    <w:rsid w:val="00035C03"/>
    <w:rsid w:val="000362EF"/>
    <w:rsid w:val="000369B7"/>
    <w:rsid w:val="00037C34"/>
    <w:rsid w:val="00041194"/>
    <w:rsid w:val="000416B0"/>
    <w:rsid w:val="00042579"/>
    <w:rsid w:val="0004278F"/>
    <w:rsid w:val="00043C8A"/>
    <w:rsid w:val="000445C5"/>
    <w:rsid w:val="00044743"/>
    <w:rsid w:val="00044785"/>
    <w:rsid w:val="000458F1"/>
    <w:rsid w:val="000468DC"/>
    <w:rsid w:val="00046ABB"/>
    <w:rsid w:val="00047954"/>
    <w:rsid w:val="00050DB1"/>
    <w:rsid w:val="00051298"/>
    <w:rsid w:val="000523EF"/>
    <w:rsid w:val="00053BEF"/>
    <w:rsid w:val="00054CAA"/>
    <w:rsid w:val="00054D12"/>
    <w:rsid w:val="00055850"/>
    <w:rsid w:val="00056C25"/>
    <w:rsid w:val="00056CE0"/>
    <w:rsid w:val="00057A63"/>
    <w:rsid w:val="00057E66"/>
    <w:rsid w:val="0006021F"/>
    <w:rsid w:val="000607F6"/>
    <w:rsid w:val="00061169"/>
    <w:rsid w:val="00061C32"/>
    <w:rsid w:val="00061C91"/>
    <w:rsid w:val="00062155"/>
    <w:rsid w:val="00062CCB"/>
    <w:rsid w:val="000630B0"/>
    <w:rsid w:val="00064194"/>
    <w:rsid w:val="000641AD"/>
    <w:rsid w:val="00065BBB"/>
    <w:rsid w:val="000663DD"/>
    <w:rsid w:val="000665EE"/>
    <w:rsid w:val="00066B1A"/>
    <w:rsid w:val="00066DC3"/>
    <w:rsid w:val="000704D8"/>
    <w:rsid w:val="000711A7"/>
    <w:rsid w:val="00071496"/>
    <w:rsid w:val="00071919"/>
    <w:rsid w:val="00071DEE"/>
    <w:rsid w:val="00073D27"/>
    <w:rsid w:val="000740A5"/>
    <w:rsid w:val="0007447B"/>
    <w:rsid w:val="00074AEC"/>
    <w:rsid w:val="0007508D"/>
    <w:rsid w:val="00075D65"/>
    <w:rsid w:val="000764F5"/>
    <w:rsid w:val="00083BC5"/>
    <w:rsid w:val="00083EBB"/>
    <w:rsid w:val="00084C89"/>
    <w:rsid w:val="00087008"/>
    <w:rsid w:val="000875AC"/>
    <w:rsid w:val="000876CC"/>
    <w:rsid w:val="00087A6E"/>
    <w:rsid w:val="00090A5A"/>
    <w:rsid w:val="00090C03"/>
    <w:rsid w:val="00090CBC"/>
    <w:rsid w:val="00090F8C"/>
    <w:rsid w:val="00091267"/>
    <w:rsid w:val="00091F18"/>
    <w:rsid w:val="00091F8E"/>
    <w:rsid w:val="00092804"/>
    <w:rsid w:val="000929A2"/>
    <w:rsid w:val="000950F9"/>
    <w:rsid w:val="000958C7"/>
    <w:rsid w:val="00096BF3"/>
    <w:rsid w:val="000A0EFF"/>
    <w:rsid w:val="000A1742"/>
    <w:rsid w:val="000A270E"/>
    <w:rsid w:val="000A2A14"/>
    <w:rsid w:val="000A2A4C"/>
    <w:rsid w:val="000A3002"/>
    <w:rsid w:val="000A3ACB"/>
    <w:rsid w:val="000A4C0C"/>
    <w:rsid w:val="000A5B9F"/>
    <w:rsid w:val="000A6750"/>
    <w:rsid w:val="000A6B23"/>
    <w:rsid w:val="000A6B4C"/>
    <w:rsid w:val="000B055A"/>
    <w:rsid w:val="000B1AE4"/>
    <w:rsid w:val="000B1F08"/>
    <w:rsid w:val="000B2A13"/>
    <w:rsid w:val="000B2D7E"/>
    <w:rsid w:val="000B3F0B"/>
    <w:rsid w:val="000B415E"/>
    <w:rsid w:val="000B56D3"/>
    <w:rsid w:val="000B581D"/>
    <w:rsid w:val="000B6040"/>
    <w:rsid w:val="000B6D94"/>
    <w:rsid w:val="000C0D52"/>
    <w:rsid w:val="000C0DBF"/>
    <w:rsid w:val="000C226F"/>
    <w:rsid w:val="000C576D"/>
    <w:rsid w:val="000C59A2"/>
    <w:rsid w:val="000C6A52"/>
    <w:rsid w:val="000C7E2F"/>
    <w:rsid w:val="000D01A5"/>
    <w:rsid w:val="000D27E8"/>
    <w:rsid w:val="000D2806"/>
    <w:rsid w:val="000D2DC2"/>
    <w:rsid w:val="000D2FC4"/>
    <w:rsid w:val="000D38DB"/>
    <w:rsid w:val="000D565D"/>
    <w:rsid w:val="000D6C2D"/>
    <w:rsid w:val="000D6EE9"/>
    <w:rsid w:val="000D6F48"/>
    <w:rsid w:val="000D70E5"/>
    <w:rsid w:val="000E04D7"/>
    <w:rsid w:val="000E0838"/>
    <w:rsid w:val="000E1BF2"/>
    <w:rsid w:val="000E1C34"/>
    <w:rsid w:val="000E22B4"/>
    <w:rsid w:val="000E28E1"/>
    <w:rsid w:val="000E2924"/>
    <w:rsid w:val="000E32A4"/>
    <w:rsid w:val="000E34F5"/>
    <w:rsid w:val="000E3937"/>
    <w:rsid w:val="000E4792"/>
    <w:rsid w:val="000E4A04"/>
    <w:rsid w:val="000E4CD5"/>
    <w:rsid w:val="000E4E66"/>
    <w:rsid w:val="000E6048"/>
    <w:rsid w:val="000E62C8"/>
    <w:rsid w:val="000E6CC8"/>
    <w:rsid w:val="000E70B2"/>
    <w:rsid w:val="000E763A"/>
    <w:rsid w:val="000F30DA"/>
    <w:rsid w:val="000F7563"/>
    <w:rsid w:val="000F780F"/>
    <w:rsid w:val="000F7FB8"/>
    <w:rsid w:val="00100417"/>
    <w:rsid w:val="00100BBE"/>
    <w:rsid w:val="00102B5A"/>
    <w:rsid w:val="00104458"/>
    <w:rsid w:val="00104A18"/>
    <w:rsid w:val="00105357"/>
    <w:rsid w:val="0010577A"/>
    <w:rsid w:val="00106403"/>
    <w:rsid w:val="00107246"/>
    <w:rsid w:val="00107348"/>
    <w:rsid w:val="001077FC"/>
    <w:rsid w:val="00107B73"/>
    <w:rsid w:val="00112B08"/>
    <w:rsid w:val="00113BAC"/>
    <w:rsid w:val="001148A2"/>
    <w:rsid w:val="00115F4B"/>
    <w:rsid w:val="00116135"/>
    <w:rsid w:val="00116D67"/>
    <w:rsid w:val="00117B1A"/>
    <w:rsid w:val="00117DE3"/>
    <w:rsid w:val="00117FAE"/>
    <w:rsid w:val="001201A1"/>
    <w:rsid w:val="00120CD3"/>
    <w:rsid w:val="00121522"/>
    <w:rsid w:val="00121ADB"/>
    <w:rsid w:val="00121AF0"/>
    <w:rsid w:val="00122594"/>
    <w:rsid w:val="0012322C"/>
    <w:rsid w:val="00124438"/>
    <w:rsid w:val="00125BE5"/>
    <w:rsid w:val="00127373"/>
    <w:rsid w:val="00130066"/>
    <w:rsid w:val="001300D3"/>
    <w:rsid w:val="00130B9D"/>
    <w:rsid w:val="00130F37"/>
    <w:rsid w:val="00131CB6"/>
    <w:rsid w:val="00132457"/>
    <w:rsid w:val="00132973"/>
    <w:rsid w:val="00132AC4"/>
    <w:rsid w:val="00132AE3"/>
    <w:rsid w:val="00132F54"/>
    <w:rsid w:val="0013407D"/>
    <w:rsid w:val="0013410A"/>
    <w:rsid w:val="0013484B"/>
    <w:rsid w:val="00134A8E"/>
    <w:rsid w:val="00135325"/>
    <w:rsid w:val="00135938"/>
    <w:rsid w:val="00135A33"/>
    <w:rsid w:val="00135B0A"/>
    <w:rsid w:val="00136BA1"/>
    <w:rsid w:val="00140C65"/>
    <w:rsid w:val="00142120"/>
    <w:rsid w:val="00142E15"/>
    <w:rsid w:val="00142FAD"/>
    <w:rsid w:val="00143E55"/>
    <w:rsid w:val="00144375"/>
    <w:rsid w:val="00147478"/>
    <w:rsid w:val="00150066"/>
    <w:rsid w:val="00150BA2"/>
    <w:rsid w:val="00151D68"/>
    <w:rsid w:val="00153019"/>
    <w:rsid w:val="001530DD"/>
    <w:rsid w:val="00153863"/>
    <w:rsid w:val="001538A5"/>
    <w:rsid w:val="00154431"/>
    <w:rsid w:val="0015507F"/>
    <w:rsid w:val="0015583E"/>
    <w:rsid w:val="00156F8B"/>
    <w:rsid w:val="0015779E"/>
    <w:rsid w:val="00160940"/>
    <w:rsid w:val="00163749"/>
    <w:rsid w:val="0016446B"/>
    <w:rsid w:val="0016540B"/>
    <w:rsid w:val="00165993"/>
    <w:rsid w:val="00165A26"/>
    <w:rsid w:val="00165DBA"/>
    <w:rsid w:val="00165EDD"/>
    <w:rsid w:val="00166AA1"/>
    <w:rsid w:val="001676EA"/>
    <w:rsid w:val="00167E32"/>
    <w:rsid w:val="00170925"/>
    <w:rsid w:val="00171807"/>
    <w:rsid w:val="00171C0B"/>
    <w:rsid w:val="00171D4D"/>
    <w:rsid w:val="00172493"/>
    <w:rsid w:val="00173294"/>
    <w:rsid w:val="00173718"/>
    <w:rsid w:val="001747CF"/>
    <w:rsid w:val="001751C9"/>
    <w:rsid w:val="001755FF"/>
    <w:rsid w:val="001765C3"/>
    <w:rsid w:val="00177384"/>
    <w:rsid w:val="001774FA"/>
    <w:rsid w:val="00181437"/>
    <w:rsid w:val="00182DA5"/>
    <w:rsid w:val="00183629"/>
    <w:rsid w:val="001837D9"/>
    <w:rsid w:val="00183AC9"/>
    <w:rsid w:val="00184458"/>
    <w:rsid w:val="00184AFF"/>
    <w:rsid w:val="001854E7"/>
    <w:rsid w:val="001867EE"/>
    <w:rsid w:val="001876CE"/>
    <w:rsid w:val="001877DE"/>
    <w:rsid w:val="0018785E"/>
    <w:rsid w:val="001901F5"/>
    <w:rsid w:val="001906FB"/>
    <w:rsid w:val="00190B0E"/>
    <w:rsid w:val="00191492"/>
    <w:rsid w:val="001919FE"/>
    <w:rsid w:val="00192A3A"/>
    <w:rsid w:val="0019328B"/>
    <w:rsid w:val="001934FB"/>
    <w:rsid w:val="001937AC"/>
    <w:rsid w:val="0019461B"/>
    <w:rsid w:val="001947D7"/>
    <w:rsid w:val="00194898"/>
    <w:rsid w:val="00195D12"/>
    <w:rsid w:val="001961E2"/>
    <w:rsid w:val="001967EC"/>
    <w:rsid w:val="0019723D"/>
    <w:rsid w:val="001976D1"/>
    <w:rsid w:val="001977E2"/>
    <w:rsid w:val="001A1E9D"/>
    <w:rsid w:val="001A223C"/>
    <w:rsid w:val="001A32F3"/>
    <w:rsid w:val="001A3481"/>
    <w:rsid w:val="001A496F"/>
    <w:rsid w:val="001A58F5"/>
    <w:rsid w:val="001A7784"/>
    <w:rsid w:val="001B04E1"/>
    <w:rsid w:val="001B1AB1"/>
    <w:rsid w:val="001B26E1"/>
    <w:rsid w:val="001B2954"/>
    <w:rsid w:val="001B3B4A"/>
    <w:rsid w:val="001B4152"/>
    <w:rsid w:val="001B4BF8"/>
    <w:rsid w:val="001B4DC7"/>
    <w:rsid w:val="001B520B"/>
    <w:rsid w:val="001B578B"/>
    <w:rsid w:val="001B6EFD"/>
    <w:rsid w:val="001B7259"/>
    <w:rsid w:val="001B7545"/>
    <w:rsid w:val="001C00A2"/>
    <w:rsid w:val="001C0474"/>
    <w:rsid w:val="001C1457"/>
    <w:rsid w:val="001C1F50"/>
    <w:rsid w:val="001C2040"/>
    <w:rsid w:val="001C21E8"/>
    <w:rsid w:val="001C3B3A"/>
    <w:rsid w:val="001C3CCD"/>
    <w:rsid w:val="001C3FEE"/>
    <w:rsid w:val="001C44BF"/>
    <w:rsid w:val="001C73CE"/>
    <w:rsid w:val="001C780A"/>
    <w:rsid w:val="001D000A"/>
    <w:rsid w:val="001D0B8E"/>
    <w:rsid w:val="001D1484"/>
    <w:rsid w:val="001D2078"/>
    <w:rsid w:val="001D3533"/>
    <w:rsid w:val="001D55CC"/>
    <w:rsid w:val="001D6185"/>
    <w:rsid w:val="001D6342"/>
    <w:rsid w:val="001D72CD"/>
    <w:rsid w:val="001E0981"/>
    <w:rsid w:val="001E0BD1"/>
    <w:rsid w:val="001E1EAB"/>
    <w:rsid w:val="001E29B6"/>
    <w:rsid w:val="001E37CD"/>
    <w:rsid w:val="001E3E9A"/>
    <w:rsid w:val="001E3EE2"/>
    <w:rsid w:val="001E4333"/>
    <w:rsid w:val="001E4E69"/>
    <w:rsid w:val="001E538C"/>
    <w:rsid w:val="001E5514"/>
    <w:rsid w:val="001E7068"/>
    <w:rsid w:val="001E7ABA"/>
    <w:rsid w:val="001F06DC"/>
    <w:rsid w:val="001F1552"/>
    <w:rsid w:val="001F1890"/>
    <w:rsid w:val="001F1C0A"/>
    <w:rsid w:val="001F28DB"/>
    <w:rsid w:val="001F2F64"/>
    <w:rsid w:val="001F4092"/>
    <w:rsid w:val="001F4534"/>
    <w:rsid w:val="001F54ED"/>
    <w:rsid w:val="001F5963"/>
    <w:rsid w:val="001F5A77"/>
    <w:rsid w:val="001F5DD3"/>
    <w:rsid w:val="001F693A"/>
    <w:rsid w:val="001F6D45"/>
    <w:rsid w:val="001F7565"/>
    <w:rsid w:val="001F788C"/>
    <w:rsid w:val="00201C6C"/>
    <w:rsid w:val="002056EE"/>
    <w:rsid w:val="002060E4"/>
    <w:rsid w:val="00206FCE"/>
    <w:rsid w:val="002073EA"/>
    <w:rsid w:val="00211217"/>
    <w:rsid w:val="00211B32"/>
    <w:rsid w:val="002125B8"/>
    <w:rsid w:val="00214E89"/>
    <w:rsid w:val="00215658"/>
    <w:rsid w:val="00215D23"/>
    <w:rsid w:val="0021619C"/>
    <w:rsid w:val="00217C65"/>
    <w:rsid w:val="0022054C"/>
    <w:rsid w:val="0022069C"/>
    <w:rsid w:val="00220CD7"/>
    <w:rsid w:val="00222924"/>
    <w:rsid w:val="00222B0C"/>
    <w:rsid w:val="0022377B"/>
    <w:rsid w:val="002237DC"/>
    <w:rsid w:val="002239F4"/>
    <w:rsid w:val="00224818"/>
    <w:rsid w:val="00224AC4"/>
    <w:rsid w:val="00224C23"/>
    <w:rsid w:val="00225BB5"/>
    <w:rsid w:val="00226147"/>
    <w:rsid w:val="0022713B"/>
    <w:rsid w:val="0023081F"/>
    <w:rsid w:val="00230A0C"/>
    <w:rsid w:val="00230E6E"/>
    <w:rsid w:val="00232197"/>
    <w:rsid w:val="00235B94"/>
    <w:rsid w:val="002369D5"/>
    <w:rsid w:val="00236FFC"/>
    <w:rsid w:val="00240B92"/>
    <w:rsid w:val="00240FD9"/>
    <w:rsid w:val="00240FE9"/>
    <w:rsid w:val="0024136F"/>
    <w:rsid w:val="00241A15"/>
    <w:rsid w:val="00241C79"/>
    <w:rsid w:val="00242C50"/>
    <w:rsid w:val="00243122"/>
    <w:rsid w:val="00243F81"/>
    <w:rsid w:val="002444EB"/>
    <w:rsid w:val="0024487C"/>
    <w:rsid w:val="00245541"/>
    <w:rsid w:val="0024579F"/>
    <w:rsid w:val="00245836"/>
    <w:rsid w:val="002459AD"/>
    <w:rsid w:val="0025018B"/>
    <w:rsid w:val="00250FAA"/>
    <w:rsid w:val="0025153C"/>
    <w:rsid w:val="00251609"/>
    <w:rsid w:val="00254493"/>
    <w:rsid w:val="00254988"/>
    <w:rsid w:val="00254ABC"/>
    <w:rsid w:val="00255399"/>
    <w:rsid w:val="00256875"/>
    <w:rsid w:val="0025688C"/>
    <w:rsid w:val="00256F4A"/>
    <w:rsid w:val="002576D3"/>
    <w:rsid w:val="00257788"/>
    <w:rsid w:val="00262C47"/>
    <w:rsid w:val="00263B76"/>
    <w:rsid w:val="00264E04"/>
    <w:rsid w:val="00265366"/>
    <w:rsid w:val="00265530"/>
    <w:rsid w:val="00266717"/>
    <w:rsid w:val="00267373"/>
    <w:rsid w:val="00267450"/>
    <w:rsid w:val="002675EE"/>
    <w:rsid w:val="002712DB"/>
    <w:rsid w:val="00271CA2"/>
    <w:rsid w:val="0027242C"/>
    <w:rsid w:val="0027396E"/>
    <w:rsid w:val="002749AE"/>
    <w:rsid w:val="00274BC2"/>
    <w:rsid w:val="00274E1A"/>
    <w:rsid w:val="00275491"/>
    <w:rsid w:val="0027599E"/>
    <w:rsid w:val="00276024"/>
    <w:rsid w:val="002766B5"/>
    <w:rsid w:val="00276E36"/>
    <w:rsid w:val="00277EDD"/>
    <w:rsid w:val="0028091A"/>
    <w:rsid w:val="00281261"/>
    <w:rsid w:val="00283E45"/>
    <w:rsid w:val="00284C1E"/>
    <w:rsid w:val="00285439"/>
    <w:rsid w:val="00285E7B"/>
    <w:rsid w:val="002865E0"/>
    <w:rsid w:val="0028709D"/>
    <w:rsid w:val="00287284"/>
    <w:rsid w:val="00290724"/>
    <w:rsid w:val="00290ED1"/>
    <w:rsid w:val="00290FCF"/>
    <w:rsid w:val="002910D0"/>
    <w:rsid w:val="002912A2"/>
    <w:rsid w:val="002930C8"/>
    <w:rsid w:val="0029385D"/>
    <w:rsid w:val="002957D9"/>
    <w:rsid w:val="002961D8"/>
    <w:rsid w:val="0029633C"/>
    <w:rsid w:val="00296580"/>
    <w:rsid w:val="0029676E"/>
    <w:rsid w:val="00296E38"/>
    <w:rsid w:val="00297E3D"/>
    <w:rsid w:val="002A16E2"/>
    <w:rsid w:val="002A1D27"/>
    <w:rsid w:val="002A1D8C"/>
    <w:rsid w:val="002A26A1"/>
    <w:rsid w:val="002A2E96"/>
    <w:rsid w:val="002A4E35"/>
    <w:rsid w:val="002A4FFB"/>
    <w:rsid w:val="002A75DD"/>
    <w:rsid w:val="002A7E90"/>
    <w:rsid w:val="002B14D6"/>
    <w:rsid w:val="002B1CF5"/>
    <w:rsid w:val="002B219B"/>
    <w:rsid w:val="002B223E"/>
    <w:rsid w:val="002B378D"/>
    <w:rsid w:val="002B3AED"/>
    <w:rsid w:val="002B521C"/>
    <w:rsid w:val="002B55DD"/>
    <w:rsid w:val="002B5F06"/>
    <w:rsid w:val="002B6049"/>
    <w:rsid w:val="002B6532"/>
    <w:rsid w:val="002B7886"/>
    <w:rsid w:val="002B7F01"/>
    <w:rsid w:val="002C0B8E"/>
    <w:rsid w:val="002C0ED6"/>
    <w:rsid w:val="002C168B"/>
    <w:rsid w:val="002C1A4A"/>
    <w:rsid w:val="002C2687"/>
    <w:rsid w:val="002C3DAA"/>
    <w:rsid w:val="002C615F"/>
    <w:rsid w:val="002C61D9"/>
    <w:rsid w:val="002C61DD"/>
    <w:rsid w:val="002D13AE"/>
    <w:rsid w:val="002D282B"/>
    <w:rsid w:val="002D330D"/>
    <w:rsid w:val="002D3A2F"/>
    <w:rsid w:val="002D4719"/>
    <w:rsid w:val="002D5129"/>
    <w:rsid w:val="002D5500"/>
    <w:rsid w:val="002D5651"/>
    <w:rsid w:val="002D779E"/>
    <w:rsid w:val="002E008D"/>
    <w:rsid w:val="002E0F58"/>
    <w:rsid w:val="002E0FD9"/>
    <w:rsid w:val="002E1584"/>
    <w:rsid w:val="002E1CE3"/>
    <w:rsid w:val="002E2A88"/>
    <w:rsid w:val="002E323E"/>
    <w:rsid w:val="002E38D1"/>
    <w:rsid w:val="002E3D83"/>
    <w:rsid w:val="002E40C0"/>
    <w:rsid w:val="002E49B9"/>
    <w:rsid w:val="002E4AF6"/>
    <w:rsid w:val="002E4B30"/>
    <w:rsid w:val="002E4E48"/>
    <w:rsid w:val="002E530F"/>
    <w:rsid w:val="002E53D1"/>
    <w:rsid w:val="002E5402"/>
    <w:rsid w:val="002E59BE"/>
    <w:rsid w:val="002E5A27"/>
    <w:rsid w:val="002E61AD"/>
    <w:rsid w:val="002F06B1"/>
    <w:rsid w:val="002F154E"/>
    <w:rsid w:val="002F1C24"/>
    <w:rsid w:val="002F2541"/>
    <w:rsid w:val="002F2662"/>
    <w:rsid w:val="002F2F16"/>
    <w:rsid w:val="002F3008"/>
    <w:rsid w:val="002F5256"/>
    <w:rsid w:val="002F76C4"/>
    <w:rsid w:val="00301219"/>
    <w:rsid w:val="0030126D"/>
    <w:rsid w:val="00301927"/>
    <w:rsid w:val="003027C1"/>
    <w:rsid w:val="00305484"/>
    <w:rsid w:val="0030624F"/>
    <w:rsid w:val="00306A30"/>
    <w:rsid w:val="00306FA8"/>
    <w:rsid w:val="0030710B"/>
    <w:rsid w:val="00307EF1"/>
    <w:rsid w:val="00310207"/>
    <w:rsid w:val="00310C46"/>
    <w:rsid w:val="00310EF6"/>
    <w:rsid w:val="00311DC9"/>
    <w:rsid w:val="00312226"/>
    <w:rsid w:val="0031224A"/>
    <w:rsid w:val="00312672"/>
    <w:rsid w:val="00312DCC"/>
    <w:rsid w:val="00313067"/>
    <w:rsid w:val="00313CF8"/>
    <w:rsid w:val="00313ECD"/>
    <w:rsid w:val="00314146"/>
    <w:rsid w:val="00314BCD"/>
    <w:rsid w:val="00315ECB"/>
    <w:rsid w:val="00316F8E"/>
    <w:rsid w:val="0031759E"/>
    <w:rsid w:val="00317849"/>
    <w:rsid w:val="00320791"/>
    <w:rsid w:val="003213CC"/>
    <w:rsid w:val="00321413"/>
    <w:rsid w:val="00321D87"/>
    <w:rsid w:val="00322482"/>
    <w:rsid w:val="00322565"/>
    <w:rsid w:val="003227EC"/>
    <w:rsid w:val="00322B0C"/>
    <w:rsid w:val="00322BD0"/>
    <w:rsid w:val="003233B2"/>
    <w:rsid w:val="003236BE"/>
    <w:rsid w:val="00324011"/>
    <w:rsid w:val="00325359"/>
    <w:rsid w:val="0032553A"/>
    <w:rsid w:val="00325ACD"/>
    <w:rsid w:val="00325D0A"/>
    <w:rsid w:val="00325FFE"/>
    <w:rsid w:val="0032724E"/>
    <w:rsid w:val="00327C14"/>
    <w:rsid w:val="00327E47"/>
    <w:rsid w:val="00331B6D"/>
    <w:rsid w:val="003321D3"/>
    <w:rsid w:val="003329DD"/>
    <w:rsid w:val="00333C29"/>
    <w:rsid w:val="0033499D"/>
    <w:rsid w:val="00335D5F"/>
    <w:rsid w:val="0033730D"/>
    <w:rsid w:val="0034066D"/>
    <w:rsid w:val="003407E9"/>
    <w:rsid w:val="00342048"/>
    <w:rsid w:val="00342416"/>
    <w:rsid w:val="00343767"/>
    <w:rsid w:val="00343ECF"/>
    <w:rsid w:val="00344013"/>
    <w:rsid w:val="00344310"/>
    <w:rsid w:val="0034463F"/>
    <w:rsid w:val="00345452"/>
    <w:rsid w:val="00345B3D"/>
    <w:rsid w:val="003464BC"/>
    <w:rsid w:val="00346556"/>
    <w:rsid w:val="00346629"/>
    <w:rsid w:val="00346F34"/>
    <w:rsid w:val="00347B3E"/>
    <w:rsid w:val="003500DC"/>
    <w:rsid w:val="00351AE5"/>
    <w:rsid w:val="00352D11"/>
    <w:rsid w:val="003534D9"/>
    <w:rsid w:val="00353A53"/>
    <w:rsid w:val="00357E9E"/>
    <w:rsid w:val="00357EB9"/>
    <w:rsid w:val="00360E65"/>
    <w:rsid w:val="00361708"/>
    <w:rsid w:val="00361F32"/>
    <w:rsid w:val="00362064"/>
    <w:rsid w:val="00362657"/>
    <w:rsid w:val="00362D0C"/>
    <w:rsid w:val="00363249"/>
    <w:rsid w:val="003638EA"/>
    <w:rsid w:val="0036446A"/>
    <w:rsid w:val="0036493E"/>
    <w:rsid w:val="00364B1B"/>
    <w:rsid w:val="0036509B"/>
    <w:rsid w:val="00365E22"/>
    <w:rsid w:val="00366FAD"/>
    <w:rsid w:val="0036777F"/>
    <w:rsid w:val="00367791"/>
    <w:rsid w:val="00367DD6"/>
    <w:rsid w:val="0037041F"/>
    <w:rsid w:val="0037097F"/>
    <w:rsid w:val="0037188B"/>
    <w:rsid w:val="00371B24"/>
    <w:rsid w:val="00372434"/>
    <w:rsid w:val="003724C0"/>
    <w:rsid w:val="00373197"/>
    <w:rsid w:val="00373AFE"/>
    <w:rsid w:val="00374ADB"/>
    <w:rsid w:val="00375204"/>
    <w:rsid w:val="003763BE"/>
    <w:rsid w:val="00376E7D"/>
    <w:rsid w:val="0038091F"/>
    <w:rsid w:val="003810CF"/>
    <w:rsid w:val="003867DB"/>
    <w:rsid w:val="00386D0C"/>
    <w:rsid w:val="00391357"/>
    <w:rsid w:val="00391454"/>
    <w:rsid w:val="00391D47"/>
    <w:rsid w:val="003939C2"/>
    <w:rsid w:val="00393FE4"/>
    <w:rsid w:val="003963F4"/>
    <w:rsid w:val="00396405"/>
    <w:rsid w:val="0039681E"/>
    <w:rsid w:val="003973F1"/>
    <w:rsid w:val="003A05A4"/>
    <w:rsid w:val="003A1F18"/>
    <w:rsid w:val="003A29F8"/>
    <w:rsid w:val="003A6AF8"/>
    <w:rsid w:val="003A6DAC"/>
    <w:rsid w:val="003A731D"/>
    <w:rsid w:val="003A7757"/>
    <w:rsid w:val="003A7D8A"/>
    <w:rsid w:val="003B0439"/>
    <w:rsid w:val="003B046E"/>
    <w:rsid w:val="003B06E7"/>
    <w:rsid w:val="003B0BFB"/>
    <w:rsid w:val="003B27A9"/>
    <w:rsid w:val="003B29C2"/>
    <w:rsid w:val="003B3827"/>
    <w:rsid w:val="003B4507"/>
    <w:rsid w:val="003B6957"/>
    <w:rsid w:val="003B6E3B"/>
    <w:rsid w:val="003B74F3"/>
    <w:rsid w:val="003C060D"/>
    <w:rsid w:val="003C11F7"/>
    <w:rsid w:val="003C174A"/>
    <w:rsid w:val="003C1A97"/>
    <w:rsid w:val="003C1D66"/>
    <w:rsid w:val="003C300A"/>
    <w:rsid w:val="003C31F9"/>
    <w:rsid w:val="003C40A2"/>
    <w:rsid w:val="003C4780"/>
    <w:rsid w:val="003C4BB0"/>
    <w:rsid w:val="003C68E0"/>
    <w:rsid w:val="003C76BC"/>
    <w:rsid w:val="003D0E0C"/>
    <w:rsid w:val="003D1E42"/>
    <w:rsid w:val="003D2A54"/>
    <w:rsid w:val="003D2DD8"/>
    <w:rsid w:val="003D3AEB"/>
    <w:rsid w:val="003D5466"/>
    <w:rsid w:val="003D5A11"/>
    <w:rsid w:val="003D7AF4"/>
    <w:rsid w:val="003E03CE"/>
    <w:rsid w:val="003E07BF"/>
    <w:rsid w:val="003E106C"/>
    <w:rsid w:val="003E12A7"/>
    <w:rsid w:val="003E1306"/>
    <w:rsid w:val="003E17EF"/>
    <w:rsid w:val="003E1976"/>
    <w:rsid w:val="003E1C2C"/>
    <w:rsid w:val="003E1F1E"/>
    <w:rsid w:val="003E209F"/>
    <w:rsid w:val="003E3CB3"/>
    <w:rsid w:val="003E5B4D"/>
    <w:rsid w:val="003E600B"/>
    <w:rsid w:val="003E639B"/>
    <w:rsid w:val="003E647D"/>
    <w:rsid w:val="003E67B9"/>
    <w:rsid w:val="003E68F7"/>
    <w:rsid w:val="003F027C"/>
    <w:rsid w:val="003F12D7"/>
    <w:rsid w:val="003F21A4"/>
    <w:rsid w:val="003F28A8"/>
    <w:rsid w:val="003F2C35"/>
    <w:rsid w:val="003F30EB"/>
    <w:rsid w:val="003F439B"/>
    <w:rsid w:val="003F46F9"/>
    <w:rsid w:val="003F4DAC"/>
    <w:rsid w:val="003F6D69"/>
    <w:rsid w:val="003F79BF"/>
    <w:rsid w:val="004001E1"/>
    <w:rsid w:val="0040072D"/>
    <w:rsid w:val="00402BFF"/>
    <w:rsid w:val="004037ED"/>
    <w:rsid w:val="0040394B"/>
    <w:rsid w:val="00403ED3"/>
    <w:rsid w:val="0040464D"/>
    <w:rsid w:val="00404C42"/>
    <w:rsid w:val="00405064"/>
    <w:rsid w:val="00405195"/>
    <w:rsid w:val="00405CB8"/>
    <w:rsid w:val="00406C63"/>
    <w:rsid w:val="004109A8"/>
    <w:rsid w:val="00411D8A"/>
    <w:rsid w:val="00412197"/>
    <w:rsid w:val="004126C0"/>
    <w:rsid w:val="00412CC2"/>
    <w:rsid w:val="00412D53"/>
    <w:rsid w:val="00412E42"/>
    <w:rsid w:val="00413920"/>
    <w:rsid w:val="00413AAF"/>
    <w:rsid w:val="00414C9E"/>
    <w:rsid w:val="00414E9F"/>
    <w:rsid w:val="00415148"/>
    <w:rsid w:val="0041622E"/>
    <w:rsid w:val="0041698D"/>
    <w:rsid w:val="00416B92"/>
    <w:rsid w:val="0041724D"/>
    <w:rsid w:val="00420312"/>
    <w:rsid w:val="00421E08"/>
    <w:rsid w:val="0042217A"/>
    <w:rsid w:val="00423748"/>
    <w:rsid w:val="00423DA7"/>
    <w:rsid w:val="00424CA0"/>
    <w:rsid w:val="0042765D"/>
    <w:rsid w:val="00427B6D"/>
    <w:rsid w:val="004303CC"/>
    <w:rsid w:val="004309ED"/>
    <w:rsid w:val="00430D62"/>
    <w:rsid w:val="00430DD0"/>
    <w:rsid w:val="0043111F"/>
    <w:rsid w:val="00431140"/>
    <w:rsid w:val="004311B4"/>
    <w:rsid w:val="00431E3C"/>
    <w:rsid w:val="004328DC"/>
    <w:rsid w:val="00434EEB"/>
    <w:rsid w:val="00436AE6"/>
    <w:rsid w:val="00440104"/>
    <w:rsid w:val="0044032B"/>
    <w:rsid w:val="00440600"/>
    <w:rsid w:val="0044061B"/>
    <w:rsid w:val="00440651"/>
    <w:rsid w:val="004407B4"/>
    <w:rsid w:val="00440E79"/>
    <w:rsid w:val="004412DA"/>
    <w:rsid w:val="00442FD1"/>
    <w:rsid w:val="004437F5"/>
    <w:rsid w:val="00443CF7"/>
    <w:rsid w:val="00443E06"/>
    <w:rsid w:val="00444165"/>
    <w:rsid w:val="00444A25"/>
    <w:rsid w:val="0044588B"/>
    <w:rsid w:val="00446401"/>
    <w:rsid w:val="004465A0"/>
    <w:rsid w:val="004512B4"/>
    <w:rsid w:val="004526F0"/>
    <w:rsid w:val="0045291C"/>
    <w:rsid w:val="0045302B"/>
    <w:rsid w:val="004531B3"/>
    <w:rsid w:val="00454ABD"/>
    <w:rsid w:val="00455055"/>
    <w:rsid w:val="004554DE"/>
    <w:rsid w:val="004574E2"/>
    <w:rsid w:val="00457EC6"/>
    <w:rsid w:val="00457EDC"/>
    <w:rsid w:val="00460425"/>
    <w:rsid w:val="004604CF"/>
    <w:rsid w:val="00460EDF"/>
    <w:rsid w:val="0046161E"/>
    <w:rsid w:val="004616BE"/>
    <w:rsid w:val="004619A9"/>
    <w:rsid w:val="00461DAF"/>
    <w:rsid w:val="0046381D"/>
    <w:rsid w:val="004645B8"/>
    <w:rsid w:val="004645FD"/>
    <w:rsid w:val="00464664"/>
    <w:rsid w:val="004647D0"/>
    <w:rsid w:val="00464AB3"/>
    <w:rsid w:val="00465160"/>
    <w:rsid w:val="00465BD8"/>
    <w:rsid w:val="00465EE3"/>
    <w:rsid w:val="00466F53"/>
    <w:rsid w:val="004700EF"/>
    <w:rsid w:val="00470209"/>
    <w:rsid w:val="00470D0B"/>
    <w:rsid w:val="00471382"/>
    <w:rsid w:val="00472AA0"/>
    <w:rsid w:val="00473420"/>
    <w:rsid w:val="00474D1F"/>
    <w:rsid w:val="00474F48"/>
    <w:rsid w:val="00475224"/>
    <w:rsid w:val="004811ED"/>
    <w:rsid w:val="00481FB7"/>
    <w:rsid w:val="00482243"/>
    <w:rsid w:val="00482BA6"/>
    <w:rsid w:val="004833F0"/>
    <w:rsid w:val="00485D71"/>
    <w:rsid w:val="004875A6"/>
    <w:rsid w:val="00492213"/>
    <w:rsid w:val="004926B2"/>
    <w:rsid w:val="004927E3"/>
    <w:rsid w:val="00492C30"/>
    <w:rsid w:val="00493935"/>
    <w:rsid w:val="00494E7E"/>
    <w:rsid w:val="00497264"/>
    <w:rsid w:val="00497363"/>
    <w:rsid w:val="004979BD"/>
    <w:rsid w:val="004A15EA"/>
    <w:rsid w:val="004A178A"/>
    <w:rsid w:val="004A1F63"/>
    <w:rsid w:val="004A2235"/>
    <w:rsid w:val="004A23E5"/>
    <w:rsid w:val="004A25FA"/>
    <w:rsid w:val="004A3416"/>
    <w:rsid w:val="004A3F2C"/>
    <w:rsid w:val="004A5912"/>
    <w:rsid w:val="004A6BE6"/>
    <w:rsid w:val="004A789E"/>
    <w:rsid w:val="004B0B2D"/>
    <w:rsid w:val="004B1A65"/>
    <w:rsid w:val="004B33EF"/>
    <w:rsid w:val="004B3E82"/>
    <w:rsid w:val="004B4E2D"/>
    <w:rsid w:val="004B66A7"/>
    <w:rsid w:val="004B6CE9"/>
    <w:rsid w:val="004C05D2"/>
    <w:rsid w:val="004C07A8"/>
    <w:rsid w:val="004C1B9A"/>
    <w:rsid w:val="004C1BCE"/>
    <w:rsid w:val="004C1E5F"/>
    <w:rsid w:val="004C263C"/>
    <w:rsid w:val="004C35A5"/>
    <w:rsid w:val="004C3C18"/>
    <w:rsid w:val="004C5483"/>
    <w:rsid w:val="004C555C"/>
    <w:rsid w:val="004C68BD"/>
    <w:rsid w:val="004C7662"/>
    <w:rsid w:val="004C7965"/>
    <w:rsid w:val="004C797E"/>
    <w:rsid w:val="004D194F"/>
    <w:rsid w:val="004D1D2A"/>
    <w:rsid w:val="004D2915"/>
    <w:rsid w:val="004D2DE7"/>
    <w:rsid w:val="004D2F0F"/>
    <w:rsid w:val="004D34E3"/>
    <w:rsid w:val="004D3AF1"/>
    <w:rsid w:val="004D43D2"/>
    <w:rsid w:val="004D55E5"/>
    <w:rsid w:val="004D65FD"/>
    <w:rsid w:val="004D7042"/>
    <w:rsid w:val="004D7830"/>
    <w:rsid w:val="004D7AFD"/>
    <w:rsid w:val="004E11D2"/>
    <w:rsid w:val="004E307B"/>
    <w:rsid w:val="004E371C"/>
    <w:rsid w:val="004E38BE"/>
    <w:rsid w:val="004E4F05"/>
    <w:rsid w:val="004E53A7"/>
    <w:rsid w:val="004E585B"/>
    <w:rsid w:val="004E65B5"/>
    <w:rsid w:val="004E71AE"/>
    <w:rsid w:val="004E7ADE"/>
    <w:rsid w:val="004F0543"/>
    <w:rsid w:val="004F13AC"/>
    <w:rsid w:val="004F1FED"/>
    <w:rsid w:val="004F29BB"/>
    <w:rsid w:val="004F2C7F"/>
    <w:rsid w:val="004F2FB9"/>
    <w:rsid w:val="004F3025"/>
    <w:rsid w:val="004F3149"/>
    <w:rsid w:val="004F36A8"/>
    <w:rsid w:val="004F427C"/>
    <w:rsid w:val="004F4AD5"/>
    <w:rsid w:val="004F4B16"/>
    <w:rsid w:val="004F5983"/>
    <w:rsid w:val="004F68B5"/>
    <w:rsid w:val="004F6ABE"/>
    <w:rsid w:val="004F6EF8"/>
    <w:rsid w:val="004F723C"/>
    <w:rsid w:val="004F750A"/>
    <w:rsid w:val="00501615"/>
    <w:rsid w:val="005017A1"/>
    <w:rsid w:val="00503FA8"/>
    <w:rsid w:val="00504216"/>
    <w:rsid w:val="005045EB"/>
    <w:rsid w:val="005047D5"/>
    <w:rsid w:val="005049C1"/>
    <w:rsid w:val="00505435"/>
    <w:rsid w:val="00505E2B"/>
    <w:rsid w:val="005067CD"/>
    <w:rsid w:val="00506C75"/>
    <w:rsid w:val="00506F2B"/>
    <w:rsid w:val="005113AC"/>
    <w:rsid w:val="00511FDA"/>
    <w:rsid w:val="00512BCF"/>
    <w:rsid w:val="00513AC9"/>
    <w:rsid w:val="00514174"/>
    <w:rsid w:val="00514866"/>
    <w:rsid w:val="00514989"/>
    <w:rsid w:val="00515EED"/>
    <w:rsid w:val="00516843"/>
    <w:rsid w:val="005207A5"/>
    <w:rsid w:val="00520E70"/>
    <w:rsid w:val="00521488"/>
    <w:rsid w:val="0052187D"/>
    <w:rsid w:val="00522DC2"/>
    <w:rsid w:val="00523C59"/>
    <w:rsid w:val="00525CFB"/>
    <w:rsid w:val="00525F54"/>
    <w:rsid w:val="00526173"/>
    <w:rsid w:val="00526466"/>
    <w:rsid w:val="00527CD9"/>
    <w:rsid w:val="005300F4"/>
    <w:rsid w:val="005307D4"/>
    <w:rsid w:val="005313CE"/>
    <w:rsid w:val="00531C5B"/>
    <w:rsid w:val="00532521"/>
    <w:rsid w:val="0053345F"/>
    <w:rsid w:val="00533824"/>
    <w:rsid w:val="00534045"/>
    <w:rsid w:val="0053467E"/>
    <w:rsid w:val="00534A23"/>
    <w:rsid w:val="0053598A"/>
    <w:rsid w:val="0053671B"/>
    <w:rsid w:val="00536C5B"/>
    <w:rsid w:val="0053794A"/>
    <w:rsid w:val="005424ED"/>
    <w:rsid w:val="0054383B"/>
    <w:rsid w:val="00544343"/>
    <w:rsid w:val="005444ED"/>
    <w:rsid w:val="005452A9"/>
    <w:rsid w:val="00545AD8"/>
    <w:rsid w:val="00546761"/>
    <w:rsid w:val="0054748B"/>
    <w:rsid w:val="00553571"/>
    <w:rsid w:val="005540A3"/>
    <w:rsid w:val="0055419D"/>
    <w:rsid w:val="005573E8"/>
    <w:rsid w:val="00557ABC"/>
    <w:rsid w:val="00563501"/>
    <w:rsid w:val="005636A3"/>
    <w:rsid w:val="00564D48"/>
    <w:rsid w:val="00566403"/>
    <w:rsid w:val="00566D70"/>
    <w:rsid w:val="005672BD"/>
    <w:rsid w:val="00567E8A"/>
    <w:rsid w:val="00570703"/>
    <w:rsid w:val="00570779"/>
    <w:rsid w:val="00570C72"/>
    <w:rsid w:val="00570C86"/>
    <w:rsid w:val="00571E0F"/>
    <w:rsid w:val="005723E8"/>
    <w:rsid w:val="00574581"/>
    <w:rsid w:val="005749CD"/>
    <w:rsid w:val="00575DD8"/>
    <w:rsid w:val="00577857"/>
    <w:rsid w:val="00580766"/>
    <w:rsid w:val="005807E6"/>
    <w:rsid w:val="00581153"/>
    <w:rsid w:val="00583269"/>
    <w:rsid w:val="005835C9"/>
    <w:rsid w:val="0058387F"/>
    <w:rsid w:val="00586046"/>
    <w:rsid w:val="0058650F"/>
    <w:rsid w:val="00586970"/>
    <w:rsid w:val="00586E27"/>
    <w:rsid w:val="00587826"/>
    <w:rsid w:val="0059112B"/>
    <w:rsid w:val="005911D6"/>
    <w:rsid w:val="005913CB"/>
    <w:rsid w:val="00591C38"/>
    <w:rsid w:val="00593267"/>
    <w:rsid w:val="00593591"/>
    <w:rsid w:val="005936FD"/>
    <w:rsid w:val="00594647"/>
    <w:rsid w:val="0059499D"/>
    <w:rsid w:val="00594F79"/>
    <w:rsid w:val="00595181"/>
    <w:rsid w:val="00595281"/>
    <w:rsid w:val="00596B68"/>
    <w:rsid w:val="00596BAB"/>
    <w:rsid w:val="00596E6D"/>
    <w:rsid w:val="0059761C"/>
    <w:rsid w:val="005A0D1B"/>
    <w:rsid w:val="005A1532"/>
    <w:rsid w:val="005A18C3"/>
    <w:rsid w:val="005A23D6"/>
    <w:rsid w:val="005A6D6D"/>
    <w:rsid w:val="005A7232"/>
    <w:rsid w:val="005A7BD4"/>
    <w:rsid w:val="005B0959"/>
    <w:rsid w:val="005B13DD"/>
    <w:rsid w:val="005B3C09"/>
    <w:rsid w:val="005C16C6"/>
    <w:rsid w:val="005C1EC4"/>
    <w:rsid w:val="005C1F75"/>
    <w:rsid w:val="005C3D3C"/>
    <w:rsid w:val="005C4BC4"/>
    <w:rsid w:val="005C5DFA"/>
    <w:rsid w:val="005D0C0D"/>
    <w:rsid w:val="005D135B"/>
    <w:rsid w:val="005D1F1C"/>
    <w:rsid w:val="005D3A2C"/>
    <w:rsid w:val="005D4438"/>
    <w:rsid w:val="005D45F4"/>
    <w:rsid w:val="005D48C5"/>
    <w:rsid w:val="005D4F7D"/>
    <w:rsid w:val="005D557C"/>
    <w:rsid w:val="005D57E5"/>
    <w:rsid w:val="005D6A75"/>
    <w:rsid w:val="005D7568"/>
    <w:rsid w:val="005D75B4"/>
    <w:rsid w:val="005D7FDD"/>
    <w:rsid w:val="005E08A3"/>
    <w:rsid w:val="005E0F3A"/>
    <w:rsid w:val="005E1E6C"/>
    <w:rsid w:val="005E23AA"/>
    <w:rsid w:val="005E37B9"/>
    <w:rsid w:val="005E4525"/>
    <w:rsid w:val="005E4C04"/>
    <w:rsid w:val="005E5C53"/>
    <w:rsid w:val="005E71EE"/>
    <w:rsid w:val="005E7501"/>
    <w:rsid w:val="005E7E89"/>
    <w:rsid w:val="005F0B1F"/>
    <w:rsid w:val="005F11CD"/>
    <w:rsid w:val="005F1B06"/>
    <w:rsid w:val="005F1D43"/>
    <w:rsid w:val="005F301A"/>
    <w:rsid w:val="005F4695"/>
    <w:rsid w:val="005F617A"/>
    <w:rsid w:val="005F711F"/>
    <w:rsid w:val="005F7BF6"/>
    <w:rsid w:val="005F7D5F"/>
    <w:rsid w:val="006005F8"/>
    <w:rsid w:val="0060253C"/>
    <w:rsid w:val="00606938"/>
    <w:rsid w:val="00606D31"/>
    <w:rsid w:val="00606D36"/>
    <w:rsid w:val="00606DE8"/>
    <w:rsid w:val="0060786F"/>
    <w:rsid w:val="00610D90"/>
    <w:rsid w:val="0061172E"/>
    <w:rsid w:val="006117DE"/>
    <w:rsid w:val="00612542"/>
    <w:rsid w:val="00612D59"/>
    <w:rsid w:val="006132D6"/>
    <w:rsid w:val="00614925"/>
    <w:rsid w:val="006149E6"/>
    <w:rsid w:val="00615D6D"/>
    <w:rsid w:val="00615F4F"/>
    <w:rsid w:val="0062052C"/>
    <w:rsid w:val="0062053D"/>
    <w:rsid w:val="006205E2"/>
    <w:rsid w:val="006209D8"/>
    <w:rsid w:val="00621073"/>
    <w:rsid w:val="0062122E"/>
    <w:rsid w:val="0062181B"/>
    <w:rsid w:val="0062232B"/>
    <w:rsid w:val="00622BA7"/>
    <w:rsid w:val="00624187"/>
    <w:rsid w:val="006251CF"/>
    <w:rsid w:val="00625235"/>
    <w:rsid w:val="006258CF"/>
    <w:rsid w:val="00625996"/>
    <w:rsid w:val="0062733F"/>
    <w:rsid w:val="00627DB7"/>
    <w:rsid w:val="00630207"/>
    <w:rsid w:val="00630D24"/>
    <w:rsid w:val="00630F36"/>
    <w:rsid w:val="00631168"/>
    <w:rsid w:val="00632BE4"/>
    <w:rsid w:val="0063405A"/>
    <w:rsid w:val="006341C1"/>
    <w:rsid w:val="00636EF4"/>
    <w:rsid w:val="00637650"/>
    <w:rsid w:val="006376BA"/>
    <w:rsid w:val="006377C1"/>
    <w:rsid w:val="00640921"/>
    <w:rsid w:val="00641173"/>
    <w:rsid w:val="006422B5"/>
    <w:rsid w:val="00644843"/>
    <w:rsid w:val="0064606E"/>
    <w:rsid w:val="0064620F"/>
    <w:rsid w:val="00646691"/>
    <w:rsid w:val="0064686F"/>
    <w:rsid w:val="006473ED"/>
    <w:rsid w:val="00647AB1"/>
    <w:rsid w:val="00650327"/>
    <w:rsid w:val="00652B4C"/>
    <w:rsid w:val="00652D0E"/>
    <w:rsid w:val="00652D62"/>
    <w:rsid w:val="006530B1"/>
    <w:rsid w:val="006536EA"/>
    <w:rsid w:val="00653A02"/>
    <w:rsid w:val="00653A20"/>
    <w:rsid w:val="00654136"/>
    <w:rsid w:val="00656A08"/>
    <w:rsid w:val="00657C97"/>
    <w:rsid w:val="00657DB5"/>
    <w:rsid w:val="00660C38"/>
    <w:rsid w:val="00662A86"/>
    <w:rsid w:val="00662FAA"/>
    <w:rsid w:val="00663BBE"/>
    <w:rsid w:val="00663BC2"/>
    <w:rsid w:val="006642CD"/>
    <w:rsid w:val="0066436C"/>
    <w:rsid w:val="00664B53"/>
    <w:rsid w:val="00664F89"/>
    <w:rsid w:val="006653BB"/>
    <w:rsid w:val="0066569B"/>
    <w:rsid w:val="00665D9E"/>
    <w:rsid w:val="00667502"/>
    <w:rsid w:val="00667DA4"/>
    <w:rsid w:val="006710E5"/>
    <w:rsid w:val="00671145"/>
    <w:rsid w:val="00671498"/>
    <w:rsid w:val="006714AB"/>
    <w:rsid w:val="006715E9"/>
    <w:rsid w:val="00671740"/>
    <w:rsid w:val="00671ACF"/>
    <w:rsid w:val="0067330B"/>
    <w:rsid w:val="00673511"/>
    <w:rsid w:val="00673CE5"/>
    <w:rsid w:val="006748A7"/>
    <w:rsid w:val="00675B53"/>
    <w:rsid w:val="00675C58"/>
    <w:rsid w:val="00675CEF"/>
    <w:rsid w:val="00677D6C"/>
    <w:rsid w:val="00677EB4"/>
    <w:rsid w:val="00680C09"/>
    <w:rsid w:val="00680E93"/>
    <w:rsid w:val="006813FF"/>
    <w:rsid w:val="00681EB1"/>
    <w:rsid w:val="00681F61"/>
    <w:rsid w:val="006823F9"/>
    <w:rsid w:val="006826D1"/>
    <w:rsid w:val="0068277A"/>
    <w:rsid w:val="00684709"/>
    <w:rsid w:val="00684923"/>
    <w:rsid w:val="00684DCC"/>
    <w:rsid w:val="00685350"/>
    <w:rsid w:val="00685C56"/>
    <w:rsid w:val="00686CB8"/>
    <w:rsid w:val="00687DCA"/>
    <w:rsid w:val="00692F14"/>
    <w:rsid w:val="0069362B"/>
    <w:rsid w:val="0069396B"/>
    <w:rsid w:val="00693B9A"/>
    <w:rsid w:val="00694749"/>
    <w:rsid w:val="006954FC"/>
    <w:rsid w:val="00696465"/>
    <w:rsid w:val="006965D1"/>
    <w:rsid w:val="00696E8A"/>
    <w:rsid w:val="00697020"/>
    <w:rsid w:val="006A036E"/>
    <w:rsid w:val="006A0A06"/>
    <w:rsid w:val="006A12EA"/>
    <w:rsid w:val="006A1300"/>
    <w:rsid w:val="006A28FC"/>
    <w:rsid w:val="006A31D0"/>
    <w:rsid w:val="006A3EB5"/>
    <w:rsid w:val="006A483F"/>
    <w:rsid w:val="006A5558"/>
    <w:rsid w:val="006A6F44"/>
    <w:rsid w:val="006A6FF3"/>
    <w:rsid w:val="006B1D3C"/>
    <w:rsid w:val="006B2BF5"/>
    <w:rsid w:val="006B2C4D"/>
    <w:rsid w:val="006B3C1B"/>
    <w:rsid w:val="006B4B7F"/>
    <w:rsid w:val="006B4BF9"/>
    <w:rsid w:val="006B5CCA"/>
    <w:rsid w:val="006B5E2E"/>
    <w:rsid w:val="006B60B9"/>
    <w:rsid w:val="006B61A4"/>
    <w:rsid w:val="006B6691"/>
    <w:rsid w:val="006C1187"/>
    <w:rsid w:val="006C39EF"/>
    <w:rsid w:val="006C465F"/>
    <w:rsid w:val="006C4E72"/>
    <w:rsid w:val="006C54B0"/>
    <w:rsid w:val="006C57CB"/>
    <w:rsid w:val="006C63FC"/>
    <w:rsid w:val="006C6484"/>
    <w:rsid w:val="006C6E9E"/>
    <w:rsid w:val="006C7BC1"/>
    <w:rsid w:val="006C7CE3"/>
    <w:rsid w:val="006D0DDC"/>
    <w:rsid w:val="006D19DD"/>
    <w:rsid w:val="006D23BF"/>
    <w:rsid w:val="006D393D"/>
    <w:rsid w:val="006D52E5"/>
    <w:rsid w:val="006D5717"/>
    <w:rsid w:val="006D716A"/>
    <w:rsid w:val="006D72A7"/>
    <w:rsid w:val="006D782D"/>
    <w:rsid w:val="006D7D8D"/>
    <w:rsid w:val="006E0489"/>
    <w:rsid w:val="006E1488"/>
    <w:rsid w:val="006E17AD"/>
    <w:rsid w:val="006E3284"/>
    <w:rsid w:val="006E3966"/>
    <w:rsid w:val="006E56D7"/>
    <w:rsid w:val="006E62CD"/>
    <w:rsid w:val="006E62FB"/>
    <w:rsid w:val="006F0B72"/>
    <w:rsid w:val="006F1E96"/>
    <w:rsid w:val="006F226B"/>
    <w:rsid w:val="006F2AB0"/>
    <w:rsid w:val="006F2DB8"/>
    <w:rsid w:val="006F4799"/>
    <w:rsid w:val="006F4BB2"/>
    <w:rsid w:val="006F4E6B"/>
    <w:rsid w:val="006F6104"/>
    <w:rsid w:val="006F6450"/>
    <w:rsid w:val="00700488"/>
    <w:rsid w:val="00700AC5"/>
    <w:rsid w:val="0070158B"/>
    <w:rsid w:val="00701E22"/>
    <w:rsid w:val="0070435C"/>
    <w:rsid w:val="00705CDB"/>
    <w:rsid w:val="007065F0"/>
    <w:rsid w:val="00706E21"/>
    <w:rsid w:val="007071CA"/>
    <w:rsid w:val="007072DB"/>
    <w:rsid w:val="00707525"/>
    <w:rsid w:val="00707CE3"/>
    <w:rsid w:val="00711C70"/>
    <w:rsid w:val="00712C16"/>
    <w:rsid w:val="00713D96"/>
    <w:rsid w:val="007145EE"/>
    <w:rsid w:val="0071492E"/>
    <w:rsid w:val="00714D4B"/>
    <w:rsid w:val="007157A3"/>
    <w:rsid w:val="007157D1"/>
    <w:rsid w:val="00716CEE"/>
    <w:rsid w:val="00717452"/>
    <w:rsid w:val="00717536"/>
    <w:rsid w:val="007215C0"/>
    <w:rsid w:val="00722222"/>
    <w:rsid w:val="007223F1"/>
    <w:rsid w:val="007224D4"/>
    <w:rsid w:val="00723B2C"/>
    <w:rsid w:val="00724033"/>
    <w:rsid w:val="00725053"/>
    <w:rsid w:val="00725172"/>
    <w:rsid w:val="00725F82"/>
    <w:rsid w:val="0072750D"/>
    <w:rsid w:val="007275CA"/>
    <w:rsid w:val="00730132"/>
    <w:rsid w:val="00730951"/>
    <w:rsid w:val="00730C83"/>
    <w:rsid w:val="007314F1"/>
    <w:rsid w:val="007319B0"/>
    <w:rsid w:val="00732A92"/>
    <w:rsid w:val="007340DB"/>
    <w:rsid w:val="0073414C"/>
    <w:rsid w:val="007349AC"/>
    <w:rsid w:val="00734B12"/>
    <w:rsid w:val="00734E15"/>
    <w:rsid w:val="007359B8"/>
    <w:rsid w:val="007359EE"/>
    <w:rsid w:val="00737143"/>
    <w:rsid w:val="00740A5C"/>
    <w:rsid w:val="00740BBC"/>
    <w:rsid w:val="00741A03"/>
    <w:rsid w:val="00741C28"/>
    <w:rsid w:val="00741F89"/>
    <w:rsid w:val="0074301B"/>
    <w:rsid w:val="0074495B"/>
    <w:rsid w:val="007458B5"/>
    <w:rsid w:val="00746A12"/>
    <w:rsid w:val="007476B3"/>
    <w:rsid w:val="00747860"/>
    <w:rsid w:val="00750D80"/>
    <w:rsid w:val="00751075"/>
    <w:rsid w:val="007512BF"/>
    <w:rsid w:val="007515FA"/>
    <w:rsid w:val="007523B3"/>
    <w:rsid w:val="007523C1"/>
    <w:rsid w:val="007528A0"/>
    <w:rsid w:val="007532CE"/>
    <w:rsid w:val="0075390D"/>
    <w:rsid w:val="00753D5B"/>
    <w:rsid w:val="00754DAF"/>
    <w:rsid w:val="00755344"/>
    <w:rsid w:val="00755F13"/>
    <w:rsid w:val="007568A3"/>
    <w:rsid w:val="00757012"/>
    <w:rsid w:val="007571F9"/>
    <w:rsid w:val="007575CC"/>
    <w:rsid w:val="00757954"/>
    <w:rsid w:val="007609D8"/>
    <w:rsid w:val="00761056"/>
    <w:rsid w:val="00762288"/>
    <w:rsid w:val="00762412"/>
    <w:rsid w:val="00763B03"/>
    <w:rsid w:val="00764E54"/>
    <w:rsid w:val="00764EBA"/>
    <w:rsid w:val="00764FE4"/>
    <w:rsid w:val="00765D4A"/>
    <w:rsid w:val="00766658"/>
    <w:rsid w:val="00766B2D"/>
    <w:rsid w:val="00767C5F"/>
    <w:rsid w:val="0077062A"/>
    <w:rsid w:val="0077064F"/>
    <w:rsid w:val="00770AAE"/>
    <w:rsid w:val="00772234"/>
    <w:rsid w:val="007722E2"/>
    <w:rsid w:val="00772483"/>
    <w:rsid w:val="0077282C"/>
    <w:rsid w:val="0077306D"/>
    <w:rsid w:val="00774673"/>
    <w:rsid w:val="00775B1A"/>
    <w:rsid w:val="00775C57"/>
    <w:rsid w:val="0077655D"/>
    <w:rsid w:val="007771AD"/>
    <w:rsid w:val="007773EC"/>
    <w:rsid w:val="00777CE9"/>
    <w:rsid w:val="0078060E"/>
    <w:rsid w:val="0078238B"/>
    <w:rsid w:val="00783015"/>
    <w:rsid w:val="00783B8E"/>
    <w:rsid w:val="0078510D"/>
    <w:rsid w:val="0078603A"/>
    <w:rsid w:val="007863D7"/>
    <w:rsid w:val="007864E5"/>
    <w:rsid w:val="007868A7"/>
    <w:rsid w:val="007915AC"/>
    <w:rsid w:val="00791E8F"/>
    <w:rsid w:val="0079210A"/>
    <w:rsid w:val="00792619"/>
    <w:rsid w:val="00793B38"/>
    <w:rsid w:val="00795081"/>
    <w:rsid w:val="00796707"/>
    <w:rsid w:val="00797199"/>
    <w:rsid w:val="007978FF"/>
    <w:rsid w:val="00797BFD"/>
    <w:rsid w:val="007A2573"/>
    <w:rsid w:val="007A2725"/>
    <w:rsid w:val="007A3131"/>
    <w:rsid w:val="007A4191"/>
    <w:rsid w:val="007A45D7"/>
    <w:rsid w:val="007A46CE"/>
    <w:rsid w:val="007A5465"/>
    <w:rsid w:val="007A5C26"/>
    <w:rsid w:val="007A5E78"/>
    <w:rsid w:val="007A5F86"/>
    <w:rsid w:val="007A7249"/>
    <w:rsid w:val="007A7288"/>
    <w:rsid w:val="007B161C"/>
    <w:rsid w:val="007B1FF6"/>
    <w:rsid w:val="007B32FA"/>
    <w:rsid w:val="007B427D"/>
    <w:rsid w:val="007B43E3"/>
    <w:rsid w:val="007B45E5"/>
    <w:rsid w:val="007B5204"/>
    <w:rsid w:val="007B5E8B"/>
    <w:rsid w:val="007B5E99"/>
    <w:rsid w:val="007B70F8"/>
    <w:rsid w:val="007C0A00"/>
    <w:rsid w:val="007C0EF1"/>
    <w:rsid w:val="007C2726"/>
    <w:rsid w:val="007C2E50"/>
    <w:rsid w:val="007C371F"/>
    <w:rsid w:val="007C4D3F"/>
    <w:rsid w:val="007C5F5F"/>
    <w:rsid w:val="007C6096"/>
    <w:rsid w:val="007C69F5"/>
    <w:rsid w:val="007C6B59"/>
    <w:rsid w:val="007D0580"/>
    <w:rsid w:val="007D1684"/>
    <w:rsid w:val="007D182C"/>
    <w:rsid w:val="007D3F6E"/>
    <w:rsid w:val="007D4AD2"/>
    <w:rsid w:val="007D5793"/>
    <w:rsid w:val="007D57F2"/>
    <w:rsid w:val="007D63B1"/>
    <w:rsid w:val="007E0E6E"/>
    <w:rsid w:val="007E2A9D"/>
    <w:rsid w:val="007E3547"/>
    <w:rsid w:val="007E5B47"/>
    <w:rsid w:val="007E6BC9"/>
    <w:rsid w:val="007E7306"/>
    <w:rsid w:val="007E7C88"/>
    <w:rsid w:val="007E7FE4"/>
    <w:rsid w:val="007F230B"/>
    <w:rsid w:val="007F268C"/>
    <w:rsid w:val="007F2F58"/>
    <w:rsid w:val="007F344B"/>
    <w:rsid w:val="007F486A"/>
    <w:rsid w:val="007F4F78"/>
    <w:rsid w:val="007F59C0"/>
    <w:rsid w:val="007F5A01"/>
    <w:rsid w:val="007F67CC"/>
    <w:rsid w:val="007F6B28"/>
    <w:rsid w:val="007F7671"/>
    <w:rsid w:val="007F7785"/>
    <w:rsid w:val="007F7E91"/>
    <w:rsid w:val="00800338"/>
    <w:rsid w:val="008006B9"/>
    <w:rsid w:val="00800782"/>
    <w:rsid w:val="00800EF0"/>
    <w:rsid w:val="008012A4"/>
    <w:rsid w:val="00801A7C"/>
    <w:rsid w:val="0080411B"/>
    <w:rsid w:val="00806B38"/>
    <w:rsid w:val="008074FD"/>
    <w:rsid w:val="0080781C"/>
    <w:rsid w:val="00810FB5"/>
    <w:rsid w:val="0081131C"/>
    <w:rsid w:val="008116AD"/>
    <w:rsid w:val="008118F7"/>
    <w:rsid w:val="00812312"/>
    <w:rsid w:val="00812517"/>
    <w:rsid w:val="00813073"/>
    <w:rsid w:val="008135BE"/>
    <w:rsid w:val="0081498E"/>
    <w:rsid w:val="008150BD"/>
    <w:rsid w:val="00815BC9"/>
    <w:rsid w:val="00820BF6"/>
    <w:rsid w:val="00820E84"/>
    <w:rsid w:val="00821018"/>
    <w:rsid w:val="0082223C"/>
    <w:rsid w:val="00822254"/>
    <w:rsid w:val="00822346"/>
    <w:rsid w:val="0082278A"/>
    <w:rsid w:val="00822AE6"/>
    <w:rsid w:val="00822F36"/>
    <w:rsid w:val="008240AE"/>
    <w:rsid w:val="0082569F"/>
    <w:rsid w:val="00825CC4"/>
    <w:rsid w:val="00826C99"/>
    <w:rsid w:val="00826F6B"/>
    <w:rsid w:val="0083031B"/>
    <w:rsid w:val="0083084A"/>
    <w:rsid w:val="00830A1E"/>
    <w:rsid w:val="00830B30"/>
    <w:rsid w:val="008315E9"/>
    <w:rsid w:val="008318E5"/>
    <w:rsid w:val="00831A89"/>
    <w:rsid w:val="0083309D"/>
    <w:rsid w:val="008338DE"/>
    <w:rsid w:val="00835D61"/>
    <w:rsid w:val="008370B4"/>
    <w:rsid w:val="00837E92"/>
    <w:rsid w:val="00840575"/>
    <w:rsid w:val="00840F86"/>
    <w:rsid w:val="008412DA"/>
    <w:rsid w:val="00841663"/>
    <w:rsid w:val="0084183C"/>
    <w:rsid w:val="00841ECE"/>
    <w:rsid w:val="0084468E"/>
    <w:rsid w:val="008462EB"/>
    <w:rsid w:val="008465B4"/>
    <w:rsid w:val="0084742C"/>
    <w:rsid w:val="0085068A"/>
    <w:rsid w:val="00850E3B"/>
    <w:rsid w:val="008513C9"/>
    <w:rsid w:val="0085166B"/>
    <w:rsid w:val="0085177B"/>
    <w:rsid w:val="0085219D"/>
    <w:rsid w:val="008529A7"/>
    <w:rsid w:val="00853DC1"/>
    <w:rsid w:val="00855102"/>
    <w:rsid w:val="00855C23"/>
    <w:rsid w:val="00856715"/>
    <w:rsid w:val="00856C49"/>
    <w:rsid w:val="00856F9A"/>
    <w:rsid w:val="008570B3"/>
    <w:rsid w:val="00857174"/>
    <w:rsid w:val="00857414"/>
    <w:rsid w:val="00860910"/>
    <w:rsid w:val="00861C5B"/>
    <w:rsid w:val="00861DA4"/>
    <w:rsid w:val="00862428"/>
    <w:rsid w:val="00862BF1"/>
    <w:rsid w:val="008631BE"/>
    <w:rsid w:val="00863776"/>
    <w:rsid w:val="00863899"/>
    <w:rsid w:val="008668FD"/>
    <w:rsid w:val="00866B19"/>
    <w:rsid w:val="00867101"/>
    <w:rsid w:val="00867112"/>
    <w:rsid w:val="00870F5A"/>
    <w:rsid w:val="008712F2"/>
    <w:rsid w:val="0087171D"/>
    <w:rsid w:val="008731C7"/>
    <w:rsid w:val="00874157"/>
    <w:rsid w:val="008742DF"/>
    <w:rsid w:val="00874311"/>
    <w:rsid w:val="00874385"/>
    <w:rsid w:val="00880E62"/>
    <w:rsid w:val="00881965"/>
    <w:rsid w:val="00883070"/>
    <w:rsid w:val="00883094"/>
    <w:rsid w:val="008831B4"/>
    <w:rsid w:val="008846F3"/>
    <w:rsid w:val="008868D0"/>
    <w:rsid w:val="008871B3"/>
    <w:rsid w:val="00887837"/>
    <w:rsid w:val="00890627"/>
    <w:rsid w:val="00890AC4"/>
    <w:rsid w:val="00890CA7"/>
    <w:rsid w:val="008913AD"/>
    <w:rsid w:val="00891BA2"/>
    <w:rsid w:val="00891BF4"/>
    <w:rsid w:val="00892212"/>
    <w:rsid w:val="00892E40"/>
    <w:rsid w:val="00893D35"/>
    <w:rsid w:val="00893E14"/>
    <w:rsid w:val="00894FBE"/>
    <w:rsid w:val="00895578"/>
    <w:rsid w:val="00895EFD"/>
    <w:rsid w:val="00896958"/>
    <w:rsid w:val="00896E4C"/>
    <w:rsid w:val="00897491"/>
    <w:rsid w:val="008A00C4"/>
    <w:rsid w:val="008A0B02"/>
    <w:rsid w:val="008A24AC"/>
    <w:rsid w:val="008A2848"/>
    <w:rsid w:val="008A2E31"/>
    <w:rsid w:val="008A2E4C"/>
    <w:rsid w:val="008A43AC"/>
    <w:rsid w:val="008A4F7B"/>
    <w:rsid w:val="008A6367"/>
    <w:rsid w:val="008A684B"/>
    <w:rsid w:val="008A6F44"/>
    <w:rsid w:val="008A7052"/>
    <w:rsid w:val="008A73B2"/>
    <w:rsid w:val="008A774E"/>
    <w:rsid w:val="008B03E8"/>
    <w:rsid w:val="008B0E85"/>
    <w:rsid w:val="008B21E9"/>
    <w:rsid w:val="008B28F9"/>
    <w:rsid w:val="008B2CDB"/>
    <w:rsid w:val="008B2DA3"/>
    <w:rsid w:val="008B3CE3"/>
    <w:rsid w:val="008B3DDA"/>
    <w:rsid w:val="008B4FEC"/>
    <w:rsid w:val="008B5525"/>
    <w:rsid w:val="008B69C3"/>
    <w:rsid w:val="008C0285"/>
    <w:rsid w:val="008C06B9"/>
    <w:rsid w:val="008C06DB"/>
    <w:rsid w:val="008C0CDB"/>
    <w:rsid w:val="008C2748"/>
    <w:rsid w:val="008C35EA"/>
    <w:rsid w:val="008C4517"/>
    <w:rsid w:val="008C4731"/>
    <w:rsid w:val="008C4B70"/>
    <w:rsid w:val="008C568A"/>
    <w:rsid w:val="008C6712"/>
    <w:rsid w:val="008C7F44"/>
    <w:rsid w:val="008D0203"/>
    <w:rsid w:val="008D0F45"/>
    <w:rsid w:val="008D3680"/>
    <w:rsid w:val="008D54D7"/>
    <w:rsid w:val="008D585D"/>
    <w:rsid w:val="008E0B71"/>
    <w:rsid w:val="008E0B77"/>
    <w:rsid w:val="008E1004"/>
    <w:rsid w:val="008E1E74"/>
    <w:rsid w:val="008E293A"/>
    <w:rsid w:val="008E2B86"/>
    <w:rsid w:val="008E3728"/>
    <w:rsid w:val="008E40CC"/>
    <w:rsid w:val="008E64AF"/>
    <w:rsid w:val="008E6AB1"/>
    <w:rsid w:val="008E6B45"/>
    <w:rsid w:val="008F0DEC"/>
    <w:rsid w:val="008F28B6"/>
    <w:rsid w:val="008F2928"/>
    <w:rsid w:val="008F3D4C"/>
    <w:rsid w:val="008F3E51"/>
    <w:rsid w:val="008F4D9C"/>
    <w:rsid w:val="008F6744"/>
    <w:rsid w:val="008F6AAB"/>
    <w:rsid w:val="008F6E96"/>
    <w:rsid w:val="008F711F"/>
    <w:rsid w:val="008F74CF"/>
    <w:rsid w:val="008F769E"/>
    <w:rsid w:val="008F7D57"/>
    <w:rsid w:val="009006AF"/>
    <w:rsid w:val="00900B3A"/>
    <w:rsid w:val="00901983"/>
    <w:rsid w:val="00901B09"/>
    <w:rsid w:val="0090200D"/>
    <w:rsid w:val="009020C0"/>
    <w:rsid w:val="009024AF"/>
    <w:rsid w:val="0090266B"/>
    <w:rsid w:val="00902A30"/>
    <w:rsid w:val="00903317"/>
    <w:rsid w:val="0090410A"/>
    <w:rsid w:val="009046A9"/>
    <w:rsid w:val="0090486A"/>
    <w:rsid w:val="009074E6"/>
    <w:rsid w:val="00910A2A"/>
    <w:rsid w:val="00910BD2"/>
    <w:rsid w:val="00911EF9"/>
    <w:rsid w:val="00912862"/>
    <w:rsid w:val="00912B86"/>
    <w:rsid w:val="00914D1B"/>
    <w:rsid w:val="00914EC2"/>
    <w:rsid w:val="009151D2"/>
    <w:rsid w:val="009160C4"/>
    <w:rsid w:val="009167E9"/>
    <w:rsid w:val="00920F73"/>
    <w:rsid w:val="00921393"/>
    <w:rsid w:val="00922135"/>
    <w:rsid w:val="00922CC6"/>
    <w:rsid w:val="00922EE6"/>
    <w:rsid w:val="0092387B"/>
    <w:rsid w:val="00923A67"/>
    <w:rsid w:val="00927643"/>
    <w:rsid w:val="00930499"/>
    <w:rsid w:val="00930B1D"/>
    <w:rsid w:val="00931181"/>
    <w:rsid w:val="0093131E"/>
    <w:rsid w:val="00931E84"/>
    <w:rsid w:val="00932098"/>
    <w:rsid w:val="00932349"/>
    <w:rsid w:val="009323BF"/>
    <w:rsid w:val="0093264F"/>
    <w:rsid w:val="00933054"/>
    <w:rsid w:val="00933E39"/>
    <w:rsid w:val="00933E74"/>
    <w:rsid w:val="00937BFD"/>
    <w:rsid w:val="00940F35"/>
    <w:rsid w:val="00941E94"/>
    <w:rsid w:val="00941F7F"/>
    <w:rsid w:val="00942344"/>
    <w:rsid w:val="009429FB"/>
    <w:rsid w:val="00942D4B"/>
    <w:rsid w:val="0094677D"/>
    <w:rsid w:val="00947757"/>
    <w:rsid w:val="009501EC"/>
    <w:rsid w:val="00950377"/>
    <w:rsid w:val="009513E6"/>
    <w:rsid w:val="00953959"/>
    <w:rsid w:val="00953EF9"/>
    <w:rsid w:val="00957A8E"/>
    <w:rsid w:val="00957B18"/>
    <w:rsid w:val="00961083"/>
    <w:rsid w:val="00962515"/>
    <w:rsid w:val="00962C2B"/>
    <w:rsid w:val="009637DF"/>
    <w:rsid w:val="0096433C"/>
    <w:rsid w:val="00965905"/>
    <w:rsid w:val="00966CA2"/>
    <w:rsid w:val="00967704"/>
    <w:rsid w:val="009677B9"/>
    <w:rsid w:val="00967B0C"/>
    <w:rsid w:val="00970ACE"/>
    <w:rsid w:val="00970B8E"/>
    <w:rsid w:val="00971D41"/>
    <w:rsid w:val="00972E13"/>
    <w:rsid w:val="00972E5E"/>
    <w:rsid w:val="00973022"/>
    <w:rsid w:val="0097368B"/>
    <w:rsid w:val="0097392E"/>
    <w:rsid w:val="009746AA"/>
    <w:rsid w:val="00974FB9"/>
    <w:rsid w:val="00975DE5"/>
    <w:rsid w:val="00976272"/>
    <w:rsid w:val="009763D7"/>
    <w:rsid w:val="00976DC9"/>
    <w:rsid w:val="00980F50"/>
    <w:rsid w:val="00981253"/>
    <w:rsid w:val="00981571"/>
    <w:rsid w:val="00983FAA"/>
    <w:rsid w:val="00984161"/>
    <w:rsid w:val="009872FC"/>
    <w:rsid w:val="009876CF"/>
    <w:rsid w:val="00987743"/>
    <w:rsid w:val="009905D3"/>
    <w:rsid w:val="00990D8F"/>
    <w:rsid w:val="00991803"/>
    <w:rsid w:val="00992AD1"/>
    <w:rsid w:val="00993330"/>
    <w:rsid w:val="00993601"/>
    <w:rsid w:val="00993A75"/>
    <w:rsid w:val="00993EBF"/>
    <w:rsid w:val="0099476B"/>
    <w:rsid w:val="00994925"/>
    <w:rsid w:val="00994DB9"/>
    <w:rsid w:val="0099683A"/>
    <w:rsid w:val="009A176C"/>
    <w:rsid w:val="009A1A60"/>
    <w:rsid w:val="009A276A"/>
    <w:rsid w:val="009A2C4B"/>
    <w:rsid w:val="009A3FD1"/>
    <w:rsid w:val="009A471A"/>
    <w:rsid w:val="009A581B"/>
    <w:rsid w:val="009A668D"/>
    <w:rsid w:val="009B08E5"/>
    <w:rsid w:val="009B1090"/>
    <w:rsid w:val="009B14FE"/>
    <w:rsid w:val="009B1E8E"/>
    <w:rsid w:val="009B2416"/>
    <w:rsid w:val="009B2F62"/>
    <w:rsid w:val="009B4326"/>
    <w:rsid w:val="009B5970"/>
    <w:rsid w:val="009B628C"/>
    <w:rsid w:val="009B6F6B"/>
    <w:rsid w:val="009B7BC8"/>
    <w:rsid w:val="009C12DE"/>
    <w:rsid w:val="009C1497"/>
    <w:rsid w:val="009C18E9"/>
    <w:rsid w:val="009C24FB"/>
    <w:rsid w:val="009C2CD5"/>
    <w:rsid w:val="009C3088"/>
    <w:rsid w:val="009C3E7C"/>
    <w:rsid w:val="009C493D"/>
    <w:rsid w:val="009C51C4"/>
    <w:rsid w:val="009C5A10"/>
    <w:rsid w:val="009C5CC5"/>
    <w:rsid w:val="009C604C"/>
    <w:rsid w:val="009C6829"/>
    <w:rsid w:val="009C6AA2"/>
    <w:rsid w:val="009C6B11"/>
    <w:rsid w:val="009C7738"/>
    <w:rsid w:val="009D044B"/>
    <w:rsid w:val="009D0455"/>
    <w:rsid w:val="009D116E"/>
    <w:rsid w:val="009D3C7A"/>
    <w:rsid w:val="009D49F9"/>
    <w:rsid w:val="009D4D76"/>
    <w:rsid w:val="009D4EC3"/>
    <w:rsid w:val="009D5329"/>
    <w:rsid w:val="009D5C8C"/>
    <w:rsid w:val="009D6FD3"/>
    <w:rsid w:val="009E0F0D"/>
    <w:rsid w:val="009E0F84"/>
    <w:rsid w:val="009E13C0"/>
    <w:rsid w:val="009E16B6"/>
    <w:rsid w:val="009E2788"/>
    <w:rsid w:val="009E3177"/>
    <w:rsid w:val="009E3BC4"/>
    <w:rsid w:val="009E3F80"/>
    <w:rsid w:val="009E455F"/>
    <w:rsid w:val="009E6259"/>
    <w:rsid w:val="009E759B"/>
    <w:rsid w:val="009F0628"/>
    <w:rsid w:val="009F0BA3"/>
    <w:rsid w:val="009F0EE6"/>
    <w:rsid w:val="009F2557"/>
    <w:rsid w:val="009F2BF9"/>
    <w:rsid w:val="009F33DF"/>
    <w:rsid w:val="009F53BC"/>
    <w:rsid w:val="009F551F"/>
    <w:rsid w:val="009F61C6"/>
    <w:rsid w:val="009F625C"/>
    <w:rsid w:val="009F6CF4"/>
    <w:rsid w:val="00A0151C"/>
    <w:rsid w:val="00A02F0E"/>
    <w:rsid w:val="00A02F95"/>
    <w:rsid w:val="00A0342B"/>
    <w:rsid w:val="00A036C7"/>
    <w:rsid w:val="00A037E4"/>
    <w:rsid w:val="00A03AFC"/>
    <w:rsid w:val="00A05AE3"/>
    <w:rsid w:val="00A05D99"/>
    <w:rsid w:val="00A108FE"/>
    <w:rsid w:val="00A112C4"/>
    <w:rsid w:val="00A12713"/>
    <w:rsid w:val="00A12DB0"/>
    <w:rsid w:val="00A13548"/>
    <w:rsid w:val="00A13A96"/>
    <w:rsid w:val="00A14068"/>
    <w:rsid w:val="00A154D8"/>
    <w:rsid w:val="00A15DFE"/>
    <w:rsid w:val="00A160E2"/>
    <w:rsid w:val="00A17CA0"/>
    <w:rsid w:val="00A17D4C"/>
    <w:rsid w:val="00A2012A"/>
    <w:rsid w:val="00A21BD4"/>
    <w:rsid w:val="00A22044"/>
    <w:rsid w:val="00A221B9"/>
    <w:rsid w:val="00A22871"/>
    <w:rsid w:val="00A23B83"/>
    <w:rsid w:val="00A2412D"/>
    <w:rsid w:val="00A24584"/>
    <w:rsid w:val="00A25D4E"/>
    <w:rsid w:val="00A262FF"/>
    <w:rsid w:val="00A263AD"/>
    <w:rsid w:val="00A269D0"/>
    <w:rsid w:val="00A30AA0"/>
    <w:rsid w:val="00A32961"/>
    <w:rsid w:val="00A3398B"/>
    <w:rsid w:val="00A3440D"/>
    <w:rsid w:val="00A35F76"/>
    <w:rsid w:val="00A36289"/>
    <w:rsid w:val="00A37577"/>
    <w:rsid w:val="00A37DAC"/>
    <w:rsid w:val="00A40ED5"/>
    <w:rsid w:val="00A41767"/>
    <w:rsid w:val="00A417D6"/>
    <w:rsid w:val="00A41938"/>
    <w:rsid w:val="00A41FCF"/>
    <w:rsid w:val="00A42361"/>
    <w:rsid w:val="00A44777"/>
    <w:rsid w:val="00A44F63"/>
    <w:rsid w:val="00A45037"/>
    <w:rsid w:val="00A45DC5"/>
    <w:rsid w:val="00A461FE"/>
    <w:rsid w:val="00A46614"/>
    <w:rsid w:val="00A47F45"/>
    <w:rsid w:val="00A5039B"/>
    <w:rsid w:val="00A50AAF"/>
    <w:rsid w:val="00A511B4"/>
    <w:rsid w:val="00A51B2F"/>
    <w:rsid w:val="00A51BE1"/>
    <w:rsid w:val="00A5256E"/>
    <w:rsid w:val="00A52BCF"/>
    <w:rsid w:val="00A53DB5"/>
    <w:rsid w:val="00A546A1"/>
    <w:rsid w:val="00A54FF5"/>
    <w:rsid w:val="00A556F9"/>
    <w:rsid w:val="00A55C54"/>
    <w:rsid w:val="00A56216"/>
    <w:rsid w:val="00A60DDD"/>
    <w:rsid w:val="00A623D4"/>
    <w:rsid w:val="00A62B95"/>
    <w:rsid w:val="00A63493"/>
    <w:rsid w:val="00A63E6D"/>
    <w:rsid w:val="00A640FD"/>
    <w:rsid w:val="00A64403"/>
    <w:rsid w:val="00A65299"/>
    <w:rsid w:val="00A67210"/>
    <w:rsid w:val="00A70B80"/>
    <w:rsid w:val="00A70DCD"/>
    <w:rsid w:val="00A71210"/>
    <w:rsid w:val="00A71D63"/>
    <w:rsid w:val="00A721A1"/>
    <w:rsid w:val="00A7334B"/>
    <w:rsid w:val="00A736A1"/>
    <w:rsid w:val="00A73A0A"/>
    <w:rsid w:val="00A73B17"/>
    <w:rsid w:val="00A73C3B"/>
    <w:rsid w:val="00A74021"/>
    <w:rsid w:val="00A7441B"/>
    <w:rsid w:val="00A74621"/>
    <w:rsid w:val="00A76C30"/>
    <w:rsid w:val="00A80FFD"/>
    <w:rsid w:val="00A81683"/>
    <w:rsid w:val="00A81879"/>
    <w:rsid w:val="00A8219C"/>
    <w:rsid w:val="00A8220E"/>
    <w:rsid w:val="00A82276"/>
    <w:rsid w:val="00A826EF"/>
    <w:rsid w:val="00A82D19"/>
    <w:rsid w:val="00A84818"/>
    <w:rsid w:val="00A855B9"/>
    <w:rsid w:val="00A85671"/>
    <w:rsid w:val="00A86933"/>
    <w:rsid w:val="00A90CFA"/>
    <w:rsid w:val="00A90FAB"/>
    <w:rsid w:val="00A913F1"/>
    <w:rsid w:val="00A91F4D"/>
    <w:rsid w:val="00A93190"/>
    <w:rsid w:val="00A93C30"/>
    <w:rsid w:val="00A96F6D"/>
    <w:rsid w:val="00AA0B68"/>
    <w:rsid w:val="00AA0CA4"/>
    <w:rsid w:val="00AA1C72"/>
    <w:rsid w:val="00AA23D7"/>
    <w:rsid w:val="00AA2840"/>
    <w:rsid w:val="00AA2CF2"/>
    <w:rsid w:val="00AA31FE"/>
    <w:rsid w:val="00AA321F"/>
    <w:rsid w:val="00AA3D27"/>
    <w:rsid w:val="00AA43ED"/>
    <w:rsid w:val="00AA454F"/>
    <w:rsid w:val="00AA4632"/>
    <w:rsid w:val="00AA4669"/>
    <w:rsid w:val="00AA61EE"/>
    <w:rsid w:val="00AA63BC"/>
    <w:rsid w:val="00AA6852"/>
    <w:rsid w:val="00AB0721"/>
    <w:rsid w:val="00AB09B9"/>
    <w:rsid w:val="00AB0B6F"/>
    <w:rsid w:val="00AB156D"/>
    <w:rsid w:val="00AB2CFD"/>
    <w:rsid w:val="00AB3562"/>
    <w:rsid w:val="00AB4AFE"/>
    <w:rsid w:val="00AB4E86"/>
    <w:rsid w:val="00AB57AD"/>
    <w:rsid w:val="00AB67C4"/>
    <w:rsid w:val="00AB7C6D"/>
    <w:rsid w:val="00AC0E59"/>
    <w:rsid w:val="00AC1FE9"/>
    <w:rsid w:val="00AC2C99"/>
    <w:rsid w:val="00AC2D0C"/>
    <w:rsid w:val="00AC3337"/>
    <w:rsid w:val="00AC3A0F"/>
    <w:rsid w:val="00AC3A7C"/>
    <w:rsid w:val="00AC5A99"/>
    <w:rsid w:val="00AC5F81"/>
    <w:rsid w:val="00AC5FF7"/>
    <w:rsid w:val="00AC6107"/>
    <w:rsid w:val="00AD019D"/>
    <w:rsid w:val="00AD04B8"/>
    <w:rsid w:val="00AD08F4"/>
    <w:rsid w:val="00AD0DD6"/>
    <w:rsid w:val="00AD0F1C"/>
    <w:rsid w:val="00AD1CFA"/>
    <w:rsid w:val="00AD33D7"/>
    <w:rsid w:val="00AD3801"/>
    <w:rsid w:val="00AD3E84"/>
    <w:rsid w:val="00AD461B"/>
    <w:rsid w:val="00AD5214"/>
    <w:rsid w:val="00AE0A3E"/>
    <w:rsid w:val="00AE136A"/>
    <w:rsid w:val="00AE138A"/>
    <w:rsid w:val="00AE1634"/>
    <w:rsid w:val="00AE18EF"/>
    <w:rsid w:val="00AE193B"/>
    <w:rsid w:val="00AE1CA8"/>
    <w:rsid w:val="00AE1E13"/>
    <w:rsid w:val="00AE3AFA"/>
    <w:rsid w:val="00AE42B7"/>
    <w:rsid w:val="00AE4DFB"/>
    <w:rsid w:val="00AE4F90"/>
    <w:rsid w:val="00AE5209"/>
    <w:rsid w:val="00AE5588"/>
    <w:rsid w:val="00AE5DF8"/>
    <w:rsid w:val="00AE6DD5"/>
    <w:rsid w:val="00AE7736"/>
    <w:rsid w:val="00AF0DCA"/>
    <w:rsid w:val="00AF1275"/>
    <w:rsid w:val="00AF1556"/>
    <w:rsid w:val="00AF1697"/>
    <w:rsid w:val="00AF1E39"/>
    <w:rsid w:val="00AF24A3"/>
    <w:rsid w:val="00AF28EB"/>
    <w:rsid w:val="00AF2E06"/>
    <w:rsid w:val="00AF314B"/>
    <w:rsid w:val="00AF4071"/>
    <w:rsid w:val="00AF5651"/>
    <w:rsid w:val="00AF5919"/>
    <w:rsid w:val="00AF595E"/>
    <w:rsid w:val="00AF651D"/>
    <w:rsid w:val="00AF691E"/>
    <w:rsid w:val="00AF6DB8"/>
    <w:rsid w:val="00AF742C"/>
    <w:rsid w:val="00AF7913"/>
    <w:rsid w:val="00AF7E51"/>
    <w:rsid w:val="00AF7F47"/>
    <w:rsid w:val="00B005B7"/>
    <w:rsid w:val="00B01CE8"/>
    <w:rsid w:val="00B01ED1"/>
    <w:rsid w:val="00B0242C"/>
    <w:rsid w:val="00B028F2"/>
    <w:rsid w:val="00B02FE5"/>
    <w:rsid w:val="00B05550"/>
    <w:rsid w:val="00B0707D"/>
    <w:rsid w:val="00B07653"/>
    <w:rsid w:val="00B10278"/>
    <w:rsid w:val="00B103A0"/>
    <w:rsid w:val="00B10B99"/>
    <w:rsid w:val="00B110B0"/>
    <w:rsid w:val="00B11F63"/>
    <w:rsid w:val="00B13BC5"/>
    <w:rsid w:val="00B14381"/>
    <w:rsid w:val="00B14828"/>
    <w:rsid w:val="00B14D15"/>
    <w:rsid w:val="00B14E33"/>
    <w:rsid w:val="00B1527C"/>
    <w:rsid w:val="00B15323"/>
    <w:rsid w:val="00B15B7D"/>
    <w:rsid w:val="00B15CBE"/>
    <w:rsid w:val="00B1758A"/>
    <w:rsid w:val="00B17771"/>
    <w:rsid w:val="00B200CB"/>
    <w:rsid w:val="00B2018D"/>
    <w:rsid w:val="00B20F19"/>
    <w:rsid w:val="00B2158F"/>
    <w:rsid w:val="00B21BA2"/>
    <w:rsid w:val="00B22928"/>
    <w:rsid w:val="00B22EC3"/>
    <w:rsid w:val="00B24C1C"/>
    <w:rsid w:val="00B2553C"/>
    <w:rsid w:val="00B26CB8"/>
    <w:rsid w:val="00B27830"/>
    <w:rsid w:val="00B27B43"/>
    <w:rsid w:val="00B27C03"/>
    <w:rsid w:val="00B308AD"/>
    <w:rsid w:val="00B314BF"/>
    <w:rsid w:val="00B323C3"/>
    <w:rsid w:val="00B324B3"/>
    <w:rsid w:val="00B3282D"/>
    <w:rsid w:val="00B32A6F"/>
    <w:rsid w:val="00B33E69"/>
    <w:rsid w:val="00B34390"/>
    <w:rsid w:val="00B3450E"/>
    <w:rsid w:val="00B34524"/>
    <w:rsid w:val="00B35507"/>
    <w:rsid w:val="00B3576B"/>
    <w:rsid w:val="00B357EF"/>
    <w:rsid w:val="00B35EEE"/>
    <w:rsid w:val="00B36C3E"/>
    <w:rsid w:val="00B37F1D"/>
    <w:rsid w:val="00B401DC"/>
    <w:rsid w:val="00B4054D"/>
    <w:rsid w:val="00B40E11"/>
    <w:rsid w:val="00B40F1C"/>
    <w:rsid w:val="00B41662"/>
    <w:rsid w:val="00B429E9"/>
    <w:rsid w:val="00B42C7E"/>
    <w:rsid w:val="00B434DC"/>
    <w:rsid w:val="00B43F55"/>
    <w:rsid w:val="00B44C66"/>
    <w:rsid w:val="00B44EAA"/>
    <w:rsid w:val="00B45474"/>
    <w:rsid w:val="00B454AE"/>
    <w:rsid w:val="00B46B95"/>
    <w:rsid w:val="00B50817"/>
    <w:rsid w:val="00B50AC1"/>
    <w:rsid w:val="00B50DAB"/>
    <w:rsid w:val="00B51E7E"/>
    <w:rsid w:val="00B52B36"/>
    <w:rsid w:val="00B53178"/>
    <w:rsid w:val="00B53CBE"/>
    <w:rsid w:val="00B53F0B"/>
    <w:rsid w:val="00B53F1F"/>
    <w:rsid w:val="00B5408B"/>
    <w:rsid w:val="00B5441B"/>
    <w:rsid w:val="00B5459F"/>
    <w:rsid w:val="00B547AD"/>
    <w:rsid w:val="00B557EB"/>
    <w:rsid w:val="00B578C0"/>
    <w:rsid w:val="00B61263"/>
    <w:rsid w:val="00B61A62"/>
    <w:rsid w:val="00B62574"/>
    <w:rsid w:val="00B62686"/>
    <w:rsid w:val="00B629E4"/>
    <w:rsid w:val="00B633E3"/>
    <w:rsid w:val="00B636EE"/>
    <w:rsid w:val="00B645AC"/>
    <w:rsid w:val="00B64E18"/>
    <w:rsid w:val="00B64FD5"/>
    <w:rsid w:val="00B6595F"/>
    <w:rsid w:val="00B65A62"/>
    <w:rsid w:val="00B66CFD"/>
    <w:rsid w:val="00B673B0"/>
    <w:rsid w:val="00B7451E"/>
    <w:rsid w:val="00B75298"/>
    <w:rsid w:val="00B75EB1"/>
    <w:rsid w:val="00B76615"/>
    <w:rsid w:val="00B77C63"/>
    <w:rsid w:val="00B80771"/>
    <w:rsid w:val="00B82180"/>
    <w:rsid w:val="00B826CB"/>
    <w:rsid w:val="00B8373D"/>
    <w:rsid w:val="00B85479"/>
    <w:rsid w:val="00B8576F"/>
    <w:rsid w:val="00B87FCF"/>
    <w:rsid w:val="00B92356"/>
    <w:rsid w:val="00B92A05"/>
    <w:rsid w:val="00B9347E"/>
    <w:rsid w:val="00B938D5"/>
    <w:rsid w:val="00B947C1"/>
    <w:rsid w:val="00B961C8"/>
    <w:rsid w:val="00BA0660"/>
    <w:rsid w:val="00BA07F0"/>
    <w:rsid w:val="00BA0B20"/>
    <w:rsid w:val="00BA1246"/>
    <w:rsid w:val="00BA218B"/>
    <w:rsid w:val="00BA2318"/>
    <w:rsid w:val="00BA311E"/>
    <w:rsid w:val="00BA44CC"/>
    <w:rsid w:val="00BA52E2"/>
    <w:rsid w:val="00BA5575"/>
    <w:rsid w:val="00BA5AE5"/>
    <w:rsid w:val="00BA5CA5"/>
    <w:rsid w:val="00BA5E75"/>
    <w:rsid w:val="00BA67C4"/>
    <w:rsid w:val="00BA7048"/>
    <w:rsid w:val="00BA7A50"/>
    <w:rsid w:val="00BA7C63"/>
    <w:rsid w:val="00BB0320"/>
    <w:rsid w:val="00BB121E"/>
    <w:rsid w:val="00BB136E"/>
    <w:rsid w:val="00BB1A48"/>
    <w:rsid w:val="00BB3F22"/>
    <w:rsid w:val="00BB4FB7"/>
    <w:rsid w:val="00BB5EBF"/>
    <w:rsid w:val="00BB6CF0"/>
    <w:rsid w:val="00BB7B21"/>
    <w:rsid w:val="00BC040B"/>
    <w:rsid w:val="00BC0986"/>
    <w:rsid w:val="00BC0CD2"/>
    <w:rsid w:val="00BC1890"/>
    <w:rsid w:val="00BC1B5D"/>
    <w:rsid w:val="00BC208E"/>
    <w:rsid w:val="00BC2155"/>
    <w:rsid w:val="00BC2538"/>
    <w:rsid w:val="00BC3C7E"/>
    <w:rsid w:val="00BC4AF7"/>
    <w:rsid w:val="00BC60A4"/>
    <w:rsid w:val="00BC669B"/>
    <w:rsid w:val="00BC733D"/>
    <w:rsid w:val="00BC7EE0"/>
    <w:rsid w:val="00BD0499"/>
    <w:rsid w:val="00BD05CB"/>
    <w:rsid w:val="00BD0AEF"/>
    <w:rsid w:val="00BD133E"/>
    <w:rsid w:val="00BD14C1"/>
    <w:rsid w:val="00BD16EA"/>
    <w:rsid w:val="00BD1D32"/>
    <w:rsid w:val="00BD1DEB"/>
    <w:rsid w:val="00BD39F8"/>
    <w:rsid w:val="00BD4166"/>
    <w:rsid w:val="00BD4BED"/>
    <w:rsid w:val="00BD55D1"/>
    <w:rsid w:val="00BD65A4"/>
    <w:rsid w:val="00BD66F3"/>
    <w:rsid w:val="00BD6B28"/>
    <w:rsid w:val="00BD7DC2"/>
    <w:rsid w:val="00BE1E12"/>
    <w:rsid w:val="00BE2297"/>
    <w:rsid w:val="00BE3A1D"/>
    <w:rsid w:val="00BE520C"/>
    <w:rsid w:val="00BE5318"/>
    <w:rsid w:val="00BE6894"/>
    <w:rsid w:val="00BE68E2"/>
    <w:rsid w:val="00BE7071"/>
    <w:rsid w:val="00BE7795"/>
    <w:rsid w:val="00BF0A6E"/>
    <w:rsid w:val="00BF1A0B"/>
    <w:rsid w:val="00BF22EC"/>
    <w:rsid w:val="00BF313F"/>
    <w:rsid w:val="00BF3CD3"/>
    <w:rsid w:val="00BF3E1A"/>
    <w:rsid w:val="00BF42E5"/>
    <w:rsid w:val="00BF4986"/>
    <w:rsid w:val="00BF49AF"/>
    <w:rsid w:val="00BF57FE"/>
    <w:rsid w:val="00BF6C67"/>
    <w:rsid w:val="00BF7262"/>
    <w:rsid w:val="00BF7A5C"/>
    <w:rsid w:val="00BF7C6E"/>
    <w:rsid w:val="00C002F3"/>
    <w:rsid w:val="00C0412F"/>
    <w:rsid w:val="00C047E4"/>
    <w:rsid w:val="00C0487D"/>
    <w:rsid w:val="00C06A71"/>
    <w:rsid w:val="00C07C7F"/>
    <w:rsid w:val="00C10418"/>
    <w:rsid w:val="00C10B2F"/>
    <w:rsid w:val="00C10DAE"/>
    <w:rsid w:val="00C11169"/>
    <w:rsid w:val="00C11496"/>
    <w:rsid w:val="00C13856"/>
    <w:rsid w:val="00C13A7D"/>
    <w:rsid w:val="00C14B9B"/>
    <w:rsid w:val="00C150BE"/>
    <w:rsid w:val="00C15153"/>
    <w:rsid w:val="00C15DC7"/>
    <w:rsid w:val="00C17252"/>
    <w:rsid w:val="00C173A8"/>
    <w:rsid w:val="00C17B83"/>
    <w:rsid w:val="00C229DA"/>
    <w:rsid w:val="00C22EF5"/>
    <w:rsid w:val="00C2424C"/>
    <w:rsid w:val="00C25370"/>
    <w:rsid w:val="00C2634E"/>
    <w:rsid w:val="00C31254"/>
    <w:rsid w:val="00C32049"/>
    <w:rsid w:val="00C3258E"/>
    <w:rsid w:val="00C328B8"/>
    <w:rsid w:val="00C32DE0"/>
    <w:rsid w:val="00C32E92"/>
    <w:rsid w:val="00C336CA"/>
    <w:rsid w:val="00C341AE"/>
    <w:rsid w:val="00C35EDD"/>
    <w:rsid w:val="00C415D9"/>
    <w:rsid w:val="00C434CD"/>
    <w:rsid w:val="00C44738"/>
    <w:rsid w:val="00C4490F"/>
    <w:rsid w:val="00C45156"/>
    <w:rsid w:val="00C46391"/>
    <w:rsid w:val="00C51F04"/>
    <w:rsid w:val="00C5204F"/>
    <w:rsid w:val="00C523E4"/>
    <w:rsid w:val="00C5250B"/>
    <w:rsid w:val="00C53E71"/>
    <w:rsid w:val="00C558C4"/>
    <w:rsid w:val="00C56C6E"/>
    <w:rsid w:val="00C60385"/>
    <w:rsid w:val="00C60CE1"/>
    <w:rsid w:val="00C633DB"/>
    <w:rsid w:val="00C641A5"/>
    <w:rsid w:val="00C648EE"/>
    <w:rsid w:val="00C64913"/>
    <w:rsid w:val="00C65040"/>
    <w:rsid w:val="00C65746"/>
    <w:rsid w:val="00C6625C"/>
    <w:rsid w:val="00C6686B"/>
    <w:rsid w:val="00C671B7"/>
    <w:rsid w:val="00C7132B"/>
    <w:rsid w:val="00C717D0"/>
    <w:rsid w:val="00C720B5"/>
    <w:rsid w:val="00C72556"/>
    <w:rsid w:val="00C72893"/>
    <w:rsid w:val="00C72BDE"/>
    <w:rsid w:val="00C73629"/>
    <w:rsid w:val="00C73DCF"/>
    <w:rsid w:val="00C74099"/>
    <w:rsid w:val="00C74297"/>
    <w:rsid w:val="00C75421"/>
    <w:rsid w:val="00C76A5E"/>
    <w:rsid w:val="00C76B05"/>
    <w:rsid w:val="00C77D10"/>
    <w:rsid w:val="00C81173"/>
    <w:rsid w:val="00C817E6"/>
    <w:rsid w:val="00C83329"/>
    <w:rsid w:val="00C83B4F"/>
    <w:rsid w:val="00C83CED"/>
    <w:rsid w:val="00C83F0E"/>
    <w:rsid w:val="00C84C3C"/>
    <w:rsid w:val="00C8522B"/>
    <w:rsid w:val="00C85ACA"/>
    <w:rsid w:val="00C86538"/>
    <w:rsid w:val="00C87216"/>
    <w:rsid w:val="00C9001E"/>
    <w:rsid w:val="00C90E1A"/>
    <w:rsid w:val="00C9175D"/>
    <w:rsid w:val="00C9254F"/>
    <w:rsid w:val="00C92818"/>
    <w:rsid w:val="00C93298"/>
    <w:rsid w:val="00C940B7"/>
    <w:rsid w:val="00C9440F"/>
    <w:rsid w:val="00C9458D"/>
    <w:rsid w:val="00C949DB"/>
    <w:rsid w:val="00C950DA"/>
    <w:rsid w:val="00C951B8"/>
    <w:rsid w:val="00C95A51"/>
    <w:rsid w:val="00C95DAF"/>
    <w:rsid w:val="00C95F12"/>
    <w:rsid w:val="00C96570"/>
    <w:rsid w:val="00C97592"/>
    <w:rsid w:val="00C9777B"/>
    <w:rsid w:val="00C978E0"/>
    <w:rsid w:val="00C979FE"/>
    <w:rsid w:val="00CA1113"/>
    <w:rsid w:val="00CA1A86"/>
    <w:rsid w:val="00CA28F0"/>
    <w:rsid w:val="00CA2AB1"/>
    <w:rsid w:val="00CA30B1"/>
    <w:rsid w:val="00CA4921"/>
    <w:rsid w:val="00CA5483"/>
    <w:rsid w:val="00CA790E"/>
    <w:rsid w:val="00CA7C05"/>
    <w:rsid w:val="00CB0E03"/>
    <w:rsid w:val="00CB1888"/>
    <w:rsid w:val="00CB2663"/>
    <w:rsid w:val="00CB280A"/>
    <w:rsid w:val="00CB31F0"/>
    <w:rsid w:val="00CB363E"/>
    <w:rsid w:val="00CB43BE"/>
    <w:rsid w:val="00CB53D6"/>
    <w:rsid w:val="00CB5E75"/>
    <w:rsid w:val="00CB626B"/>
    <w:rsid w:val="00CB67A9"/>
    <w:rsid w:val="00CC0926"/>
    <w:rsid w:val="00CC0FE9"/>
    <w:rsid w:val="00CC18C2"/>
    <w:rsid w:val="00CC2335"/>
    <w:rsid w:val="00CC2B47"/>
    <w:rsid w:val="00CC4529"/>
    <w:rsid w:val="00CC4575"/>
    <w:rsid w:val="00CC69A0"/>
    <w:rsid w:val="00CC6B30"/>
    <w:rsid w:val="00CC73E9"/>
    <w:rsid w:val="00CD0E25"/>
    <w:rsid w:val="00CD0FBD"/>
    <w:rsid w:val="00CD1CB3"/>
    <w:rsid w:val="00CD2173"/>
    <w:rsid w:val="00CD27F2"/>
    <w:rsid w:val="00CD2E52"/>
    <w:rsid w:val="00CD4AAE"/>
    <w:rsid w:val="00CD615E"/>
    <w:rsid w:val="00CD7D29"/>
    <w:rsid w:val="00CE24A5"/>
    <w:rsid w:val="00CE24D0"/>
    <w:rsid w:val="00CE25CC"/>
    <w:rsid w:val="00CE2B03"/>
    <w:rsid w:val="00CE3126"/>
    <w:rsid w:val="00CE34BB"/>
    <w:rsid w:val="00CE3F5A"/>
    <w:rsid w:val="00CE5777"/>
    <w:rsid w:val="00CE58C7"/>
    <w:rsid w:val="00CE5F30"/>
    <w:rsid w:val="00CE6E9F"/>
    <w:rsid w:val="00CE731E"/>
    <w:rsid w:val="00CF1B55"/>
    <w:rsid w:val="00CF22DC"/>
    <w:rsid w:val="00CF23AB"/>
    <w:rsid w:val="00CF27D5"/>
    <w:rsid w:val="00CF3412"/>
    <w:rsid w:val="00CF4CB2"/>
    <w:rsid w:val="00CF4D8A"/>
    <w:rsid w:val="00CF66AF"/>
    <w:rsid w:val="00CF6BF5"/>
    <w:rsid w:val="00CF7BB6"/>
    <w:rsid w:val="00D00439"/>
    <w:rsid w:val="00D02B07"/>
    <w:rsid w:val="00D033DA"/>
    <w:rsid w:val="00D03C20"/>
    <w:rsid w:val="00D04AA1"/>
    <w:rsid w:val="00D052D6"/>
    <w:rsid w:val="00D0588F"/>
    <w:rsid w:val="00D07115"/>
    <w:rsid w:val="00D07A3E"/>
    <w:rsid w:val="00D07F26"/>
    <w:rsid w:val="00D07F8B"/>
    <w:rsid w:val="00D1052F"/>
    <w:rsid w:val="00D1061C"/>
    <w:rsid w:val="00D1138E"/>
    <w:rsid w:val="00D12353"/>
    <w:rsid w:val="00D132D5"/>
    <w:rsid w:val="00D1330D"/>
    <w:rsid w:val="00D136BC"/>
    <w:rsid w:val="00D13708"/>
    <w:rsid w:val="00D13E20"/>
    <w:rsid w:val="00D151A3"/>
    <w:rsid w:val="00D1550A"/>
    <w:rsid w:val="00D1611D"/>
    <w:rsid w:val="00D166A2"/>
    <w:rsid w:val="00D16A15"/>
    <w:rsid w:val="00D16CA7"/>
    <w:rsid w:val="00D17ADA"/>
    <w:rsid w:val="00D2031D"/>
    <w:rsid w:val="00D21620"/>
    <w:rsid w:val="00D218BC"/>
    <w:rsid w:val="00D21BA0"/>
    <w:rsid w:val="00D23665"/>
    <w:rsid w:val="00D237A7"/>
    <w:rsid w:val="00D23C4D"/>
    <w:rsid w:val="00D24328"/>
    <w:rsid w:val="00D24375"/>
    <w:rsid w:val="00D2475B"/>
    <w:rsid w:val="00D24E78"/>
    <w:rsid w:val="00D27109"/>
    <w:rsid w:val="00D27C0F"/>
    <w:rsid w:val="00D27C6B"/>
    <w:rsid w:val="00D3158C"/>
    <w:rsid w:val="00D3164A"/>
    <w:rsid w:val="00D32184"/>
    <w:rsid w:val="00D331E4"/>
    <w:rsid w:val="00D3360A"/>
    <w:rsid w:val="00D348A2"/>
    <w:rsid w:val="00D35607"/>
    <w:rsid w:val="00D356A9"/>
    <w:rsid w:val="00D36B03"/>
    <w:rsid w:val="00D40472"/>
    <w:rsid w:val="00D413F0"/>
    <w:rsid w:val="00D41907"/>
    <w:rsid w:val="00D41AD0"/>
    <w:rsid w:val="00D431A7"/>
    <w:rsid w:val="00D43945"/>
    <w:rsid w:val="00D43ED0"/>
    <w:rsid w:val="00D44BAB"/>
    <w:rsid w:val="00D45FB8"/>
    <w:rsid w:val="00D50A0E"/>
    <w:rsid w:val="00D50BC9"/>
    <w:rsid w:val="00D50D8A"/>
    <w:rsid w:val="00D54685"/>
    <w:rsid w:val="00D5471A"/>
    <w:rsid w:val="00D54930"/>
    <w:rsid w:val="00D551C6"/>
    <w:rsid w:val="00D57841"/>
    <w:rsid w:val="00D57AC5"/>
    <w:rsid w:val="00D57D3E"/>
    <w:rsid w:val="00D612DC"/>
    <w:rsid w:val="00D61E93"/>
    <w:rsid w:val="00D6216B"/>
    <w:rsid w:val="00D62854"/>
    <w:rsid w:val="00D62D2B"/>
    <w:rsid w:val="00D64746"/>
    <w:rsid w:val="00D64D8F"/>
    <w:rsid w:val="00D6582E"/>
    <w:rsid w:val="00D6587B"/>
    <w:rsid w:val="00D65E38"/>
    <w:rsid w:val="00D67E86"/>
    <w:rsid w:val="00D70FE9"/>
    <w:rsid w:val="00D71BCD"/>
    <w:rsid w:val="00D72357"/>
    <w:rsid w:val="00D72625"/>
    <w:rsid w:val="00D72A7F"/>
    <w:rsid w:val="00D72DAB"/>
    <w:rsid w:val="00D72DEF"/>
    <w:rsid w:val="00D7331B"/>
    <w:rsid w:val="00D74123"/>
    <w:rsid w:val="00D74161"/>
    <w:rsid w:val="00D74FEF"/>
    <w:rsid w:val="00D761AD"/>
    <w:rsid w:val="00D76A84"/>
    <w:rsid w:val="00D76CFF"/>
    <w:rsid w:val="00D80F8E"/>
    <w:rsid w:val="00D81576"/>
    <w:rsid w:val="00D83BB5"/>
    <w:rsid w:val="00D83E55"/>
    <w:rsid w:val="00D84AD2"/>
    <w:rsid w:val="00D84B51"/>
    <w:rsid w:val="00D84C38"/>
    <w:rsid w:val="00D850D1"/>
    <w:rsid w:val="00D86261"/>
    <w:rsid w:val="00D86442"/>
    <w:rsid w:val="00D86888"/>
    <w:rsid w:val="00D8705E"/>
    <w:rsid w:val="00D87146"/>
    <w:rsid w:val="00D90033"/>
    <w:rsid w:val="00D901DE"/>
    <w:rsid w:val="00D91CE5"/>
    <w:rsid w:val="00D91E4D"/>
    <w:rsid w:val="00D91F1E"/>
    <w:rsid w:val="00D9286A"/>
    <w:rsid w:val="00D93DE5"/>
    <w:rsid w:val="00D94665"/>
    <w:rsid w:val="00D9477B"/>
    <w:rsid w:val="00D94E51"/>
    <w:rsid w:val="00D94FA0"/>
    <w:rsid w:val="00D95C5D"/>
    <w:rsid w:val="00D9685F"/>
    <w:rsid w:val="00D9789A"/>
    <w:rsid w:val="00DA02D5"/>
    <w:rsid w:val="00DA43B2"/>
    <w:rsid w:val="00DA4F40"/>
    <w:rsid w:val="00DA50A1"/>
    <w:rsid w:val="00DA5617"/>
    <w:rsid w:val="00DA5849"/>
    <w:rsid w:val="00DA6E5D"/>
    <w:rsid w:val="00DA6F71"/>
    <w:rsid w:val="00DA7772"/>
    <w:rsid w:val="00DB11BE"/>
    <w:rsid w:val="00DB160C"/>
    <w:rsid w:val="00DB1B18"/>
    <w:rsid w:val="00DB2F3D"/>
    <w:rsid w:val="00DB3569"/>
    <w:rsid w:val="00DB3954"/>
    <w:rsid w:val="00DB455A"/>
    <w:rsid w:val="00DB4F16"/>
    <w:rsid w:val="00DB5DC9"/>
    <w:rsid w:val="00DB627D"/>
    <w:rsid w:val="00DB66CF"/>
    <w:rsid w:val="00DB6CEE"/>
    <w:rsid w:val="00DB789B"/>
    <w:rsid w:val="00DB7DF0"/>
    <w:rsid w:val="00DB7E30"/>
    <w:rsid w:val="00DC0CCE"/>
    <w:rsid w:val="00DC0E48"/>
    <w:rsid w:val="00DC161A"/>
    <w:rsid w:val="00DC31FC"/>
    <w:rsid w:val="00DC51BB"/>
    <w:rsid w:val="00DC526C"/>
    <w:rsid w:val="00DC55B4"/>
    <w:rsid w:val="00DC55D8"/>
    <w:rsid w:val="00DC56FF"/>
    <w:rsid w:val="00DC5CDF"/>
    <w:rsid w:val="00DC7B89"/>
    <w:rsid w:val="00DD06C5"/>
    <w:rsid w:val="00DD0856"/>
    <w:rsid w:val="00DD09CC"/>
    <w:rsid w:val="00DD0CD5"/>
    <w:rsid w:val="00DD20FB"/>
    <w:rsid w:val="00DD2D98"/>
    <w:rsid w:val="00DD2EA1"/>
    <w:rsid w:val="00DD305E"/>
    <w:rsid w:val="00DD30A1"/>
    <w:rsid w:val="00DD33D2"/>
    <w:rsid w:val="00DD37C8"/>
    <w:rsid w:val="00DD3922"/>
    <w:rsid w:val="00DD48E5"/>
    <w:rsid w:val="00DD52D5"/>
    <w:rsid w:val="00DD5493"/>
    <w:rsid w:val="00DD556C"/>
    <w:rsid w:val="00DD55AE"/>
    <w:rsid w:val="00DD5A29"/>
    <w:rsid w:val="00DD6B98"/>
    <w:rsid w:val="00DD7B03"/>
    <w:rsid w:val="00DE02A2"/>
    <w:rsid w:val="00DE17C9"/>
    <w:rsid w:val="00DE2BE3"/>
    <w:rsid w:val="00DE5A3D"/>
    <w:rsid w:val="00DE65C8"/>
    <w:rsid w:val="00DE6E94"/>
    <w:rsid w:val="00DE7558"/>
    <w:rsid w:val="00DE755B"/>
    <w:rsid w:val="00DF02DF"/>
    <w:rsid w:val="00DF04F8"/>
    <w:rsid w:val="00DF0FB2"/>
    <w:rsid w:val="00DF1547"/>
    <w:rsid w:val="00DF181D"/>
    <w:rsid w:val="00DF1D10"/>
    <w:rsid w:val="00DF2431"/>
    <w:rsid w:val="00DF5F2F"/>
    <w:rsid w:val="00DF63AB"/>
    <w:rsid w:val="00DF63FC"/>
    <w:rsid w:val="00DF7045"/>
    <w:rsid w:val="00DF7B23"/>
    <w:rsid w:val="00DF7EFC"/>
    <w:rsid w:val="00E001BE"/>
    <w:rsid w:val="00E017C0"/>
    <w:rsid w:val="00E01B53"/>
    <w:rsid w:val="00E01ECC"/>
    <w:rsid w:val="00E04249"/>
    <w:rsid w:val="00E04352"/>
    <w:rsid w:val="00E04880"/>
    <w:rsid w:val="00E065A6"/>
    <w:rsid w:val="00E079B4"/>
    <w:rsid w:val="00E1049E"/>
    <w:rsid w:val="00E10D7C"/>
    <w:rsid w:val="00E114D1"/>
    <w:rsid w:val="00E11748"/>
    <w:rsid w:val="00E11BBD"/>
    <w:rsid w:val="00E11D60"/>
    <w:rsid w:val="00E1234A"/>
    <w:rsid w:val="00E131BA"/>
    <w:rsid w:val="00E1336B"/>
    <w:rsid w:val="00E143B9"/>
    <w:rsid w:val="00E14A70"/>
    <w:rsid w:val="00E155F8"/>
    <w:rsid w:val="00E157FC"/>
    <w:rsid w:val="00E16378"/>
    <w:rsid w:val="00E16A60"/>
    <w:rsid w:val="00E17AC2"/>
    <w:rsid w:val="00E17EE1"/>
    <w:rsid w:val="00E200EF"/>
    <w:rsid w:val="00E21027"/>
    <w:rsid w:val="00E225D5"/>
    <w:rsid w:val="00E22AC3"/>
    <w:rsid w:val="00E2307A"/>
    <w:rsid w:val="00E243E8"/>
    <w:rsid w:val="00E250CC"/>
    <w:rsid w:val="00E25B3C"/>
    <w:rsid w:val="00E25F04"/>
    <w:rsid w:val="00E27182"/>
    <w:rsid w:val="00E27F3E"/>
    <w:rsid w:val="00E30B9E"/>
    <w:rsid w:val="00E31657"/>
    <w:rsid w:val="00E32111"/>
    <w:rsid w:val="00E326DF"/>
    <w:rsid w:val="00E3455B"/>
    <w:rsid w:val="00E34987"/>
    <w:rsid w:val="00E34CAC"/>
    <w:rsid w:val="00E353BE"/>
    <w:rsid w:val="00E35D0B"/>
    <w:rsid w:val="00E37483"/>
    <w:rsid w:val="00E403A5"/>
    <w:rsid w:val="00E4137D"/>
    <w:rsid w:val="00E41CE8"/>
    <w:rsid w:val="00E41DF4"/>
    <w:rsid w:val="00E42220"/>
    <w:rsid w:val="00E42F33"/>
    <w:rsid w:val="00E43571"/>
    <w:rsid w:val="00E43D24"/>
    <w:rsid w:val="00E453A6"/>
    <w:rsid w:val="00E46232"/>
    <w:rsid w:val="00E47916"/>
    <w:rsid w:val="00E50183"/>
    <w:rsid w:val="00E501DF"/>
    <w:rsid w:val="00E50F33"/>
    <w:rsid w:val="00E517C4"/>
    <w:rsid w:val="00E5202D"/>
    <w:rsid w:val="00E52467"/>
    <w:rsid w:val="00E52951"/>
    <w:rsid w:val="00E53F24"/>
    <w:rsid w:val="00E56635"/>
    <w:rsid w:val="00E5685C"/>
    <w:rsid w:val="00E56885"/>
    <w:rsid w:val="00E57443"/>
    <w:rsid w:val="00E60CC7"/>
    <w:rsid w:val="00E6110E"/>
    <w:rsid w:val="00E62364"/>
    <w:rsid w:val="00E6457F"/>
    <w:rsid w:val="00E65219"/>
    <w:rsid w:val="00E65592"/>
    <w:rsid w:val="00E6663A"/>
    <w:rsid w:val="00E6698F"/>
    <w:rsid w:val="00E711BF"/>
    <w:rsid w:val="00E72C6D"/>
    <w:rsid w:val="00E73E63"/>
    <w:rsid w:val="00E74C26"/>
    <w:rsid w:val="00E75A2E"/>
    <w:rsid w:val="00E76616"/>
    <w:rsid w:val="00E76765"/>
    <w:rsid w:val="00E77A80"/>
    <w:rsid w:val="00E77D56"/>
    <w:rsid w:val="00E77E8C"/>
    <w:rsid w:val="00E814EC"/>
    <w:rsid w:val="00E820D6"/>
    <w:rsid w:val="00E853BE"/>
    <w:rsid w:val="00E867A3"/>
    <w:rsid w:val="00E87151"/>
    <w:rsid w:val="00E87483"/>
    <w:rsid w:val="00E90A42"/>
    <w:rsid w:val="00E91AB6"/>
    <w:rsid w:val="00E94D05"/>
    <w:rsid w:val="00E95380"/>
    <w:rsid w:val="00E95E6E"/>
    <w:rsid w:val="00E962BA"/>
    <w:rsid w:val="00E974E1"/>
    <w:rsid w:val="00EA05CD"/>
    <w:rsid w:val="00EA074E"/>
    <w:rsid w:val="00EA1791"/>
    <w:rsid w:val="00EA20BD"/>
    <w:rsid w:val="00EA2113"/>
    <w:rsid w:val="00EA213E"/>
    <w:rsid w:val="00EA2306"/>
    <w:rsid w:val="00EA243B"/>
    <w:rsid w:val="00EA25E4"/>
    <w:rsid w:val="00EA56E3"/>
    <w:rsid w:val="00EA61E8"/>
    <w:rsid w:val="00EA703E"/>
    <w:rsid w:val="00EA7934"/>
    <w:rsid w:val="00EB00A3"/>
    <w:rsid w:val="00EB03DC"/>
    <w:rsid w:val="00EB15F0"/>
    <w:rsid w:val="00EB251B"/>
    <w:rsid w:val="00EB31D9"/>
    <w:rsid w:val="00EB3206"/>
    <w:rsid w:val="00EB3307"/>
    <w:rsid w:val="00EB3797"/>
    <w:rsid w:val="00EB399C"/>
    <w:rsid w:val="00EB497C"/>
    <w:rsid w:val="00EB49BD"/>
    <w:rsid w:val="00EB634B"/>
    <w:rsid w:val="00EB6440"/>
    <w:rsid w:val="00EB6798"/>
    <w:rsid w:val="00EB7138"/>
    <w:rsid w:val="00EB7AE4"/>
    <w:rsid w:val="00EC0AFE"/>
    <w:rsid w:val="00EC219F"/>
    <w:rsid w:val="00EC2576"/>
    <w:rsid w:val="00EC29CB"/>
    <w:rsid w:val="00EC2DFD"/>
    <w:rsid w:val="00EC34DF"/>
    <w:rsid w:val="00EC4699"/>
    <w:rsid w:val="00EC5167"/>
    <w:rsid w:val="00EC7DB9"/>
    <w:rsid w:val="00EC7DDC"/>
    <w:rsid w:val="00ED03A4"/>
    <w:rsid w:val="00ED0DA9"/>
    <w:rsid w:val="00ED0FB1"/>
    <w:rsid w:val="00ED23D3"/>
    <w:rsid w:val="00ED465A"/>
    <w:rsid w:val="00ED49C3"/>
    <w:rsid w:val="00ED50A0"/>
    <w:rsid w:val="00ED61FE"/>
    <w:rsid w:val="00ED6989"/>
    <w:rsid w:val="00ED6E44"/>
    <w:rsid w:val="00EE0846"/>
    <w:rsid w:val="00EE12C8"/>
    <w:rsid w:val="00EE132C"/>
    <w:rsid w:val="00EE27D4"/>
    <w:rsid w:val="00EE2EB7"/>
    <w:rsid w:val="00EE43D5"/>
    <w:rsid w:val="00EE5E76"/>
    <w:rsid w:val="00EE6DE2"/>
    <w:rsid w:val="00EE74D9"/>
    <w:rsid w:val="00EE79A9"/>
    <w:rsid w:val="00EF00EE"/>
    <w:rsid w:val="00EF11F2"/>
    <w:rsid w:val="00EF3023"/>
    <w:rsid w:val="00EF369F"/>
    <w:rsid w:val="00EF5601"/>
    <w:rsid w:val="00EF7E61"/>
    <w:rsid w:val="00F011C4"/>
    <w:rsid w:val="00F024F9"/>
    <w:rsid w:val="00F0330E"/>
    <w:rsid w:val="00F04055"/>
    <w:rsid w:val="00F040CF"/>
    <w:rsid w:val="00F05628"/>
    <w:rsid w:val="00F071B5"/>
    <w:rsid w:val="00F07D63"/>
    <w:rsid w:val="00F07F36"/>
    <w:rsid w:val="00F10581"/>
    <w:rsid w:val="00F10AA1"/>
    <w:rsid w:val="00F1112A"/>
    <w:rsid w:val="00F11420"/>
    <w:rsid w:val="00F116F2"/>
    <w:rsid w:val="00F12035"/>
    <w:rsid w:val="00F127E2"/>
    <w:rsid w:val="00F12E80"/>
    <w:rsid w:val="00F13AD6"/>
    <w:rsid w:val="00F13BA5"/>
    <w:rsid w:val="00F14E98"/>
    <w:rsid w:val="00F156AD"/>
    <w:rsid w:val="00F15FBE"/>
    <w:rsid w:val="00F16568"/>
    <w:rsid w:val="00F17140"/>
    <w:rsid w:val="00F17FC6"/>
    <w:rsid w:val="00F2005A"/>
    <w:rsid w:val="00F20792"/>
    <w:rsid w:val="00F20AD0"/>
    <w:rsid w:val="00F21210"/>
    <w:rsid w:val="00F2197B"/>
    <w:rsid w:val="00F21A65"/>
    <w:rsid w:val="00F22458"/>
    <w:rsid w:val="00F24D36"/>
    <w:rsid w:val="00F25571"/>
    <w:rsid w:val="00F25D40"/>
    <w:rsid w:val="00F26677"/>
    <w:rsid w:val="00F26AC6"/>
    <w:rsid w:val="00F271C4"/>
    <w:rsid w:val="00F3055F"/>
    <w:rsid w:val="00F32BBE"/>
    <w:rsid w:val="00F33A45"/>
    <w:rsid w:val="00F3484A"/>
    <w:rsid w:val="00F34B1E"/>
    <w:rsid w:val="00F34D08"/>
    <w:rsid w:val="00F40BA1"/>
    <w:rsid w:val="00F40C95"/>
    <w:rsid w:val="00F40D74"/>
    <w:rsid w:val="00F41AA9"/>
    <w:rsid w:val="00F42673"/>
    <w:rsid w:val="00F427C1"/>
    <w:rsid w:val="00F432A6"/>
    <w:rsid w:val="00F43828"/>
    <w:rsid w:val="00F441B9"/>
    <w:rsid w:val="00F44F35"/>
    <w:rsid w:val="00F45CCF"/>
    <w:rsid w:val="00F45E88"/>
    <w:rsid w:val="00F46913"/>
    <w:rsid w:val="00F46E38"/>
    <w:rsid w:val="00F47FBB"/>
    <w:rsid w:val="00F507F0"/>
    <w:rsid w:val="00F50A2F"/>
    <w:rsid w:val="00F52297"/>
    <w:rsid w:val="00F52DC5"/>
    <w:rsid w:val="00F53148"/>
    <w:rsid w:val="00F54401"/>
    <w:rsid w:val="00F561D1"/>
    <w:rsid w:val="00F56AE3"/>
    <w:rsid w:val="00F56FE6"/>
    <w:rsid w:val="00F57817"/>
    <w:rsid w:val="00F578F7"/>
    <w:rsid w:val="00F57961"/>
    <w:rsid w:val="00F57B3B"/>
    <w:rsid w:val="00F57D90"/>
    <w:rsid w:val="00F608BF"/>
    <w:rsid w:val="00F60B33"/>
    <w:rsid w:val="00F60E2F"/>
    <w:rsid w:val="00F618F8"/>
    <w:rsid w:val="00F622AD"/>
    <w:rsid w:val="00F63129"/>
    <w:rsid w:val="00F6456C"/>
    <w:rsid w:val="00F64F89"/>
    <w:rsid w:val="00F65756"/>
    <w:rsid w:val="00F6634B"/>
    <w:rsid w:val="00F66B76"/>
    <w:rsid w:val="00F67B7D"/>
    <w:rsid w:val="00F703C2"/>
    <w:rsid w:val="00F71AFA"/>
    <w:rsid w:val="00F72E90"/>
    <w:rsid w:val="00F73834"/>
    <w:rsid w:val="00F739C0"/>
    <w:rsid w:val="00F73AF2"/>
    <w:rsid w:val="00F74E68"/>
    <w:rsid w:val="00F75CCD"/>
    <w:rsid w:val="00F75D98"/>
    <w:rsid w:val="00F76816"/>
    <w:rsid w:val="00F80833"/>
    <w:rsid w:val="00F8154A"/>
    <w:rsid w:val="00F83129"/>
    <w:rsid w:val="00F84400"/>
    <w:rsid w:val="00F845DD"/>
    <w:rsid w:val="00F84E2C"/>
    <w:rsid w:val="00F84F04"/>
    <w:rsid w:val="00F8511E"/>
    <w:rsid w:val="00F851C1"/>
    <w:rsid w:val="00F85A0B"/>
    <w:rsid w:val="00F87636"/>
    <w:rsid w:val="00F9064C"/>
    <w:rsid w:val="00F91BE1"/>
    <w:rsid w:val="00F91EBE"/>
    <w:rsid w:val="00F91F93"/>
    <w:rsid w:val="00F9308D"/>
    <w:rsid w:val="00F93750"/>
    <w:rsid w:val="00F95AA6"/>
    <w:rsid w:val="00F95D5C"/>
    <w:rsid w:val="00F95DDB"/>
    <w:rsid w:val="00F961F9"/>
    <w:rsid w:val="00F973C1"/>
    <w:rsid w:val="00F97951"/>
    <w:rsid w:val="00F9796B"/>
    <w:rsid w:val="00F97B01"/>
    <w:rsid w:val="00FA0266"/>
    <w:rsid w:val="00FA3D9E"/>
    <w:rsid w:val="00FA46EB"/>
    <w:rsid w:val="00FA47A9"/>
    <w:rsid w:val="00FA51CB"/>
    <w:rsid w:val="00FA662F"/>
    <w:rsid w:val="00FA6961"/>
    <w:rsid w:val="00FA7DA2"/>
    <w:rsid w:val="00FA7EEF"/>
    <w:rsid w:val="00FB0C03"/>
    <w:rsid w:val="00FB10A1"/>
    <w:rsid w:val="00FB2CF3"/>
    <w:rsid w:val="00FB3CF9"/>
    <w:rsid w:val="00FB51D0"/>
    <w:rsid w:val="00FB5BCF"/>
    <w:rsid w:val="00FB7A2B"/>
    <w:rsid w:val="00FC074B"/>
    <w:rsid w:val="00FC0AE1"/>
    <w:rsid w:val="00FC3454"/>
    <w:rsid w:val="00FC4275"/>
    <w:rsid w:val="00FC619E"/>
    <w:rsid w:val="00FC69F2"/>
    <w:rsid w:val="00FD19B3"/>
    <w:rsid w:val="00FD2A0B"/>
    <w:rsid w:val="00FD2B88"/>
    <w:rsid w:val="00FD3241"/>
    <w:rsid w:val="00FD4173"/>
    <w:rsid w:val="00FD68A0"/>
    <w:rsid w:val="00FD69FA"/>
    <w:rsid w:val="00FD6D91"/>
    <w:rsid w:val="00FD7379"/>
    <w:rsid w:val="00FE05D4"/>
    <w:rsid w:val="00FE0E9B"/>
    <w:rsid w:val="00FE1EEC"/>
    <w:rsid w:val="00FE28F7"/>
    <w:rsid w:val="00FE2AD9"/>
    <w:rsid w:val="00FE4018"/>
    <w:rsid w:val="00FE4339"/>
    <w:rsid w:val="00FE4A2E"/>
    <w:rsid w:val="00FE55C3"/>
    <w:rsid w:val="00FE6071"/>
    <w:rsid w:val="00FE71DA"/>
    <w:rsid w:val="00FE7B4B"/>
    <w:rsid w:val="00FF190D"/>
    <w:rsid w:val="00FF21CB"/>
    <w:rsid w:val="00FF2A36"/>
    <w:rsid w:val="00FF2AF9"/>
    <w:rsid w:val="00FF37E4"/>
    <w:rsid w:val="00FF3CC7"/>
    <w:rsid w:val="00FF3D6A"/>
    <w:rsid w:val="00FF4799"/>
    <w:rsid w:val="00FF4FC1"/>
    <w:rsid w:val="00FF61EC"/>
    <w:rsid w:val="00FF61F3"/>
    <w:rsid w:val="00FF6512"/>
    <w:rsid w:val="00FF6A2D"/>
    <w:rsid w:val="00FF7B52"/>
    <w:rsid w:val="00FF7FBA"/>
    <w:rsid w:val="04762C49"/>
    <w:rsid w:val="340C6869"/>
    <w:rsid w:val="357701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9CBEE0" fill="t" stroke="t">
      <v:fill on="t" focussize="0,0"/>
      <v:stroke weight="1pt"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unhideWhenUsed="0" w:uiPriority="0" w:semiHidden="0" w:name="Strong" w:locked="1"/>
    <w:lsdException w:unhideWhenUsed="0" w:uiPriority="2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720"/>
      </w:tabs>
      <w:spacing w:line="360" w:lineRule="auto"/>
      <w:jc w:val="both"/>
    </w:pPr>
    <w:rPr>
      <w:rFonts w:ascii="Times New Roman" w:hAnsi="Times New Roman" w:eastAsia="宋体" w:cs="Times New Roman"/>
      <w:kern w:val="2"/>
      <w:sz w:val="21"/>
      <w:szCs w:val="21"/>
      <w:lang w:val="en-US" w:eastAsia="zh-CN" w:bidi="ar-SA"/>
    </w:rPr>
  </w:style>
  <w:style w:type="paragraph" w:styleId="2">
    <w:name w:val="heading 1"/>
    <w:basedOn w:val="3"/>
    <w:next w:val="1"/>
    <w:link w:val="43"/>
    <w:autoRedefine/>
    <w:qFormat/>
    <w:uiPriority w:val="9"/>
    <w:pPr>
      <w:numPr>
        <w:ilvl w:val="0"/>
        <w:numId w:val="1"/>
      </w:numPr>
      <w:tabs>
        <w:tab w:val="left" w:pos="425"/>
        <w:tab w:val="clear" w:pos="2694"/>
      </w:tabs>
      <w:spacing w:line="360" w:lineRule="auto"/>
      <w:ind w:left="487" w:hanging="487" w:hangingChars="202"/>
      <w:jc w:val="center"/>
      <w:outlineLvl w:val="0"/>
    </w:pPr>
    <w:rPr>
      <w:b w:val="0"/>
    </w:rPr>
  </w:style>
  <w:style w:type="paragraph" w:styleId="4">
    <w:name w:val="heading 2"/>
    <w:basedOn w:val="3"/>
    <w:next w:val="1"/>
    <w:link w:val="69"/>
    <w:autoRedefine/>
    <w:unhideWhenUsed/>
    <w:qFormat/>
    <w:locked/>
    <w:uiPriority w:val="0"/>
    <w:pPr>
      <w:spacing w:line="360" w:lineRule="auto"/>
      <w:ind w:left="426" w:hanging="426"/>
      <w:jc w:val="center"/>
      <w:outlineLvl w:val="1"/>
    </w:pPr>
    <w:rPr>
      <w:rFonts w:ascii="Times"/>
      <w:b w:val="0"/>
      <w:sz w:val="21"/>
    </w:rPr>
  </w:style>
  <w:style w:type="paragraph" w:styleId="5">
    <w:name w:val="heading 3"/>
    <w:basedOn w:val="1"/>
    <w:next w:val="1"/>
    <w:link w:val="64"/>
    <w:unhideWhenUsed/>
    <w:qFormat/>
    <w:locked/>
    <w:uiPriority w:val="0"/>
    <w:pPr>
      <w:keepNext/>
      <w:keepLines/>
      <w:spacing w:before="260" w:after="260" w:line="416" w:lineRule="auto"/>
      <w:outlineLvl w:val="2"/>
    </w:pPr>
    <w:rPr>
      <w:b/>
      <w:bCs/>
      <w:sz w:val="32"/>
      <w:szCs w:val="32"/>
    </w:rPr>
  </w:style>
  <w:style w:type="paragraph" w:styleId="6">
    <w:name w:val="heading 9"/>
    <w:basedOn w:val="1"/>
    <w:next w:val="1"/>
    <w:link w:val="70"/>
    <w:qFormat/>
    <w:locked/>
    <w:uiPriority w:val="0"/>
    <w:pPr>
      <w:keepNext/>
      <w:keepLines/>
      <w:tabs>
        <w:tab w:val="clear" w:pos="720"/>
      </w:tabs>
      <w:spacing w:before="240" w:after="64" w:line="320" w:lineRule="auto"/>
      <w:outlineLvl w:val="8"/>
    </w:pPr>
    <w:rPr>
      <w:rFonts w:ascii="Arial" w:hAnsi="Arial" w:eastAsia="黑体"/>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qFormat/>
    <w:uiPriority w:val="39"/>
    <w:pPr>
      <w:tabs>
        <w:tab w:val="clear" w:pos="720"/>
      </w:tabs>
      <w:spacing w:before="120" w:after="120" w:line="240" w:lineRule="auto"/>
      <w:jc w:val="left"/>
    </w:pPr>
    <w:rPr>
      <w:rFonts w:asciiTheme="minorHAnsi" w:hAnsiTheme="minorHAnsi"/>
      <w:b/>
      <w:bCs/>
      <w:caps/>
      <w:sz w:val="24"/>
      <w:szCs w:val="20"/>
    </w:rPr>
  </w:style>
  <w:style w:type="paragraph" w:styleId="7">
    <w:name w:val="toc 7"/>
    <w:basedOn w:val="1"/>
    <w:next w:val="1"/>
    <w:autoRedefine/>
    <w:unhideWhenUsed/>
    <w:uiPriority w:val="39"/>
    <w:pPr>
      <w:tabs>
        <w:tab w:val="clear" w:pos="720"/>
      </w:tabs>
      <w:ind w:left="1260"/>
      <w:jc w:val="left"/>
    </w:pPr>
    <w:rPr>
      <w:rFonts w:asciiTheme="minorHAnsi" w:hAnsiTheme="minorHAnsi"/>
      <w:sz w:val="18"/>
      <w:szCs w:val="18"/>
    </w:rPr>
  </w:style>
  <w:style w:type="paragraph" w:styleId="8">
    <w:name w:val="Document Map"/>
    <w:basedOn w:val="1"/>
    <w:link w:val="49"/>
    <w:semiHidden/>
    <w:qFormat/>
    <w:uiPriority w:val="99"/>
    <w:pPr>
      <w:shd w:val="clear" w:color="auto" w:fill="000080"/>
    </w:pPr>
    <w:rPr>
      <w:kern w:val="0"/>
      <w:sz w:val="24"/>
      <w:lang w:val="zh-CN"/>
    </w:rPr>
  </w:style>
  <w:style w:type="paragraph" w:styleId="9">
    <w:name w:val="annotation text"/>
    <w:basedOn w:val="1"/>
    <w:link w:val="54"/>
    <w:semiHidden/>
    <w:qFormat/>
    <w:uiPriority w:val="99"/>
    <w:pPr>
      <w:jc w:val="left"/>
    </w:pPr>
    <w:rPr>
      <w:sz w:val="24"/>
      <w:szCs w:val="20"/>
    </w:rPr>
  </w:style>
  <w:style w:type="paragraph" w:styleId="10">
    <w:name w:val="Body Text Indent"/>
    <w:basedOn w:val="1"/>
    <w:link w:val="48"/>
    <w:qFormat/>
    <w:uiPriority w:val="99"/>
    <w:pPr>
      <w:adjustRightInd w:val="0"/>
      <w:spacing w:line="360" w:lineRule="exact"/>
      <w:ind w:firstLine="680"/>
      <w:jc w:val="left"/>
      <w:textAlignment w:val="baseline"/>
    </w:pPr>
    <w:rPr>
      <w:rFonts w:eastAsia="楷体_GB2312"/>
      <w:spacing w:val="20"/>
      <w:kern w:val="0"/>
      <w:sz w:val="28"/>
      <w:szCs w:val="20"/>
    </w:rPr>
  </w:style>
  <w:style w:type="paragraph" w:styleId="11">
    <w:name w:val="toc 5"/>
    <w:basedOn w:val="1"/>
    <w:next w:val="1"/>
    <w:autoRedefine/>
    <w:unhideWhenUsed/>
    <w:uiPriority w:val="39"/>
    <w:pPr>
      <w:tabs>
        <w:tab w:val="clear" w:pos="720"/>
      </w:tabs>
      <w:ind w:left="840"/>
      <w:jc w:val="left"/>
    </w:pPr>
    <w:rPr>
      <w:rFonts w:asciiTheme="minorHAnsi" w:hAnsiTheme="minorHAnsi"/>
      <w:sz w:val="18"/>
      <w:szCs w:val="18"/>
    </w:rPr>
  </w:style>
  <w:style w:type="paragraph" w:styleId="12">
    <w:name w:val="toc 3"/>
    <w:basedOn w:val="1"/>
    <w:next w:val="1"/>
    <w:autoRedefine/>
    <w:unhideWhenUsed/>
    <w:qFormat/>
    <w:uiPriority w:val="39"/>
    <w:pPr>
      <w:tabs>
        <w:tab w:val="clear" w:pos="720"/>
      </w:tabs>
      <w:ind w:left="420"/>
      <w:jc w:val="left"/>
    </w:pPr>
    <w:rPr>
      <w:rFonts w:asciiTheme="minorHAnsi" w:hAnsiTheme="minorHAnsi"/>
      <w:i/>
      <w:iCs/>
      <w:sz w:val="20"/>
      <w:szCs w:val="20"/>
    </w:rPr>
  </w:style>
  <w:style w:type="paragraph" w:styleId="13">
    <w:name w:val="toc 8"/>
    <w:basedOn w:val="1"/>
    <w:next w:val="1"/>
    <w:autoRedefine/>
    <w:unhideWhenUsed/>
    <w:uiPriority w:val="39"/>
    <w:pPr>
      <w:tabs>
        <w:tab w:val="clear" w:pos="720"/>
      </w:tabs>
      <w:ind w:left="1470"/>
      <w:jc w:val="left"/>
    </w:pPr>
    <w:rPr>
      <w:rFonts w:asciiTheme="minorHAnsi" w:hAnsiTheme="minorHAnsi"/>
      <w:sz w:val="18"/>
      <w:szCs w:val="18"/>
    </w:rPr>
  </w:style>
  <w:style w:type="paragraph" w:styleId="14">
    <w:name w:val="Date"/>
    <w:basedOn w:val="1"/>
    <w:next w:val="1"/>
    <w:link w:val="53"/>
    <w:qFormat/>
    <w:uiPriority w:val="99"/>
    <w:pPr>
      <w:ind w:left="100" w:leftChars="2500"/>
    </w:pPr>
    <w:rPr>
      <w:rFonts w:ascii="Calibri" w:hAnsi="Calibri"/>
      <w:sz w:val="22"/>
      <w:szCs w:val="20"/>
      <w:lang w:val="zh-CN"/>
    </w:rPr>
  </w:style>
  <w:style w:type="paragraph" w:styleId="15">
    <w:name w:val="Balloon Text"/>
    <w:basedOn w:val="1"/>
    <w:link w:val="52"/>
    <w:semiHidden/>
    <w:qFormat/>
    <w:uiPriority w:val="99"/>
    <w:rPr>
      <w:kern w:val="0"/>
      <w:sz w:val="16"/>
      <w:szCs w:val="16"/>
      <w:lang w:val="zh-CN"/>
    </w:rPr>
  </w:style>
  <w:style w:type="paragraph" w:styleId="16">
    <w:name w:val="footer"/>
    <w:basedOn w:val="1"/>
    <w:link w:val="45"/>
    <w:qFormat/>
    <w:uiPriority w:val="99"/>
    <w:pPr>
      <w:tabs>
        <w:tab w:val="center" w:pos="4153"/>
        <w:tab w:val="right" w:pos="8306"/>
      </w:tabs>
      <w:snapToGrid w:val="0"/>
      <w:jc w:val="left"/>
    </w:pPr>
    <w:rPr>
      <w:sz w:val="18"/>
      <w:szCs w:val="20"/>
      <w:lang w:val="zh-CN"/>
    </w:rPr>
  </w:style>
  <w:style w:type="paragraph" w:styleId="17">
    <w:name w:val="header"/>
    <w:basedOn w:val="1"/>
    <w:link w:val="44"/>
    <w:qFormat/>
    <w:uiPriority w:val="99"/>
    <w:pPr>
      <w:pBdr>
        <w:bottom w:val="single" w:color="auto" w:sz="6" w:space="1"/>
      </w:pBdr>
      <w:tabs>
        <w:tab w:val="center" w:pos="4153"/>
        <w:tab w:val="right" w:pos="8306"/>
      </w:tabs>
      <w:snapToGrid w:val="0"/>
      <w:jc w:val="center"/>
    </w:pPr>
    <w:rPr>
      <w:sz w:val="18"/>
      <w:szCs w:val="20"/>
      <w:lang w:val="zh-CN"/>
    </w:rPr>
  </w:style>
  <w:style w:type="paragraph" w:styleId="18">
    <w:name w:val="toc 4"/>
    <w:basedOn w:val="1"/>
    <w:next w:val="1"/>
    <w:autoRedefine/>
    <w:unhideWhenUsed/>
    <w:qFormat/>
    <w:uiPriority w:val="39"/>
    <w:pPr>
      <w:tabs>
        <w:tab w:val="clear" w:pos="720"/>
      </w:tabs>
      <w:ind w:left="630"/>
      <w:jc w:val="left"/>
    </w:pPr>
    <w:rPr>
      <w:rFonts w:asciiTheme="minorHAnsi" w:hAnsiTheme="minorHAnsi"/>
      <w:sz w:val="18"/>
      <w:szCs w:val="18"/>
    </w:rPr>
  </w:style>
  <w:style w:type="paragraph" w:styleId="19">
    <w:name w:val="toc 6"/>
    <w:basedOn w:val="1"/>
    <w:next w:val="1"/>
    <w:autoRedefine/>
    <w:unhideWhenUsed/>
    <w:uiPriority w:val="39"/>
    <w:pPr>
      <w:tabs>
        <w:tab w:val="clear" w:pos="720"/>
      </w:tabs>
      <w:ind w:left="1050"/>
      <w:jc w:val="left"/>
    </w:pPr>
    <w:rPr>
      <w:rFonts w:asciiTheme="minorHAnsi" w:hAnsiTheme="minorHAnsi"/>
      <w:sz w:val="18"/>
      <w:szCs w:val="18"/>
    </w:rPr>
  </w:style>
  <w:style w:type="paragraph" w:styleId="20">
    <w:name w:val="toc 2"/>
    <w:basedOn w:val="1"/>
    <w:next w:val="1"/>
    <w:qFormat/>
    <w:uiPriority w:val="39"/>
    <w:pPr>
      <w:tabs>
        <w:tab w:val="clear" w:pos="720"/>
      </w:tabs>
      <w:spacing w:line="240" w:lineRule="auto"/>
      <w:ind w:left="210"/>
      <w:jc w:val="left"/>
    </w:pPr>
    <w:rPr>
      <w:rFonts w:asciiTheme="minorHAnsi" w:hAnsiTheme="minorHAnsi"/>
      <w:smallCaps/>
      <w:szCs w:val="20"/>
    </w:rPr>
  </w:style>
  <w:style w:type="paragraph" w:styleId="21">
    <w:name w:val="toc 9"/>
    <w:basedOn w:val="1"/>
    <w:next w:val="1"/>
    <w:autoRedefine/>
    <w:unhideWhenUsed/>
    <w:uiPriority w:val="39"/>
    <w:pPr>
      <w:tabs>
        <w:tab w:val="clear" w:pos="720"/>
      </w:tabs>
      <w:ind w:left="1680"/>
      <w:jc w:val="left"/>
    </w:pPr>
    <w:rPr>
      <w:rFonts w:asciiTheme="minorHAnsi" w:hAnsiTheme="minorHAnsi"/>
      <w:sz w:val="18"/>
      <w:szCs w:val="18"/>
    </w:rPr>
  </w:style>
  <w:style w:type="paragraph" w:styleId="22">
    <w:name w:val="HTML Preformatted"/>
    <w:basedOn w:val="1"/>
    <w:link w:val="5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lang w:val="zh-CN"/>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9"/>
    <w:next w:val="9"/>
    <w:link w:val="51"/>
    <w:semiHidden/>
    <w:uiPriority w:val="99"/>
    <w:rPr>
      <w:b/>
      <w:bCs/>
      <w:szCs w:val="24"/>
    </w:rPr>
  </w:style>
  <w:style w:type="table" w:styleId="26">
    <w:name w:val="Table Grid"/>
    <w:basedOn w:val="2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99"/>
    <w:rPr>
      <w:rFonts w:cs="Times New Roman"/>
    </w:rPr>
  </w:style>
  <w:style w:type="character" w:styleId="29">
    <w:name w:val="Emphasis"/>
    <w:locked/>
    <w:uiPriority w:val="20"/>
    <w:rPr>
      <w:i/>
      <w:iCs/>
    </w:rPr>
  </w:style>
  <w:style w:type="character" w:styleId="30">
    <w:name w:val="Hyperlink"/>
    <w:qFormat/>
    <w:uiPriority w:val="99"/>
    <w:rPr>
      <w:rFonts w:cs="Times New Roman"/>
    </w:rPr>
  </w:style>
  <w:style w:type="character" w:styleId="31">
    <w:name w:val="annotation reference"/>
    <w:semiHidden/>
    <w:qFormat/>
    <w:uiPriority w:val="99"/>
    <w:rPr>
      <w:rFonts w:cs="Times New Roman"/>
      <w:sz w:val="21"/>
    </w:rPr>
  </w:style>
  <w:style w:type="paragraph" w:customStyle="1" w:styleId="32">
    <w:name w:val="Char3"/>
    <w:basedOn w:val="1"/>
    <w:qFormat/>
    <w:uiPriority w:val="99"/>
    <w:pPr>
      <w:spacing w:line="480" w:lineRule="exact"/>
    </w:pPr>
    <w:rPr>
      <w:sz w:val="24"/>
    </w:rPr>
  </w:style>
  <w:style w:type="paragraph" w:customStyle="1" w:styleId="33">
    <w:name w:val="样式 首行缩进:  2 字符"/>
    <w:basedOn w:val="1"/>
    <w:qFormat/>
    <w:uiPriority w:val="99"/>
    <w:pPr>
      <w:ind w:firstLine="200" w:firstLineChars="200"/>
    </w:pPr>
    <w:rPr>
      <w:rFonts w:cs="宋体"/>
      <w:sz w:val="24"/>
      <w:szCs w:val="20"/>
    </w:rPr>
  </w:style>
  <w:style w:type="paragraph" w:customStyle="1" w:styleId="34">
    <w:name w:val="Char3 Char Char Char Char Char Char"/>
    <w:basedOn w:val="1"/>
    <w:qFormat/>
    <w:uiPriority w:val="99"/>
    <w:pPr>
      <w:spacing w:line="480" w:lineRule="exact"/>
    </w:pPr>
    <w:rPr>
      <w:sz w:val="24"/>
    </w:rPr>
  </w:style>
  <w:style w:type="paragraph" w:customStyle="1" w:styleId="35">
    <w:name w:val="Char31"/>
    <w:basedOn w:val="1"/>
    <w:qFormat/>
    <w:uiPriority w:val="99"/>
    <w:pPr>
      <w:spacing w:line="480" w:lineRule="exact"/>
    </w:pPr>
    <w:rPr>
      <w:sz w:val="24"/>
    </w:rPr>
  </w:style>
  <w:style w:type="paragraph" w:customStyle="1" w:styleId="36">
    <w:name w:val="Char4"/>
    <w:basedOn w:val="1"/>
    <w:uiPriority w:val="99"/>
    <w:pPr>
      <w:spacing w:line="480" w:lineRule="exact"/>
    </w:pPr>
    <w:rPr>
      <w:sz w:val="24"/>
    </w:rPr>
  </w:style>
  <w:style w:type="paragraph" w:customStyle="1" w:styleId="37">
    <w:name w:val="Char1"/>
    <w:basedOn w:val="1"/>
    <w:uiPriority w:val="99"/>
    <w:pPr>
      <w:spacing w:line="480" w:lineRule="exact"/>
    </w:pPr>
    <w:rPr>
      <w:sz w:val="24"/>
    </w:rPr>
  </w:style>
  <w:style w:type="paragraph" w:customStyle="1" w:styleId="38">
    <w:name w:val="列出段落1"/>
    <w:basedOn w:val="1"/>
    <w:uiPriority w:val="99"/>
    <w:pPr>
      <w:ind w:firstLine="420" w:firstLineChars="200"/>
    </w:pPr>
    <w:rPr>
      <w:rFonts w:ascii="Calibri" w:hAnsi="Calibri"/>
      <w:szCs w:val="22"/>
    </w:rPr>
  </w:style>
  <w:style w:type="paragraph" w:customStyle="1" w:styleId="39">
    <w:name w:val="_Style 28"/>
    <w:basedOn w:val="1"/>
    <w:qFormat/>
    <w:uiPriority w:val="99"/>
    <w:pPr>
      <w:ind w:firstLine="420" w:firstLineChars="200"/>
    </w:pPr>
  </w:style>
  <w:style w:type="paragraph" w:customStyle="1" w:styleId="40">
    <w:name w:val="Style2"/>
    <w:basedOn w:val="1"/>
    <w:qFormat/>
    <w:uiPriority w:val="99"/>
    <w:pPr>
      <w:adjustRightInd w:val="0"/>
      <w:jc w:val="center"/>
    </w:pPr>
    <w:rPr>
      <w:rFonts w:ascii="宋体"/>
      <w:kern w:val="0"/>
      <w:sz w:val="24"/>
    </w:rPr>
  </w:style>
  <w:style w:type="paragraph" w:customStyle="1" w:styleId="41">
    <w:name w:val="Style23"/>
    <w:basedOn w:val="1"/>
    <w:qFormat/>
    <w:uiPriority w:val="0"/>
    <w:pPr>
      <w:adjustRightInd w:val="0"/>
      <w:spacing w:line="292" w:lineRule="exact"/>
    </w:pPr>
    <w:rPr>
      <w:rFonts w:ascii="宋体"/>
      <w:kern w:val="0"/>
      <w:sz w:val="24"/>
    </w:rPr>
  </w:style>
  <w:style w:type="paragraph" w:customStyle="1" w:styleId="42">
    <w:name w:val="_Style 31"/>
    <w:hidden/>
    <w:semiHidden/>
    <w:qFormat/>
    <w:uiPriority w:val="99"/>
    <w:rPr>
      <w:rFonts w:ascii="Times New Roman" w:hAnsi="Times New Roman" w:eastAsia="宋体" w:cs="Times New Roman"/>
      <w:kern w:val="2"/>
      <w:sz w:val="21"/>
      <w:szCs w:val="24"/>
      <w:lang w:val="en-US" w:eastAsia="zh-CN" w:bidi="ar-SA"/>
    </w:rPr>
  </w:style>
  <w:style w:type="character" w:customStyle="1" w:styleId="43">
    <w:name w:val="标题 1 Char"/>
    <w:link w:val="2"/>
    <w:qFormat/>
    <w:locked/>
    <w:uiPriority w:val="0"/>
    <w:rPr>
      <w:rFonts w:ascii="宋体" w:hAnsi="宋体" w:cs="宋体"/>
      <w:b/>
      <w:sz w:val="24"/>
      <w:szCs w:val="21"/>
    </w:rPr>
  </w:style>
  <w:style w:type="character" w:customStyle="1" w:styleId="44">
    <w:name w:val="页眉 Char"/>
    <w:link w:val="17"/>
    <w:qFormat/>
    <w:locked/>
    <w:uiPriority w:val="99"/>
    <w:rPr>
      <w:kern w:val="2"/>
      <w:sz w:val="18"/>
    </w:rPr>
  </w:style>
  <w:style w:type="character" w:customStyle="1" w:styleId="45">
    <w:name w:val="页脚 Char"/>
    <w:link w:val="16"/>
    <w:qFormat/>
    <w:locked/>
    <w:uiPriority w:val="99"/>
    <w:rPr>
      <w:kern w:val="2"/>
      <w:sz w:val="18"/>
    </w:rPr>
  </w:style>
  <w:style w:type="character" w:customStyle="1" w:styleId="46">
    <w:name w:val="dash6b63_6587__char1"/>
    <w:qFormat/>
    <w:uiPriority w:val="99"/>
    <w:rPr>
      <w:rFonts w:ascii="Times New Roman" w:hAnsi="Times New Roman"/>
      <w:sz w:val="20"/>
      <w:u w:val="none"/>
    </w:rPr>
  </w:style>
  <w:style w:type="character" w:customStyle="1" w:styleId="47">
    <w:name w:val="dash6b63_005f6587_005f_005fchar1__char1"/>
    <w:qFormat/>
    <w:uiPriority w:val="99"/>
    <w:rPr>
      <w:rFonts w:ascii="Times New Roman" w:hAnsi="Times New Roman"/>
      <w:sz w:val="20"/>
      <w:u w:val="none"/>
    </w:rPr>
  </w:style>
  <w:style w:type="character" w:customStyle="1" w:styleId="48">
    <w:name w:val="正文文本缩进 Char"/>
    <w:link w:val="10"/>
    <w:qFormat/>
    <w:locked/>
    <w:uiPriority w:val="99"/>
    <w:rPr>
      <w:rFonts w:eastAsia="楷体_GB2312"/>
      <w:spacing w:val="20"/>
      <w:sz w:val="28"/>
      <w:lang w:val="en-US" w:eastAsia="zh-CN"/>
    </w:rPr>
  </w:style>
  <w:style w:type="character" w:customStyle="1" w:styleId="49">
    <w:name w:val="文档结构图 Char"/>
    <w:link w:val="8"/>
    <w:semiHidden/>
    <w:qFormat/>
    <w:uiPriority w:val="99"/>
    <w:rPr>
      <w:sz w:val="24"/>
      <w:szCs w:val="24"/>
      <w:shd w:val="clear" w:color="auto" w:fill="000080"/>
    </w:rPr>
  </w:style>
  <w:style w:type="character" w:customStyle="1" w:styleId="50">
    <w:name w:val="Comment Text Char"/>
    <w:semiHidden/>
    <w:qFormat/>
    <w:locked/>
    <w:uiPriority w:val="99"/>
    <w:rPr>
      <w:rFonts w:eastAsia="宋体"/>
      <w:kern w:val="2"/>
      <w:sz w:val="24"/>
      <w:lang w:val="en-US" w:eastAsia="zh-CN"/>
    </w:rPr>
  </w:style>
  <w:style w:type="character" w:customStyle="1" w:styleId="51">
    <w:name w:val="批注主题 Char"/>
    <w:link w:val="24"/>
    <w:semiHidden/>
    <w:qFormat/>
    <w:uiPriority w:val="99"/>
    <w:rPr>
      <w:rFonts w:eastAsia="宋体"/>
      <w:b/>
      <w:bCs/>
      <w:kern w:val="2"/>
      <w:sz w:val="24"/>
      <w:szCs w:val="24"/>
      <w:lang w:val="en-US" w:eastAsia="zh-CN"/>
    </w:rPr>
  </w:style>
  <w:style w:type="character" w:customStyle="1" w:styleId="52">
    <w:name w:val="批注框文本 Char"/>
    <w:link w:val="15"/>
    <w:semiHidden/>
    <w:qFormat/>
    <w:uiPriority w:val="99"/>
    <w:rPr>
      <w:sz w:val="16"/>
      <w:szCs w:val="16"/>
    </w:rPr>
  </w:style>
  <w:style w:type="character" w:customStyle="1" w:styleId="53">
    <w:name w:val="日期 Char"/>
    <w:link w:val="14"/>
    <w:qFormat/>
    <w:locked/>
    <w:uiPriority w:val="99"/>
    <w:rPr>
      <w:rFonts w:ascii="Calibri" w:hAnsi="Calibri" w:eastAsia="宋体"/>
      <w:kern w:val="2"/>
      <w:sz w:val="22"/>
    </w:rPr>
  </w:style>
  <w:style w:type="character" w:customStyle="1" w:styleId="54">
    <w:name w:val="批注文字 Char"/>
    <w:link w:val="9"/>
    <w:semiHidden/>
    <w:qFormat/>
    <w:locked/>
    <w:uiPriority w:val="99"/>
    <w:rPr>
      <w:rFonts w:eastAsia="宋体"/>
      <w:kern w:val="2"/>
      <w:sz w:val="24"/>
      <w:lang w:val="en-US" w:eastAsia="zh-CN"/>
    </w:rPr>
  </w:style>
  <w:style w:type="character" w:customStyle="1" w:styleId="55">
    <w:name w:val="HTML 预设格式 Char"/>
    <w:link w:val="22"/>
    <w:qFormat/>
    <w:uiPriority w:val="99"/>
    <w:rPr>
      <w:rFonts w:ascii="Courier New" w:hAnsi="Courier New" w:cs="Courier New"/>
      <w:sz w:val="20"/>
      <w:szCs w:val="20"/>
    </w:rPr>
  </w:style>
  <w:style w:type="character" w:customStyle="1" w:styleId="56">
    <w:name w:val="Font Style68"/>
    <w:qFormat/>
    <w:uiPriority w:val="0"/>
    <w:rPr>
      <w:rFonts w:ascii="宋体" w:eastAsia="宋体" w:cs="宋体"/>
      <w:sz w:val="20"/>
      <w:szCs w:val="20"/>
    </w:rPr>
  </w:style>
  <w:style w:type="character" w:customStyle="1" w:styleId="57">
    <w:name w:val="Font Style96"/>
    <w:uiPriority w:val="0"/>
    <w:rPr>
      <w:rFonts w:ascii="MingLiU" w:eastAsia="MingLiU" w:cs="MingLiU"/>
      <w:b/>
      <w:bCs/>
      <w:spacing w:val="-10"/>
      <w:w w:val="300"/>
      <w:sz w:val="8"/>
      <w:szCs w:val="8"/>
    </w:rPr>
  </w:style>
  <w:style w:type="paragraph" w:customStyle="1" w:styleId="58">
    <w:name w:val="列出段落2"/>
    <w:basedOn w:val="1"/>
    <w:unhideWhenUsed/>
    <w:qFormat/>
    <w:uiPriority w:val="99"/>
    <w:pPr>
      <w:ind w:firstLine="420" w:firstLineChars="200"/>
    </w:pPr>
  </w:style>
  <w:style w:type="paragraph" w:customStyle="1" w:styleId="59">
    <w:name w:val="Style38"/>
    <w:basedOn w:val="1"/>
    <w:qFormat/>
    <w:uiPriority w:val="0"/>
    <w:pPr>
      <w:adjustRightInd w:val="0"/>
      <w:spacing w:line="305" w:lineRule="exact"/>
      <w:ind w:firstLine="422"/>
      <w:jc w:val="left"/>
    </w:pPr>
    <w:rPr>
      <w:rFonts w:ascii="宋体"/>
      <w:kern w:val="0"/>
      <w:sz w:val="24"/>
    </w:rPr>
  </w:style>
  <w:style w:type="paragraph" w:customStyle="1" w:styleId="60">
    <w:name w:val="TOC 标题1"/>
    <w:basedOn w:val="2"/>
    <w:next w:val="1"/>
    <w:unhideWhenUsed/>
    <w:qFormat/>
    <w:uiPriority w:val="39"/>
    <w:pPr>
      <w:outlineLvl w:val="9"/>
    </w:pPr>
  </w:style>
  <w:style w:type="character" w:customStyle="1" w:styleId="61">
    <w:name w:val="已访问的超链接1"/>
    <w:unhideWhenUsed/>
    <w:qFormat/>
    <w:uiPriority w:val="99"/>
    <w:rPr>
      <w:color w:val="800080"/>
      <w:u w:val="single"/>
    </w:rPr>
  </w:style>
  <w:style w:type="character" w:customStyle="1" w:styleId="62">
    <w:name w:val="op_dict_text1"/>
    <w:basedOn w:val="27"/>
    <w:uiPriority w:val="0"/>
  </w:style>
  <w:style w:type="character" w:customStyle="1" w:styleId="63">
    <w:name w:val="op_dict_text2"/>
    <w:basedOn w:val="27"/>
    <w:qFormat/>
    <w:uiPriority w:val="0"/>
  </w:style>
  <w:style w:type="character" w:customStyle="1" w:styleId="64">
    <w:name w:val="标题 3 Char"/>
    <w:link w:val="5"/>
    <w:semiHidden/>
    <w:qFormat/>
    <w:uiPriority w:val="0"/>
    <w:rPr>
      <w:b/>
      <w:bCs/>
      <w:kern w:val="2"/>
      <w:sz w:val="32"/>
      <w:szCs w:val="32"/>
    </w:rPr>
  </w:style>
  <w:style w:type="paragraph" w:customStyle="1" w:styleId="6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6">
    <w:name w:val="题1"/>
    <w:basedOn w:val="1"/>
    <w:uiPriority w:val="0"/>
    <w:pPr>
      <w:widowControl/>
      <w:adjustRightInd w:val="0"/>
      <w:snapToGrid w:val="0"/>
      <w:jc w:val="center"/>
      <w:outlineLvl w:val="0"/>
    </w:pPr>
    <w:rPr>
      <w:rFonts w:ascii="宋体" w:hAnsi="宋体" w:cs="Tahoma"/>
      <w:b/>
      <w:kern w:val="0"/>
      <w:sz w:val="24"/>
    </w:rPr>
  </w:style>
  <w:style w:type="paragraph" w:customStyle="1" w:styleId="67">
    <w:name w:val="题2"/>
    <w:basedOn w:val="1"/>
    <w:qFormat/>
    <w:uiPriority w:val="0"/>
    <w:pPr>
      <w:widowControl/>
      <w:adjustRightInd w:val="0"/>
      <w:snapToGrid w:val="0"/>
      <w:jc w:val="center"/>
      <w:outlineLvl w:val="1"/>
    </w:pPr>
    <w:rPr>
      <w:rFonts w:ascii="宋体" w:hAnsi="宋体" w:cs="Tahoma"/>
      <w:b/>
      <w:kern w:val="0"/>
    </w:rPr>
  </w:style>
  <w:style w:type="paragraph" w:styleId="68">
    <w:name w:val="List Paragraph"/>
    <w:basedOn w:val="1"/>
    <w:qFormat/>
    <w:uiPriority w:val="34"/>
    <w:pPr>
      <w:ind w:firstLine="420" w:firstLineChars="200"/>
    </w:pPr>
  </w:style>
  <w:style w:type="character" w:customStyle="1" w:styleId="69">
    <w:name w:val="标题 2 Char"/>
    <w:basedOn w:val="27"/>
    <w:link w:val="4"/>
    <w:qFormat/>
    <w:uiPriority w:val="0"/>
    <w:rPr>
      <w:rFonts w:ascii="Times" w:hAnsi="宋体" w:cs="宋体"/>
      <w:b/>
      <w:sz w:val="21"/>
      <w:szCs w:val="21"/>
    </w:rPr>
  </w:style>
  <w:style w:type="character" w:customStyle="1" w:styleId="70">
    <w:name w:val="标题 9 Char"/>
    <w:basedOn w:val="27"/>
    <w:link w:val="6"/>
    <w:uiPriority w:val="0"/>
    <w:rPr>
      <w:rFonts w:ascii="Arial" w:hAnsi="Arial" w:eastAsia="黑体"/>
      <w:kern w:val="2"/>
      <w:sz w:val="21"/>
      <w:szCs w:val="21"/>
    </w:rPr>
  </w:style>
  <w:style w:type="paragraph" w:customStyle="1" w:styleId="71">
    <w:name w:val="TOC Heading"/>
    <w:basedOn w:val="2"/>
    <w:next w:val="1"/>
    <w:semiHidden/>
    <w:unhideWhenUsed/>
    <w:qFormat/>
    <w:uiPriority w:val="39"/>
    <w:pPr>
      <w:keepNext/>
      <w:keepLines/>
      <w:tabs>
        <w:tab w:val="clear" w:pos="425"/>
      </w:tabs>
      <w:spacing w:before="480" w:line="276" w:lineRule="auto"/>
      <w:jc w:val="left"/>
      <w:outlineLvl w:val="9"/>
    </w:pPr>
    <w:rPr>
      <w:rFonts w:asciiTheme="majorHAnsi" w:hAnsiTheme="majorHAnsi" w:eastAsiaTheme="majorEastAsia" w:cstheme="majorBidi"/>
      <w:bCs w:val="0"/>
      <w:color w:val="376092" w:themeColor="accent1" w:themeShade="BF"/>
      <w:sz w:val="28"/>
      <w:szCs w:val="28"/>
    </w:rPr>
  </w:style>
  <w:style w:type="paragraph" w:customStyle="1" w:styleId="72">
    <w:name w:val="paragraph"/>
    <w:basedOn w:val="1"/>
    <w:qFormat/>
    <w:uiPriority w:val="0"/>
    <w:pPr>
      <w:widowControl/>
      <w:tabs>
        <w:tab w:val="clear" w:pos="720"/>
      </w:tabs>
      <w:spacing w:before="100" w:beforeAutospacing="1" w:after="100" w:afterAutospacing="1" w:line="240" w:lineRule="auto"/>
      <w:jc w:val="left"/>
    </w:pPr>
    <w:rPr>
      <w:rFonts w:ascii="宋体" w:hAnsi="宋体" w:cs="宋体"/>
      <w:kern w:val="0"/>
      <w:sz w:val="24"/>
      <w:szCs w:val="24"/>
    </w:rPr>
  </w:style>
  <w:style w:type="paragraph" w:customStyle="1" w:styleId="73">
    <w:name w:val="Revision"/>
    <w:hidden/>
    <w:semiHidden/>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56496-0253-4943-8785-B4147022550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7283</Words>
  <Characters>8589</Characters>
  <Lines>144</Lines>
  <Paragraphs>40</Paragraphs>
  <TotalTime>9</TotalTime>
  <ScaleCrop>false</ScaleCrop>
  <LinksUpToDate>false</LinksUpToDate>
  <CharactersWithSpaces>9083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2022-04-29T00:44:00Z</dcterms:created>
  <dc:creator>华工刘庭金教授</dc:creator>
  <cp:lastModifiedBy>鸡蛋饼b</cp:lastModifiedBy>
  <cp:lastPrinted>2022-05-11T05:59:00Z</cp:lastPrinted>
  <dcterms:modified xsi:type="dcterms:W3CDTF">2025-01-23T09:07:30Z</dcterms:modified>
  <dc:title>企业标准题目：广州市轨道交通结构安全保护控制标准（暂定）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eyJoZGlkIjoiY2QyZDYzZjBiMmU3NWRjZWExODk4YjZlZWQ5MTZlODYiLCJ1c2VySWQiOiI5NzU4MDM1ODMifQ==</vt:lpwstr>
  </property>
  <property fmtid="{D5CDD505-2E9C-101B-9397-08002B2CF9AE}" pid="4" name="ICV">
    <vt:lpwstr>684D2809ADC8400F8855EA338B321152_12</vt:lpwstr>
  </property>
</Properties>
</file>