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B499FD">
      <w:pPr>
        <w:adjustRightInd/>
        <w:snapToGrid/>
        <w:spacing w:line="288" w:lineRule="auto"/>
        <w:jc w:val="left"/>
        <w:rPr>
          <w:rFonts w:eastAsia="黑体"/>
          <w:bCs/>
          <w:sz w:val="32"/>
          <w:szCs w:val="32"/>
        </w:rPr>
      </w:pPr>
      <w:bookmarkStart w:id="0" w:name="_Toc475644628"/>
      <w:bookmarkStart w:id="1" w:name="_Toc252452567"/>
      <w:bookmarkStart w:id="2" w:name="_Toc475644043"/>
      <w:bookmarkStart w:id="3" w:name="_Toc475644436"/>
      <w:bookmarkStart w:id="4" w:name="_Toc475644159"/>
      <w:bookmarkStart w:id="5" w:name="_Toc247967492"/>
      <w:r>
        <w:rPr>
          <w:bCs/>
        </w:rPr>
        <w:drawing>
          <wp:anchor distT="0" distB="0" distL="114300" distR="114300" simplePos="0" relativeHeight="251664384" behindDoc="0" locked="0" layoutInCell="1" allowOverlap="1">
            <wp:simplePos x="0" y="0"/>
            <wp:positionH relativeFrom="page">
              <wp:posOffset>3265170</wp:posOffset>
            </wp:positionH>
            <wp:positionV relativeFrom="page">
              <wp:posOffset>786765</wp:posOffset>
            </wp:positionV>
            <wp:extent cx="1294765" cy="601980"/>
            <wp:effectExtent l="0" t="0" r="635" b="7620"/>
            <wp:wrapNone/>
            <wp:docPr id="1" name="图片 3" descr="说明: 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GD"/>
                    <pic:cNvPicPr>
                      <a:picLocks noChangeAspect="1"/>
                    </pic:cNvPicPr>
                  </pic:nvPicPr>
                  <pic:blipFill>
                    <a:blip r:embed="rId19"/>
                    <a:stretch>
                      <a:fillRect/>
                    </a:stretch>
                  </pic:blipFill>
                  <pic:spPr>
                    <a:xfrm>
                      <a:off x="0" y="0"/>
                      <a:ext cx="1294765" cy="601980"/>
                    </a:xfrm>
                    <a:prstGeom prst="rect">
                      <a:avLst/>
                    </a:prstGeom>
                    <a:noFill/>
                    <a:ln>
                      <a:noFill/>
                    </a:ln>
                  </pic:spPr>
                </pic:pic>
              </a:graphicData>
            </a:graphic>
          </wp:anchor>
        </w:drawing>
      </w:r>
      <w:r>
        <w:rPr>
          <w:bCs/>
        </w:rPr>
        <mc:AlternateContent>
          <mc:Choice Requires="wps">
            <w:drawing>
              <wp:anchor distT="45720" distB="45720" distL="114300" distR="114300" simplePos="0" relativeHeight="251663360" behindDoc="0" locked="0" layoutInCell="1" allowOverlap="1">
                <wp:simplePos x="0" y="0"/>
                <wp:positionH relativeFrom="column">
                  <wp:posOffset>1111250</wp:posOffset>
                </wp:positionH>
                <wp:positionV relativeFrom="paragraph">
                  <wp:posOffset>175260</wp:posOffset>
                </wp:positionV>
                <wp:extent cx="1228090" cy="1186180"/>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28090" cy="487680"/>
                        </a:xfrm>
                        <a:prstGeom prst="rect">
                          <a:avLst/>
                        </a:prstGeom>
                        <a:noFill/>
                        <a:ln>
                          <a:noFill/>
                        </a:ln>
                        <a:effectLst/>
                      </wps:spPr>
                      <wps:txbx>
                        <w:txbxContent>
                          <w:p w14:paraId="4C8E1A82">
                            <w:pPr>
                              <w:rPr>
                                <w:rFonts w:ascii="黑体" w:hAnsi="黑体" w:eastAsia="黑体"/>
                                <w:sz w:val="32"/>
                                <w:szCs w:val="32"/>
                              </w:rPr>
                            </w:pPr>
                            <w:r>
                              <w:rPr>
                                <w:rFonts w:hint="eastAsia" w:ascii="黑体" w:hAnsi="黑体" w:eastAsia="黑体"/>
                                <w:sz w:val="32"/>
                                <w:szCs w:val="32"/>
                              </w:rPr>
                              <w:t>广东省标准</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7.5pt;margin-top:13.8pt;height:93.4pt;width:96.7pt;z-index:251663360;mso-width-relative:page;mso-height-relative:margin;mso-height-percent:200;" filled="f" stroked="f" coordsize="21600,21600" o:gfxdata="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bVVhtgAAAAK&#10;AQAADwAAAAAAAAABACAAAAAiAAAAZHJzL2Rvd25yZXYueG1sUEsBAhQAFAAAAAgAh07iQOYWvv0c&#10;AgAAJAQAAA4AAAAAAAAAAQAgAAAAJwEAAGRycy9lMm9Eb2MueG1sUEsFBgAAAAAGAAYAWQEAALUF&#10;AAAAAA==&#10;">
                <v:fill on="f" focussize="0,0"/>
                <v:stroke on="f"/>
                <v:imagedata o:title=""/>
                <o:lock v:ext="edit" aspectratio="f"/>
                <v:textbox style="mso-fit-shape-to-text:t;">
                  <w:txbxContent>
                    <w:p w14:paraId="4C8E1A82">
                      <w:pPr>
                        <w:rPr>
                          <w:rFonts w:ascii="黑体" w:hAnsi="黑体" w:eastAsia="黑体"/>
                          <w:sz w:val="32"/>
                          <w:szCs w:val="32"/>
                        </w:rPr>
                      </w:pPr>
                      <w:r>
                        <w:rPr>
                          <w:rFonts w:hint="eastAsia" w:ascii="黑体" w:hAnsi="黑体" w:eastAsia="黑体"/>
                          <w:sz w:val="32"/>
                          <w:szCs w:val="32"/>
                        </w:rPr>
                        <w:t>广东省标准</w:t>
                      </w:r>
                    </w:p>
                  </w:txbxContent>
                </v:textbox>
              </v:shape>
            </w:pict>
          </mc:Fallback>
        </mc:AlternateContent>
      </w:r>
    </w:p>
    <w:p w14:paraId="23D439D5">
      <w:pPr>
        <w:adjustRightInd/>
        <w:snapToGrid/>
        <w:spacing w:line="288" w:lineRule="auto"/>
        <w:jc w:val="left"/>
        <w:rPr>
          <w:rFonts w:eastAsia="黑体"/>
          <w:bCs/>
          <w:sz w:val="32"/>
          <w:szCs w:val="32"/>
        </w:rPr>
      </w:pPr>
    </w:p>
    <w:p w14:paraId="42560631">
      <w:pPr>
        <w:ind w:right="-525" w:rightChars="-250"/>
        <w:jc w:val="right"/>
        <w:rPr>
          <w:bCs/>
          <w:sz w:val="28"/>
          <w:szCs w:val="28"/>
        </w:rPr>
      </w:pPr>
      <w:r>
        <w:rPr>
          <w:bCs/>
          <w:sz w:val="28"/>
          <w:szCs w:val="28"/>
        </w:rPr>
        <w:t>DBJ/T XX/ XXXXX</w:t>
      </w:r>
      <w:r>
        <w:rPr>
          <w:rFonts w:hint="eastAsia"/>
          <w:bCs/>
          <w:sz w:val="28"/>
          <w:szCs w:val="28"/>
        </w:rPr>
        <w:t>-</w:t>
      </w:r>
      <w:r>
        <w:rPr>
          <w:bCs/>
          <w:sz w:val="28"/>
          <w:szCs w:val="28"/>
        </w:rPr>
        <w:t>20</w:t>
      </w:r>
      <w:r>
        <w:rPr>
          <w:bCs/>
          <w:sz w:val="28"/>
          <w:szCs w:val="28"/>
        </w:rPr>
        <mc:AlternateContent>
          <mc:Choice Requires="wps">
            <w:drawing>
              <wp:anchor distT="0" distB="0" distL="114300" distR="114300" simplePos="0" relativeHeight="251661312" behindDoc="0" locked="0" layoutInCell="1" allowOverlap="1">
                <wp:simplePos x="0" y="0"/>
                <wp:positionH relativeFrom="column">
                  <wp:posOffset>-479425</wp:posOffset>
                </wp:positionH>
                <wp:positionV relativeFrom="paragraph">
                  <wp:posOffset>489585</wp:posOffset>
                </wp:positionV>
                <wp:extent cx="4679950" cy="0"/>
                <wp:effectExtent l="0" t="4445" r="0" b="0"/>
                <wp:wrapNone/>
                <wp:docPr id="25" name="自选图形 2"/>
                <wp:cNvGraphicFramePr/>
                <a:graphic xmlns:a="http://schemas.openxmlformats.org/drawingml/2006/main">
                  <a:graphicData uri="http://schemas.microsoft.com/office/word/2010/wordprocessingShape">
                    <wps:wsp>
                      <wps:cNvCnPr>
                        <a:cxnSpLocks noChangeShapeType="1"/>
                      </wps:cNvCnPr>
                      <wps:spPr bwMode="auto">
                        <a:xfrm>
                          <a:off x="0" y="0"/>
                          <a:ext cx="4679950" cy="0"/>
                        </a:xfrm>
                        <a:prstGeom prst="straightConnector1">
                          <a:avLst/>
                        </a:prstGeom>
                        <a:noFill/>
                        <a:ln w="9525">
                          <a:solidFill>
                            <a:srgbClr val="000000"/>
                          </a:solidFill>
                          <a:round/>
                        </a:ln>
                        <a:effectLst/>
                      </wps:spPr>
                      <wps:bodyPr/>
                    </wps:wsp>
                  </a:graphicData>
                </a:graphic>
              </wp:anchor>
            </w:drawing>
          </mc:Choice>
          <mc:Fallback>
            <w:pict>
              <v:shape id="自选图形 2" o:spid="_x0000_s1026" o:spt="32" type="#_x0000_t32" style="position:absolute;left:0pt;margin-left:-37.75pt;margin-top:38.55pt;height:0pt;width:368.5pt;z-index:251661312;mso-width-relative:page;mso-height-relative:page;" filled="f" stroked="t" coordsize="21600,21600" o:gfxdata="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Ne9XLWAAAACQEAAA8AAAAAAAAAAQAgAAAAIgAAAGRycy9kb3ducmV2LnhtbFBLAQIUABQAAAAI&#10;AIdO4kCBF4Ks7wEAAMQDAAAOAAAAAAAAAAEAIAAAACUBAABkcnMvZTJvRG9jLnhtbFBLBQYAAAAA&#10;BgAGAFkBAACGBQAAAAA=&#10;">
                <v:fill on="f" focussize="0,0"/>
                <v:stroke color="#000000" joinstyle="round"/>
                <v:imagedata o:title=""/>
                <o:lock v:ext="edit" aspectratio="f"/>
              </v:shape>
            </w:pict>
          </mc:Fallback>
        </mc:AlternateContent>
      </w:r>
      <w:r>
        <w:rPr>
          <w:rFonts w:hint="eastAsia"/>
          <w:bCs/>
          <w:sz w:val="28"/>
          <w:szCs w:val="28"/>
        </w:rPr>
        <w:t>2</w:t>
      </w:r>
      <w:r>
        <w:rPr>
          <w:bCs/>
          <w:sz w:val="28"/>
          <w:szCs w:val="28"/>
        </w:rPr>
        <w:t>X</w:t>
      </w:r>
    </w:p>
    <w:p w14:paraId="528658BB">
      <w:pPr>
        <w:ind w:right="-525" w:rightChars="-250"/>
        <w:jc w:val="right"/>
        <w:rPr>
          <w:bCs/>
          <w:sz w:val="28"/>
          <w:szCs w:val="28"/>
        </w:rPr>
      </w:pPr>
      <w:r>
        <w:rPr>
          <w:rFonts w:eastAsia="黑体"/>
          <w:bCs/>
          <w:sz w:val="28"/>
          <w:szCs w:val="28"/>
        </w:rPr>
        <w:t>备案号</w:t>
      </w:r>
      <w:r>
        <w:rPr>
          <w:bCs/>
          <w:sz w:val="28"/>
          <w:szCs w:val="28"/>
        </w:rPr>
        <w:t xml:space="preserve"> J XXXXX-20</w:t>
      </w:r>
      <w:r>
        <w:rPr>
          <w:rFonts w:hint="eastAsia"/>
          <w:bCs/>
          <w:sz w:val="28"/>
          <w:szCs w:val="28"/>
        </w:rPr>
        <w:t>2</w:t>
      </w:r>
      <w:r>
        <w:rPr>
          <w:bCs/>
          <w:sz w:val="28"/>
          <w:szCs w:val="28"/>
        </w:rPr>
        <w:t>X</w:t>
      </w:r>
    </w:p>
    <w:p w14:paraId="587222CC">
      <w:pPr>
        <w:spacing w:line="180" w:lineRule="exact"/>
        <w:rPr>
          <w:bCs/>
        </w:rPr>
      </w:pPr>
    </w:p>
    <w:p w14:paraId="0E894A23">
      <w:pPr>
        <w:spacing w:line="180" w:lineRule="exact"/>
        <w:rPr>
          <w:bCs/>
        </w:rPr>
      </w:pPr>
    </w:p>
    <w:p w14:paraId="0A7E189A">
      <w:pPr>
        <w:spacing w:line="180" w:lineRule="exact"/>
        <w:rPr>
          <w:bCs/>
        </w:rPr>
      </w:pPr>
    </w:p>
    <w:p w14:paraId="1E0E0445">
      <w:pPr>
        <w:spacing w:line="180" w:lineRule="exact"/>
        <w:rPr>
          <w:bCs/>
        </w:rPr>
      </w:pPr>
    </w:p>
    <w:p w14:paraId="6889ADBB">
      <w:pPr>
        <w:adjustRightInd/>
        <w:snapToGrid/>
        <w:spacing w:line="288" w:lineRule="auto"/>
        <w:jc w:val="center"/>
        <w:rPr>
          <w:rFonts w:hint="eastAsia" w:eastAsia="黑体"/>
          <w:bCs/>
          <w:sz w:val="40"/>
          <w:szCs w:val="40"/>
        </w:rPr>
      </w:pPr>
      <w:bookmarkStart w:id="6" w:name="_Hlk521568515"/>
      <w:r>
        <w:rPr>
          <w:rFonts w:hint="eastAsia" w:eastAsia="黑体"/>
          <w:bCs/>
          <w:sz w:val="40"/>
          <w:szCs w:val="40"/>
        </w:rPr>
        <w:t>广东省装配式固模剪力墙结构及</w:t>
      </w:r>
    </w:p>
    <w:p w14:paraId="5AF82CDE">
      <w:pPr>
        <w:adjustRightInd/>
        <w:snapToGrid/>
        <w:spacing w:line="288" w:lineRule="auto"/>
        <w:jc w:val="center"/>
        <w:rPr>
          <w:rFonts w:eastAsia="黑体"/>
          <w:bCs/>
          <w:sz w:val="40"/>
          <w:szCs w:val="40"/>
        </w:rPr>
      </w:pPr>
      <w:r>
        <w:rPr>
          <w:rFonts w:hint="eastAsia" w:eastAsia="黑体"/>
          <w:bCs/>
          <w:sz w:val="40"/>
          <w:szCs w:val="40"/>
        </w:rPr>
        <w:t>楼承板技术标准</w:t>
      </w:r>
    </w:p>
    <w:bookmarkEnd w:id="6"/>
    <w:p w14:paraId="6E11A49D">
      <w:pPr>
        <w:adjustRightInd/>
        <w:snapToGrid/>
        <w:spacing w:line="400" w:lineRule="exact"/>
        <w:jc w:val="center"/>
        <w:rPr>
          <w:rFonts w:eastAsia="黑体"/>
          <w:bCs/>
          <w:sz w:val="28"/>
          <w:szCs w:val="28"/>
        </w:rPr>
      </w:pPr>
      <w:r>
        <w:rPr>
          <w:rFonts w:hint="eastAsia" w:eastAsia="黑体"/>
          <w:bCs/>
          <w:sz w:val="28"/>
          <w:szCs w:val="28"/>
        </w:rPr>
        <w:t>Technical standard for prefabricated shear-wall structure and deck with fixed-form in Guangdong Province</w:t>
      </w:r>
    </w:p>
    <w:p w14:paraId="3A666603">
      <w:pPr>
        <w:adjustRightInd/>
        <w:snapToGrid/>
        <w:spacing w:line="480" w:lineRule="auto"/>
        <w:jc w:val="center"/>
        <w:rPr>
          <w:rFonts w:eastAsia="黑体"/>
          <w:bCs/>
        </w:rPr>
      </w:pPr>
      <w:r>
        <w:rPr>
          <w:rFonts w:hint="eastAsia" w:eastAsia="黑体"/>
          <w:bCs/>
        </w:rPr>
        <w:t>（</w:t>
      </w:r>
      <w:r>
        <w:rPr>
          <w:rFonts w:hint="eastAsia" w:eastAsia="黑体"/>
          <w:bCs/>
          <w:lang w:val="en-US" w:eastAsia="zh-CN"/>
        </w:rPr>
        <w:t>送审稿</w:t>
      </w:r>
      <w:r>
        <w:rPr>
          <w:rFonts w:hint="eastAsia" w:eastAsia="黑体"/>
          <w:bCs/>
        </w:rPr>
        <w:t>）</w:t>
      </w:r>
    </w:p>
    <w:p w14:paraId="3E6AD2A3">
      <w:pPr>
        <w:spacing w:line="180" w:lineRule="exact"/>
        <w:rPr>
          <w:rFonts w:eastAsia="黑体"/>
          <w:bCs/>
          <w:szCs w:val="21"/>
        </w:rPr>
      </w:pPr>
    </w:p>
    <w:p w14:paraId="035D1882">
      <w:pPr>
        <w:spacing w:line="180" w:lineRule="exact"/>
        <w:rPr>
          <w:rFonts w:eastAsia="黑体"/>
          <w:bCs/>
          <w:szCs w:val="21"/>
        </w:rPr>
      </w:pPr>
    </w:p>
    <w:p w14:paraId="771E2E04">
      <w:pPr>
        <w:spacing w:line="180" w:lineRule="exact"/>
        <w:rPr>
          <w:rFonts w:eastAsia="黑体"/>
          <w:bCs/>
          <w:szCs w:val="21"/>
        </w:rPr>
      </w:pPr>
    </w:p>
    <w:p w14:paraId="2455B7AF">
      <w:pPr>
        <w:spacing w:line="180" w:lineRule="exact"/>
        <w:rPr>
          <w:rFonts w:eastAsia="黑体"/>
          <w:bCs/>
          <w:szCs w:val="21"/>
        </w:rPr>
      </w:pPr>
    </w:p>
    <w:p w14:paraId="6E406D3D">
      <w:pPr>
        <w:spacing w:line="180" w:lineRule="exact"/>
        <w:rPr>
          <w:rFonts w:eastAsia="黑体"/>
          <w:bCs/>
          <w:szCs w:val="21"/>
        </w:rPr>
      </w:pPr>
    </w:p>
    <w:p w14:paraId="3DD3F476">
      <w:pPr>
        <w:spacing w:line="180" w:lineRule="exact"/>
        <w:rPr>
          <w:rFonts w:eastAsia="黑体"/>
          <w:bCs/>
          <w:szCs w:val="21"/>
        </w:rPr>
      </w:pPr>
    </w:p>
    <w:p w14:paraId="12B815B2">
      <w:pPr>
        <w:spacing w:line="180" w:lineRule="exact"/>
        <w:rPr>
          <w:rFonts w:eastAsia="黑体"/>
          <w:bCs/>
          <w:szCs w:val="21"/>
        </w:rPr>
      </w:pPr>
    </w:p>
    <w:p w14:paraId="5B69C4C2">
      <w:pPr>
        <w:spacing w:line="180" w:lineRule="exact"/>
        <w:rPr>
          <w:rFonts w:eastAsia="黑体"/>
          <w:bCs/>
          <w:szCs w:val="21"/>
        </w:rPr>
      </w:pPr>
    </w:p>
    <w:p w14:paraId="26D47893">
      <w:pPr>
        <w:spacing w:line="180" w:lineRule="exact"/>
        <w:rPr>
          <w:rFonts w:eastAsia="黑体"/>
          <w:bCs/>
          <w:szCs w:val="21"/>
        </w:rPr>
      </w:pPr>
    </w:p>
    <w:p w14:paraId="4902E0F3">
      <w:pPr>
        <w:spacing w:line="180" w:lineRule="exact"/>
        <w:rPr>
          <w:rFonts w:eastAsia="黑体"/>
          <w:bCs/>
          <w:szCs w:val="21"/>
        </w:rPr>
      </w:pPr>
    </w:p>
    <w:p w14:paraId="54168B99">
      <w:pPr>
        <w:spacing w:line="180" w:lineRule="exact"/>
        <w:rPr>
          <w:rFonts w:eastAsia="黑体"/>
          <w:bCs/>
          <w:szCs w:val="21"/>
        </w:rPr>
      </w:pPr>
    </w:p>
    <w:p w14:paraId="7ADE6BA4">
      <w:pPr>
        <w:adjustRightInd/>
        <w:snapToGrid/>
        <w:spacing w:line="288" w:lineRule="auto"/>
        <w:ind w:left="-210" w:leftChars="-100" w:right="-1680" w:rightChars="-800"/>
        <w:rPr>
          <w:rFonts w:eastAsia="黑体"/>
          <w:bCs/>
          <w:sz w:val="28"/>
          <w:szCs w:val="28"/>
        </w:rPr>
      </w:pPr>
      <w:r>
        <w:rPr>
          <w:rFonts w:eastAsia="黑体"/>
          <w:b/>
          <w:bCs/>
          <w:sz w:val="28"/>
          <w:szCs w:val="28"/>
        </w:rPr>
        <w:t>202X - XX - XX</w:t>
      </w:r>
      <w:r>
        <w:rPr>
          <w:rFonts w:eastAsia="黑体"/>
          <w:bCs/>
          <w:sz w:val="28"/>
          <w:szCs w:val="28"/>
        </w:rPr>
        <w:t xml:space="preserve">发布           </w:t>
      </w:r>
      <w:r>
        <w:rPr>
          <w:rFonts w:eastAsia="黑体"/>
          <w:b/>
          <w:bCs/>
          <w:sz w:val="28"/>
          <w:szCs w:val="28"/>
        </w:rPr>
        <w:t>202X - XX - XX</w:t>
      </w:r>
      <w:r>
        <w:rPr>
          <w:rFonts w:eastAsia="黑体"/>
          <w:bCs/>
          <w:sz w:val="28"/>
          <w:szCs w:val="28"/>
        </w:rPr>
        <w:t>实施</w:t>
      </w:r>
    </w:p>
    <w:p w14:paraId="26CFCF58">
      <w:pPr>
        <w:adjustRightInd/>
        <w:snapToGrid/>
        <w:spacing w:before="312" w:beforeLines="100" w:line="288" w:lineRule="auto"/>
        <w:jc w:val="center"/>
        <w:rPr>
          <w:rFonts w:eastAsia="黑体"/>
          <w:bCs/>
          <w:sz w:val="32"/>
          <w:szCs w:val="32"/>
        </w:rPr>
        <w:sectPr>
          <w:pgSz w:w="7938" w:h="11510"/>
          <w:pgMar w:top="1083" w:right="1009" w:bottom="1083" w:left="1009" w:header="851" w:footer="992" w:gutter="0"/>
          <w:cols w:space="720" w:num="1"/>
          <w:docGrid w:type="lines" w:linePitch="312" w:charSpace="0"/>
        </w:sectPr>
      </w:pPr>
      <w:r>
        <w:rPr>
          <w:bCs/>
        </w:rPr>
        <mc:AlternateContent>
          <mc:Choice Requires="wps">
            <w:drawing>
              <wp:anchor distT="45720" distB="45720" distL="114300" distR="114300" simplePos="0" relativeHeight="251665408" behindDoc="0" locked="0" layoutInCell="1" allowOverlap="1">
                <wp:simplePos x="0" y="0"/>
                <wp:positionH relativeFrom="column">
                  <wp:posOffset>2957195</wp:posOffset>
                </wp:positionH>
                <wp:positionV relativeFrom="paragraph">
                  <wp:posOffset>775335</wp:posOffset>
                </wp:positionV>
                <wp:extent cx="1194435" cy="1176655"/>
                <wp:effectExtent l="4445" t="4445" r="20320" b="1905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1194435" cy="280035"/>
                        </a:xfrm>
                        <a:prstGeom prst="rect">
                          <a:avLst/>
                        </a:prstGeom>
                        <a:solidFill>
                          <a:srgbClr val="FFFFFF"/>
                        </a:solidFill>
                        <a:ln w="9525">
                          <a:solidFill>
                            <a:srgbClr val="000000"/>
                          </a:solidFill>
                          <a:miter lim="800000"/>
                        </a:ln>
                        <a:effectLst/>
                      </wps:spPr>
                      <wps:txbx>
                        <w:txbxContent>
                          <w:p w14:paraId="3E1D6307">
                            <w:pPr>
                              <w:spacing w:line="240" w:lineRule="auto"/>
                              <w:jc w:val="center"/>
                              <w:rPr>
                                <w:rFonts w:ascii="宋体" w:hAnsi="宋体"/>
                                <w:szCs w:val="21"/>
                              </w:rPr>
                            </w:pPr>
                            <w:r>
                              <w:rPr>
                                <w:rFonts w:hint="eastAsia" w:ascii="宋体" w:hAnsi="宋体"/>
                                <w:szCs w:val="21"/>
                              </w:rPr>
                              <w:t>本标准不涉及专利</w:t>
                            </w:r>
                          </w:p>
                        </w:txbxContent>
                      </wps:txbx>
                      <wps:bodyPr rot="0" vert="horz" wrap="square" lIns="36000" tIns="36000" rIns="36000" bIns="3600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32.85pt;margin-top:61.05pt;height:92.65pt;width:94.05pt;z-index:251665408;mso-width-relative:page;mso-height-relative:margin;mso-height-percent:200;" fillcolor="#FFFFFF" filled="t" stroked="t" coordsize="21600,21600" o:gfxdata="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6/RPNcAAAALAQAADwAAAAAAAAABACAAAAAiAAAA&#10;ZHJzL2Rvd25yZXYueG1sUEsBAhQAFAAAAAgAh07iQHQOjSlBAgAAlwQAAA4AAAAAAAAAAQAgAAAA&#10;JgEAAGRycy9lMm9Eb2MueG1sUEsFBgAAAAAGAAYAWQEAANkFAAAAAA==&#10;">
                <v:fill on="t" focussize="0,0"/>
                <v:stroke color="#000000" miterlimit="8" joinstyle="miter"/>
                <v:imagedata o:title=""/>
                <o:lock v:ext="edit" aspectratio="f"/>
                <v:textbox inset="1mm,1mm,1mm,1mm" style="mso-fit-shape-to-text:t;">
                  <w:txbxContent>
                    <w:p w14:paraId="3E1D6307">
                      <w:pPr>
                        <w:spacing w:line="240" w:lineRule="auto"/>
                        <w:jc w:val="center"/>
                        <w:rPr>
                          <w:rFonts w:ascii="宋体" w:hAnsi="宋体"/>
                          <w:szCs w:val="21"/>
                        </w:rPr>
                      </w:pPr>
                      <w:r>
                        <w:rPr>
                          <w:rFonts w:hint="eastAsia" w:ascii="宋体" w:hAnsi="宋体"/>
                          <w:szCs w:val="21"/>
                        </w:rPr>
                        <w:t>本标准不涉及专利</w:t>
                      </w:r>
                    </w:p>
                  </w:txbxContent>
                </v:textbox>
              </v:shape>
            </w:pict>
          </mc:Fallback>
        </mc:AlternateContent>
      </w:r>
      <w:r>
        <w:rPr>
          <w:rFonts w:hint="eastAsia" w:eastAsia="黑体"/>
          <w:bCs/>
          <w:sz w:val="32"/>
          <w:szCs w:val="32"/>
        </w:rPr>
        <mc:AlternateContent>
          <mc:Choice Requires="wps">
            <w:drawing>
              <wp:anchor distT="0" distB="0" distL="114300" distR="114300" simplePos="0" relativeHeight="251662336" behindDoc="0" locked="0" layoutInCell="1" allowOverlap="1">
                <wp:simplePos x="0" y="0"/>
                <wp:positionH relativeFrom="column">
                  <wp:posOffset>-407670</wp:posOffset>
                </wp:positionH>
                <wp:positionV relativeFrom="paragraph">
                  <wp:posOffset>66675</wp:posOffset>
                </wp:positionV>
                <wp:extent cx="4608195" cy="0"/>
                <wp:effectExtent l="0" t="4445" r="0" b="0"/>
                <wp:wrapNone/>
                <wp:docPr id="24" name="自选图形 3"/>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noFill/>
                        <a:ln w="9525">
                          <a:solidFill>
                            <a:srgbClr val="000000"/>
                          </a:solidFill>
                          <a:round/>
                        </a:ln>
                        <a:effectLst/>
                      </wps:spPr>
                      <wps:bodyPr/>
                    </wps:wsp>
                  </a:graphicData>
                </a:graphic>
              </wp:anchor>
            </w:drawing>
          </mc:Choice>
          <mc:Fallback>
            <w:pict>
              <v:shape id="自选图形 3" o:spid="_x0000_s1026" o:spt="32" type="#_x0000_t32" style="position:absolute;left:0pt;margin-left:-32.1pt;margin-top:5.25pt;height:0pt;width:362.85pt;z-index:251662336;mso-width-relative:page;mso-height-relative:page;" filled="f" stroked="t" coordsize="21600,21600" o:gfxdata="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9vREdcAAAAJAQAADwAAAAAAAAABACAAAAAiAAAAZHJzL2Rvd25yZXYueG1sUEsBAhQA&#10;FAAAAAgAh07iQHGDrvPzAQAAxAMAAA4AAAAAAAAAAQAgAAAAJgEAAGRycy9lMm9Eb2MueG1sUEsF&#10;BgAAAAAGAAYAWQEAAIsFAAAAAA==&#10;">
                <v:fill on="f" focussize="0,0"/>
                <v:stroke color="#000000" joinstyle="round"/>
                <v:imagedata o:title=""/>
                <o:lock v:ext="edit" aspectratio="f"/>
              </v:shape>
            </w:pict>
          </mc:Fallback>
        </mc:AlternateContent>
      </w:r>
      <w:r>
        <w:rPr>
          <w:rFonts w:hint="eastAsia" w:eastAsia="黑体"/>
          <w:bCs/>
          <w:sz w:val="32"/>
          <w:szCs w:val="32"/>
        </w:rPr>
        <mc:AlternateContent>
          <mc:Choice Requires="wps">
            <w:drawing>
              <wp:anchor distT="0" distB="0" distL="114300" distR="114300" simplePos="0" relativeHeight="251660288" behindDoc="0" locked="1" layoutInCell="1" allowOverlap="1">
                <wp:simplePos x="0" y="0"/>
                <wp:positionH relativeFrom="column">
                  <wp:posOffset>411480</wp:posOffset>
                </wp:positionH>
                <wp:positionV relativeFrom="page">
                  <wp:posOffset>9404350</wp:posOffset>
                </wp:positionV>
                <wp:extent cx="6120130" cy="0"/>
                <wp:effectExtent l="0" t="4445" r="0" b="5080"/>
                <wp:wrapNone/>
                <wp:docPr id="23" name="Line 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Line 3" o:spid="_x0000_s1026" o:spt="20" style="position:absolute;left:0pt;margin-left:32.4pt;margin-top:740.5pt;height:0pt;width:481.9pt;mso-position-vertical-relative:page;z-index:251660288;mso-width-relative:page;mso-height-relative:page;" filled="f" stroked="t" coordsize="21600,21600" o:gfxdata="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&#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AbcH41wAAAA0BAAAPAAAAAAAAAAEAIAAAACIAAABk&#10;cnMvZG93bnJldi54bWxQSwECFAAUAAAACACHTuJA9tg8S84BAACuAwAADgAAAAAAAAABACAAAAAm&#10;AQAAZHJzL2Uyb0RvYy54bWxQSwUGAAAAAAYABgBZAQAAZgUAAAAA&#10;">
                <v:fill on="f" focussize="0,0"/>
                <v:stroke color="#000000" joinstyle="round"/>
                <v:imagedata o:title=""/>
                <o:lock v:ext="edit" aspectratio="f"/>
                <w10:anchorlock/>
              </v:line>
            </w:pict>
          </mc:Fallback>
        </mc:AlternateContent>
      </w:r>
      <w:r>
        <w:rPr>
          <w:rFonts w:hint="eastAsia" w:eastAsia="黑体"/>
          <w:bCs/>
          <w:sz w:val="32"/>
          <w:szCs w:val="32"/>
        </w:rPr>
        <w:t>广东省住房和城乡建设厅      发 布</w:t>
      </w:r>
    </w:p>
    <w:p w14:paraId="79EAA6FE">
      <w:pPr>
        <w:spacing w:line="964" w:lineRule="exact"/>
        <w:jc w:val="center"/>
        <w:rPr>
          <w:rFonts w:eastAsia="黑体"/>
          <w:bCs/>
          <w:sz w:val="28"/>
          <w:szCs w:val="28"/>
        </w:rPr>
      </w:pPr>
    </w:p>
    <w:p w14:paraId="75CD8449">
      <w:pPr>
        <w:jc w:val="center"/>
        <w:rPr>
          <w:rFonts w:eastAsia="黑体"/>
          <w:bCs/>
          <w:sz w:val="28"/>
          <w:szCs w:val="28"/>
        </w:rPr>
      </w:pPr>
      <w:r>
        <w:rPr>
          <w:rFonts w:hint="eastAsia" w:eastAsia="黑体"/>
          <w:bCs/>
          <w:sz w:val="28"/>
          <w:szCs w:val="28"/>
        </w:rPr>
        <w:t>广东省标准</w:t>
      </w:r>
    </w:p>
    <w:p w14:paraId="69F5367A">
      <w:pPr>
        <w:spacing w:line="567" w:lineRule="exact"/>
        <w:jc w:val="center"/>
        <w:rPr>
          <w:rFonts w:eastAsia="黑体"/>
          <w:bCs/>
          <w:sz w:val="28"/>
          <w:szCs w:val="28"/>
        </w:rPr>
      </w:pPr>
    </w:p>
    <w:p w14:paraId="5277848F">
      <w:pPr>
        <w:jc w:val="center"/>
        <w:rPr>
          <w:rFonts w:hint="eastAsia" w:eastAsia="黑体"/>
          <w:bCs/>
          <w:sz w:val="32"/>
          <w:szCs w:val="32"/>
        </w:rPr>
      </w:pPr>
      <w:r>
        <w:rPr>
          <w:rFonts w:hint="eastAsia" w:eastAsia="黑体"/>
          <w:bCs/>
          <w:sz w:val="32"/>
          <w:szCs w:val="32"/>
        </w:rPr>
        <w:t>广东省装配式固模剪力墙结构及</w:t>
      </w:r>
    </w:p>
    <w:p w14:paraId="05B959BE">
      <w:pPr>
        <w:jc w:val="center"/>
        <w:rPr>
          <w:rFonts w:eastAsia="黑体"/>
          <w:bCs/>
          <w:sz w:val="32"/>
          <w:szCs w:val="32"/>
        </w:rPr>
      </w:pPr>
      <w:r>
        <w:rPr>
          <w:rFonts w:hint="eastAsia" w:eastAsia="黑体"/>
          <w:bCs/>
          <w:sz w:val="32"/>
          <w:szCs w:val="32"/>
        </w:rPr>
        <w:t>楼承板技术标准</w:t>
      </w:r>
    </w:p>
    <w:p w14:paraId="39C77941">
      <w:pPr>
        <w:spacing w:line="340" w:lineRule="exact"/>
        <w:rPr>
          <w:rFonts w:eastAsia="黑体"/>
          <w:bCs/>
          <w:sz w:val="32"/>
          <w:szCs w:val="32"/>
        </w:rPr>
      </w:pPr>
    </w:p>
    <w:p w14:paraId="778420C5">
      <w:pPr>
        <w:spacing w:line="340" w:lineRule="exact"/>
        <w:jc w:val="center"/>
        <w:rPr>
          <w:bCs/>
          <w:sz w:val="24"/>
          <w:szCs w:val="24"/>
        </w:rPr>
      </w:pPr>
      <w:r>
        <w:rPr>
          <w:rFonts w:hint="eastAsia"/>
          <w:bCs/>
          <w:sz w:val="24"/>
          <w:szCs w:val="24"/>
        </w:rPr>
        <w:t>Technical standard for prefabricated shear-wall structure and deck with fixed-form in Guangdong Province</w:t>
      </w:r>
      <w:r>
        <w:rPr>
          <w:bCs/>
          <w:sz w:val="24"/>
          <w:szCs w:val="24"/>
        </w:rPr>
        <w:t xml:space="preserve"> </w:t>
      </w:r>
    </w:p>
    <w:p w14:paraId="26466755">
      <w:pPr>
        <w:spacing w:line="340" w:lineRule="exact"/>
        <w:rPr>
          <w:rFonts w:eastAsia="黑体"/>
          <w:bCs/>
        </w:rPr>
      </w:pPr>
    </w:p>
    <w:p w14:paraId="2B9111C4">
      <w:pPr>
        <w:jc w:val="center"/>
        <w:rPr>
          <w:rFonts w:eastAsia="黑体"/>
          <w:bCs/>
        </w:rPr>
      </w:pPr>
      <w:bookmarkStart w:id="7" w:name="_Hlk491331608"/>
      <w:r>
        <w:rPr>
          <w:rFonts w:eastAsia="黑体"/>
          <w:bCs/>
        </w:rPr>
        <w:t>DBJ/T XX-XXX-20</w:t>
      </w:r>
      <w:r>
        <w:rPr>
          <w:rFonts w:hint="eastAsia" w:eastAsia="黑体"/>
          <w:bCs/>
        </w:rPr>
        <w:t>2</w:t>
      </w:r>
      <w:r>
        <w:rPr>
          <w:rFonts w:eastAsia="黑体"/>
          <w:bCs/>
        </w:rPr>
        <w:t>X</w:t>
      </w:r>
    </w:p>
    <w:bookmarkEnd w:id="7"/>
    <w:p w14:paraId="38F1F106">
      <w:pPr>
        <w:spacing w:line="340" w:lineRule="exact"/>
        <w:rPr>
          <w:rFonts w:eastAsia="黑体"/>
          <w:bCs/>
        </w:rPr>
      </w:pPr>
    </w:p>
    <w:tbl>
      <w:tblPr>
        <w:tblStyle w:val="34"/>
        <w:tblW w:w="6136" w:type="dxa"/>
        <w:tblInd w:w="0" w:type="dxa"/>
        <w:tblLayout w:type="fixed"/>
        <w:tblCellMar>
          <w:top w:w="0" w:type="dxa"/>
          <w:left w:w="108" w:type="dxa"/>
          <w:bottom w:w="0" w:type="dxa"/>
          <w:right w:w="108" w:type="dxa"/>
        </w:tblCellMar>
      </w:tblPr>
      <w:tblGrid>
        <w:gridCol w:w="890"/>
        <w:gridCol w:w="4358"/>
        <w:gridCol w:w="888"/>
      </w:tblGrid>
      <w:tr w14:paraId="585ACCE8">
        <w:tblPrEx>
          <w:tblCellMar>
            <w:top w:w="0" w:type="dxa"/>
            <w:left w:w="108" w:type="dxa"/>
            <w:bottom w:w="0" w:type="dxa"/>
            <w:right w:w="108" w:type="dxa"/>
          </w:tblCellMar>
        </w:tblPrEx>
        <w:trPr>
          <w:trHeight w:val="170" w:hRule="atLeast"/>
        </w:trPr>
        <w:tc>
          <w:tcPr>
            <w:tcW w:w="890" w:type="dxa"/>
            <w:noWrap w:val="0"/>
            <w:vAlign w:val="center"/>
          </w:tcPr>
          <w:p w14:paraId="2340C324">
            <w:pPr>
              <w:widowControl/>
              <w:tabs>
                <w:tab w:val="center" w:pos="4201"/>
                <w:tab w:val="right" w:leader="dot" w:pos="9298"/>
              </w:tabs>
              <w:autoSpaceDE w:val="0"/>
              <w:autoSpaceDN w:val="0"/>
              <w:rPr>
                <w:rFonts w:eastAsia="黑体"/>
                <w:bCs/>
                <w:sz w:val="24"/>
                <w:szCs w:val="24"/>
              </w:rPr>
            </w:pPr>
          </w:p>
        </w:tc>
        <w:tc>
          <w:tcPr>
            <w:tcW w:w="4358" w:type="dxa"/>
            <w:noWrap w:val="0"/>
            <w:vAlign w:val="center"/>
          </w:tcPr>
          <w:p w14:paraId="60230610">
            <w:pPr>
              <w:widowControl/>
              <w:tabs>
                <w:tab w:val="center" w:pos="4201"/>
                <w:tab w:val="right" w:leader="dot" w:pos="9298"/>
              </w:tabs>
              <w:autoSpaceDE w:val="0"/>
              <w:autoSpaceDN w:val="0"/>
              <w:rPr>
                <w:rFonts w:eastAsia="黑体"/>
                <w:bCs/>
                <w:szCs w:val="21"/>
              </w:rPr>
            </w:pPr>
            <w:r>
              <w:rPr>
                <w:rFonts w:eastAsia="黑体"/>
                <w:bCs/>
                <w:szCs w:val="21"/>
              </w:rPr>
              <w:t>住房和城乡建设部备案号：J XXXXX-XXXX</w:t>
            </w:r>
          </w:p>
        </w:tc>
        <w:tc>
          <w:tcPr>
            <w:tcW w:w="888" w:type="dxa"/>
            <w:noWrap w:val="0"/>
            <w:vAlign w:val="center"/>
          </w:tcPr>
          <w:p w14:paraId="6054A4AB">
            <w:pPr>
              <w:widowControl/>
              <w:tabs>
                <w:tab w:val="center" w:pos="4201"/>
                <w:tab w:val="right" w:leader="dot" w:pos="9298"/>
              </w:tabs>
              <w:autoSpaceDE w:val="0"/>
              <w:autoSpaceDN w:val="0"/>
              <w:rPr>
                <w:rFonts w:eastAsia="黑体"/>
                <w:bCs/>
                <w:sz w:val="24"/>
                <w:szCs w:val="24"/>
              </w:rPr>
            </w:pPr>
          </w:p>
        </w:tc>
      </w:tr>
      <w:tr w14:paraId="1415D3B0">
        <w:tblPrEx>
          <w:tblCellMar>
            <w:top w:w="0" w:type="dxa"/>
            <w:left w:w="108" w:type="dxa"/>
            <w:bottom w:w="0" w:type="dxa"/>
            <w:right w:w="108" w:type="dxa"/>
          </w:tblCellMar>
        </w:tblPrEx>
        <w:trPr>
          <w:trHeight w:val="170" w:hRule="atLeast"/>
        </w:trPr>
        <w:tc>
          <w:tcPr>
            <w:tcW w:w="890" w:type="dxa"/>
            <w:noWrap w:val="0"/>
            <w:vAlign w:val="center"/>
          </w:tcPr>
          <w:p w14:paraId="112A1BB7">
            <w:pPr>
              <w:widowControl/>
              <w:tabs>
                <w:tab w:val="center" w:pos="4201"/>
                <w:tab w:val="right" w:leader="dot" w:pos="9298"/>
              </w:tabs>
              <w:autoSpaceDE w:val="0"/>
              <w:autoSpaceDN w:val="0"/>
              <w:rPr>
                <w:rFonts w:eastAsia="黑体"/>
                <w:bCs/>
                <w:sz w:val="24"/>
                <w:szCs w:val="24"/>
              </w:rPr>
            </w:pPr>
          </w:p>
        </w:tc>
        <w:tc>
          <w:tcPr>
            <w:tcW w:w="4358" w:type="dxa"/>
            <w:noWrap w:val="0"/>
            <w:vAlign w:val="center"/>
          </w:tcPr>
          <w:p w14:paraId="59A7DC9F">
            <w:pPr>
              <w:widowControl/>
              <w:tabs>
                <w:tab w:val="center" w:pos="4201"/>
                <w:tab w:val="right" w:leader="dot" w:pos="9298"/>
              </w:tabs>
              <w:autoSpaceDE w:val="0"/>
              <w:autoSpaceDN w:val="0"/>
              <w:rPr>
                <w:rFonts w:eastAsia="黑体"/>
                <w:bCs/>
                <w:szCs w:val="21"/>
              </w:rPr>
            </w:pPr>
            <w:r>
              <w:rPr>
                <w:rFonts w:eastAsia="黑体"/>
                <w:bCs/>
                <w:szCs w:val="21"/>
              </w:rPr>
              <w:t>批准部门：广东省住房和城乡建设厅</w:t>
            </w:r>
          </w:p>
        </w:tc>
        <w:tc>
          <w:tcPr>
            <w:tcW w:w="888" w:type="dxa"/>
            <w:noWrap w:val="0"/>
            <w:vAlign w:val="center"/>
          </w:tcPr>
          <w:p w14:paraId="5C85036E">
            <w:pPr>
              <w:widowControl/>
              <w:tabs>
                <w:tab w:val="center" w:pos="4201"/>
                <w:tab w:val="right" w:leader="dot" w:pos="9298"/>
              </w:tabs>
              <w:autoSpaceDE w:val="0"/>
              <w:autoSpaceDN w:val="0"/>
              <w:rPr>
                <w:rFonts w:eastAsia="黑体"/>
                <w:bCs/>
                <w:sz w:val="24"/>
                <w:szCs w:val="24"/>
              </w:rPr>
            </w:pPr>
          </w:p>
        </w:tc>
      </w:tr>
      <w:tr w14:paraId="62FD10ED">
        <w:tblPrEx>
          <w:tblCellMar>
            <w:top w:w="0" w:type="dxa"/>
            <w:left w:w="108" w:type="dxa"/>
            <w:bottom w:w="0" w:type="dxa"/>
            <w:right w:w="108" w:type="dxa"/>
          </w:tblCellMar>
        </w:tblPrEx>
        <w:trPr>
          <w:trHeight w:val="170" w:hRule="atLeast"/>
        </w:trPr>
        <w:tc>
          <w:tcPr>
            <w:tcW w:w="890" w:type="dxa"/>
            <w:noWrap w:val="0"/>
            <w:vAlign w:val="center"/>
          </w:tcPr>
          <w:p w14:paraId="1199DF46">
            <w:pPr>
              <w:widowControl/>
              <w:tabs>
                <w:tab w:val="center" w:pos="4201"/>
                <w:tab w:val="right" w:leader="dot" w:pos="9298"/>
              </w:tabs>
              <w:autoSpaceDE w:val="0"/>
              <w:autoSpaceDN w:val="0"/>
              <w:rPr>
                <w:rFonts w:eastAsia="黑体"/>
                <w:bCs/>
                <w:sz w:val="24"/>
                <w:szCs w:val="24"/>
              </w:rPr>
            </w:pPr>
          </w:p>
        </w:tc>
        <w:tc>
          <w:tcPr>
            <w:tcW w:w="4358" w:type="dxa"/>
            <w:noWrap w:val="0"/>
            <w:vAlign w:val="center"/>
          </w:tcPr>
          <w:p w14:paraId="1E091237">
            <w:pPr>
              <w:widowControl/>
              <w:tabs>
                <w:tab w:val="center" w:pos="4201"/>
                <w:tab w:val="right" w:leader="dot" w:pos="9298"/>
              </w:tabs>
              <w:autoSpaceDE w:val="0"/>
              <w:autoSpaceDN w:val="0"/>
              <w:rPr>
                <w:rFonts w:eastAsia="黑体"/>
                <w:bCs/>
                <w:szCs w:val="21"/>
              </w:rPr>
            </w:pPr>
            <w:r>
              <w:rPr>
                <w:rFonts w:eastAsia="黑体"/>
                <w:bCs/>
                <w:szCs w:val="21"/>
              </w:rPr>
              <w:t>施行日期：202X年X月X日</w:t>
            </w:r>
          </w:p>
        </w:tc>
        <w:tc>
          <w:tcPr>
            <w:tcW w:w="888" w:type="dxa"/>
            <w:noWrap w:val="0"/>
            <w:vAlign w:val="center"/>
          </w:tcPr>
          <w:p w14:paraId="1AC2928D">
            <w:pPr>
              <w:widowControl/>
              <w:tabs>
                <w:tab w:val="center" w:pos="4201"/>
                <w:tab w:val="right" w:leader="dot" w:pos="9298"/>
              </w:tabs>
              <w:autoSpaceDE w:val="0"/>
              <w:autoSpaceDN w:val="0"/>
              <w:rPr>
                <w:rFonts w:eastAsia="黑体"/>
                <w:bCs/>
                <w:sz w:val="24"/>
                <w:szCs w:val="24"/>
              </w:rPr>
            </w:pPr>
          </w:p>
        </w:tc>
      </w:tr>
    </w:tbl>
    <w:p w14:paraId="44E4DA8B">
      <w:pPr>
        <w:rPr>
          <w:rFonts w:eastAsia="黑体"/>
          <w:bCs/>
        </w:rPr>
      </w:pPr>
    </w:p>
    <w:p w14:paraId="3687E0B5">
      <w:pPr>
        <w:rPr>
          <w:rFonts w:eastAsia="黑体"/>
          <w:bCs/>
        </w:rPr>
      </w:pPr>
    </w:p>
    <w:p w14:paraId="327A3D2F">
      <w:pPr>
        <w:rPr>
          <w:rFonts w:eastAsia="黑体"/>
          <w:bCs/>
        </w:rPr>
      </w:pPr>
    </w:p>
    <w:p w14:paraId="48097AA8">
      <w:pPr>
        <w:rPr>
          <w:rFonts w:eastAsia="黑体"/>
          <w:bCs/>
        </w:rPr>
      </w:pPr>
    </w:p>
    <w:p w14:paraId="7BE8CBAB">
      <w:pPr>
        <w:rPr>
          <w:rFonts w:eastAsia="黑体"/>
          <w:bCs/>
        </w:rPr>
      </w:pPr>
    </w:p>
    <w:p w14:paraId="19C05A77">
      <w:pPr>
        <w:jc w:val="center"/>
        <w:rPr>
          <w:rFonts w:eastAsia="仿宋"/>
          <w:bCs/>
          <w:sz w:val="32"/>
          <w:szCs w:val="32"/>
        </w:rPr>
      </w:pPr>
      <w:r>
        <w:rPr>
          <w:rFonts w:hint="eastAsia" w:eastAsia="仿宋"/>
          <w:bCs/>
          <w:sz w:val="32"/>
          <w:szCs w:val="32"/>
        </w:rPr>
        <w:t>XXXX出版社</w:t>
      </w:r>
    </w:p>
    <w:p w14:paraId="1AB54267">
      <w:pPr>
        <w:spacing w:line="120" w:lineRule="exact"/>
        <w:jc w:val="center"/>
        <w:rPr>
          <w:rFonts w:eastAsia="仿宋"/>
          <w:bCs/>
          <w:sz w:val="32"/>
          <w:szCs w:val="32"/>
        </w:rPr>
      </w:pPr>
    </w:p>
    <w:p w14:paraId="4C7FDE8E">
      <w:pPr>
        <w:jc w:val="center"/>
        <w:rPr>
          <w:rFonts w:eastAsia="黑体"/>
          <w:bCs/>
        </w:rPr>
      </w:pPr>
      <w:r>
        <w:rPr>
          <w:rFonts w:eastAsia="黑体"/>
          <w:bCs/>
        </w:rPr>
        <w:t>202X  广   州</w:t>
      </w:r>
    </w:p>
    <w:p w14:paraId="03609855">
      <w:pPr>
        <w:jc w:val="center"/>
        <w:rPr>
          <w:rFonts w:eastAsia="黑体"/>
          <w:bCs/>
        </w:rPr>
        <w:sectPr>
          <w:footerReference r:id="rId5" w:type="default"/>
          <w:pgSz w:w="7938" w:h="11510"/>
          <w:pgMar w:top="1083" w:right="1009" w:bottom="1083" w:left="1009" w:header="851" w:footer="992" w:gutter="0"/>
          <w:cols w:space="720" w:num="1"/>
          <w:docGrid w:type="lines" w:linePitch="312" w:charSpace="0"/>
        </w:sectPr>
      </w:pPr>
    </w:p>
    <w:p w14:paraId="3BB0A56B">
      <w:pPr>
        <w:spacing w:line="624" w:lineRule="exact"/>
        <w:rPr>
          <w:bCs/>
          <w:sz w:val="28"/>
          <w:szCs w:val="28"/>
        </w:rPr>
      </w:pPr>
    </w:p>
    <w:p w14:paraId="789F3EAD">
      <w:pPr>
        <w:spacing w:line="240" w:lineRule="auto"/>
        <w:jc w:val="center"/>
        <w:rPr>
          <w:rFonts w:hint="eastAsia" w:eastAsia="方正小标宋简体"/>
          <w:bCs/>
          <w:sz w:val="28"/>
          <w:szCs w:val="28"/>
        </w:rPr>
      </w:pPr>
      <w:r>
        <w:rPr>
          <w:rFonts w:hint="eastAsia" w:eastAsia="方正小标宋简体"/>
          <w:bCs/>
          <w:sz w:val="28"/>
          <w:szCs w:val="28"/>
        </w:rPr>
        <w:t>广东省住房和城乡建设厅关于发布广东省标准《广东省装配式固模剪力墙结构及</w:t>
      </w:r>
    </w:p>
    <w:p w14:paraId="304C7FC9">
      <w:pPr>
        <w:spacing w:line="240" w:lineRule="auto"/>
        <w:jc w:val="center"/>
        <w:rPr>
          <w:rFonts w:eastAsia="方正小标宋简体"/>
          <w:bCs/>
          <w:sz w:val="28"/>
          <w:szCs w:val="28"/>
        </w:rPr>
      </w:pPr>
      <w:r>
        <w:rPr>
          <w:rFonts w:hint="eastAsia" w:eastAsia="方正小标宋简体"/>
          <w:bCs/>
          <w:sz w:val="28"/>
          <w:szCs w:val="28"/>
        </w:rPr>
        <w:t>楼承板技术标准》的公告</w:t>
      </w:r>
    </w:p>
    <w:p w14:paraId="58B46CC1">
      <w:pPr>
        <w:spacing w:line="480" w:lineRule="auto"/>
        <w:jc w:val="center"/>
        <w:rPr>
          <w:bCs/>
        </w:rPr>
      </w:pPr>
      <w:r>
        <w:rPr>
          <w:rFonts w:hint="eastAsia"/>
          <w:bCs/>
        </w:rPr>
        <mc:AlternateContent>
          <mc:Choice Requires="wps">
            <w:drawing>
              <wp:anchor distT="0" distB="0" distL="114300" distR="114300" simplePos="0" relativeHeight="251659264" behindDoc="0" locked="1" layoutInCell="1" allowOverlap="1">
                <wp:simplePos x="0" y="0"/>
                <wp:positionH relativeFrom="column">
                  <wp:posOffset>259080</wp:posOffset>
                </wp:positionH>
                <wp:positionV relativeFrom="page">
                  <wp:posOffset>9251950</wp:posOffset>
                </wp:positionV>
                <wp:extent cx="6120130" cy="0"/>
                <wp:effectExtent l="0" t="4445" r="0" b="5080"/>
                <wp:wrapNone/>
                <wp:docPr id="22" name="Line 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a:effectLst/>
                      </wps:spPr>
                      <wps:bodyPr/>
                    </wps:wsp>
                  </a:graphicData>
                </a:graphic>
              </wp:anchor>
            </w:drawing>
          </mc:Choice>
          <mc:Fallback>
            <w:pict>
              <v:line id="Line 2" o:spid="_x0000_s1026" o:spt="20" style="position:absolute;left:0pt;margin-left:20.4pt;margin-top:728.5pt;height:0pt;width:481.9pt;mso-position-vertical-relative:page;z-index:251659264;mso-width-relative:page;mso-height-relative:page;" filled="f" stroked="t" coordsize="21600,21600" o:gfxdata="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&#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kvi01wAAAA0BAAAPAAAAAAAAAAEAIAAAACIAAABk&#10;cnMvZG93bnJldi54bWxQSwECFAAUAAAACACHTuJA5l3sxs4BAACuAwAADgAAAAAAAAABACAAAAAm&#10;AQAAZHJzL2Uyb0RvYy54bWxQSwUGAAAAAAYABgBZAQAAZgUAAAAA&#10;">
                <v:fill on="f" focussize="0,0"/>
                <v:stroke color="#000000" joinstyle="round"/>
                <v:imagedata o:title=""/>
                <o:lock v:ext="edit" aspectratio="f"/>
                <w10:anchorlock/>
              </v:line>
            </w:pict>
          </mc:Fallback>
        </mc:AlternateContent>
      </w:r>
      <w:r>
        <w:rPr>
          <w:rFonts w:hint="eastAsia"/>
          <w:bCs/>
        </w:rPr>
        <w:t>粤建公告〔</w:t>
      </w:r>
      <w:r>
        <w:rPr>
          <w:bCs/>
        </w:rPr>
        <w:t>202</w:t>
      </w:r>
      <w:r>
        <w:rPr>
          <w:rFonts w:hint="eastAsia"/>
          <w:bCs/>
        </w:rPr>
        <w:t>X</w:t>
      </w:r>
      <w:r>
        <w:rPr>
          <w:bCs/>
        </w:rPr>
        <w:t>〕X号</w:t>
      </w:r>
    </w:p>
    <w:p w14:paraId="1C52D5C7">
      <w:pPr>
        <w:ind w:firstLine="420" w:firstLineChars="200"/>
        <w:rPr>
          <w:bCs/>
        </w:rPr>
      </w:pPr>
      <w:r>
        <w:rPr>
          <w:bCs/>
        </w:rPr>
        <w:t>经组织专家委员会审查，现批准《</w:t>
      </w:r>
      <w:r>
        <w:rPr>
          <w:rFonts w:hint="eastAsia"/>
          <w:bCs/>
        </w:rPr>
        <w:t>广东省装配式固模剪力墙结构及楼承板技术标准</w:t>
      </w:r>
      <w:r>
        <w:rPr>
          <w:bCs/>
        </w:rPr>
        <w:t>》为广东省地方标准，编号为DBJ/T XX-XXX-20</w:t>
      </w:r>
      <w:r>
        <w:rPr>
          <w:rFonts w:hint="eastAsia"/>
          <w:bCs/>
        </w:rPr>
        <w:t>2X</w:t>
      </w:r>
      <w:r>
        <w:rPr>
          <w:bCs/>
        </w:rPr>
        <w:t>。本标准自202X年XX月XX日起实施。</w:t>
      </w:r>
    </w:p>
    <w:p w14:paraId="0816F4D0">
      <w:pPr>
        <w:ind w:firstLine="420" w:firstLineChars="200"/>
        <w:jc w:val="left"/>
        <w:rPr>
          <w:bCs/>
        </w:rPr>
      </w:pPr>
      <w:r>
        <w:rPr>
          <w:bCs/>
        </w:rPr>
        <w:t>本标准由广东省住房和城乡建设厅负责管理，</w:t>
      </w:r>
      <w:r>
        <w:rPr>
          <w:rFonts w:hint="eastAsia"/>
          <w:bCs/>
        </w:rPr>
        <w:t>由广州市建筑科学研究院集团有限公司负责具体技术内容的解释。并在广东省住房和城乡建设厅门户网站（h</w:t>
      </w:r>
      <w:r>
        <w:rPr>
          <w:bCs/>
        </w:rPr>
        <w:t>ttp://zfcxjst.gd.gov.cn</w:t>
      </w:r>
      <w:r>
        <w:rPr>
          <w:rFonts w:hint="eastAsia"/>
          <w:bCs/>
        </w:rPr>
        <w:t>）公开。</w:t>
      </w:r>
    </w:p>
    <w:p w14:paraId="2B534CA2">
      <w:pPr>
        <w:rPr>
          <w:bCs/>
        </w:rPr>
      </w:pPr>
    </w:p>
    <w:p w14:paraId="724F8419">
      <w:pPr>
        <w:rPr>
          <w:rFonts w:eastAsia="黑体"/>
          <w:bCs/>
        </w:rPr>
      </w:pPr>
    </w:p>
    <w:p w14:paraId="7FA84411">
      <w:pPr>
        <w:rPr>
          <w:rFonts w:eastAsia="黑体"/>
          <w:bCs/>
        </w:rPr>
      </w:pPr>
    </w:p>
    <w:p w14:paraId="5F948C84">
      <w:pPr>
        <w:rPr>
          <w:rFonts w:eastAsia="黑体"/>
          <w:bCs/>
        </w:rPr>
      </w:pPr>
    </w:p>
    <w:p w14:paraId="2DD84872">
      <w:pPr>
        <w:rPr>
          <w:rFonts w:eastAsia="黑体"/>
          <w:bCs/>
        </w:rPr>
      </w:pPr>
    </w:p>
    <w:p w14:paraId="03B9209D">
      <w:pPr>
        <w:jc w:val="right"/>
        <w:rPr>
          <w:rFonts w:eastAsia="黑体"/>
          <w:bCs/>
        </w:rPr>
      </w:pPr>
      <w:bookmarkStart w:id="8" w:name="_Hlk26345738"/>
      <w:r>
        <w:rPr>
          <w:rFonts w:hint="eastAsia" w:eastAsia="黑体"/>
          <w:bCs/>
        </w:rPr>
        <w:t>广东省住房和城乡建设厅</w:t>
      </w:r>
    </w:p>
    <w:bookmarkEnd w:id="8"/>
    <w:p w14:paraId="32DAAD99">
      <w:pPr>
        <w:jc w:val="center"/>
        <w:rPr>
          <w:rFonts w:eastAsia="黑体"/>
          <w:bCs/>
        </w:rPr>
        <w:sectPr>
          <w:footerReference r:id="rId6" w:type="default"/>
          <w:footerReference r:id="rId7" w:type="even"/>
          <w:pgSz w:w="7938" w:h="11510"/>
          <w:pgMar w:top="1083" w:right="1009" w:bottom="1083" w:left="1009" w:header="851" w:footer="992" w:gutter="0"/>
          <w:pgNumType w:start="3"/>
          <w:cols w:space="720" w:num="1"/>
          <w:docGrid w:type="lines" w:linePitch="312" w:charSpace="0"/>
        </w:sectPr>
      </w:pPr>
      <w:r>
        <w:rPr>
          <w:rFonts w:eastAsia="黑体"/>
          <w:bCs/>
          <w:kern w:val="2"/>
        </w:rPr>
        <w:t xml:space="preserve">       </w:t>
      </w:r>
      <w:r>
        <w:rPr>
          <w:rFonts w:hint="eastAsia" w:eastAsia="黑体"/>
          <w:bCs/>
          <w:kern w:val="2"/>
        </w:rPr>
        <w:t xml:space="preserve">                                   </w:t>
      </w:r>
      <w:r>
        <w:rPr>
          <w:rFonts w:eastAsia="黑体"/>
          <w:bCs/>
          <w:kern w:val="2"/>
        </w:rPr>
        <w:t xml:space="preserve">                           </w:t>
      </w:r>
      <w:r>
        <w:rPr>
          <w:rFonts w:eastAsia="黑体"/>
          <w:bCs/>
        </w:rPr>
        <w:t>202</w:t>
      </w:r>
      <w:r>
        <w:rPr>
          <w:rFonts w:hint="eastAsia" w:eastAsia="黑体"/>
          <w:bCs/>
        </w:rPr>
        <w:t>X</w:t>
      </w:r>
      <w:r>
        <w:rPr>
          <w:rFonts w:eastAsia="黑体"/>
          <w:bCs/>
        </w:rPr>
        <w:t>年XX月XX日</w:t>
      </w:r>
    </w:p>
    <w:p w14:paraId="6A2C611B">
      <w:pPr>
        <w:spacing w:before="964" w:after="567" w:line="240" w:lineRule="auto"/>
        <w:jc w:val="center"/>
        <w:rPr>
          <w:rFonts w:eastAsia="黑体"/>
          <w:bCs/>
          <w:sz w:val="28"/>
          <w:szCs w:val="28"/>
        </w:rPr>
      </w:pPr>
      <w:r>
        <w:rPr>
          <w:rFonts w:hint="eastAsia" w:eastAsia="黑体"/>
          <w:bCs/>
          <w:sz w:val="28"/>
          <w:szCs w:val="28"/>
        </w:rPr>
        <w:t>前</w:t>
      </w:r>
      <w:r>
        <w:rPr>
          <w:rFonts w:eastAsia="黑体"/>
          <w:bCs/>
          <w:sz w:val="28"/>
          <w:szCs w:val="28"/>
        </w:rPr>
        <w:t>  言</w:t>
      </w:r>
    </w:p>
    <w:p w14:paraId="74ED0434">
      <w:pPr>
        <w:ind w:firstLine="420" w:firstLineChars="200"/>
        <w:rPr>
          <w:rFonts w:hint="eastAsia"/>
          <w:bCs/>
        </w:rPr>
      </w:pPr>
      <w:r>
        <w:rPr>
          <w:rFonts w:hint="eastAsia"/>
          <w:bCs/>
        </w:rPr>
        <w:t>本标准是根据《广东省市场监督管理局关于批准下达住房城乡建设类地方标准制修订计划项目的通知》（粤市监标准〔2022〕27号）的要求，由广东省建筑科学研究院集团股份有限公司、清华大学建筑设计研究院有限公司会同有关单位共同编制。</w:t>
      </w:r>
    </w:p>
    <w:p w14:paraId="0108E33A">
      <w:pPr>
        <w:ind w:firstLine="420" w:firstLineChars="200"/>
        <w:rPr>
          <w:bCs/>
        </w:rPr>
      </w:pPr>
      <w:r>
        <w:rPr>
          <w:bCs/>
        </w:rPr>
        <w:t>本标准编制过程中，编制组经广泛调查研究，认真总结工程设计、构件制作及工程实践经验，参考国家和广东省有关标准，在广泛征求意见的基础上，制定本标准。</w:t>
      </w:r>
    </w:p>
    <w:p w14:paraId="37607FDE">
      <w:pPr>
        <w:ind w:firstLine="420" w:firstLineChars="200"/>
        <w:rPr>
          <w:bCs/>
        </w:rPr>
      </w:pPr>
      <w:r>
        <w:rPr>
          <w:bCs/>
        </w:rPr>
        <w:t>本标准的主要内容包括：1 总则；2 术语和符号；3 基本规定；4 材料；5 建筑设计；6 结构设计；7 构造措施；8 构件制作；9 结构施工；10 工程验收。</w:t>
      </w:r>
    </w:p>
    <w:p w14:paraId="7BF594E0">
      <w:pPr>
        <w:ind w:firstLine="420" w:firstLineChars="200"/>
        <w:rPr>
          <w:bCs/>
        </w:rPr>
      </w:pPr>
      <w:r>
        <w:rPr>
          <w:bCs/>
        </w:rPr>
        <w:t>本标准由广东省住房和城乡建设厅负责管理，由广东省建筑科学研究院集团股份有限公司</w:t>
      </w:r>
      <w:r>
        <w:rPr>
          <w:rFonts w:hint="eastAsia"/>
          <w:bCs/>
        </w:rPr>
        <w:t>、清华大学建筑设计研究院有限公司</w:t>
      </w:r>
      <w:r>
        <w:rPr>
          <w:bCs/>
        </w:rPr>
        <w:t>负责具体技术内容的解释。为了提高规范的质量，请各单位和个人在执行本标准的过程中，认真总结经验，积累资料，如发现需要修改或补充之处，请将意见和有关资料寄至广东省建筑科学研究院集团股份有限公司（地址：广州市天河区先烈东路121号。邮政编码：510500），以供今后修订时参考。</w:t>
      </w:r>
    </w:p>
    <w:p w14:paraId="2D4FE33B">
      <w:pPr>
        <w:ind w:firstLine="556" w:firstLineChars="200"/>
        <w:rPr>
          <w:rFonts w:eastAsia="黑体"/>
          <w:bCs/>
          <w:spacing w:val="34"/>
        </w:rPr>
      </w:pPr>
    </w:p>
    <w:p w14:paraId="69731CBC">
      <w:pPr>
        <w:rPr>
          <w:rFonts w:eastAsia="黑体"/>
          <w:bCs/>
          <w:spacing w:val="34"/>
        </w:rPr>
        <w:sectPr>
          <w:footerReference r:id="rId8" w:type="even"/>
          <w:pgSz w:w="7938" w:h="11510"/>
          <w:pgMar w:top="1083" w:right="1009" w:bottom="1083" w:left="1009" w:header="851" w:footer="992" w:gutter="0"/>
          <w:cols w:space="720" w:num="1"/>
          <w:docGrid w:type="lines" w:linePitch="312" w:charSpace="0"/>
        </w:sectPr>
      </w:pPr>
    </w:p>
    <w:p w14:paraId="106B7306">
      <w:pPr>
        <w:spacing w:line="340" w:lineRule="exact"/>
        <w:rPr>
          <w:rFonts w:ascii="黑体" w:hAnsi="黑体" w:eastAsia="黑体" w:cs="黑体"/>
          <w:bCs/>
          <w:szCs w:val="24"/>
        </w:rPr>
      </w:pPr>
      <w:r>
        <w:rPr>
          <w:rFonts w:eastAsia="黑体"/>
          <w:bCs/>
          <w:spacing w:val="34"/>
        </w:rPr>
        <w:t>本</w:t>
      </w:r>
      <w:r>
        <w:rPr>
          <w:rFonts w:hint="eastAsia" w:eastAsia="黑体"/>
          <w:bCs/>
          <w:spacing w:val="34"/>
        </w:rPr>
        <w:t>标准</w:t>
      </w:r>
      <w:r>
        <w:rPr>
          <w:rFonts w:eastAsia="黑体"/>
          <w:bCs/>
          <w:spacing w:val="34"/>
        </w:rPr>
        <w:t>主编单位</w:t>
      </w:r>
      <w:r>
        <w:rPr>
          <w:rFonts w:hint="eastAsia" w:ascii="黑体" w:hAnsi="黑体" w:eastAsia="黑体" w:cs="黑体"/>
          <w:bCs/>
          <w:spacing w:val="34"/>
        </w:rPr>
        <w:t>：</w:t>
      </w:r>
      <w:r>
        <w:rPr>
          <w:rFonts w:hint="eastAsia" w:ascii="黑体" w:hAnsi="黑体" w:eastAsia="黑体" w:cs="黑体"/>
          <w:bCs/>
        </w:rPr>
        <w:t>广东省建筑科学研究院集团股份有限公司</w:t>
      </w:r>
    </w:p>
    <w:p w14:paraId="7397B353">
      <w:pPr>
        <w:spacing w:line="340" w:lineRule="exact"/>
        <w:ind w:left="1953" w:leftChars="930"/>
        <w:rPr>
          <w:rFonts w:ascii="黑体" w:hAnsi="黑体" w:eastAsia="黑体" w:cs="黑体"/>
          <w:bCs/>
        </w:rPr>
      </w:pPr>
      <w:r>
        <w:rPr>
          <w:rFonts w:hint="eastAsia" w:ascii="黑体" w:hAnsi="黑体" w:eastAsia="黑体" w:cs="黑体"/>
          <w:bCs/>
        </w:rPr>
        <w:t>清华大学建筑设计研究院有限公司</w:t>
      </w:r>
    </w:p>
    <w:p w14:paraId="1094FE0E">
      <w:pPr>
        <w:spacing w:line="340" w:lineRule="exact"/>
        <w:rPr>
          <w:rFonts w:ascii="黑体" w:hAnsi="黑体" w:eastAsia="黑体" w:cs="黑体"/>
          <w:bCs/>
          <w:szCs w:val="24"/>
        </w:rPr>
      </w:pPr>
      <w:r>
        <w:rPr>
          <w:rFonts w:hint="eastAsia" w:ascii="黑体" w:hAnsi="黑体" w:eastAsia="黑体" w:cs="黑体"/>
          <w:bCs/>
          <w:spacing w:val="34"/>
        </w:rPr>
        <w:t>本标准参编单位：</w:t>
      </w:r>
      <w:r>
        <w:rPr>
          <w:rFonts w:hint="eastAsia" w:ascii="黑体" w:hAnsi="黑体" w:eastAsia="黑体" w:cs="黑体"/>
          <w:bCs/>
          <w:szCs w:val="24"/>
        </w:rPr>
        <w:t>广东省广建设计集团有限公司</w:t>
      </w:r>
    </w:p>
    <w:p w14:paraId="6766FBEC">
      <w:pPr>
        <w:spacing w:line="340" w:lineRule="exact"/>
        <w:ind w:left="1953" w:leftChars="930"/>
        <w:rPr>
          <w:rFonts w:hint="eastAsia" w:ascii="黑体" w:hAnsi="黑体" w:eastAsia="黑体" w:cs="黑体"/>
          <w:bCs/>
        </w:rPr>
      </w:pPr>
      <w:r>
        <w:rPr>
          <w:rFonts w:hint="eastAsia" w:ascii="黑体" w:hAnsi="黑体" w:eastAsia="黑体" w:cs="黑体"/>
          <w:bCs/>
        </w:rPr>
        <w:t>广东建远建筑装配工业有限公司</w:t>
      </w:r>
    </w:p>
    <w:p w14:paraId="50A1BB3A">
      <w:pPr>
        <w:spacing w:line="340" w:lineRule="exact"/>
        <w:ind w:left="1953" w:leftChars="930"/>
        <w:rPr>
          <w:rFonts w:hint="eastAsia" w:ascii="黑体" w:hAnsi="黑体" w:eastAsia="黑体" w:cs="黑体"/>
          <w:bCs/>
        </w:rPr>
      </w:pPr>
      <w:r>
        <w:rPr>
          <w:rFonts w:hint="eastAsia" w:ascii="黑体" w:hAnsi="黑体" w:eastAsia="黑体" w:cs="黑体"/>
          <w:bCs/>
        </w:rPr>
        <w:t>广东建科创新技术研究院有限公司</w:t>
      </w:r>
    </w:p>
    <w:p w14:paraId="6329B199">
      <w:pPr>
        <w:spacing w:line="340" w:lineRule="exact"/>
        <w:ind w:left="1953" w:leftChars="930"/>
        <w:rPr>
          <w:rFonts w:hint="eastAsia" w:ascii="黑体" w:hAnsi="黑体" w:eastAsia="黑体" w:cs="黑体"/>
          <w:bCs/>
        </w:rPr>
      </w:pPr>
      <w:r>
        <w:rPr>
          <w:rFonts w:hint="eastAsia" w:ascii="黑体" w:hAnsi="黑体" w:eastAsia="黑体" w:cs="黑体"/>
          <w:bCs/>
        </w:rPr>
        <w:t>广东交通职业技术学院</w:t>
      </w:r>
    </w:p>
    <w:p w14:paraId="72205C9D">
      <w:pPr>
        <w:spacing w:line="340" w:lineRule="exact"/>
        <w:ind w:left="1953" w:leftChars="930"/>
        <w:rPr>
          <w:rFonts w:hint="eastAsia" w:ascii="黑体" w:hAnsi="黑体" w:eastAsia="黑体" w:cs="黑体"/>
          <w:bCs/>
        </w:rPr>
      </w:pPr>
      <w:r>
        <w:rPr>
          <w:rFonts w:hint="eastAsia" w:ascii="黑体" w:hAnsi="黑体" w:eastAsia="黑体" w:cs="黑体"/>
          <w:bCs/>
        </w:rPr>
        <w:t>广州航海学院</w:t>
      </w:r>
    </w:p>
    <w:p w14:paraId="71D3C5D0">
      <w:pPr>
        <w:spacing w:line="340" w:lineRule="exact"/>
        <w:ind w:left="1953" w:leftChars="930"/>
        <w:rPr>
          <w:rFonts w:hint="eastAsia" w:ascii="黑体" w:hAnsi="黑体" w:eastAsia="黑体" w:cs="黑体"/>
          <w:bCs/>
        </w:rPr>
      </w:pPr>
      <w:r>
        <w:rPr>
          <w:rFonts w:hint="eastAsia" w:ascii="黑体" w:hAnsi="黑体" w:eastAsia="黑体" w:cs="黑体"/>
          <w:bCs/>
        </w:rPr>
        <w:t>广州市番禺区建设工程质量监督站</w:t>
      </w:r>
    </w:p>
    <w:p w14:paraId="418DBFB0">
      <w:pPr>
        <w:spacing w:line="340" w:lineRule="exact"/>
        <w:ind w:left="1953" w:leftChars="930"/>
        <w:rPr>
          <w:rFonts w:hint="eastAsia" w:ascii="黑体" w:hAnsi="黑体" w:eastAsia="黑体" w:cs="黑体"/>
          <w:bCs/>
        </w:rPr>
      </w:pPr>
      <w:r>
        <w:rPr>
          <w:rFonts w:hint="eastAsia" w:ascii="黑体" w:hAnsi="黑体" w:eastAsia="黑体" w:cs="黑体"/>
          <w:bCs/>
        </w:rPr>
        <w:t>广州市白云建设工程质量检测有限公司</w:t>
      </w:r>
    </w:p>
    <w:p w14:paraId="06309249">
      <w:pPr>
        <w:spacing w:line="340" w:lineRule="exact"/>
        <w:ind w:left="1953" w:leftChars="930"/>
        <w:rPr>
          <w:rFonts w:hint="eastAsia" w:ascii="黑体" w:hAnsi="黑体" w:eastAsia="黑体" w:cs="黑体"/>
          <w:bCs/>
        </w:rPr>
      </w:pPr>
      <w:r>
        <w:rPr>
          <w:rFonts w:hint="eastAsia" w:ascii="黑体" w:hAnsi="黑体" w:eastAsia="黑体" w:cs="黑体"/>
          <w:bCs/>
        </w:rPr>
        <w:t>海聚高分子材料科技(广州)有限公司</w:t>
      </w:r>
    </w:p>
    <w:p w14:paraId="3FF6BA37">
      <w:pPr>
        <w:spacing w:line="340" w:lineRule="exact"/>
        <w:ind w:left="1953" w:leftChars="930"/>
        <w:rPr>
          <w:rFonts w:hint="eastAsia" w:ascii="黑体" w:hAnsi="黑体" w:eastAsia="黑体" w:cs="黑体"/>
          <w:bCs/>
        </w:rPr>
      </w:pPr>
      <w:r>
        <w:rPr>
          <w:rFonts w:hint="eastAsia" w:ascii="黑体" w:hAnsi="黑体" w:eastAsia="黑体" w:cs="黑体"/>
          <w:bCs/>
        </w:rPr>
        <w:t>广州东龙混凝土有限公司</w:t>
      </w:r>
    </w:p>
    <w:p w14:paraId="1785CB6E">
      <w:pPr>
        <w:spacing w:line="340" w:lineRule="exact"/>
        <w:ind w:left="1953" w:leftChars="930"/>
        <w:rPr>
          <w:rFonts w:hint="eastAsia" w:ascii="黑体" w:hAnsi="黑体" w:eastAsia="黑体" w:cs="黑体"/>
          <w:bCs/>
        </w:rPr>
      </w:pPr>
      <w:r>
        <w:rPr>
          <w:rFonts w:hint="eastAsia" w:ascii="黑体" w:hAnsi="黑体" w:eastAsia="黑体" w:cs="黑体"/>
          <w:bCs/>
        </w:rPr>
        <w:t>广东省构建工程建设有限公司</w:t>
      </w:r>
    </w:p>
    <w:p w14:paraId="13CC5DF2">
      <w:pPr>
        <w:spacing w:line="340" w:lineRule="exact"/>
        <w:ind w:left="1953" w:leftChars="930"/>
        <w:rPr>
          <w:rFonts w:hint="eastAsia" w:ascii="黑体" w:hAnsi="黑体" w:eastAsia="黑体" w:cs="黑体"/>
          <w:bCs/>
        </w:rPr>
      </w:pPr>
      <w:r>
        <w:rPr>
          <w:rFonts w:hint="eastAsia" w:ascii="黑体" w:hAnsi="黑体" w:eastAsia="黑体" w:cs="黑体"/>
          <w:bCs/>
        </w:rPr>
        <w:t>广东天元建筑设计有限公司</w:t>
      </w:r>
    </w:p>
    <w:p w14:paraId="43E0D972">
      <w:pPr>
        <w:spacing w:line="340" w:lineRule="exact"/>
        <w:ind w:left="1953" w:leftChars="930"/>
        <w:rPr>
          <w:rFonts w:hint="eastAsia" w:ascii="黑体" w:hAnsi="黑体" w:eastAsia="黑体" w:cs="黑体"/>
          <w:bCs/>
        </w:rPr>
      </w:pPr>
      <w:r>
        <w:rPr>
          <w:rFonts w:hint="eastAsia" w:ascii="黑体" w:hAnsi="黑体" w:eastAsia="黑体" w:cs="黑体"/>
          <w:bCs/>
        </w:rPr>
        <w:t>清大成就(广东)建筑科技有限公司</w:t>
      </w:r>
    </w:p>
    <w:p w14:paraId="3E939FC2">
      <w:pPr>
        <w:spacing w:line="340" w:lineRule="exact"/>
        <w:ind w:left="1953" w:leftChars="930"/>
        <w:rPr>
          <w:rFonts w:hint="eastAsia" w:ascii="黑体" w:hAnsi="黑体" w:eastAsia="黑体" w:cs="黑体"/>
          <w:bCs/>
        </w:rPr>
      </w:pPr>
      <w:r>
        <w:rPr>
          <w:rFonts w:hint="eastAsia" w:ascii="黑体" w:hAnsi="黑体" w:eastAsia="黑体" w:cs="黑体"/>
          <w:bCs/>
        </w:rPr>
        <w:t>中航建设集团南方工程有限公司</w:t>
      </w:r>
    </w:p>
    <w:p w14:paraId="29F14FBA">
      <w:pPr>
        <w:spacing w:line="340" w:lineRule="exact"/>
        <w:ind w:left="1953" w:leftChars="930"/>
        <w:rPr>
          <w:rFonts w:hint="eastAsia" w:ascii="黑体" w:hAnsi="黑体" w:eastAsia="黑体" w:cs="黑体"/>
          <w:bCs/>
        </w:rPr>
      </w:pPr>
      <w:r>
        <w:rPr>
          <w:rFonts w:hint="eastAsia" w:ascii="黑体" w:hAnsi="黑体" w:eastAsia="黑体" w:cs="黑体"/>
          <w:bCs/>
        </w:rPr>
        <w:t>中铁建设集团南方工程有限公司</w:t>
      </w:r>
    </w:p>
    <w:p w14:paraId="655C2162">
      <w:pPr>
        <w:spacing w:line="340" w:lineRule="exact"/>
        <w:ind w:left="1842" w:hanging="2098" w:hangingChars="755"/>
        <w:rPr>
          <w:rFonts w:hint="eastAsia" w:ascii="黑体" w:hAnsi="黑体" w:eastAsia="黑体" w:cs="黑体"/>
          <w:bCs/>
          <w:spacing w:val="34"/>
        </w:rPr>
      </w:pPr>
      <w:r>
        <w:rPr>
          <w:rFonts w:hint="eastAsia" w:ascii="黑体" w:hAnsi="黑体" w:eastAsia="黑体" w:cs="黑体"/>
          <w:bCs/>
          <w:spacing w:val="34"/>
        </w:rPr>
        <w:t>本标准主要起草人员：</w:t>
      </w:r>
      <w:r>
        <w:rPr>
          <w:rFonts w:hint="eastAsia"/>
          <w:szCs w:val="24"/>
        </w:rPr>
        <w:t>（排名待调整）</w:t>
      </w:r>
      <w:r>
        <w:rPr>
          <w:rFonts w:hint="eastAsia" w:ascii="黑体" w:hAnsi="黑体" w:eastAsia="黑体" w:cs="黑体"/>
          <w:bCs/>
          <w:spacing w:val="34"/>
        </w:rPr>
        <w:t>谢晓锋 杨仕超</w:t>
      </w:r>
    </w:p>
    <w:p w14:paraId="07000BE1">
      <w:pPr>
        <w:spacing w:line="340" w:lineRule="exact"/>
        <w:ind w:left="2415" w:leftChars="1150"/>
        <w:rPr>
          <w:rFonts w:hint="eastAsia" w:ascii="黑体" w:hAnsi="黑体" w:eastAsia="黑体" w:cs="黑体"/>
          <w:bCs/>
          <w:spacing w:val="34"/>
        </w:rPr>
      </w:pPr>
      <w:r>
        <w:rPr>
          <w:rFonts w:hint="eastAsia" w:ascii="黑体" w:hAnsi="黑体" w:eastAsia="黑体" w:cs="黑体"/>
          <w:bCs/>
          <w:spacing w:val="34"/>
        </w:rPr>
        <w:t>侯建群 刘  斌 李  君 罗虎林 徐其功 周  金 马  扬 徐  劲</w:t>
      </w:r>
    </w:p>
    <w:p w14:paraId="568A183E">
      <w:pPr>
        <w:spacing w:line="340" w:lineRule="exact"/>
        <w:ind w:left="2415" w:leftChars="1150"/>
        <w:rPr>
          <w:rFonts w:hint="eastAsia" w:ascii="黑体" w:hAnsi="黑体" w:eastAsia="黑体" w:cs="黑体"/>
          <w:bCs/>
          <w:spacing w:val="34"/>
        </w:rPr>
      </w:pPr>
      <w:r>
        <w:rPr>
          <w:rFonts w:hint="eastAsia" w:ascii="黑体" w:hAnsi="黑体" w:eastAsia="黑体" w:cs="黑体"/>
          <w:bCs/>
          <w:spacing w:val="34"/>
        </w:rPr>
        <w:t>吴  颀 郑焕奇 张  凯 过民龙</w:t>
      </w:r>
    </w:p>
    <w:p w14:paraId="12DE1B9E">
      <w:pPr>
        <w:spacing w:line="340" w:lineRule="exact"/>
        <w:ind w:left="2415" w:leftChars="1150"/>
        <w:rPr>
          <w:rFonts w:hint="eastAsia" w:ascii="黑体" w:hAnsi="黑体" w:eastAsia="黑体" w:cs="黑体"/>
          <w:bCs/>
          <w:spacing w:val="34"/>
        </w:rPr>
      </w:pPr>
      <w:r>
        <w:rPr>
          <w:rFonts w:hint="eastAsia" w:ascii="黑体" w:hAnsi="黑体" w:eastAsia="黑体" w:cs="黑体"/>
          <w:bCs/>
          <w:spacing w:val="34"/>
        </w:rPr>
        <w:t>徐凯燕 谢  琳 李建新 朱惠忠</w:t>
      </w:r>
    </w:p>
    <w:p w14:paraId="228C6B65">
      <w:pPr>
        <w:spacing w:line="340" w:lineRule="exact"/>
        <w:ind w:left="2415" w:leftChars="1150"/>
        <w:rPr>
          <w:rFonts w:ascii="黑体" w:hAnsi="黑体" w:eastAsia="黑体" w:cs="黑体"/>
          <w:bCs/>
          <w:szCs w:val="24"/>
        </w:rPr>
      </w:pPr>
      <w:r>
        <w:rPr>
          <w:rFonts w:hint="eastAsia" w:ascii="黑体" w:hAnsi="黑体" w:eastAsia="黑体" w:cs="黑体"/>
          <w:bCs/>
          <w:spacing w:val="34"/>
        </w:rPr>
        <w:t>钟广旋 沈怀忠 周治明 强光浩 蒙绪权 汪高文 古今强 马成发 谭燕娜 张  旭 彭晓峰 黄冠宁 王恩超 陈  立</w:t>
      </w:r>
    </w:p>
    <w:p w14:paraId="5A82AB77">
      <w:pPr>
        <w:spacing w:line="340" w:lineRule="exact"/>
        <w:rPr>
          <w:rFonts w:ascii="Vineta BT" w:hAnsi="Vineta BT"/>
          <w:sz w:val="72"/>
          <w:szCs w:val="72"/>
        </w:rPr>
      </w:pPr>
      <w:r>
        <w:rPr>
          <w:rFonts w:eastAsia="黑体"/>
          <w:bCs/>
          <w:spacing w:val="34"/>
        </w:rPr>
        <w:t>本</w:t>
      </w:r>
      <w:r>
        <w:rPr>
          <w:rFonts w:hint="eastAsia" w:eastAsia="黑体"/>
          <w:bCs/>
          <w:spacing w:val="34"/>
        </w:rPr>
        <w:t>标注</w:t>
      </w:r>
      <w:r>
        <w:rPr>
          <w:rFonts w:eastAsia="黑体"/>
          <w:bCs/>
          <w:spacing w:val="34"/>
        </w:rPr>
        <w:t>主要审查人员：</w:t>
      </w:r>
    </w:p>
    <w:p w14:paraId="1BE7274C">
      <w:pPr>
        <w:spacing w:line="600" w:lineRule="exact"/>
        <w:jc w:val="left"/>
        <w:rPr>
          <w:rFonts w:ascii="Vineta BT" w:hAnsi="Vineta BT"/>
          <w:sz w:val="72"/>
          <w:szCs w:val="72"/>
        </w:rPr>
        <w:sectPr>
          <w:headerReference r:id="rId10" w:type="first"/>
          <w:footerReference r:id="rId12" w:type="first"/>
          <w:headerReference r:id="rId9" w:type="default"/>
          <w:footerReference r:id="rId11" w:type="default"/>
          <w:pgSz w:w="7938" w:h="11510"/>
          <w:pgMar w:top="1247" w:right="1021" w:bottom="907" w:left="1021" w:header="680" w:footer="680" w:gutter="0"/>
          <w:pgNumType w:start="1"/>
          <w:cols w:space="720" w:num="1"/>
          <w:titlePg/>
          <w:docGrid w:type="linesAndChars" w:linePitch="326" w:charSpace="0"/>
        </w:sectPr>
      </w:pPr>
    </w:p>
    <w:p w14:paraId="1AABDDAA">
      <w:pPr>
        <w:pStyle w:val="4"/>
        <w:numPr>
          <w:ilvl w:val="0"/>
          <w:numId w:val="0"/>
        </w:numPr>
        <w:spacing w:before="163" w:after="163"/>
      </w:pPr>
      <w:bookmarkStart w:id="9" w:name="_Toc129374357"/>
      <w:bookmarkStart w:id="10" w:name="_Toc61254058"/>
      <w:bookmarkStart w:id="11" w:name="_Toc61254015"/>
      <w:bookmarkStart w:id="12" w:name="_Toc2248"/>
      <w:bookmarkStart w:id="13" w:name="_Toc53843364"/>
      <w:bookmarkStart w:id="14" w:name="_Toc37862236"/>
      <w:bookmarkStart w:id="15" w:name="_Toc53842359"/>
      <w:r>
        <w:rPr>
          <w:rFonts w:hint="eastAsia"/>
        </w:rPr>
        <w:t xml:space="preserve">目 </w:t>
      </w:r>
      <w:r>
        <w:t xml:space="preserve"> </w:t>
      </w:r>
      <w:r>
        <w:rPr>
          <w:rFonts w:hint="eastAsia"/>
        </w:rPr>
        <w:t>次</w:t>
      </w:r>
      <w:bookmarkEnd w:id="9"/>
      <w:bookmarkEnd w:id="10"/>
      <w:bookmarkEnd w:id="11"/>
      <w:r>
        <w:fldChar w:fldCharType="begin"/>
      </w:r>
      <w:r>
        <w:instrText xml:space="preserve"> TOC \o "1-2" \h \z \u </w:instrText>
      </w:r>
      <w:r>
        <w:fldChar w:fldCharType="separate"/>
      </w:r>
      <w:bookmarkEnd w:id="12"/>
    </w:p>
    <w:p w14:paraId="0E89E43F">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"_Toc61254016"</w:instrText>
      </w:r>
      <w:r>
        <w:rPr>
          <w:rStyle w:val="39"/>
          <w:color w:val="auto"/>
        </w:rPr>
        <w:instrText xml:space="preserve"> </w:instrText>
      </w:r>
      <w:r>
        <w:rPr>
          <w:rStyle w:val="39"/>
          <w:color w:val="auto"/>
        </w:rPr>
        <w:fldChar w:fldCharType="separate"/>
      </w:r>
      <w:r>
        <w:rPr>
          <w:rStyle w:val="39"/>
          <w:color w:val="auto"/>
        </w:rPr>
        <w:t>1</w:t>
      </w:r>
      <w:r>
        <w:rPr>
          <w:rFonts w:ascii="等线" w:hAnsi="等线" w:eastAsia="等线"/>
          <w:szCs w:val="22"/>
        </w:rPr>
        <w:tab/>
      </w:r>
      <w:r>
        <w:rPr>
          <w:rStyle w:val="39"/>
          <w:color w:val="auto"/>
        </w:rPr>
        <w:t>总则</w:t>
      </w:r>
      <w:r>
        <w:tab/>
      </w:r>
      <w:bookmarkStart w:id="16" w:name="_Hlt129371969"/>
      <w:bookmarkStart w:id="17" w:name="_Hlt129371970"/>
      <w:r>
        <w:fldChar w:fldCharType="begin"/>
      </w:r>
      <w:r>
        <w:instrText xml:space="preserve"> PAGEREF _Toc61254016 \h </w:instrText>
      </w:r>
      <w:r>
        <w:fldChar w:fldCharType="separate"/>
      </w:r>
      <w:r>
        <w:t>6</w:t>
      </w:r>
      <w:r>
        <w:fldChar w:fldCharType="end"/>
      </w:r>
      <w:bookmarkEnd w:id="16"/>
      <w:bookmarkEnd w:id="17"/>
      <w:r>
        <w:rPr>
          <w:rStyle w:val="39"/>
          <w:color w:val="auto"/>
        </w:rPr>
        <w:fldChar w:fldCharType="end"/>
      </w:r>
    </w:p>
    <w:p w14:paraId="6F9EF2C4">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"_Toc61254017"</w:instrText>
      </w:r>
      <w:r>
        <w:rPr>
          <w:rStyle w:val="39"/>
          <w:color w:val="auto"/>
        </w:rPr>
        <w:instrText xml:space="preserve"> </w:instrText>
      </w:r>
      <w:r>
        <w:rPr>
          <w:rStyle w:val="39"/>
          <w:color w:val="auto"/>
        </w:rPr>
        <w:fldChar w:fldCharType="separate"/>
      </w:r>
      <w:r>
        <w:rPr>
          <w:rStyle w:val="39"/>
          <w:color w:val="auto"/>
        </w:rPr>
        <w:t>2</w:t>
      </w:r>
      <w:r>
        <w:rPr>
          <w:rFonts w:ascii="等线" w:hAnsi="等线" w:eastAsia="等线"/>
          <w:szCs w:val="22"/>
        </w:rPr>
        <w:tab/>
      </w:r>
      <w:r>
        <w:rPr>
          <w:rStyle w:val="39"/>
          <w:color w:val="auto"/>
        </w:rPr>
        <w:t>术语和符号</w:t>
      </w:r>
      <w:r>
        <w:tab/>
      </w:r>
      <w:r>
        <w:fldChar w:fldCharType="begin"/>
      </w:r>
      <w:r>
        <w:instrText xml:space="preserve"> PAGEREF _Toc61254017 \h </w:instrText>
      </w:r>
      <w:r>
        <w:fldChar w:fldCharType="separate"/>
      </w:r>
      <w:r>
        <w:t>9</w:t>
      </w:r>
      <w:r>
        <w:fldChar w:fldCharType="end"/>
      </w:r>
      <w:r>
        <w:rPr>
          <w:rStyle w:val="39"/>
          <w:color w:val="auto"/>
        </w:rPr>
        <w:fldChar w:fldCharType="end"/>
      </w:r>
    </w:p>
    <w:p w14:paraId="4DB19E9E">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"_Toc61254018"</w:instrText>
      </w:r>
      <w:r>
        <w:rPr>
          <w:rStyle w:val="39"/>
          <w:color w:val="auto"/>
        </w:rPr>
        <w:instrText xml:space="preserve"> </w:instrText>
      </w:r>
      <w:r>
        <w:rPr>
          <w:rStyle w:val="39"/>
          <w:color w:val="auto"/>
        </w:rPr>
        <w:fldChar w:fldCharType="separate"/>
      </w:r>
      <w:r>
        <w:rPr>
          <w:rStyle w:val="39"/>
          <w:color w:val="auto"/>
          <w:spacing w:val="24"/>
        </w:rPr>
        <w:t>2.1</w:t>
      </w:r>
      <w:r>
        <w:rPr>
          <w:rFonts w:ascii="等线" w:hAnsi="等线" w:eastAsia="等线"/>
          <w:szCs w:val="22"/>
        </w:rPr>
        <w:tab/>
      </w:r>
      <w:r>
        <w:rPr>
          <w:rStyle w:val="39"/>
          <w:color w:val="auto"/>
        </w:rPr>
        <w:t>术语</w:t>
      </w:r>
      <w:r>
        <w:tab/>
      </w:r>
      <w:r>
        <w:fldChar w:fldCharType="begin"/>
      </w:r>
      <w:r>
        <w:instrText xml:space="preserve"> PAGEREF _Toc61254018 \h </w:instrText>
      </w:r>
      <w:r>
        <w:fldChar w:fldCharType="separate"/>
      </w:r>
      <w:r>
        <w:rPr>
          <w:rFonts w:hint="eastAsia"/>
        </w:rPr>
        <w:t>9</w:t>
      </w:r>
      <w:r>
        <w:fldChar w:fldCharType="end"/>
      </w:r>
      <w:r>
        <w:rPr>
          <w:rStyle w:val="39"/>
          <w:color w:val="auto"/>
        </w:rPr>
        <w:fldChar w:fldCharType="end"/>
      </w:r>
    </w:p>
    <w:p w14:paraId="5848C887">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"_Toc61254019"</w:instrText>
      </w:r>
      <w:r>
        <w:rPr>
          <w:rStyle w:val="39"/>
          <w:color w:val="auto"/>
        </w:rPr>
        <w:instrText xml:space="preserve"> </w:instrText>
      </w:r>
      <w:r>
        <w:rPr>
          <w:rStyle w:val="39"/>
          <w:color w:val="auto"/>
        </w:rPr>
        <w:fldChar w:fldCharType="separate"/>
      </w:r>
      <w:r>
        <w:rPr>
          <w:rStyle w:val="39"/>
          <w:color w:val="auto"/>
          <w:spacing w:val="24"/>
        </w:rPr>
        <w:t>2.2</w:t>
      </w:r>
      <w:r>
        <w:rPr>
          <w:rFonts w:ascii="等线" w:hAnsi="等线" w:eastAsia="等线"/>
          <w:szCs w:val="22"/>
        </w:rPr>
        <w:tab/>
      </w:r>
      <w:r>
        <w:rPr>
          <w:rStyle w:val="39"/>
          <w:color w:val="auto"/>
        </w:rPr>
        <w:t>符号</w:t>
      </w:r>
      <w:r>
        <w:tab/>
      </w:r>
      <w:r>
        <w:fldChar w:fldCharType="begin"/>
      </w:r>
      <w:r>
        <w:instrText xml:space="preserve"> PAGEREF _Toc61254019 \h </w:instrText>
      </w:r>
      <w:r>
        <w:fldChar w:fldCharType="separate"/>
      </w:r>
      <w:r>
        <w:rPr>
          <w:rFonts w:hint="eastAsia"/>
        </w:rPr>
        <w:t>14</w:t>
      </w:r>
      <w:r>
        <w:fldChar w:fldCharType="end"/>
      </w:r>
      <w:r>
        <w:rPr>
          <w:rStyle w:val="39"/>
          <w:color w:val="auto"/>
        </w:rPr>
        <w:fldChar w:fldCharType="end"/>
      </w:r>
    </w:p>
    <w:p w14:paraId="340C213B">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"_Toc61254020"</w:instrText>
      </w:r>
      <w:r>
        <w:rPr>
          <w:rStyle w:val="39"/>
          <w:color w:val="auto"/>
        </w:rPr>
        <w:instrText xml:space="preserve"> </w:instrText>
      </w:r>
      <w:r>
        <w:rPr>
          <w:rStyle w:val="39"/>
          <w:color w:val="auto"/>
        </w:rPr>
        <w:fldChar w:fldCharType="separate"/>
      </w:r>
      <w:r>
        <w:rPr>
          <w:rStyle w:val="39"/>
          <w:color w:val="auto"/>
        </w:rPr>
        <w:t>3</w:t>
      </w:r>
      <w:r>
        <w:rPr>
          <w:rFonts w:ascii="等线" w:hAnsi="等线" w:eastAsia="等线"/>
          <w:szCs w:val="22"/>
        </w:rPr>
        <w:tab/>
      </w:r>
      <w:r>
        <w:rPr>
          <w:rStyle w:val="39"/>
          <w:color w:val="auto"/>
        </w:rPr>
        <w:t>基本规定</w:t>
      </w:r>
      <w:r>
        <w:tab/>
      </w:r>
      <w:r>
        <w:fldChar w:fldCharType="begin"/>
      </w:r>
      <w:r>
        <w:instrText xml:space="preserve"> PAGEREF _Toc61254020 \h </w:instrText>
      </w:r>
      <w:r>
        <w:fldChar w:fldCharType="separate"/>
      </w:r>
      <w:r>
        <w:t>16</w:t>
      </w:r>
      <w:r>
        <w:fldChar w:fldCharType="end"/>
      </w:r>
      <w:r>
        <w:rPr>
          <w:rStyle w:val="39"/>
          <w:color w:val="auto"/>
        </w:rPr>
        <w:fldChar w:fldCharType="end"/>
      </w:r>
    </w:p>
    <w:p w14:paraId="76A4DE1F">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"_Toc61254021"</w:instrText>
      </w:r>
      <w:r>
        <w:rPr>
          <w:rStyle w:val="39"/>
          <w:color w:val="auto"/>
        </w:rPr>
        <w:instrText xml:space="preserve"> </w:instrText>
      </w:r>
      <w:r>
        <w:rPr>
          <w:rStyle w:val="39"/>
          <w:color w:val="auto"/>
        </w:rPr>
        <w:fldChar w:fldCharType="separate"/>
      </w:r>
      <w:r>
        <w:rPr>
          <w:rStyle w:val="39"/>
          <w:color w:val="auto"/>
        </w:rPr>
        <w:t>4</w:t>
      </w:r>
      <w:r>
        <w:rPr>
          <w:rFonts w:ascii="等线" w:hAnsi="等线" w:eastAsia="等线"/>
          <w:szCs w:val="22"/>
        </w:rPr>
        <w:tab/>
      </w:r>
      <w:r>
        <w:rPr>
          <w:rStyle w:val="39"/>
          <w:color w:val="auto"/>
        </w:rPr>
        <w:t>材料</w:t>
      </w:r>
      <w:r>
        <w:tab/>
      </w:r>
      <w:r>
        <w:fldChar w:fldCharType="begin"/>
      </w:r>
      <w:r>
        <w:instrText xml:space="preserve"> PAGEREF _Toc61254021 \h </w:instrText>
      </w:r>
      <w:r>
        <w:fldChar w:fldCharType="separate"/>
      </w:r>
      <w:r>
        <w:t>20</w:t>
      </w:r>
      <w:r>
        <w:fldChar w:fldCharType="end"/>
      </w:r>
      <w:r>
        <w:rPr>
          <w:rStyle w:val="39"/>
          <w:color w:val="auto"/>
        </w:rPr>
        <w:fldChar w:fldCharType="end"/>
      </w:r>
    </w:p>
    <w:p w14:paraId="5706BB8C">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"_Toc61254022"</w:instrText>
      </w:r>
      <w:r>
        <w:rPr>
          <w:rStyle w:val="39"/>
          <w:color w:val="auto"/>
        </w:rPr>
        <w:instrText xml:space="preserve"> </w:instrText>
      </w:r>
      <w:r>
        <w:rPr>
          <w:rStyle w:val="39"/>
          <w:color w:val="auto"/>
        </w:rPr>
        <w:fldChar w:fldCharType="separate"/>
      </w:r>
      <w:r>
        <w:rPr>
          <w:rStyle w:val="39"/>
          <w:color w:val="auto"/>
          <w:spacing w:val="24"/>
        </w:rPr>
        <w:t>4.1</w:t>
      </w:r>
      <w:r>
        <w:rPr>
          <w:rFonts w:ascii="等线" w:hAnsi="等线" w:eastAsia="等线"/>
          <w:szCs w:val="22"/>
        </w:rPr>
        <w:tab/>
      </w:r>
      <w:r>
        <w:rPr>
          <w:rStyle w:val="39"/>
          <w:color w:val="auto"/>
        </w:rPr>
        <w:t>混凝土</w:t>
      </w:r>
      <w:r>
        <w:tab/>
      </w:r>
      <w:r>
        <w:fldChar w:fldCharType="begin"/>
      </w:r>
      <w:r>
        <w:instrText xml:space="preserve"> PAGEREF _Toc61254022 \h </w:instrText>
      </w:r>
      <w:r>
        <w:fldChar w:fldCharType="separate"/>
      </w:r>
      <w:r>
        <w:rPr>
          <w:rFonts w:hint="eastAsia"/>
        </w:rPr>
        <w:t>20</w:t>
      </w:r>
      <w:r>
        <w:fldChar w:fldCharType="end"/>
      </w:r>
      <w:r>
        <w:rPr>
          <w:rStyle w:val="39"/>
          <w:color w:val="auto"/>
        </w:rPr>
        <w:fldChar w:fldCharType="end"/>
      </w:r>
    </w:p>
    <w:p w14:paraId="19764F34">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"_Toc61254023"</w:instrText>
      </w:r>
      <w:r>
        <w:rPr>
          <w:rStyle w:val="39"/>
          <w:color w:val="auto"/>
        </w:rPr>
        <w:instrText xml:space="preserve"> </w:instrText>
      </w:r>
      <w:r>
        <w:rPr>
          <w:rStyle w:val="39"/>
          <w:color w:val="auto"/>
        </w:rPr>
        <w:fldChar w:fldCharType="separate"/>
      </w:r>
      <w:r>
        <w:rPr>
          <w:rStyle w:val="39"/>
          <w:color w:val="auto"/>
          <w:spacing w:val="24"/>
        </w:rPr>
        <w:t>4.2</w:t>
      </w:r>
      <w:r>
        <w:rPr>
          <w:rFonts w:ascii="等线" w:hAnsi="等线" w:eastAsia="等线"/>
          <w:szCs w:val="22"/>
        </w:rPr>
        <w:tab/>
      </w:r>
      <w:r>
        <w:rPr>
          <w:rStyle w:val="39"/>
          <w:color w:val="auto"/>
        </w:rPr>
        <w:t>钢筋和钢材</w:t>
      </w:r>
      <w:r>
        <w:tab/>
      </w:r>
      <w:r>
        <w:fldChar w:fldCharType="begin"/>
      </w:r>
      <w:r>
        <w:instrText xml:space="preserve"> PAGEREF _Toc61254023 \h </w:instrText>
      </w:r>
      <w:r>
        <w:fldChar w:fldCharType="separate"/>
      </w:r>
      <w:r>
        <w:rPr>
          <w:rFonts w:hint="eastAsia"/>
        </w:rPr>
        <w:t>22</w:t>
      </w:r>
      <w:r>
        <w:fldChar w:fldCharType="end"/>
      </w:r>
      <w:r>
        <w:rPr>
          <w:rStyle w:val="39"/>
          <w:color w:val="auto"/>
        </w:rPr>
        <w:fldChar w:fldCharType="end"/>
      </w:r>
    </w:p>
    <w:p w14:paraId="43445F40">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"_Toc61254024"</w:instrText>
      </w:r>
      <w:r>
        <w:rPr>
          <w:rStyle w:val="39"/>
          <w:color w:val="auto"/>
        </w:rPr>
        <w:instrText xml:space="preserve"> </w:instrText>
      </w:r>
      <w:r>
        <w:rPr>
          <w:rStyle w:val="39"/>
          <w:color w:val="auto"/>
        </w:rPr>
        <w:fldChar w:fldCharType="separate"/>
      </w:r>
      <w:r>
        <w:rPr>
          <w:rStyle w:val="39"/>
          <w:color w:val="auto"/>
          <w:spacing w:val="24"/>
        </w:rPr>
        <w:t>4.3</w:t>
      </w:r>
      <w:r>
        <w:rPr>
          <w:rFonts w:ascii="等线" w:hAnsi="等线" w:eastAsia="等线"/>
          <w:szCs w:val="22"/>
        </w:rPr>
        <w:tab/>
      </w:r>
      <w:r>
        <w:rPr>
          <w:rStyle w:val="39"/>
          <w:color w:val="auto"/>
        </w:rPr>
        <w:t>固模楼承板</w:t>
      </w:r>
      <w:r>
        <w:tab/>
      </w:r>
      <w:r>
        <w:fldChar w:fldCharType="begin"/>
      </w:r>
      <w:r>
        <w:instrText xml:space="preserve"> PAGEREF _Toc61254024 \h </w:instrText>
      </w:r>
      <w:r>
        <w:fldChar w:fldCharType="separate"/>
      </w:r>
      <w:r>
        <w:rPr>
          <w:rFonts w:hint="eastAsia"/>
        </w:rPr>
        <w:t>24</w:t>
      </w:r>
      <w:r>
        <w:fldChar w:fldCharType="end"/>
      </w:r>
      <w:r>
        <w:rPr>
          <w:rStyle w:val="39"/>
          <w:color w:val="auto"/>
        </w:rPr>
        <w:fldChar w:fldCharType="end"/>
      </w:r>
    </w:p>
    <w:p w14:paraId="334F28C3">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"_Toc61254025"</w:instrText>
      </w:r>
      <w:r>
        <w:rPr>
          <w:rStyle w:val="39"/>
          <w:color w:val="auto"/>
        </w:rPr>
        <w:instrText xml:space="preserve"> </w:instrText>
      </w:r>
      <w:r>
        <w:rPr>
          <w:rStyle w:val="39"/>
          <w:color w:val="auto"/>
        </w:rPr>
        <w:fldChar w:fldCharType="separate"/>
      </w:r>
      <w:r>
        <w:rPr>
          <w:rStyle w:val="39"/>
          <w:color w:val="auto"/>
        </w:rPr>
        <w:t>5</w:t>
      </w:r>
      <w:r>
        <w:rPr>
          <w:rFonts w:ascii="等线" w:hAnsi="等线" w:eastAsia="等线"/>
          <w:szCs w:val="22"/>
        </w:rPr>
        <w:tab/>
      </w:r>
      <w:r>
        <w:rPr>
          <w:rStyle w:val="39"/>
          <w:color w:val="auto"/>
        </w:rPr>
        <w:t>建筑设计</w:t>
      </w:r>
      <w:r>
        <w:tab/>
      </w:r>
      <w:r>
        <w:fldChar w:fldCharType="begin"/>
      </w:r>
      <w:r>
        <w:instrText xml:space="preserve"> PAGEREF _Toc61254025 \h </w:instrText>
      </w:r>
      <w:r>
        <w:fldChar w:fldCharType="separate"/>
      </w:r>
      <w:r>
        <w:t>28</w:t>
      </w:r>
      <w:r>
        <w:fldChar w:fldCharType="end"/>
      </w:r>
      <w:r>
        <w:rPr>
          <w:rStyle w:val="39"/>
          <w:color w:val="auto"/>
        </w:rPr>
        <w:fldChar w:fldCharType="end"/>
      </w:r>
    </w:p>
    <w:p w14:paraId="570D1E46">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"_Toc61254026"</w:instrText>
      </w:r>
      <w:r>
        <w:rPr>
          <w:rStyle w:val="39"/>
          <w:color w:val="auto"/>
        </w:rPr>
        <w:instrText xml:space="preserve"> </w:instrText>
      </w:r>
      <w:r>
        <w:rPr>
          <w:rStyle w:val="39"/>
          <w:color w:val="auto"/>
        </w:rPr>
        <w:fldChar w:fldCharType="separate"/>
      </w:r>
      <w:r>
        <w:rPr>
          <w:rStyle w:val="39"/>
          <w:color w:val="auto"/>
          <w:spacing w:val="24"/>
        </w:rPr>
        <w:t>5.1</w:t>
      </w:r>
      <w:r>
        <w:rPr>
          <w:rFonts w:ascii="等线" w:hAnsi="等线" w:eastAsia="等线"/>
          <w:szCs w:val="22"/>
        </w:rPr>
        <w:tab/>
      </w:r>
      <w:r>
        <w:rPr>
          <w:rStyle w:val="39"/>
          <w:color w:val="auto"/>
        </w:rPr>
        <w:t>一般规定</w:t>
      </w:r>
      <w:r>
        <w:tab/>
      </w:r>
      <w:r>
        <w:fldChar w:fldCharType="begin"/>
      </w:r>
      <w:r>
        <w:instrText xml:space="preserve"> PAGEREF _Toc61254026 \h </w:instrText>
      </w:r>
      <w:r>
        <w:fldChar w:fldCharType="separate"/>
      </w:r>
      <w:r>
        <w:rPr>
          <w:rFonts w:hint="eastAsia"/>
        </w:rPr>
        <w:t>28</w:t>
      </w:r>
      <w:r>
        <w:fldChar w:fldCharType="end"/>
      </w:r>
      <w:r>
        <w:rPr>
          <w:rStyle w:val="39"/>
          <w:color w:val="auto"/>
        </w:rPr>
        <w:fldChar w:fldCharType="end"/>
      </w:r>
    </w:p>
    <w:p w14:paraId="44674B4E">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"_Toc61254027"</w:instrText>
      </w:r>
      <w:r>
        <w:rPr>
          <w:rStyle w:val="39"/>
          <w:color w:val="auto"/>
        </w:rPr>
        <w:instrText xml:space="preserve"> </w:instrText>
      </w:r>
      <w:r>
        <w:rPr>
          <w:rStyle w:val="39"/>
          <w:color w:val="auto"/>
        </w:rPr>
        <w:fldChar w:fldCharType="separate"/>
      </w:r>
      <w:r>
        <w:rPr>
          <w:rStyle w:val="39"/>
          <w:color w:val="auto"/>
          <w:spacing w:val="24"/>
        </w:rPr>
        <w:t>5.2</w:t>
      </w:r>
      <w:r>
        <w:rPr>
          <w:rFonts w:ascii="等线" w:hAnsi="等线" w:eastAsia="等线"/>
          <w:szCs w:val="22"/>
        </w:rPr>
        <w:tab/>
      </w:r>
      <w:r>
        <w:rPr>
          <w:rStyle w:val="39"/>
          <w:color w:val="auto"/>
        </w:rPr>
        <w:t>平面、立面设计</w:t>
      </w:r>
      <w:r>
        <w:tab/>
      </w:r>
      <w:r>
        <w:fldChar w:fldCharType="begin"/>
      </w:r>
      <w:r>
        <w:instrText xml:space="preserve"> PAGEREF _Toc61254027 \h </w:instrText>
      </w:r>
      <w:r>
        <w:fldChar w:fldCharType="separate"/>
      </w:r>
      <w:r>
        <w:rPr>
          <w:rFonts w:hint="eastAsia"/>
        </w:rPr>
        <w:t>28</w:t>
      </w:r>
      <w:r>
        <w:fldChar w:fldCharType="end"/>
      </w:r>
      <w:r>
        <w:rPr>
          <w:rStyle w:val="39"/>
          <w:color w:val="auto"/>
        </w:rPr>
        <w:fldChar w:fldCharType="end"/>
      </w:r>
    </w:p>
    <w:p w14:paraId="6D5CEFBA">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"_Toc61254028"</w:instrText>
      </w:r>
      <w:r>
        <w:rPr>
          <w:rStyle w:val="39"/>
          <w:color w:val="auto"/>
        </w:rPr>
        <w:instrText xml:space="preserve"> </w:instrText>
      </w:r>
      <w:r>
        <w:rPr>
          <w:rStyle w:val="39"/>
          <w:color w:val="auto"/>
        </w:rPr>
        <w:fldChar w:fldCharType="separate"/>
      </w:r>
      <w:r>
        <w:rPr>
          <w:rStyle w:val="39"/>
          <w:color w:val="auto"/>
          <w:spacing w:val="24"/>
        </w:rPr>
        <w:t>5.3</w:t>
      </w:r>
      <w:r>
        <w:rPr>
          <w:rFonts w:ascii="等线" w:hAnsi="等线" w:eastAsia="等线"/>
          <w:szCs w:val="22"/>
        </w:rPr>
        <w:tab/>
      </w:r>
      <w:r>
        <w:rPr>
          <w:rStyle w:val="39"/>
          <w:color w:val="auto"/>
        </w:rPr>
        <w:t>外围护系统设计</w:t>
      </w:r>
      <w:r>
        <w:tab/>
      </w:r>
      <w:r>
        <w:fldChar w:fldCharType="begin"/>
      </w:r>
      <w:r>
        <w:instrText xml:space="preserve"> PAGEREF _Toc61254028 \h </w:instrText>
      </w:r>
      <w:r>
        <w:fldChar w:fldCharType="separate"/>
      </w:r>
      <w:r>
        <w:rPr>
          <w:rFonts w:hint="eastAsia"/>
        </w:rPr>
        <w:t>30</w:t>
      </w:r>
      <w:r>
        <w:fldChar w:fldCharType="end"/>
      </w:r>
      <w:r>
        <w:rPr>
          <w:rStyle w:val="39"/>
          <w:color w:val="auto"/>
        </w:rPr>
        <w:fldChar w:fldCharType="end"/>
      </w:r>
    </w:p>
    <w:p w14:paraId="3C1EB404">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"_Toc61254029"</w:instrText>
      </w:r>
      <w:r>
        <w:rPr>
          <w:rStyle w:val="39"/>
          <w:color w:val="auto"/>
        </w:rPr>
        <w:instrText xml:space="preserve"> </w:instrText>
      </w:r>
      <w:r>
        <w:rPr>
          <w:rStyle w:val="39"/>
          <w:color w:val="auto"/>
        </w:rPr>
        <w:fldChar w:fldCharType="separate"/>
      </w:r>
      <w:r>
        <w:rPr>
          <w:rStyle w:val="39"/>
          <w:color w:val="auto"/>
          <w:spacing w:val="24"/>
        </w:rPr>
        <w:t>5.4</w:t>
      </w:r>
      <w:r>
        <w:rPr>
          <w:rFonts w:ascii="等线" w:hAnsi="等线" w:eastAsia="等线"/>
          <w:szCs w:val="22"/>
        </w:rPr>
        <w:tab/>
      </w:r>
      <w:r>
        <w:rPr>
          <w:rStyle w:val="39"/>
          <w:color w:val="auto"/>
        </w:rPr>
        <w:t>内装修设计</w:t>
      </w:r>
      <w:r>
        <w:tab/>
      </w:r>
      <w:r>
        <w:fldChar w:fldCharType="begin"/>
      </w:r>
      <w:r>
        <w:instrText xml:space="preserve"> PAGEREF _Toc61254029 \h </w:instrText>
      </w:r>
      <w:r>
        <w:fldChar w:fldCharType="separate"/>
      </w:r>
      <w:r>
        <w:rPr>
          <w:rFonts w:hint="eastAsia"/>
        </w:rPr>
        <w:t>32</w:t>
      </w:r>
      <w:r>
        <w:fldChar w:fldCharType="end"/>
      </w:r>
      <w:r>
        <w:rPr>
          <w:rStyle w:val="39"/>
          <w:color w:val="auto"/>
        </w:rPr>
        <w:fldChar w:fldCharType="end"/>
      </w:r>
    </w:p>
    <w:p w14:paraId="092AE3A9">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"_Toc61254030"</w:instrText>
      </w:r>
      <w:r>
        <w:rPr>
          <w:rStyle w:val="39"/>
          <w:color w:val="auto"/>
        </w:rPr>
        <w:instrText xml:space="preserve"> </w:instrText>
      </w:r>
      <w:r>
        <w:rPr>
          <w:rStyle w:val="39"/>
          <w:color w:val="auto"/>
        </w:rPr>
        <w:fldChar w:fldCharType="separate"/>
      </w:r>
      <w:r>
        <w:rPr>
          <w:rStyle w:val="39"/>
          <w:color w:val="auto"/>
        </w:rPr>
        <w:t>6</w:t>
      </w:r>
      <w:r>
        <w:rPr>
          <w:rFonts w:ascii="等线" w:hAnsi="等线" w:eastAsia="等线"/>
          <w:szCs w:val="22"/>
        </w:rPr>
        <w:tab/>
      </w:r>
      <w:r>
        <w:rPr>
          <w:rStyle w:val="39"/>
          <w:color w:val="auto"/>
        </w:rPr>
        <w:t>结构设计</w:t>
      </w:r>
      <w:r>
        <w:tab/>
      </w:r>
      <w:r>
        <w:fldChar w:fldCharType="begin"/>
      </w:r>
      <w:r>
        <w:instrText xml:space="preserve"> PAGEREF _Toc61254030 \h </w:instrText>
      </w:r>
      <w:r>
        <w:fldChar w:fldCharType="separate"/>
      </w:r>
      <w:r>
        <w:t>36</w:t>
      </w:r>
      <w:r>
        <w:fldChar w:fldCharType="end"/>
      </w:r>
      <w:r>
        <w:rPr>
          <w:rStyle w:val="39"/>
          <w:color w:val="auto"/>
        </w:rPr>
        <w:fldChar w:fldCharType="end"/>
      </w:r>
    </w:p>
    <w:p w14:paraId="562D69D5">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"_Toc61254031"</w:instrText>
      </w:r>
      <w:r>
        <w:rPr>
          <w:rStyle w:val="39"/>
          <w:color w:val="auto"/>
        </w:rPr>
        <w:instrText xml:space="preserve"> </w:instrText>
      </w:r>
      <w:r>
        <w:rPr>
          <w:rStyle w:val="39"/>
          <w:color w:val="auto"/>
        </w:rPr>
        <w:fldChar w:fldCharType="separate"/>
      </w:r>
      <w:r>
        <w:rPr>
          <w:rStyle w:val="39"/>
          <w:color w:val="auto"/>
          <w:spacing w:val="24"/>
        </w:rPr>
        <w:t>6.1</w:t>
      </w:r>
      <w:r>
        <w:rPr>
          <w:rFonts w:ascii="等线" w:hAnsi="等线" w:eastAsia="等线"/>
          <w:szCs w:val="22"/>
        </w:rPr>
        <w:tab/>
      </w:r>
      <w:r>
        <w:rPr>
          <w:rStyle w:val="39"/>
          <w:color w:val="auto"/>
        </w:rPr>
        <w:t>一般规定</w:t>
      </w:r>
      <w:r>
        <w:tab/>
      </w:r>
      <w:r>
        <w:fldChar w:fldCharType="begin"/>
      </w:r>
      <w:r>
        <w:instrText xml:space="preserve"> PAGEREF _Toc61254031 \h </w:instrText>
      </w:r>
      <w:r>
        <w:fldChar w:fldCharType="separate"/>
      </w:r>
      <w:r>
        <w:rPr>
          <w:rFonts w:hint="eastAsia"/>
        </w:rPr>
        <w:t>36</w:t>
      </w:r>
      <w:r>
        <w:fldChar w:fldCharType="end"/>
      </w:r>
      <w:r>
        <w:rPr>
          <w:rStyle w:val="39"/>
          <w:color w:val="auto"/>
        </w:rPr>
        <w:fldChar w:fldCharType="end"/>
      </w:r>
    </w:p>
    <w:p w14:paraId="677345C1">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"_Toc61254032"</w:instrText>
      </w:r>
      <w:r>
        <w:rPr>
          <w:rStyle w:val="39"/>
          <w:color w:val="auto"/>
        </w:rPr>
        <w:instrText xml:space="preserve"> </w:instrText>
      </w:r>
      <w:r>
        <w:rPr>
          <w:rStyle w:val="39"/>
          <w:color w:val="auto"/>
        </w:rPr>
        <w:fldChar w:fldCharType="separate"/>
      </w:r>
      <w:r>
        <w:rPr>
          <w:rStyle w:val="39"/>
          <w:color w:val="auto"/>
          <w:spacing w:val="24"/>
        </w:rPr>
        <w:t>6.2</w:t>
      </w:r>
      <w:r>
        <w:rPr>
          <w:rFonts w:ascii="等线" w:hAnsi="等线" w:eastAsia="等线"/>
          <w:szCs w:val="22"/>
        </w:rPr>
        <w:tab/>
      </w:r>
      <w:r>
        <w:rPr>
          <w:rStyle w:val="39"/>
          <w:color w:val="auto"/>
        </w:rPr>
        <w:t>结构分析</w:t>
      </w:r>
      <w:r>
        <w:tab/>
      </w:r>
      <w:r>
        <w:fldChar w:fldCharType="begin"/>
      </w:r>
      <w:r>
        <w:instrText xml:space="preserve"> PAGEREF _Toc61254032 \h </w:instrText>
      </w:r>
      <w:r>
        <w:fldChar w:fldCharType="separate"/>
      </w:r>
      <w:r>
        <w:rPr>
          <w:rFonts w:hint="eastAsia"/>
        </w:rPr>
        <w:t>42</w:t>
      </w:r>
      <w:r>
        <w:fldChar w:fldCharType="end"/>
      </w:r>
      <w:r>
        <w:rPr>
          <w:rStyle w:val="39"/>
          <w:color w:val="auto"/>
        </w:rPr>
        <w:fldChar w:fldCharType="end"/>
      </w:r>
    </w:p>
    <w:p w14:paraId="55EC48AE">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"_Toc61254033"</w:instrText>
      </w:r>
      <w:r>
        <w:rPr>
          <w:rStyle w:val="39"/>
          <w:color w:val="auto"/>
        </w:rPr>
        <w:instrText xml:space="preserve"> </w:instrText>
      </w:r>
      <w:r>
        <w:rPr>
          <w:rStyle w:val="39"/>
          <w:color w:val="auto"/>
        </w:rPr>
        <w:fldChar w:fldCharType="separate"/>
      </w:r>
      <w:r>
        <w:rPr>
          <w:rStyle w:val="39"/>
          <w:color w:val="auto"/>
          <w:spacing w:val="24"/>
        </w:rPr>
        <w:t>6.3</w:t>
      </w:r>
      <w:r>
        <w:rPr>
          <w:rFonts w:ascii="等线" w:hAnsi="等线" w:eastAsia="等线"/>
          <w:szCs w:val="22"/>
        </w:rPr>
        <w:tab/>
      </w:r>
      <w:r>
        <w:rPr>
          <w:rStyle w:val="39"/>
          <w:color w:val="auto"/>
        </w:rPr>
        <w:t>构件设计</w:t>
      </w:r>
      <w:r>
        <w:tab/>
      </w:r>
      <w:r>
        <w:fldChar w:fldCharType="begin"/>
      </w:r>
      <w:r>
        <w:instrText xml:space="preserve"> PAGEREF _Toc61254033 \h </w:instrText>
      </w:r>
      <w:r>
        <w:fldChar w:fldCharType="separate"/>
      </w:r>
      <w:r>
        <w:rPr>
          <w:rFonts w:hint="eastAsia"/>
        </w:rPr>
        <w:t>44</w:t>
      </w:r>
      <w:r>
        <w:fldChar w:fldCharType="end"/>
      </w:r>
      <w:r>
        <w:rPr>
          <w:rStyle w:val="39"/>
          <w:color w:val="auto"/>
        </w:rPr>
        <w:fldChar w:fldCharType="end"/>
      </w:r>
    </w:p>
    <w:p w14:paraId="463BF46C">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"_Toc61254034"</w:instrText>
      </w:r>
      <w:r>
        <w:rPr>
          <w:rStyle w:val="39"/>
          <w:color w:val="auto"/>
        </w:rPr>
        <w:instrText xml:space="preserve"> </w:instrText>
      </w:r>
      <w:r>
        <w:rPr>
          <w:rStyle w:val="39"/>
          <w:color w:val="auto"/>
        </w:rPr>
        <w:fldChar w:fldCharType="separate"/>
      </w:r>
      <w:r>
        <w:rPr>
          <w:rStyle w:val="39"/>
          <w:color w:val="auto"/>
        </w:rPr>
        <w:t>7</w:t>
      </w:r>
      <w:r>
        <w:rPr>
          <w:rFonts w:ascii="等线" w:hAnsi="等线" w:eastAsia="等线"/>
          <w:szCs w:val="22"/>
        </w:rPr>
        <w:tab/>
      </w:r>
      <w:r>
        <w:rPr>
          <w:rStyle w:val="39"/>
          <w:color w:val="auto"/>
        </w:rPr>
        <w:t>构造措施</w:t>
      </w:r>
      <w:r>
        <w:tab/>
      </w:r>
      <w:r>
        <w:fldChar w:fldCharType="begin"/>
      </w:r>
      <w:r>
        <w:instrText xml:space="preserve"> PAGEREF _Toc61254034 \h </w:instrText>
      </w:r>
      <w:r>
        <w:fldChar w:fldCharType="separate"/>
      </w:r>
      <w:r>
        <w:t>51</w:t>
      </w:r>
      <w:r>
        <w:fldChar w:fldCharType="end"/>
      </w:r>
      <w:r>
        <w:rPr>
          <w:rStyle w:val="39"/>
          <w:color w:val="auto"/>
        </w:rPr>
        <w:fldChar w:fldCharType="end"/>
      </w:r>
    </w:p>
    <w:p w14:paraId="14246D9E">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"_Toc61254035"</w:instrText>
      </w:r>
      <w:r>
        <w:rPr>
          <w:rStyle w:val="39"/>
          <w:color w:val="auto"/>
        </w:rPr>
        <w:instrText xml:space="preserve"> </w:instrText>
      </w:r>
      <w:r>
        <w:rPr>
          <w:rStyle w:val="39"/>
          <w:color w:val="auto"/>
        </w:rPr>
        <w:fldChar w:fldCharType="separate"/>
      </w:r>
      <w:r>
        <w:rPr>
          <w:rStyle w:val="39"/>
          <w:color w:val="auto"/>
          <w:spacing w:val="24"/>
        </w:rPr>
        <w:t>7.1</w:t>
      </w:r>
      <w:r>
        <w:rPr>
          <w:rFonts w:ascii="等线" w:hAnsi="等线" w:eastAsia="等线"/>
          <w:szCs w:val="22"/>
        </w:rPr>
        <w:tab/>
      </w:r>
      <w:r>
        <w:rPr>
          <w:rStyle w:val="39"/>
          <w:color w:val="auto"/>
        </w:rPr>
        <w:t>一般规定</w:t>
      </w:r>
      <w:r>
        <w:tab/>
      </w:r>
      <w:r>
        <w:fldChar w:fldCharType="begin"/>
      </w:r>
      <w:r>
        <w:instrText xml:space="preserve"> PAGEREF _Toc61254035 \h </w:instrText>
      </w:r>
      <w:r>
        <w:fldChar w:fldCharType="separate"/>
      </w:r>
      <w:r>
        <w:rPr>
          <w:rFonts w:hint="eastAsia"/>
        </w:rPr>
        <w:t>51</w:t>
      </w:r>
      <w:r>
        <w:fldChar w:fldCharType="end"/>
      </w:r>
      <w:r>
        <w:rPr>
          <w:rStyle w:val="39"/>
          <w:color w:val="auto"/>
        </w:rPr>
        <w:fldChar w:fldCharType="end"/>
      </w:r>
    </w:p>
    <w:p w14:paraId="4C0DBA38">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"_Toc61254036"</w:instrText>
      </w:r>
      <w:r>
        <w:rPr>
          <w:rStyle w:val="39"/>
          <w:color w:val="auto"/>
        </w:rPr>
        <w:instrText xml:space="preserve"> </w:instrText>
      </w:r>
      <w:r>
        <w:rPr>
          <w:rStyle w:val="39"/>
          <w:color w:val="auto"/>
        </w:rPr>
        <w:fldChar w:fldCharType="separate"/>
      </w:r>
      <w:r>
        <w:rPr>
          <w:rStyle w:val="39"/>
          <w:color w:val="auto"/>
          <w:spacing w:val="24"/>
        </w:rPr>
        <w:t>7.2</w:t>
      </w:r>
      <w:r>
        <w:rPr>
          <w:rFonts w:ascii="等线" w:hAnsi="等线" w:eastAsia="等线"/>
          <w:szCs w:val="22"/>
        </w:rPr>
        <w:tab/>
      </w:r>
      <w:r>
        <w:rPr>
          <w:rStyle w:val="39"/>
          <w:color w:val="auto"/>
        </w:rPr>
        <w:t>固模剪力墙</w:t>
      </w:r>
      <w:r>
        <w:tab/>
      </w:r>
      <w:r>
        <w:fldChar w:fldCharType="begin"/>
      </w:r>
      <w:r>
        <w:instrText xml:space="preserve"> PAGEREF _Toc61254036 \h </w:instrText>
      </w:r>
      <w:r>
        <w:fldChar w:fldCharType="separate"/>
      </w:r>
      <w:r>
        <w:rPr>
          <w:rFonts w:hint="eastAsia"/>
        </w:rPr>
        <w:t>53</w:t>
      </w:r>
      <w:r>
        <w:fldChar w:fldCharType="end"/>
      </w:r>
      <w:r>
        <w:rPr>
          <w:rStyle w:val="39"/>
          <w:color w:val="auto"/>
        </w:rPr>
        <w:fldChar w:fldCharType="end"/>
      </w:r>
    </w:p>
    <w:p w14:paraId="0BF800C1">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"_Toc61254037"</w:instrText>
      </w:r>
      <w:r>
        <w:rPr>
          <w:rStyle w:val="39"/>
          <w:color w:val="auto"/>
        </w:rPr>
        <w:instrText xml:space="preserve"> </w:instrText>
      </w:r>
      <w:r>
        <w:rPr>
          <w:rStyle w:val="39"/>
          <w:color w:val="auto"/>
        </w:rPr>
        <w:fldChar w:fldCharType="separate"/>
      </w:r>
      <w:r>
        <w:rPr>
          <w:rStyle w:val="39"/>
          <w:color w:val="auto"/>
          <w:spacing w:val="24"/>
        </w:rPr>
        <w:t>7.3</w:t>
      </w:r>
      <w:r>
        <w:rPr>
          <w:rFonts w:ascii="等线" w:hAnsi="等线" w:eastAsia="等线"/>
          <w:szCs w:val="22"/>
        </w:rPr>
        <w:tab/>
      </w:r>
      <w:r>
        <w:rPr>
          <w:rStyle w:val="39"/>
          <w:color w:val="auto"/>
        </w:rPr>
        <w:t>固模楼承板</w:t>
      </w:r>
      <w:r>
        <w:tab/>
      </w:r>
      <w:r>
        <w:fldChar w:fldCharType="begin"/>
      </w:r>
      <w:r>
        <w:instrText xml:space="preserve"> PAGEREF _Toc61254037 \h </w:instrText>
      </w:r>
      <w:r>
        <w:fldChar w:fldCharType="separate"/>
      </w:r>
      <w:r>
        <w:rPr>
          <w:rFonts w:hint="eastAsia"/>
        </w:rPr>
        <w:t>71</w:t>
      </w:r>
      <w:r>
        <w:fldChar w:fldCharType="end"/>
      </w:r>
      <w:r>
        <w:rPr>
          <w:rStyle w:val="39"/>
          <w:color w:val="auto"/>
        </w:rPr>
        <w:fldChar w:fldCharType="end"/>
      </w:r>
    </w:p>
    <w:p w14:paraId="497DFF14">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"_Toc61254038"</w:instrText>
      </w:r>
      <w:r>
        <w:rPr>
          <w:rStyle w:val="39"/>
          <w:color w:val="auto"/>
        </w:rPr>
        <w:instrText xml:space="preserve"> </w:instrText>
      </w:r>
      <w:r>
        <w:rPr>
          <w:rStyle w:val="39"/>
          <w:color w:val="auto"/>
        </w:rPr>
        <w:fldChar w:fldCharType="separate"/>
      </w:r>
      <w:r>
        <w:rPr>
          <w:rStyle w:val="39"/>
          <w:color w:val="auto"/>
        </w:rPr>
        <w:t>8</w:t>
      </w:r>
      <w:r>
        <w:rPr>
          <w:rFonts w:ascii="等线" w:hAnsi="等线" w:eastAsia="等线"/>
          <w:szCs w:val="22"/>
        </w:rPr>
        <w:tab/>
      </w:r>
      <w:r>
        <w:rPr>
          <w:rStyle w:val="39"/>
          <w:color w:val="auto"/>
        </w:rPr>
        <w:t>构件制作</w:t>
      </w:r>
      <w:r>
        <w:tab/>
      </w:r>
      <w:r>
        <w:fldChar w:fldCharType="begin"/>
      </w:r>
      <w:r>
        <w:instrText xml:space="preserve"> PAGEREF _Toc61254038 \h </w:instrText>
      </w:r>
      <w:r>
        <w:fldChar w:fldCharType="separate"/>
      </w:r>
      <w:r>
        <w:t>79</w:t>
      </w:r>
      <w:r>
        <w:fldChar w:fldCharType="end"/>
      </w:r>
      <w:r>
        <w:rPr>
          <w:rStyle w:val="39"/>
          <w:color w:val="auto"/>
        </w:rPr>
        <w:fldChar w:fldCharType="end"/>
      </w:r>
    </w:p>
    <w:p w14:paraId="28B23346">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"_Toc61254039"</w:instrText>
      </w:r>
      <w:r>
        <w:rPr>
          <w:rStyle w:val="39"/>
          <w:color w:val="auto"/>
        </w:rPr>
        <w:instrText xml:space="preserve"> </w:instrText>
      </w:r>
      <w:r>
        <w:rPr>
          <w:rStyle w:val="39"/>
          <w:color w:val="auto"/>
        </w:rPr>
        <w:fldChar w:fldCharType="separate"/>
      </w:r>
      <w:r>
        <w:rPr>
          <w:rStyle w:val="39"/>
          <w:color w:val="auto"/>
          <w:spacing w:val="24"/>
        </w:rPr>
        <w:t>8.1</w:t>
      </w:r>
      <w:r>
        <w:rPr>
          <w:rFonts w:ascii="等线" w:hAnsi="等线" w:eastAsia="等线"/>
          <w:szCs w:val="22"/>
        </w:rPr>
        <w:tab/>
      </w:r>
      <w:r>
        <w:rPr>
          <w:rStyle w:val="39"/>
          <w:color w:val="auto"/>
        </w:rPr>
        <w:t>一般规定</w:t>
      </w:r>
      <w:r>
        <w:tab/>
      </w:r>
      <w:r>
        <w:fldChar w:fldCharType="begin"/>
      </w:r>
      <w:r>
        <w:instrText xml:space="preserve"> PAGEREF _Toc61254039 \h </w:instrText>
      </w:r>
      <w:r>
        <w:fldChar w:fldCharType="separate"/>
      </w:r>
      <w:r>
        <w:rPr>
          <w:rFonts w:hint="eastAsia"/>
        </w:rPr>
        <w:t>79</w:t>
      </w:r>
      <w:r>
        <w:fldChar w:fldCharType="end"/>
      </w:r>
      <w:r>
        <w:rPr>
          <w:rStyle w:val="39"/>
          <w:color w:val="auto"/>
        </w:rPr>
        <w:fldChar w:fldCharType="end"/>
      </w:r>
    </w:p>
    <w:p w14:paraId="5C8A7730">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"_Toc61254040"</w:instrText>
      </w:r>
      <w:r>
        <w:rPr>
          <w:rStyle w:val="39"/>
          <w:color w:val="auto"/>
        </w:rPr>
        <w:instrText xml:space="preserve"> </w:instrText>
      </w:r>
      <w:r>
        <w:rPr>
          <w:rStyle w:val="39"/>
          <w:color w:val="auto"/>
        </w:rPr>
        <w:fldChar w:fldCharType="separate"/>
      </w:r>
      <w:r>
        <w:rPr>
          <w:rStyle w:val="39"/>
          <w:color w:val="auto"/>
          <w:spacing w:val="24"/>
        </w:rPr>
        <w:t>8.2</w:t>
      </w:r>
      <w:r>
        <w:rPr>
          <w:rFonts w:ascii="等线" w:hAnsi="等线" w:eastAsia="等线"/>
          <w:szCs w:val="22"/>
        </w:rPr>
        <w:tab/>
      </w:r>
      <w:r>
        <w:rPr>
          <w:rStyle w:val="39"/>
          <w:color w:val="auto"/>
        </w:rPr>
        <w:t>空心墙模</w:t>
      </w:r>
      <w:r>
        <w:tab/>
      </w:r>
      <w:r>
        <w:fldChar w:fldCharType="begin"/>
      </w:r>
      <w:r>
        <w:instrText xml:space="preserve"> PAGEREF _Toc61254040 \h </w:instrText>
      </w:r>
      <w:r>
        <w:fldChar w:fldCharType="separate"/>
      </w:r>
      <w:r>
        <w:rPr>
          <w:rFonts w:hint="eastAsia"/>
        </w:rPr>
        <w:t>84</w:t>
      </w:r>
      <w:r>
        <w:fldChar w:fldCharType="end"/>
      </w:r>
      <w:r>
        <w:rPr>
          <w:rStyle w:val="39"/>
          <w:color w:val="auto"/>
        </w:rPr>
        <w:fldChar w:fldCharType="end"/>
      </w:r>
    </w:p>
    <w:p w14:paraId="51108312">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"_Toc61254041"</w:instrText>
      </w:r>
      <w:r>
        <w:rPr>
          <w:rStyle w:val="39"/>
          <w:color w:val="auto"/>
        </w:rPr>
        <w:instrText xml:space="preserve"> </w:instrText>
      </w:r>
      <w:r>
        <w:rPr>
          <w:rStyle w:val="39"/>
          <w:color w:val="auto"/>
        </w:rPr>
        <w:fldChar w:fldCharType="separate"/>
      </w:r>
      <w:r>
        <w:rPr>
          <w:rStyle w:val="39"/>
          <w:color w:val="auto"/>
          <w:spacing w:val="24"/>
        </w:rPr>
        <w:t>8.3</w:t>
      </w:r>
      <w:r>
        <w:rPr>
          <w:rFonts w:ascii="等线" w:hAnsi="等线" w:eastAsia="等线"/>
          <w:szCs w:val="22"/>
        </w:rPr>
        <w:tab/>
      </w:r>
      <w:r>
        <w:rPr>
          <w:rStyle w:val="39"/>
          <w:color w:val="auto"/>
        </w:rPr>
        <w:t>固模楼承板</w:t>
      </w:r>
      <w:r>
        <w:tab/>
      </w:r>
      <w:r>
        <w:fldChar w:fldCharType="begin"/>
      </w:r>
      <w:r>
        <w:instrText xml:space="preserve"> PAGEREF _Toc61254041 \h </w:instrText>
      </w:r>
      <w:r>
        <w:fldChar w:fldCharType="separate"/>
      </w:r>
      <w:r>
        <w:rPr>
          <w:rFonts w:hint="eastAsia"/>
        </w:rPr>
        <w:t>90</w:t>
      </w:r>
      <w:r>
        <w:fldChar w:fldCharType="end"/>
      </w:r>
      <w:r>
        <w:rPr>
          <w:rStyle w:val="39"/>
          <w:color w:val="auto"/>
        </w:rPr>
        <w:fldChar w:fldCharType="end"/>
      </w:r>
    </w:p>
    <w:p w14:paraId="03FFB584">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"_Toc61254042"</w:instrText>
      </w:r>
      <w:r>
        <w:rPr>
          <w:rStyle w:val="39"/>
          <w:color w:val="auto"/>
        </w:rPr>
        <w:instrText xml:space="preserve"> </w:instrText>
      </w:r>
      <w:r>
        <w:rPr>
          <w:rStyle w:val="39"/>
          <w:color w:val="auto"/>
        </w:rPr>
        <w:fldChar w:fldCharType="separate"/>
      </w:r>
      <w:r>
        <w:rPr>
          <w:rStyle w:val="39"/>
          <w:color w:val="auto"/>
        </w:rPr>
        <w:t>9</w:t>
      </w:r>
      <w:r>
        <w:rPr>
          <w:rFonts w:ascii="等线" w:hAnsi="等线" w:eastAsia="等线"/>
          <w:szCs w:val="22"/>
        </w:rPr>
        <w:tab/>
      </w:r>
      <w:r>
        <w:rPr>
          <w:rStyle w:val="39"/>
          <w:rFonts w:hint="eastAsia"/>
          <w:color w:val="auto"/>
        </w:rPr>
        <w:t>结构施工</w:t>
      </w:r>
      <w:r>
        <w:tab/>
      </w:r>
      <w:r>
        <w:fldChar w:fldCharType="begin"/>
      </w:r>
      <w:r>
        <w:instrText xml:space="preserve"> PAGEREF _Toc61254042 \h </w:instrText>
      </w:r>
      <w:r>
        <w:fldChar w:fldCharType="separate"/>
      </w:r>
      <w:r>
        <w:t>94</w:t>
      </w:r>
      <w:r>
        <w:fldChar w:fldCharType="end"/>
      </w:r>
      <w:r>
        <w:rPr>
          <w:rStyle w:val="39"/>
          <w:color w:val="auto"/>
        </w:rPr>
        <w:fldChar w:fldCharType="end"/>
      </w:r>
    </w:p>
    <w:p w14:paraId="33FC47D3">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"_Toc61254043"</w:instrText>
      </w:r>
      <w:r>
        <w:rPr>
          <w:rStyle w:val="39"/>
          <w:color w:val="auto"/>
        </w:rPr>
        <w:instrText xml:space="preserve"> </w:instrText>
      </w:r>
      <w:r>
        <w:rPr>
          <w:rStyle w:val="39"/>
          <w:color w:val="auto"/>
        </w:rPr>
        <w:fldChar w:fldCharType="separate"/>
      </w:r>
      <w:r>
        <w:rPr>
          <w:rStyle w:val="39"/>
          <w:color w:val="auto"/>
          <w:spacing w:val="24"/>
        </w:rPr>
        <w:t>9.1</w:t>
      </w:r>
      <w:r>
        <w:rPr>
          <w:rFonts w:ascii="等线" w:hAnsi="等线" w:eastAsia="等线"/>
          <w:szCs w:val="22"/>
        </w:rPr>
        <w:tab/>
      </w:r>
      <w:r>
        <w:rPr>
          <w:rStyle w:val="39"/>
          <w:color w:val="auto"/>
        </w:rPr>
        <w:t>一般规定</w:t>
      </w:r>
      <w:r>
        <w:tab/>
      </w:r>
      <w:r>
        <w:fldChar w:fldCharType="begin"/>
      </w:r>
      <w:r>
        <w:instrText xml:space="preserve"> PAGEREF _Toc61254043 \h </w:instrText>
      </w:r>
      <w:r>
        <w:fldChar w:fldCharType="separate"/>
      </w:r>
      <w:r>
        <w:rPr>
          <w:rFonts w:hint="eastAsia"/>
        </w:rPr>
        <w:t>94</w:t>
      </w:r>
      <w:r>
        <w:fldChar w:fldCharType="end"/>
      </w:r>
      <w:r>
        <w:rPr>
          <w:rStyle w:val="39"/>
          <w:color w:val="auto"/>
        </w:rPr>
        <w:fldChar w:fldCharType="end"/>
      </w:r>
    </w:p>
    <w:p w14:paraId="0DBEC1F4">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"_Toc61254044"</w:instrText>
      </w:r>
      <w:r>
        <w:rPr>
          <w:rStyle w:val="39"/>
          <w:color w:val="auto"/>
        </w:rPr>
        <w:instrText xml:space="preserve"> </w:instrText>
      </w:r>
      <w:r>
        <w:rPr>
          <w:rStyle w:val="39"/>
          <w:color w:val="auto"/>
        </w:rPr>
        <w:fldChar w:fldCharType="separate"/>
      </w:r>
      <w:r>
        <w:rPr>
          <w:rStyle w:val="39"/>
          <w:color w:val="auto"/>
          <w:spacing w:val="24"/>
        </w:rPr>
        <w:t>9.2</w:t>
      </w:r>
      <w:r>
        <w:rPr>
          <w:rFonts w:ascii="等线" w:hAnsi="等线" w:eastAsia="等线"/>
          <w:szCs w:val="22"/>
        </w:rPr>
        <w:tab/>
      </w:r>
      <w:r>
        <w:rPr>
          <w:rStyle w:val="39"/>
          <w:color w:val="auto"/>
        </w:rPr>
        <w:t>预制构件安装工程</w:t>
      </w:r>
      <w:r>
        <w:tab/>
      </w:r>
      <w:r>
        <w:fldChar w:fldCharType="begin"/>
      </w:r>
      <w:r>
        <w:instrText xml:space="preserve"> PAGEREF _Toc61254044 \h </w:instrText>
      </w:r>
      <w:r>
        <w:fldChar w:fldCharType="separate"/>
      </w:r>
      <w:r>
        <w:rPr>
          <w:rFonts w:hint="eastAsia"/>
        </w:rPr>
        <w:t>97</w:t>
      </w:r>
      <w:r>
        <w:fldChar w:fldCharType="end"/>
      </w:r>
      <w:r>
        <w:rPr>
          <w:rStyle w:val="39"/>
          <w:color w:val="auto"/>
        </w:rPr>
        <w:fldChar w:fldCharType="end"/>
      </w:r>
    </w:p>
    <w:p w14:paraId="4924FE26">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"_Toc61254045"</w:instrText>
      </w:r>
      <w:r>
        <w:rPr>
          <w:rStyle w:val="39"/>
          <w:color w:val="auto"/>
        </w:rPr>
        <w:instrText xml:space="preserve"> </w:instrText>
      </w:r>
      <w:r>
        <w:rPr>
          <w:rStyle w:val="39"/>
          <w:color w:val="auto"/>
        </w:rPr>
        <w:fldChar w:fldCharType="separate"/>
      </w:r>
      <w:r>
        <w:rPr>
          <w:rStyle w:val="39"/>
          <w:color w:val="auto"/>
          <w:spacing w:val="24"/>
        </w:rPr>
        <w:t>9.3</w:t>
      </w:r>
      <w:r>
        <w:rPr>
          <w:rFonts w:ascii="等线" w:hAnsi="等线" w:eastAsia="等线"/>
          <w:szCs w:val="22"/>
        </w:rPr>
        <w:tab/>
      </w:r>
      <w:r>
        <w:rPr>
          <w:rStyle w:val="39"/>
          <w:color w:val="auto"/>
        </w:rPr>
        <w:t>模板工程</w:t>
      </w:r>
      <w:r>
        <w:tab/>
      </w:r>
      <w:r>
        <w:fldChar w:fldCharType="begin"/>
      </w:r>
      <w:r>
        <w:instrText xml:space="preserve"> PAGEREF _Toc61254045 \h </w:instrText>
      </w:r>
      <w:r>
        <w:fldChar w:fldCharType="separate"/>
      </w:r>
      <w:r>
        <w:rPr>
          <w:rFonts w:hint="eastAsia"/>
        </w:rPr>
        <w:t>103</w:t>
      </w:r>
      <w:r>
        <w:fldChar w:fldCharType="end"/>
      </w:r>
      <w:r>
        <w:rPr>
          <w:rStyle w:val="39"/>
          <w:color w:val="auto"/>
        </w:rPr>
        <w:fldChar w:fldCharType="end"/>
      </w:r>
    </w:p>
    <w:p w14:paraId="10E49450">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"_Toc61254046"</w:instrText>
      </w:r>
      <w:r>
        <w:rPr>
          <w:rStyle w:val="39"/>
          <w:color w:val="auto"/>
        </w:rPr>
        <w:instrText xml:space="preserve"> </w:instrText>
      </w:r>
      <w:r>
        <w:rPr>
          <w:rStyle w:val="39"/>
          <w:color w:val="auto"/>
        </w:rPr>
        <w:fldChar w:fldCharType="separate"/>
      </w:r>
      <w:r>
        <w:rPr>
          <w:rStyle w:val="39"/>
          <w:color w:val="auto"/>
          <w:spacing w:val="24"/>
        </w:rPr>
        <w:t>9.4</w:t>
      </w:r>
      <w:r>
        <w:rPr>
          <w:rFonts w:ascii="等线" w:hAnsi="等线" w:eastAsia="等线"/>
          <w:szCs w:val="22"/>
        </w:rPr>
        <w:tab/>
      </w:r>
      <w:r>
        <w:rPr>
          <w:rStyle w:val="39"/>
          <w:color w:val="auto"/>
        </w:rPr>
        <w:t>钢筋工程</w:t>
      </w:r>
      <w:r>
        <w:tab/>
      </w:r>
      <w:r>
        <w:fldChar w:fldCharType="begin"/>
      </w:r>
      <w:r>
        <w:instrText xml:space="preserve"> PAGEREF _Toc61254046 \h </w:instrText>
      </w:r>
      <w:r>
        <w:fldChar w:fldCharType="separate"/>
      </w:r>
      <w:r>
        <w:rPr>
          <w:rFonts w:hint="eastAsia"/>
        </w:rPr>
        <w:t>110</w:t>
      </w:r>
      <w:r>
        <w:fldChar w:fldCharType="end"/>
      </w:r>
      <w:r>
        <w:rPr>
          <w:rStyle w:val="39"/>
          <w:color w:val="auto"/>
        </w:rPr>
        <w:fldChar w:fldCharType="end"/>
      </w:r>
    </w:p>
    <w:p w14:paraId="302D29E4">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"_Toc61254047"</w:instrText>
      </w:r>
      <w:r>
        <w:rPr>
          <w:rStyle w:val="39"/>
          <w:color w:val="auto"/>
        </w:rPr>
        <w:instrText xml:space="preserve"> </w:instrText>
      </w:r>
      <w:r>
        <w:rPr>
          <w:rStyle w:val="39"/>
          <w:color w:val="auto"/>
        </w:rPr>
        <w:fldChar w:fldCharType="separate"/>
      </w:r>
      <w:r>
        <w:rPr>
          <w:rStyle w:val="39"/>
          <w:color w:val="auto"/>
          <w:spacing w:val="24"/>
        </w:rPr>
        <w:t>9.5</w:t>
      </w:r>
      <w:r>
        <w:rPr>
          <w:rFonts w:ascii="等线" w:hAnsi="等线" w:eastAsia="等线"/>
          <w:szCs w:val="22"/>
        </w:rPr>
        <w:tab/>
      </w:r>
      <w:r>
        <w:rPr>
          <w:rStyle w:val="39"/>
          <w:color w:val="auto"/>
        </w:rPr>
        <w:t>混凝土工程</w:t>
      </w:r>
      <w:r>
        <w:tab/>
      </w:r>
      <w:r>
        <w:fldChar w:fldCharType="begin"/>
      </w:r>
      <w:r>
        <w:instrText xml:space="preserve"> PAGEREF _Toc61254047 \h </w:instrText>
      </w:r>
      <w:r>
        <w:fldChar w:fldCharType="separate"/>
      </w:r>
      <w:r>
        <w:rPr>
          <w:rFonts w:hint="eastAsia"/>
        </w:rPr>
        <w:t>113</w:t>
      </w:r>
      <w:r>
        <w:fldChar w:fldCharType="end"/>
      </w:r>
      <w:r>
        <w:rPr>
          <w:rStyle w:val="39"/>
          <w:color w:val="auto"/>
        </w:rPr>
        <w:fldChar w:fldCharType="end"/>
      </w:r>
    </w:p>
    <w:p w14:paraId="540676C9">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"_Toc61254048"</w:instrText>
      </w:r>
      <w:r>
        <w:rPr>
          <w:rStyle w:val="39"/>
          <w:color w:val="auto"/>
        </w:rPr>
        <w:instrText xml:space="preserve"> </w:instrText>
      </w:r>
      <w:r>
        <w:rPr>
          <w:rStyle w:val="39"/>
          <w:color w:val="auto"/>
        </w:rPr>
        <w:fldChar w:fldCharType="separate"/>
      </w:r>
      <w:r>
        <w:rPr>
          <w:rStyle w:val="39"/>
          <w:color w:val="auto"/>
        </w:rPr>
        <w:t>10</w:t>
      </w:r>
      <w:r>
        <w:rPr>
          <w:rFonts w:ascii="等线" w:hAnsi="等线" w:eastAsia="等线"/>
          <w:szCs w:val="22"/>
        </w:rPr>
        <w:tab/>
      </w:r>
      <w:r>
        <w:rPr>
          <w:rStyle w:val="39"/>
          <w:rFonts w:hint="eastAsia"/>
          <w:color w:val="auto"/>
        </w:rPr>
        <w:t>工程</w:t>
      </w:r>
      <w:r>
        <w:rPr>
          <w:rStyle w:val="39"/>
          <w:color w:val="auto"/>
        </w:rPr>
        <w:t>验收</w:t>
      </w:r>
      <w:r>
        <w:tab/>
      </w:r>
      <w:r>
        <w:fldChar w:fldCharType="begin"/>
      </w:r>
      <w:r>
        <w:instrText xml:space="preserve"> PAGEREF _Toc61254048 \h </w:instrText>
      </w:r>
      <w:r>
        <w:fldChar w:fldCharType="separate"/>
      </w:r>
      <w:r>
        <w:t>117</w:t>
      </w:r>
      <w:r>
        <w:fldChar w:fldCharType="end"/>
      </w:r>
      <w:r>
        <w:rPr>
          <w:rStyle w:val="39"/>
          <w:color w:val="auto"/>
        </w:rPr>
        <w:fldChar w:fldCharType="end"/>
      </w:r>
    </w:p>
    <w:p w14:paraId="0557BBE1">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"_Toc61254049"</w:instrText>
      </w:r>
      <w:r>
        <w:rPr>
          <w:rStyle w:val="39"/>
          <w:color w:val="auto"/>
        </w:rPr>
        <w:instrText xml:space="preserve"> </w:instrText>
      </w:r>
      <w:r>
        <w:rPr>
          <w:rStyle w:val="39"/>
          <w:color w:val="auto"/>
        </w:rPr>
        <w:fldChar w:fldCharType="separate"/>
      </w:r>
      <w:r>
        <w:rPr>
          <w:rStyle w:val="39"/>
          <w:color w:val="auto"/>
          <w:spacing w:val="24"/>
        </w:rPr>
        <w:t>10.1</w:t>
      </w:r>
      <w:r>
        <w:rPr>
          <w:rFonts w:ascii="等线" w:hAnsi="等线" w:eastAsia="等线"/>
          <w:szCs w:val="22"/>
        </w:rPr>
        <w:tab/>
      </w:r>
      <w:r>
        <w:rPr>
          <w:rStyle w:val="39"/>
          <w:color w:val="auto"/>
        </w:rPr>
        <w:t>一般规定</w:t>
      </w:r>
      <w:r>
        <w:tab/>
      </w:r>
      <w:r>
        <w:fldChar w:fldCharType="begin"/>
      </w:r>
      <w:r>
        <w:instrText xml:space="preserve"> PAGEREF _Toc61254049 \h </w:instrText>
      </w:r>
      <w:r>
        <w:fldChar w:fldCharType="separate"/>
      </w:r>
      <w:r>
        <w:rPr>
          <w:rFonts w:hint="eastAsia"/>
        </w:rPr>
        <w:t>117</w:t>
      </w:r>
      <w:r>
        <w:fldChar w:fldCharType="end"/>
      </w:r>
      <w:r>
        <w:rPr>
          <w:rStyle w:val="39"/>
          <w:color w:val="auto"/>
        </w:rPr>
        <w:fldChar w:fldCharType="end"/>
      </w:r>
    </w:p>
    <w:p w14:paraId="360ABEB6">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"_Toc61254050"</w:instrText>
      </w:r>
      <w:r>
        <w:rPr>
          <w:rStyle w:val="39"/>
          <w:color w:val="auto"/>
        </w:rPr>
        <w:instrText xml:space="preserve"> </w:instrText>
      </w:r>
      <w:r>
        <w:rPr>
          <w:rStyle w:val="39"/>
          <w:color w:val="auto"/>
        </w:rPr>
        <w:fldChar w:fldCharType="separate"/>
      </w:r>
      <w:r>
        <w:rPr>
          <w:rStyle w:val="39"/>
          <w:color w:val="auto"/>
          <w:spacing w:val="24"/>
        </w:rPr>
        <w:t>10.2</w:t>
      </w:r>
      <w:r>
        <w:rPr>
          <w:rFonts w:ascii="等线" w:hAnsi="等线" w:eastAsia="等线"/>
          <w:szCs w:val="22"/>
        </w:rPr>
        <w:tab/>
      </w:r>
      <w:r>
        <w:rPr>
          <w:rStyle w:val="39"/>
          <w:color w:val="auto"/>
        </w:rPr>
        <w:t>空心墙模</w:t>
      </w:r>
      <w:r>
        <w:tab/>
      </w:r>
      <w:r>
        <w:fldChar w:fldCharType="begin"/>
      </w:r>
      <w:r>
        <w:instrText xml:space="preserve"> PAGEREF _Toc61254050 \h </w:instrText>
      </w:r>
      <w:r>
        <w:fldChar w:fldCharType="separate"/>
      </w:r>
      <w:r>
        <w:rPr>
          <w:rFonts w:hint="eastAsia"/>
        </w:rPr>
        <w:t>122</w:t>
      </w:r>
      <w:r>
        <w:fldChar w:fldCharType="end"/>
      </w:r>
      <w:r>
        <w:rPr>
          <w:rStyle w:val="39"/>
          <w:color w:val="auto"/>
        </w:rPr>
        <w:fldChar w:fldCharType="end"/>
      </w:r>
    </w:p>
    <w:p w14:paraId="40986187">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"_Toc61254051"</w:instrText>
      </w:r>
      <w:r>
        <w:rPr>
          <w:rStyle w:val="39"/>
          <w:color w:val="auto"/>
        </w:rPr>
        <w:instrText xml:space="preserve"> </w:instrText>
      </w:r>
      <w:r>
        <w:rPr>
          <w:rStyle w:val="39"/>
          <w:color w:val="auto"/>
        </w:rPr>
        <w:fldChar w:fldCharType="separate"/>
      </w:r>
      <w:r>
        <w:rPr>
          <w:rStyle w:val="39"/>
          <w:color w:val="auto"/>
          <w:spacing w:val="24"/>
        </w:rPr>
        <w:t>10.3</w:t>
      </w:r>
      <w:r>
        <w:rPr>
          <w:rFonts w:ascii="等线" w:hAnsi="等线" w:eastAsia="等线"/>
          <w:szCs w:val="22"/>
        </w:rPr>
        <w:tab/>
      </w:r>
      <w:r>
        <w:rPr>
          <w:rStyle w:val="39"/>
          <w:color w:val="auto"/>
        </w:rPr>
        <w:t>固模楼承板</w:t>
      </w:r>
      <w:r>
        <w:tab/>
      </w:r>
      <w:r>
        <w:fldChar w:fldCharType="begin"/>
      </w:r>
      <w:r>
        <w:instrText xml:space="preserve"> PAGEREF _Toc61254051 \h </w:instrText>
      </w:r>
      <w:r>
        <w:fldChar w:fldCharType="separate"/>
      </w:r>
      <w:r>
        <w:rPr>
          <w:rFonts w:hint="eastAsia"/>
        </w:rPr>
        <w:t>124</w:t>
      </w:r>
      <w:r>
        <w:fldChar w:fldCharType="end"/>
      </w:r>
      <w:r>
        <w:rPr>
          <w:rStyle w:val="39"/>
          <w:color w:val="auto"/>
        </w:rPr>
        <w:fldChar w:fldCharType="end"/>
      </w:r>
    </w:p>
    <w:p w14:paraId="11DCB05D">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"_Toc61254052"</w:instrText>
      </w:r>
      <w:r>
        <w:rPr>
          <w:rStyle w:val="39"/>
          <w:color w:val="auto"/>
        </w:rPr>
        <w:instrText xml:space="preserve"> </w:instrText>
      </w:r>
      <w:r>
        <w:rPr>
          <w:rStyle w:val="39"/>
          <w:color w:val="auto"/>
        </w:rPr>
        <w:fldChar w:fldCharType="separate"/>
      </w:r>
      <w:r>
        <w:rPr>
          <w:rStyle w:val="39"/>
          <w:color w:val="auto"/>
          <w:spacing w:val="24"/>
        </w:rPr>
        <w:t>10.4</w:t>
      </w:r>
      <w:r>
        <w:rPr>
          <w:rFonts w:ascii="等线" w:hAnsi="等线" w:eastAsia="等线"/>
          <w:szCs w:val="22"/>
        </w:rPr>
        <w:tab/>
      </w:r>
      <w:r>
        <w:rPr>
          <w:rStyle w:val="39"/>
          <w:color w:val="auto"/>
        </w:rPr>
        <w:t>现浇混凝土</w:t>
      </w:r>
      <w:r>
        <w:tab/>
      </w:r>
      <w:r>
        <w:fldChar w:fldCharType="begin"/>
      </w:r>
      <w:r>
        <w:instrText xml:space="preserve"> PAGEREF _Toc61254052 \h </w:instrText>
      </w:r>
      <w:r>
        <w:fldChar w:fldCharType="separate"/>
      </w:r>
      <w:r>
        <w:rPr>
          <w:rFonts w:hint="eastAsia"/>
        </w:rPr>
        <w:t>128</w:t>
      </w:r>
      <w:r>
        <w:fldChar w:fldCharType="end"/>
      </w:r>
      <w:r>
        <w:rPr>
          <w:rStyle w:val="39"/>
          <w:color w:val="auto"/>
        </w:rPr>
        <w:fldChar w:fldCharType="end"/>
      </w:r>
    </w:p>
    <w:p w14:paraId="23314FA5">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"_Toc61254053"</w:instrText>
      </w:r>
      <w:r>
        <w:rPr>
          <w:rStyle w:val="39"/>
          <w:color w:val="auto"/>
        </w:rPr>
        <w:instrText xml:space="preserve"> </w:instrText>
      </w:r>
      <w:r>
        <w:rPr>
          <w:rStyle w:val="39"/>
          <w:color w:val="auto"/>
        </w:rPr>
        <w:fldChar w:fldCharType="separate"/>
      </w:r>
      <w:r>
        <w:rPr>
          <w:rStyle w:val="39"/>
          <w:color w:val="auto"/>
          <w:spacing w:val="24"/>
        </w:rPr>
        <w:t>10.5</w:t>
      </w:r>
      <w:r>
        <w:rPr>
          <w:rFonts w:ascii="等线" w:hAnsi="等线" w:eastAsia="等线"/>
          <w:szCs w:val="22"/>
        </w:rPr>
        <w:tab/>
      </w:r>
      <w:r>
        <w:rPr>
          <w:rStyle w:val="39"/>
          <w:color w:val="auto"/>
        </w:rPr>
        <w:t>结构实体检验</w:t>
      </w:r>
      <w:r>
        <w:tab/>
      </w:r>
      <w:r>
        <w:fldChar w:fldCharType="begin"/>
      </w:r>
      <w:r>
        <w:instrText xml:space="preserve"> PAGEREF _Toc61254053 \h </w:instrText>
      </w:r>
      <w:r>
        <w:fldChar w:fldCharType="separate"/>
      </w:r>
      <w:r>
        <w:rPr>
          <w:rFonts w:hint="eastAsia"/>
        </w:rPr>
        <w:t>130</w:t>
      </w:r>
      <w:r>
        <w:fldChar w:fldCharType="end"/>
      </w:r>
      <w:r>
        <w:rPr>
          <w:rStyle w:val="39"/>
          <w:color w:val="auto"/>
        </w:rPr>
        <w:fldChar w:fldCharType="end"/>
      </w:r>
    </w:p>
    <w:p w14:paraId="523941F3">
      <w:pPr>
        <w:pStyle w:val="29"/>
        <w:ind w:left="210"/>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"_Toc61254054"</w:instrText>
      </w:r>
      <w:r>
        <w:rPr>
          <w:rStyle w:val="39"/>
          <w:color w:val="auto"/>
        </w:rPr>
        <w:instrText xml:space="preserve"> </w:instrText>
      </w:r>
      <w:r>
        <w:rPr>
          <w:rStyle w:val="39"/>
          <w:color w:val="auto"/>
        </w:rPr>
        <w:fldChar w:fldCharType="separate"/>
      </w:r>
      <w:r>
        <w:rPr>
          <w:rStyle w:val="39"/>
          <w:color w:val="auto"/>
          <w:spacing w:val="24"/>
        </w:rPr>
        <w:t>10.6</w:t>
      </w:r>
      <w:r>
        <w:rPr>
          <w:rFonts w:ascii="等线" w:hAnsi="等线" w:eastAsia="等线"/>
          <w:szCs w:val="22"/>
        </w:rPr>
        <w:tab/>
      </w:r>
      <w:r>
        <w:rPr>
          <w:rStyle w:val="39"/>
          <w:color w:val="auto"/>
        </w:rPr>
        <w:t>子分部工程验收</w:t>
      </w:r>
      <w:r>
        <w:tab/>
      </w:r>
      <w:r>
        <w:fldChar w:fldCharType="begin"/>
      </w:r>
      <w:r>
        <w:instrText xml:space="preserve"> PAGEREF _Toc61254054 \h </w:instrText>
      </w:r>
      <w:r>
        <w:fldChar w:fldCharType="separate"/>
      </w:r>
      <w:r>
        <w:rPr>
          <w:rFonts w:hint="eastAsia"/>
        </w:rPr>
        <w:t>131</w:t>
      </w:r>
      <w:r>
        <w:fldChar w:fldCharType="end"/>
      </w:r>
      <w:r>
        <w:rPr>
          <w:rStyle w:val="39"/>
          <w:color w:val="auto"/>
        </w:rPr>
        <w:fldChar w:fldCharType="end"/>
      </w:r>
    </w:p>
    <w:p w14:paraId="661E69B6">
      <w:pPr>
        <w:pStyle w:val="25"/>
        <w:rPr>
          <w:rFonts w:ascii="等线" w:hAnsi="等线" w:eastAsia="等线"/>
          <w:szCs w:val="22"/>
        </w:rPr>
      </w:pPr>
      <w:r>
        <w:rPr>
          <w:rStyle w:val="39"/>
          <w:color w:val="auto"/>
        </w:rPr>
        <w:fldChar w:fldCharType="begin"/>
      </w:r>
      <w:r>
        <w:rPr>
          <w:rStyle w:val="39"/>
          <w:color w:val="auto"/>
        </w:rPr>
        <w:instrText xml:space="preserve"> </w:instrText>
      </w:r>
      <w:r>
        <w:instrText xml:space="preserve">HYPERLINK \l "_Toc61254055"</w:instrText>
      </w:r>
      <w:r>
        <w:rPr>
          <w:rStyle w:val="39"/>
          <w:color w:val="auto"/>
        </w:rPr>
        <w:instrText xml:space="preserve"> </w:instrText>
      </w:r>
      <w:r>
        <w:rPr>
          <w:rStyle w:val="39"/>
          <w:color w:val="auto"/>
        </w:rPr>
        <w:fldChar w:fldCharType="separate"/>
      </w:r>
      <w:r>
        <w:rPr>
          <w:rStyle w:val="39"/>
          <w:color w:val="auto"/>
        </w:rPr>
        <w:t>本标准用词说明</w:t>
      </w:r>
      <w:r>
        <w:tab/>
      </w:r>
      <w:r>
        <w:fldChar w:fldCharType="begin"/>
      </w:r>
      <w:r>
        <w:instrText xml:space="preserve"> PAGEREF _Toc61254055 \h </w:instrText>
      </w:r>
      <w:r>
        <w:fldChar w:fldCharType="separate"/>
      </w:r>
      <w:r>
        <w:t>134</w:t>
      </w:r>
      <w:r>
        <w:fldChar w:fldCharType="end"/>
      </w:r>
      <w:r>
        <w:rPr>
          <w:rStyle w:val="39"/>
          <w:color w:val="auto"/>
        </w:rPr>
        <w:fldChar w:fldCharType="end"/>
      </w:r>
    </w:p>
    <w:p w14:paraId="03D79185">
      <w:pPr>
        <w:pStyle w:val="25"/>
        <w:rPr>
          <w:rStyle w:val="39"/>
          <w:color w:val="auto"/>
        </w:rPr>
      </w:pPr>
      <w:r>
        <w:rPr>
          <w:rStyle w:val="39"/>
          <w:color w:val="auto"/>
        </w:rPr>
        <w:fldChar w:fldCharType="begin"/>
      </w:r>
      <w:r>
        <w:rPr>
          <w:rStyle w:val="39"/>
          <w:color w:val="auto"/>
        </w:rPr>
        <w:instrText xml:space="preserve"> </w:instrText>
      </w:r>
      <w:r>
        <w:instrText xml:space="preserve">HYPERLINK \l "_Toc61254056"</w:instrText>
      </w:r>
      <w:r>
        <w:rPr>
          <w:rStyle w:val="39"/>
          <w:color w:val="auto"/>
        </w:rPr>
        <w:instrText xml:space="preserve"> </w:instrText>
      </w:r>
      <w:r>
        <w:rPr>
          <w:rStyle w:val="39"/>
          <w:color w:val="auto"/>
        </w:rPr>
        <w:fldChar w:fldCharType="separate"/>
      </w:r>
      <w:r>
        <w:rPr>
          <w:rStyle w:val="39"/>
          <w:color w:val="auto"/>
        </w:rPr>
        <w:t>引用标准名录</w:t>
      </w:r>
      <w:r>
        <w:tab/>
      </w:r>
      <w:r>
        <w:fldChar w:fldCharType="begin"/>
      </w:r>
      <w:r>
        <w:instrText xml:space="preserve"> PAGEREF _Toc61254056 \h </w:instrText>
      </w:r>
      <w:r>
        <w:fldChar w:fldCharType="separate"/>
      </w:r>
      <w:r>
        <w:t>135</w:t>
      </w:r>
      <w:r>
        <w:fldChar w:fldCharType="end"/>
      </w:r>
      <w:r>
        <w:rPr>
          <w:rStyle w:val="39"/>
          <w:color w:val="auto"/>
        </w:rPr>
        <w:fldChar w:fldCharType="end"/>
      </w:r>
    </w:p>
    <w:p w14:paraId="617C30A8">
      <w:pPr>
        <w:pStyle w:val="25"/>
        <w:rPr>
          <w:rFonts w:hint="eastAsia"/>
        </w:rPr>
      </w:pPr>
      <w:r>
        <w:rPr>
          <w:rFonts w:hint="eastAsia"/>
        </w:rPr>
        <w:t>附：</w:t>
      </w:r>
      <w:r>
        <w:rPr>
          <w:rStyle w:val="39"/>
          <w:rFonts w:hint="eastAsia"/>
          <w:color w:val="auto"/>
          <w:u w:val="none"/>
        </w:rPr>
        <w:t>条文说明</w:t>
      </w:r>
      <w:r>
        <w:rPr>
          <w:rFonts w:hint="eastAsia"/>
        </w:rPr>
        <w:tab/>
      </w:r>
      <w:r>
        <w:rPr>
          <w:rFonts w:hint="eastAsia"/>
        </w:rPr>
        <w:t>89</w:t>
      </w:r>
    </w:p>
    <w:p w14:paraId="7D46381E">
      <w:pPr>
        <w:pStyle w:val="4"/>
        <w:numPr>
          <w:ilvl w:val="0"/>
          <w:numId w:val="0"/>
        </w:numPr>
        <w:spacing w:before="163" w:after="326" w:afterLines="100"/>
      </w:pPr>
      <w:r>
        <w:rPr>
          <w:rStyle w:val="39"/>
          <w:color w:val="auto"/>
        </w:rPr>
        <w:br w:type="page"/>
      </w:r>
      <w:bookmarkStart w:id="18" w:name="_Toc10730"/>
      <w:r>
        <w:fldChar w:fldCharType="end"/>
      </w:r>
      <w:bookmarkEnd w:id="13"/>
      <w:bookmarkEnd w:id="14"/>
      <w:bookmarkStart w:id="19" w:name="_Toc59127418"/>
      <w:bookmarkStart w:id="20" w:name="_Toc129374358"/>
      <w:bookmarkStart w:id="21" w:name="_Toc34495424"/>
      <w:r>
        <w:t>Contents</w:t>
      </w:r>
      <w:bookmarkEnd w:id="19"/>
      <w:bookmarkEnd w:id="20"/>
      <w:r>
        <w:fldChar w:fldCharType="begin"/>
      </w:r>
      <w:r>
        <w:instrText xml:space="preserve"> TOC \o "1-2" \h \z \u </w:instrText>
      </w:r>
      <w:r>
        <w:fldChar w:fldCharType="separate"/>
      </w:r>
      <w:bookmarkEnd w:id="18"/>
    </w:p>
    <w:p w14:paraId="24920CE4">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"_Toc61254059"</w:instrText>
      </w:r>
      <w:r>
        <w:rPr>
          <w:rStyle w:val="39"/>
          <w:color w:val="auto"/>
        </w:rPr>
        <w:instrText xml:space="preserve"> </w:instrText>
      </w:r>
      <w:r>
        <w:rPr>
          <w:rStyle w:val="39"/>
          <w:color w:val="auto"/>
        </w:rPr>
        <w:fldChar w:fldCharType="separate"/>
      </w:r>
      <w:r>
        <w:rPr>
          <w:rStyle w:val="39"/>
          <w:color w:val="auto"/>
        </w:rPr>
        <w:t>1</w:t>
      </w:r>
      <w:r>
        <w:rPr>
          <w:rFonts w:eastAsia="等线"/>
          <w:szCs w:val="22"/>
        </w:rPr>
        <w:tab/>
      </w:r>
      <w:r>
        <w:t xml:space="preserve">General </w:t>
      </w:r>
      <w:r>
        <w:rPr>
          <w:rFonts w:hint="eastAsia"/>
        </w:rPr>
        <w:t>P</w:t>
      </w:r>
      <w:r>
        <w:t>rovisions</w:t>
      </w:r>
      <w:r>
        <w:tab/>
      </w:r>
      <w:r>
        <w:fldChar w:fldCharType="begin"/>
      </w:r>
      <w:r>
        <w:instrText xml:space="preserve"> PAGEREF _Toc61254059 \h </w:instrText>
      </w:r>
      <w:r>
        <w:fldChar w:fldCharType="separate"/>
      </w:r>
      <w:r>
        <w:t>6</w:t>
      </w:r>
      <w:r>
        <w:fldChar w:fldCharType="end"/>
      </w:r>
      <w:r>
        <w:rPr>
          <w:rStyle w:val="39"/>
          <w:color w:val="auto"/>
        </w:rPr>
        <w:fldChar w:fldCharType="end"/>
      </w:r>
    </w:p>
    <w:p w14:paraId="55DB89C8">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"_Toc61254060"</w:instrText>
      </w:r>
      <w:r>
        <w:rPr>
          <w:rStyle w:val="39"/>
          <w:color w:val="auto"/>
        </w:rPr>
        <w:instrText xml:space="preserve"> </w:instrText>
      </w:r>
      <w:r>
        <w:rPr>
          <w:rStyle w:val="39"/>
          <w:color w:val="auto"/>
        </w:rPr>
        <w:fldChar w:fldCharType="separate"/>
      </w:r>
      <w:r>
        <w:rPr>
          <w:rStyle w:val="39"/>
          <w:color w:val="auto"/>
        </w:rPr>
        <w:t>2</w:t>
      </w:r>
      <w:r>
        <w:rPr>
          <w:rFonts w:eastAsia="等线"/>
          <w:szCs w:val="22"/>
        </w:rPr>
        <w:tab/>
      </w:r>
      <w:r>
        <w:t xml:space="preserve">Terms and </w:t>
      </w:r>
      <w:r>
        <w:rPr>
          <w:rFonts w:hint="eastAsia"/>
        </w:rPr>
        <w:t>S</w:t>
      </w:r>
      <w:r>
        <w:t>ymbols</w:t>
      </w:r>
      <w:r>
        <w:tab/>
      </w:r>
      <w:r>
        <w:fldChar w:fldCharType="begin"/>
      </w:r>
      <w:r>
        <w:instrText xml:space="preserve"> PAGEREF _Toc61254060 \h </w:instrText>
      </w:r>
      <w:r>
        <w:fldChar w:fldCharType="separate"/>
      </w:r>
      <w:r>
        <w:t>9</w:t>
      </w:r>
      <w:r>
        <w:fldChar w:fldCharType="end"/>
      </w:r>
      <w:r>
        <w:rPr>
          <w:rStyle w:val="39"/>
          <w:color w:val="auto"/>
        </w:rPr>
        <w:fldChar w:fldCharType="end"/>
      </w:r>
    </w:p>
    <w:p w14:paraId="787978BF">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"_Toc61254061"</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2.1</w:t>
      </w:r>
      <w:r>
        <w:rPr>
          <w:rFonts w:hAnsi="Times New Roman" w:eastAsia="等线"/>
          <w:szCs w:val="22"/>
        </w:rPr>
        <w:tab/>
      </w:r>
      <w:r>
        <w:rPr>
          <w:rStyle w:val="39"/>
          <w:rFonts w:hAnsi="Times New Roman"/>
          <w:color w:val="auto"/>
        </w:rPr>
        <w:t>Terms</w:t>
      </w:r>
      <w:r>
        <w:rPr>
          <w:rFonts w:hAnsi="Times New Roman"/>
        </w:rPr>
        <w:tab/>
      </w:r>
      <w:r>
        <w:rPr>
          <w:rFonts w:hAnsi="Times New Roman"/>
        </w:rPr>
        <w:fldChar w:fldCharType="begin"/>
      </w:r>
      <w:r>
        <w:rPr>
          <w:rFonts w:hAnsi="Times New Roman"/>
        </w:rPr>
        <w:instrText xml:space="preserve"> PAGEREF _Toc61254061 \h </w:instrText>
      </w:r>
      <w:r>
        <w:rPr>
          <w:rFonts w:hAnsi="Times New Roman"/>
        </w:rPr>
        <w:fldChar w:fldCharType="separate"/>
      </w:r>
      <w:r>
        <w:rPr>
          <w:rFonts w:hAnsi="Times New Roman"/>
        </w:rPr>
        <w:t>9</w:t>
      </w:r>
      <w:r>
        <w:rPr>
          <w:rFonts w:hAnsi="Times New Roman"/>
        </w:rPr>
        <w:fldChar w:fldCharType="end"/>
      </w:r>
      <w:r>
        <w:rPr>
          <w:rStyle w:val="39"/>
          <w:rFonts w:hAnsi="Times New Roman"/>
          <w:color w:val="auto"/>
        </w:rPr>
        <w:fldChar w:fldCharType="end"/>
      </w:r>
    </w:p>
    <w:p w14:paraId="188F4A5E">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"_Toc61254062"</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2.2</w:t>
      </w:r>
      <w:r>
        <w:rPr>
          <w:rFonts w:hAnsi="Times New Roman" w:eastAsia="等线"/>
          <w:szCs w:val="22"/>
        </w:rPr>
        <w:tab/>
      </w:r>
      <w:r>
        <w:rPr>
          <w:rStyle w:val="39"/>
          <w:rFonts w:hAnsi="Times New Roman"/>
          <w:color w:val="auto"/>
        </w:rPr>
        <w:t>Symbols</w:t>
      </w:r>
      <w:r>
        <w:rPr>
          <w:rFonts w:hAnsi="Times New Roman"/>
        </w:rPr>
        <w:tab/>
      </w:r>
      <w:r>
        <w:rPr>
          <w:rFonts w:hAnsi="Times New Roman"/>
        </w:rPr>
        <w:fldChar w:fldCharType="begin"/>
      </w:r>
      <w:r>
        <w:rPr>
          <w:rFonts w:hAnsi="Times New Roman"/>
        </w:rPr>
        <w:instrText xml:space="preserve"> PAGEREF _Toc61254062 \h </w:instrText>
      </w:r>
      <w:r>
        <w:rPr>
          <w:rFonts w:hAnsi="Times New Roman"/>
        </w:rPr>
        <w:fldChar w:fldCharType="separate"/>
      </w:r>
      <w:r>
        <w:rPr>
          <w:rFonts w:hAnsi="Times New Roman"/>
        </w:rPr>
        <w:t>14</w:t>
      </w:r>
      <w:r>
        <w:rPr>
          <w:rFonts w:hAnsi="Times New Roman"/>
        </w:rPr>
        <w:fldChar w:fldCharType="end"/>
      </w:r>
      <w:r>
        <w:rPr>
          <w:rStyle w:val="39"/>
          <w:rFonts w:hAnsi="Times New Roman"/>
          <w:color w:val="auto"/>
        </w:rPr>
        <w:fldChar w:fldCharType="end"/>
      </w:r>
    </w:p>
    <w:p w14:paraId="3466527B">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"_Toc61254063"</w:instrText>
      </w:r>
      <w:r>
        <w:rPr>
          <w:rStyle w:val="39"/>
          <w:color w:val="auto"/>
        </w:rPr>
        <w:instrText xml:space="preserve"> </w:instrText>
      </w:r>
      <w:r>
        <w:rPr>
          <w:rStyle w:val="39"/>
          <w:color w:val="auto"/>
        </w:rPr>
        <w:fldChar w:fldCharType="separate"/>
      </w:r>
      <w:r>
        <w:rPr>
          <w:rStyle w:val="39"/>
          <w:color w:val="auto"/>
        </w:rPr>
        <w:t>3</w:t>
      </w:r>
      <w:r>
        <w:rPr>
          <w:rFonts w:eastAsia="等线"/>
          <w:szCs w:val="22"/>
        </w:rPr>
        <w:tab/>
      </w:r>
      <w:r>
        <w:t>Basic Requirement</w:t>
      </w:r>
      <w:r>
        <w:tab/>
      </w:r>
      <w:r>
        <w:fldChar w:fldCharType="begin"/>
      </w:r>
      <w:r>
        <w:instrText xml:space="preserve"> PAGEREF _Toc61254063 \h </w:instrText>
      </w:r>
      <w:r>
        <w:fldChar w:fldCharType="separate"/>
      </w:r>
      <w:r>
        <w:t>16</w:t>
      </w:r>
      <w:r>
        <w:fldChar w:fldCharType="end"/>
      </w:r>
      <w:r>
        <w:rPr>
          <w:rStyle w:val="39"/>
          <w:color w:val="auto"/>
        </w:rPr>
        <w:fldChar w:fldCharType="end"/>
      </w:r>
    </w:p>
    <w:p w14:paraId="329A0FAE">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"_Toc61254064"</w:instrText>
      </w:r>
      <w:r>
        <w:rPr>
          <w:rStyle w:val="39"/>
          <w:color w:val="auto"/>
        </w:rPr>
        <w:instrText xml:space="preserve"> </w:instrText>
      </w:r>
      <w:r>
        <w:rPr>
          <w:rStyle w:val="39"/>
          <w:color w:val="auto"/>
        </w:rPr>
        <w:fldChar w:fldCharType="separate"/>
      </w:r>
      <w:r>
        <w:rPr>
          <w:rStyle w:val="39"/>
          <w:color w:val="auto"/>
        </w:rPr>
        <w:t>4</w:t>
      </w:r>
      <w:r>
        <w:rPr>
          <w:rFonts w:eastAsia="等线"/>
          <w:szCs w:val="22"/>
        </w:rPr>
        <w:tab/>
      </w:r>
      <w:r>
        <w:t>Materials</w:t>
      </w:r>
      <w:r>
        <w:tab/>
      </w:r>
      <w:r>
        <w:fldChar w:fldCharType="begin"/>
      </w:r>
      <w:r>
        <w:instrText xml:space="preserve"> PAGEREF _Toc61254064 \h </w:instrText>
      </w:r>
      <w:r>
        <w:fldChar w:fldCharType="separate"/>
      </w:r>
      <w:r>
        <w:t>20</w:t>
      </w:r>
      <w:r>
        <w:fldChar w:fldCharType="end"/>
      </w:r>
      <w:r>
        <w:rPr>
          <w:rStyle w:val="39"/>
          <w:color w:val="auto"/>
        </w:rPr>
        <w:fldChar w:fldCharType="end"/>
      </w:r>
    </w:p>
    <w:p w14:paraId="77F44EF7">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"_Toc61254065"</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4.1</w:t>
      </w:r>
      <w:r>
        <w:rPr>
          <w:rFonts w:hAnsi="Times New Roman" w:eastAsia="等线"/>
          <w:szCs w:val="22"/>
        </w:rPr>
        <w:tab/>
      </w:r>
      <w:r>
        <w:rPr>
          <w:rFonts w:hAnsi="Times New Roman"/>
        </w:rPr>
        <w:t>Concrete</w:t>
      </w:r>
      <w:r>
        <w:rPr>
          <w:rFonts w:hAnsi="Times New Roman"/>
        </w:rPr>
        <w:tab/>
      </w:r>
      <w:r>
        <w:rPr>
          <w:rFonts w:hAnsi="Times New Roman"/>
        </w:rPr>
        <w:fldChar w:fldCharType="begin"/>
      </w:r>
      <w:r>
        <w:rPr>
          <w:rFonts w:hAnsi="Times New Roman"/>
        </w:rPr>
        <w:instrText xml:space="preserve"> PAGEREF _Toc61254065 \h </w:instrText>
      </w:r>
      <w:r>
        <w:rPr>
          <w:rFonts w:hAnsi="Times New Roman"/>
        </w:rPr>
        <w:fldChar w:fldCharType="separate"/>
      </w:r>
      <w:r>
        <w:rPr>
          <w:rFonts w:hAnsi="Times New Roman"/>
        </w:rPr>
        <w:t>20</w:t>
      </w:r>
      <w:r>
        <w:rPr>
          <w:rFonts w:hAnsi="Times New Roman"/>
        </w:rPr>
        <w:fldChar w:fldCharType="end"/>
      </w:r>
      <w:r>
        <w:rPr>
          <w:rStyle w:val="39"/>
          <w:rFonts w:hAnsi="Times New Roman"/>
          <w:color w:val="auto"/>
        </w:rPr>
        <w:fldChar w:fldCharType="end"/>
      </w:r>
    </w:p>
    <w:p w14:paraId="77431E53">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"_Toc61254066"</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4.2</w:t>
      </w:r>
      <w:r>
        <w:rPr>
          <w:rFonts w:hAnsi="Times New Roman" w:eastAsia="等线"/>
          <w:szCs w:val="22"/>
        </w:rPr>
        <w:tab/>
      </w:r>
      <w:r>
        <w:rPr>
          <w:rFonts w:hAnsi="Times New Roman"/>
        </w:rPr>
        <w:t xml:space="preserve">Rebar and </w:t>
      </w:r>
      <w:bookmarkStart w:id="22" w:name="_Hlt90545265"/>
      <w:bookmarkEnd w:id="22"/>
      <w:r>
        <w:rPr>
          <w:rFonts w:hint="eastAsia" w:hAnsi="Times New Roman"/>
        </w:rPr>
        <w:t>S</w:t>
      </w:r>
      <w:r>
        <w:rPr>
          <w:rFonts w:hAnsi="Times New Roman"/>
        </w:rPr>
        <w:t>teel</w:t>
      </w:r>
      <w:r>
        <w:rPr>
          <w:rFonts w:hAnsi="Times New Roman"/>
        </w:rPr>
        <w:tab/>
      </w:r>
      <w:r>
        <w:rPr>
          <w:rFonts w:hAnsi="Times New Roman"/>
        </w:rPr>
        <w:fldChar w:fldCharType="begin"/>
      </w:r>
      <w:r>
        <w:rPr>
          <w:rFonts w:hAnsi="Times New Roman"/>
        </w:rPr>
        <w:instrText xml:space="preserve"> PAGEREF _Toc61254066 \h </w:instrText>
      </w:r>
      <w:r>
        <w:rPr>
          <w:rFonts w:hAnsi="Times New Roman"/>
        </w:rPr>
        <w:fldChar w:fldCharType="separate"/>
      </w:r>
      <w:r>
        <w:rPr>
          <w:rFonts w:hAnsi="Times New Roman"/>
        </w:rPr>
        <w:t>22</w:t>
      </w:r>
      <w:r>
        <w:rPr>
          <w:rFonts w:hAnsi="Times New Roman"/>
        </w:rPr>
        <w:fldChar w:fldCharType="end"/>
      </w:r>
      <w:r>
        <w:rPr>
          <w:rStyle w:val="39"/>
          <w:rFonts w:hAnsi="Times New Roman"/>
          <w:color w:val="auto"/>
        </w:rPr>
        <w:fldChar w:fldCharType="end"/>
      </w:r>
    </w:p>
    <w:p w14:paraId="2A03CC7F">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"_Toc61254067"</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4.3</w:t>
      </w:r>
      <w:r>
        <w:rPr>
          <w:rFonts w:hAnsi="Times New Roman" w:eastAsia="等线"/>
          <w:szCs w:val="22"/>
        </w:rPr>
        <w:tab/>
      </w:r>
      <w:r>
        <w:rPr>
          <w:rFonts w:hAnsi="Times New Roman"/>
        </w:rPr>
        <w:t>TC-Deck</w:t>
      </w:r>
      <w:r>
        <w:rPr>
          <w:rFonts w:hAnsi="Times New Roman"/>
        </w:rPr>
        <w:tab/>
      </w:r>
      <w:r>
        <w:rPr>
          <w:rFonts w:hAnsi="Times New Roman"/>
        </w:rPr>
        <w:fldChar w:fldCharType="begin"/>
      </w:r>
      <w:r>
        <w:rPr>
          <w:rFonts w:hAnsi="Times New Roman"/>
        </w:rPr>
        <w:instrText xml:space="preserve"> PAGEREF _Toc61254067 \h </w:instrText>
      </w:r>
      <w:r>
        <w:rPr>
          <w:rFonts w:hAnsi="Times New Roman"/>
        </w:rPr>
        <w:fldChar w:fldCharType="separate"/>
      </w:r>
      <w:r>
        <w:rPr>
          <w:rFonts w:hAnsi="Times New Roman"/>
        </w:rPr>
        <w:t>24</w:t>
      </w:r>
      <w:r>
        <w:rPr>
          <w:rFonts w:hAnsi="Times New Roman"/>
        </w:rPr>
        <w:fldChar w:fldCharType="end"/>
      </w:r>
      <w:r>
        <w:rPr>
          <w:rStyle w:val="39"/>
          <w:rFonts w:hAnsi="Times New Roman"/>
          <w:color w:val="auto"/>
        </w:rPr>
        <w:fldChar w:fldCharType="end"/>
      </w:r>
    </w:p>
    <w:p w14:paraId="1E5450C3">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"_Toc61254068"</w:instrText>
      </w:r>
      <w:r>
        <w:rPr>
          <w:rStyle w:val="39"/>
          <w:color w:val="auto"/>
        </w:rPr>
        <w:instrText xml:space="preserve"> </w:instrText>
      </w:r>
      <w:r>
        <w:rPr>
          <w:rStyle w:val="39"/>
          <w:color w:val="auto"/>
        </w:rPr>
        <w:fldChar w:fldCharType="separate"/>
      </w:r>
      <w:r>
        <w:rPr>
          <w:rStyle w:val="39"/>
          <w:color w:val="auto"/>
        </w:rPr>
        <w:t>5</w:t>
      </w:r>
      <w:r>
        <w:rPr>
          <w:rFonts w:eastAsia="等线"/>
          <w:szCs w:val="22"/>
        </w:rPr>
        <w:tab/>
      </w:r>
      <w:r>
        <w:t xml:space="preserve">Architectural </w:t>
      </w:r>
      <w:r>
        <w:rPr>
          <w:rFonts w:hint="eastAsia"/>
        </w:rPr>
        <w:t>D</w:t>
      </w:r>
      <w:r>
        <w:t>esign</w:t>
      </w:r>
      <w:r>
        <w:tab/>
      </w:r>
      <w:r>
        <w:fldChar w:fldCharType="begin"/>
      </w:r>
      <w:r>
        <w:instrText xml:space="preserve"> PAGEREF _Toc61254068 \h </w:instrText>
      </w:r>
      <w:r>
        <w:fldChar w:fldCharType="separate"/>
      </w:r>
      <w:r>
        <w:t>28</w:t>
      </w:r>
      <w:r>
        <w:fldChar w:fldCharType="end"/>
      </w:r>
      <w:r>
        <w:rPr>
          <w:rStyle w:val="39"/>
          <w:color w:val="auto"/>
        </w:rPr>
        <w:fldChar w:fldCharType="end"/>
      </w:r>
    </w:p>
    <w:p w14:paraId="1A6741BD">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"_Toc61254069"</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5.1</w:t>
      </w:r>
      <w:r>
        <w:rPr>
          <w:rFonts w:hAnsi="Times New Roman" w:eastAsia="等线"/>
          <w:szCs w:val="22"/>
        </w:rPr>
        <w:tab/>
      </w:r>
      <w:r>
        <w:rPr>
          <w:rFonts w:hAnsi="Times New Roman"/>
        </w:rPr>
        <w:t xml:space="preserve">General </w:t>
      </w:r>
      <w:r>
        <w:rPr>
          <w:rFonts w:hint="eastAsia" w:hAnsi="Times New Roman"/>
        </w:rPr>
        <w:t>R</w:t>
      </w:r>
      <w:r>
        <w:rPr>
          <w:rFonts w:hAnsi="Times New Roman"/>
        </w:rPr>
        <w:t>equirements</w:t>
      </w:r>
      <w:r>
        <w:rPr>
          <w:rFonts w:hAnsi="Times New Roman"/>
        </w:rPr>
        <w:tab/>
      </w:r>
      <w:r>
        <w:rPr>
          <w:rFonts w:hAnsi="Times New Roman"/>
        </w:rPr>
        <w:fldChar w:fldCharType="begin"/>
      </w:r>
      <w:r>
        <w:rPr>
          <w:rFonts w:hAnsi="Times New Roman"/>
        </w:rPr>
        <w:instrText xml:space="preserve"> PAGEREF _Toc61254069 \h </w:instrText>
      </w:r>
      <w:r>
        <w:rPr>
          <w:rFonts w:hAnsi="Times New Roman"/>
        </w:rPr>
        <w:fldChar w:fldCharType="separate"/>
      </w:r>
      <w:r>
        <w:rPr>
          <w:rFonts w:hAnsi="Times New Roman"/>
        </w:rPr>
        <w:t>28</w:t>
      </w:r>
      <w:r>
        <w:rPr>
          <w:rFonts w:hAnsi="Times New Roman"/>
        </w:rPr>
        <w:fldChar w:fldCharType="end"/>
      </w:r>
      <w:r>
        <w:rPr>
          <w:rStyle w:val="39"/>
          <w:rFonts w:hAnsi="Times New Roman"/>
          <w:color w:val="auto"/>
        </w:rPr>
        <w:fldChar w:fldCharType="end"/>
      </w:r>
    </w:p>
    <w:p w14:paraId="41C9F962">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"_Toc61254070"</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5.2</w:t>
      </w:r>
      <w:r>
        <w:rPr>
          <w:rFonts w:hAnsi="Times New Roman" w:eastAsia="等线"/>
          <w:szCs w:val="22"/>
        </w:rPr>
        <w:tab/>
      </w:r>
      <w:r>
        <w:rPr>
          <w:rFonts w:hAnsi="Times New Roman"/>
        </w:rPr>
        <w:t xml:space="preserve">Plan and </w:t>
      </w:r>
      <w:r>
        <w:rPr>
          <w:rFonts w:hint="eastAsia" w:hAnsi="Times New Roman"/>
        </w:rPr>
        <w:t>F</w:t>
      </w:r>
      <w:r>
        <w:rPr>
          <w:rFonts w:hAnsi="Times New Roman"/>
        </w:rPr>
        <w:t xml:space="preserve">acade </w:t>
      </w:r>
      <w:r>
        <w:rPr>
          <w:rFonts w:hint="eastAsia" w:hAnsi="Times New Roman"/>
        </w:rPr>
        <w:t>D</w:t>
      </w:r>
      <w:r>
        <w:rPr>
          <w:rFonts w:hAnsi="Times New Roman"/>
        </w:rPr>
        <w:t>esign</w:t>
      </w:r>
      <w:r>
        <w:rPr>
          <w:rFonts w:hAnsi="Times New Roman"/>
        </w:rPr>
        <w:tab/>
      </w:r>
      <w:r>
        <w:rPr>
          <w:rFonts w:hAnsi="Times New Roman"/>
        </w:rPr>
        <w:fldChar w:fldCharType="begin"/>
      </w:r>
      <w:r>
        <w:rPr>
          <w:rFonts w:hAnsi="Times New Roman"/>
        </w:rPr>
        <w:instrText xml:space="preserve"> PAGEREF _Toc61254070 \h </w:instrText>
      </w:r>
      <w:r>
        <w:rPr>
          <w:rFonts w:hAnsi="Times New Roman"/>
        </w:rPr>
        <w:fldChar w:fldCharType="separate"/>
      </w:r>
      <w:r>
        <w:rPr>
          <w:rFonts w:hAnsi="Times New Roman"/>
        </w:rPr>
        <w:t>28</w:t>
      </w:r>
      <w:r>
        <w:rPr>
          <w:rFonts w:hAnsi="Times New Roman"/>
        </w:rPr>
        <w:fldChar w:fldCharType="end"/>
      </w:r>
      <w:r>
        <w:rPr>
          <w:rStyle w:val="39"/>
          <w:rFonts w:hAnsi="Times New Roman"/>
          <w:color w:val="auto"/>
        </w:rPr>
        <w:fldChar w:fldCharType="end"/>
      </w:r>
    </w:p>
    <w:p w14:paraId="052001BA">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"_Toc61254071"</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5.3</w:t>
      </w:r>
      <w:r>
        <w:rPr>
          <w:rFonts w:hAnsi="Times New Roman" w:eastAsia="等线"/>
          <w:szCs w:val="22"/>
        </w:rPr>
        <w:tab/>
      </w:r>
      <w:r>
        <w:rPr>
          <w:rFonts w:hAnsi="Times New Roman" w:eastAsia="等线"/>
          <w:szCs w:val="22"/>
        </w:rPr>
        <w:t xml:space="preserve">Envelope </w:t>
      </w:r>
      <w:r>
        <w:rPr>
          <w:rFonts w:hint="eastAsia" w:hAnsi="Times New Roman" w:eastAsia="等线"/>
          <w:szCs w:val="22"/>
        </w:rPr>
        <w:t>S</w:t>
      </w:r>
      <w:r>
        <w:rPr>
          <w:rFonts w:hAnsi="Times New Roman" w:eastAsia="等线"/>
          <w:szCs w:val="22"/>
        </w:rPr>
        <w:t xml:space="preserve">ystem </w:t>
      </w:r>
      <w:r>
        <w:rPr>
          <w:rFonts w:hint="eastAsia" w:hAnsi="Times New Roman" w:eastAsia="等线"/>
          <w:szCs w:val="22"/>
        </w:rPr>
        <w:t>D</w:t>
      </w:r>
      <w:r>
        <w:rPr>
          <w:rFonts w:hAnsi="Times New Roman" w:eastAsia="等线"/>
          <w:szCs w:val="22"/>
        </w:rPr>
        <w:t>esign</w:t>
      </w:r>
      <w:r>
        <w:rPr>
          <w:rFonts w:hAnsi="Times New Roman"/>
        </w:rPr>
        <w:tab/>
      </w:r>
      <w:r>
        <w:rPr>
          <w:rFonts w:hAnsi="Times New Roman"/>
        </w:rPr>
        <w:fldChar w:fldCharType="begin"/>
      </w:r>
      <w:r>
        <w:rPr>
          <w:rFonts w:hAnsi="Times New Roman"/>
        </w:rPr>
        <w:instrText xml:space="preserve"> PAGEREF _Toc61254071 \h </w:instrText>
      </w:r>
      <w:r>
        <w:rPr>
          <w:rFonts w:hAnsi="Times New Roman"/>
        </w:rPr>
        <w:fldChar w:fldCharType="separate"/>
      </w:r>
      <w:r>
        <w:rPr>
          <w:rFonts w:hAnsi="Times New Roman"/>
        </w:rPr>
        <w:t>30</w:t>
      </w:r>
      <w:r>
        <w:rPr>
          <w:rFonts w:hAnsi="Times New Roman"/>
        </w:rPr>
        <w:fldChar w:fldCharType="end"/>
      </w:r>
      <w:r>
        <w:rPr>
          <w:rStyle w:val="39"/>
          <w:rFonts w:hAnsi="Times New Roman"/>
          <w:color w:val="auto"/>
        </w:rPr>
        <w:fldChar w:fldCharType="end"/>
      </w:r>
    </w:p>
    <w:p w14:paraId="4CF139E0">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"_Toc61254072"</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5.4</w:t>
      </w:r>
      <w:r>
        <w:rPr>
          <w:rFonts w:hAnsi="Times New Roman" w:eastAsia="等线"/>
          <w:szCs w:val="22"/>
        </w:rPr>
        <w:tab/>
      </w:r>
      <w:r>
        <w:t xml:space="preserve">Interior </w:t>
      </w:r>
      <w:r>
        <w:rPr>
          <w:rFonts w:hint="eastAsia"/>
        </w:rPr>
        <w:t>D</w:t>
      </w:r>
      <w:r>
        <w:t xml:space="preserve">ecoration </w:t>
      </w:r>
      <w:r>
        <w:rPr>
          <w:rFonts w:hint="eastAsia"/>
        </w:rPr>
        <w:t>D</w:t>
      </w:r>
      <w:r>
        <w:t>esign</w:t>
      </w:r>
      <w:r>
        <w:rPr>
          <w:rFonts w:hAnsi="Times New Roman"/>
        </w:rPr>
        <w:tab/>
      </w:r>
      <w:r>
        <w:rPr>
          <w:rFonts w:hAnsi="Times New Roman"/>
        </w:rPr>
        <w:fldChar w:fldCharType="begin"/>
      </w:r>
      <w:r>
        <w:rPr>
          <w:rFonts w:hAnsi="Times New Roman"/>
        </w:rPr>
        <w:instrText xml:space="preserve"> PAGEREF _Toc61254072 \h </w:instrText>
      </w:r>
      <w:r>
        <w:rPr>
          <w:rFonts w:hAnsi="Times New Roman"/>
        </w:rPr>
        <w:fldChar w:fldCharType="separate"/>
      </w:r>
      <w:r>
        <w:rPr>
          <w:rFonts w:hAnsi="Times New Roman"/>
        </w:rPr>
        <w:t>32</w:t>
      </w:r>
      <w:r>
        <w:rPr>
          <w:rFonts w:hAnsi="Times New Roman"/>
        </w:rPr>
        <w:fldChar w:fldCharType="end"/>
      </w:r>
      <w:r>
        <w:rPr>
          <w:rStyle w:val="39"/>
          <w:rFonts w:hAnsi="Times New Roman"/>
          <w:color w:val="auto"/>
        </w:rPr>
        <w:fldChar w:fldCharType="end"/>
      </w:r>
    </w:p>
    <w:p w14:paraId="29CA4B19">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"_Toc61254073"</w:instrText>
      </w:r>
      <w:r>
        <w:rPr>
          <w:rStyle w:val="39"/>
          <w:color w:val="auto"/>
        </w:rPr>
        <w:instrText xml:space="preserve"> </w:instrText>
      </w:r>
      <w:r>
        <w:rPr>
          <w:rStyle w:val="39"/>
          <w:color w:val="auto"/>
        </w:rPr>
        <w:fldChar w:fldCharType="separate"/>
      </w:r>
      <w:r>
        <w:rPr>
          <w:rStyle w:val="39"/>
          <w:color w:val="auto"/>
        </w:rPr>
        <w:t>6</w:t>
      </w:r>
      <w:r>
        <w:rPr>
          <w:rFonts w:eastAsia="等线"/>
          <w:szCs w:val="22"/>
        </w:rPr>
        <w:tab/>
      </w:r>
      <w:r>
        <w:t xml:space="preserve">Structrual </w:t>
      </w:r>
      <w:r>
        <w:rPr>
          <w:rFonts w:hint="eastAsia"/>
        </w:rPr>
        <w:t>Analysis</w:t>
      </w:r>
      <w:r>
        <w:t xml:space="preserve"> </w:t>
      </w:r>
      <w:bookmarkStart w:id="23" w:name="_Hlt90545849"/>
      <w:bookmarkEnd w:id="23"/>
      <w:r>
        <w:rPr>
          <w:rFonts w:hint="eastAsia"/>
        </w:rPr>
        <w:t>and</w:t>
      </w:r>
      <w:r>
        <w:t xml:space="preserve"> </w:t>
      </w:r>
      <w:r>
        <w:rPr>
          <w:rFonts w:hint="eastAsia"/>
        </w:rPr>
        <w:t>D</w:t>
      </w:r>
      <w:r>
        <w:t>esign</w:t>
      </w:r>
      <w:r>
        <w:tab/>
      </w:r>
      <w:r>
        <w:fldChar w:fldCharType="begin"/>
      </w:r>
      <w:r>
        <w:instrText xml:space="preserve"> PAGEREF _Toc61254073 \h </w:instrText>
      </w:r>
      <w:r>
        <w:fldChar w:fldCharType="separate"/>
      </w:r>
      <w:r>
        <w:t>36</w:t>
      </w:r>
      <w:r>
        <w:fldChar w:fldCharType="end"/>
      </w:r>
      <w:r>
        <w:rPr>
          <w:rStyle w:val="39"/>
          <w:color w:val="auto"/>
        </w:rPr>
        <w:fldChar w:fldCharType="end"/>
      </w:r>
    </w:p>
    <w:p w14:paraId="45068F60">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"_Toc61254074"</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6.1</w:t>
      </w:r>
      <w:r>
        <w:rPr>
          <w:rFonts w:hAnsi="Times New Roman" w:eastAsia="等线"/>
          <w:szCs w:val="22"/>
        </w:rPr>
        <w:tab/>
      </w:r>
      <w:r>
        <w:t xml:space="preserve">General </w:t>
      </w:r>
      <w:bookmarkStart w:id="24" w:name="_Hlt90545364"/>
      <w:bookmarkEnd w:id="24"/>
      <w:r>
        <w:rPr>
          <w:rFonts w:hint="eastAsia"/>
        </w:rPr>
        <w:t>R</w:t>
      </w:r>
      <w:r>
        <w:t>equirements</w:t>
      </w:r>
      <w:r>
        <w:rPr>
          <w:rFonts w:hAnsi="Times New Roman"/>
        </w:rPr>
        <w:tab/>
      </w:r>
      <w:r>
        <w:rPr>
          <w:rFonts w:hAnsi="Times New Roman"/>
        </w:rPr>
        <w:fldChar w:fldCharType="begin"/>
      </w:r>
      <w:r>
        <w:rPr>
          <w:rFonts w:hAnsi="Times New Roman"/>
        </w:rPr>
        <w:instrText xml:space="preserve"> PAGEREF _Toc61254074 \h </w:instrText>
      </w:r>
      <w:r>
        <w:rPr>
          <w:rFonts w:hAnsi="Times New Roman"/>
        </w:rPr>
        <w:fldChar w:fldCharType="separate"/>
      </w:r>
      <w:r>
        <w:rPr>
          <w:rFonts w:hAnsi="Times New Roman"/>
        </w:rPr>
        <w:t>36</w:t>
      </w:r>
      <w:r>
        <w:rPr>
          <w:rFonts w:hAnsi="Times New Roman"/>
        </w:rPr>
        <w:fldChar w:fldCharType="end"/>
      </w:r>
      <w:r>
        <w:rPr>
          <w:rStyle w:val="39"/>
          <w:rFonts w:hAnsi="Times New Roman"/>
          <w:color w:val="auto"/>
        </w:rPr>
        <w:fldChar w:fldCharType="end"/>
      </w:r>
    </w:p>
    <w:p w14:paraId="6111E82C">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"_Toc61254075"</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6.2</w:t>
      </w:r>
      <w:r>
        <w:rPr>
          <w:rFonts w:hAnsi="Times New Roman" w:eastAsia="等线"/>
          <w:szCs w:val="22"/>
        </w:rPr>
        <w:tab/>
      </w:r>
      <w:r>
        <w:t xml:space="preserve">Structrual </w:t>
      </w:r>
      <w:r>
        <w:rPr>
          <w:rFonts w:hint="eastAsia"/>
        </w:rPr>
        <w:t>A</w:t>
      </w:r>
      <w:r>
        <w:t>nalysis</w:t>
      </w:r>
      <w:r>
        <w:rPr>
          <w:rFonts w:hAnsi="Times New Roman"/>
        </w:rPr>
        <w:tab/>
      </w:r>
      <w:r>
        <w:rPr>
          <w:rFonts w:hAnsi="Times New Roman"/>
        </w:rPr>
        <w:fldChar w:fldCharType="begin"/>
      </w:r>
      <w:r>
        <w:rPr>
          <w:rFonts w:hAnsi="Times New Roman"/>
        </w:rPr>
        <w:instrText xml:space="preserve"> PAGEREF _Toc61254075 \h </w:instrText>
      </w:r>
      <w:r>
        <w:rPr>
          <w:rFonts w:hAnsi="Times New Roman"/>
        </w:rPr>
        <w:fldChar w:fldCharType="separate"/>
      </w:r>
      <w:r>
        <w:rPr>
          <w:rFonts w:hAnsi="Times New Roman"/>
        </w:rPr>
        <w:t>42</w:t>
      </w:r>
      <w:r>
        <w:rPr>
          <w:rFonts w:hAnsi="Times New Roman"/>
        </w:rPr>
        <w:fldChar w:fldCharType="end"/>
      </w:r>
      <w:r>
        <w:rPr>
          <w:rStyle w:val="39"/>
          <w:rFonts w:hAnsi="Times New Roman"/>
          <w:color w:val="auto"/>
        </w:rPr>
        <w:fldChar w:fldCharType="end"/>
      </w:r>
    </w:p>
    <w:p w14:paraId="4A9E8DF9">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"_Toc61254076"</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6.3</w:t>
      </w:r>
      <w:r>
        <w:rPr>
          <w:rFonts w:hAnsi="Times New Roman" w:eastAsia="等线"/>
          <w:szCs w:val="22"/>
        </w:rPr>
        <w:tab/>
      </w:r>
      <w:r>
        <w:rPr>
          <w:rFonts w:hAnsi="Times New Roman" w:eastAsia="等线"/>
          <w:szCs w:val="22"/>
        </w:rPr>
        <w:t xml:space="preserve">Design </w:t>
      </w:r>
      <w:r>
        <w:rPr>
          <w:rFonts w:hint="eastAsia" w:hAnsi="Times New Roman" w:eastAsia="等线"/>
          <w:szCs w:val="22"/>
        </w:rPr>
        <w:t>of</w:t>
      </w:r>
      <w:r>
        <w:rPr>
          <w:rFonts w:hAnsi="Times New Roman" w:eastAsia="等线"/>
          <w:szCs w:val="22"/>
        </w:rPr>
        <w:t xml:space="preserve"> </w:t>
      </w:r>
      <w:r>
        <w:rPr>
          <w:rFonts w:hint="eastAsia" w:hAnsi="Times New Roman" w:eastAsia="等线"/>
          <w:szCs w:val="22"/>
        </w:rPr>
        <w:t>S</w:t>
      </w:r>
      <w:r>
        <w:t xml:space="preserve">tructural </w:t>
      </w:r>
      <w:r>
        <w:rPr>
          <w:rFonts w:hint="eastAsia"/>
        </w:rPr>
        <w:t>M</w:t>
      </w:r>
      <w:r>
        <w:t>embers</w:t>
      </w:r>
      <w:r>
        <w:rPr>
          <w:rFonts w:hAnsi="Times New Roman"/>
        </w:rPr>
        <w:tab/>
      </w:r>
      <w:r>
        <w:rPr>
          <w:rFonts w:hAnsi="Times New Roman"/>
        </w:rPr>
        <w:fldChar w:fldCharType="begin"/>
      </w:r>
      <w:r>
        <w:rPr>
          <w:rFonts w:hAnsi="Times New Roman"/>
        </w:rPr>
        <w:instrText xml:space="preserve"> PAGEREF _Toc61254076 \h </w:instrText>
      </w:r>
      <w:r>
        <w:rPr>
          <w:rFonts w:hAnsi="Times New Roman"/>
        </w:rPr>
        <w:fldChar w:fldCharType="separate"/>
      </w:r>
      <w:r>
        <w:rPr>
          <w:rFonts w:hAnsi="Times New Roman"/>
        </w:rPr>
        <w:t>44</w:t>
      </w:r>
      <w:r>
        <w:rPr>
          <w:rFonts w:hAnsi="Times New Roman"/>
        </w:rPr>
        <w:fldChar w:fldCharType="end"/>
      </w:r>
      <w:r>
        <w:rPr>
          <w:rStyle w:val="39"/>
          <w:rFonts w:hAnsi="Times New Roman"/>
          <w:color w:val="auto"/>
        </w:rPr>
        <w:fldChar w:fldCharType="end"/>
      </w:r>
    </w:p>
    <w:p w14:paraId="725629E3">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"_Toc61254077"</w:instrText>
      </w:r>
      <w:r>
        <w:rPr>
          <w:rStyle w:val="39"/>
          <w:color w:val="auto"/>
        </w:rPr>
        <w:instrText xml:space="preserve"> </w:instrText>
      </w:r>
      <w:r>
        <w:rPr>
          <w:rStyle w:val="39"/>
          <w:color w:val="auto"/>
        </w:rPr>
        <w:fldChar w:fldCharType="separate"/>
      </w:r>
      <w:r>
        <w:rPr>
          <w:rStyle w:val="39"/>
          <w:color w:val="auto"/>
        </w:rPr>
        <w:t>7</w:t>
      </w:r>
      <w:r>
        <w:rPr>
          <w:rFonts w:eastAsia="等线"/>
          <w:szCs w:val="22"/>
        </w:rPr>
        <w:tab/>
      </w:r>
      <w:r>
        <w:t xml:space="preserve">Detailing </w:t>
      </w:r>
      <w:r>
        <w:rPr>
          <w:rFonts w:hint="eastAsia"/>
        </w:rPr>
        <w:t>R</w:t>
      </w:r>
      <w:r>
        <w:t>equirements</w:t>
      </w:r>
      <w:r>
        <w:tab/>
      </w:r>
      <w:r>
        <w:fldChar w:fldCharType="begin"/>
      </w:r>
      <w:r>
        <w:instrText xml:space="preserve"> PAGEREF _Toc61254077 \h </w:instrText>
      </w:r>
      <w:r>
        <w:fldChar w:fldCharType="separate"/>
      </w:r>
      <w:r>
        <w:t>51</w:t>
      </w:r>
      <w:r>
        <w:fldChar w:fldCharType="end"/>
      </w:r>
      <w:r>
        <w:rPr>
          <w:rStyle w:val="39"/>
          <w:color w:val="auto"/>
        </w:rPr>
        <w:fldChar w:fldCharType="end"/>
      </w:r>
    </w:p>
    <w:p w14:paraId="6E957B7F">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"_Toc61254078"</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7.1</w:t>
      </w:r>
      <w:r>
        <w:rPr>
          <w:rFonts w:hAnsi="Times New Roman" w:eastAsia="等线"/>
          <w:szCs w:val="22"/>
        </w:rPr>
        <w:tab/>
      </w:r>
      <w:r>
        <w:t xml:space="preserve">General </w:t>
      </w:r>
      <w:bookmarkStart w:id="25" w:name="_Hlt90545394"/>
      <w:bookmarkEnd w:id="25"/>
      <w:r>
        <w:rPr>
          <w:rFonts w:hint="eastAsia"/>
        </w:rPr>
        <w:t>R</w:t>
      </w:r>
      <w:r>
        <w:t>equirements</w:t>
      </w:r>
      <w:r>
        <w:rPr>
          <w:rFonts w:hAnsi="Times New Roman"/>
        </w:rPr>
        <w:tab/>
      </w:r>
      <w:r>
        <w:rPr>
          <w:rFonts w:hAnsi="Times New Roman"/>
        </w:rPr>
        <w:fldChar w:fldCharType="begin"/>
      </w:r>
      <w:r>
        <w:rPr>
          <w:rFonts w:hAnsi="Times New Roman"/>
        </w:rPr>
        <w:instrText xml:space="preserve"> PAGEREF _Toc61254078 \h </w:instrText>
      </w:r>
      <w:r>
        <w:rPr>
          <w:rFonts w:hAnsi="Times New Roman"/>
        </w:rPr>
        <w:fldChar w:fldCharType="separate"/>
      </w:r>
      <w:r>
        <w:rPr>
          <w:rFonts w:hAnsi="Times New Roman"/>
        </w:rPr>
        <w:t>51</w:t>
      </w:r>
      <w:r>
        <w:rPr>
          <w:rFonts w:hAnsi="Times New Roman"/>
        </w:rPr>
        <w:fldChar w:fldCharType="end"/>
      </w:r>
      <w:r>
        <w:rPr>
          <w:rStyle w:val="39"/>
          <w:rFonts w:hAnsi="Times New Roman"/>
          <w:color w:val="auto"/>
        </w:rPr>
        <w:fldChar w:fldCharType="end"/>
      </w:r>
    </w:p>
    <w:p w14:paraId="3A4AFBDB">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"_Toc61254079"</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7.2</w:t>
      </w:r>
      <w:r>
        <w:rPr>
          <w:rFonts w:hAnsi="Times New Roman" w:eastAsia="等线"/>
          <w:szCs w:val="22"/>
        </w:rPr>
        <w:tab/>
      </w:r>
      <w:r>
        <w:rPr>
          <w:rFonts w:hint="eastAsia"/>
        </w:rPr>
        <w:t>S</w:t>
      </w:r>
      <w:r>
        <w:t xml:space="preserve">hear </w:t>
      </w:r>
      <w:r>
        <w:rPr>
          <w:rFonts w:hint="eastAsia"/>
        </w:rPr>
        <w:t>W</w:t>
      </w:r>
      <w:r>
        <w:t>all</w:t>
      </w:r>
      <w:r>
        <w:rPr>
          <w:rFonts w:hAnsi="Times New Roman"/>
        </w:rPr>
        <w:tab/>
      </w:r>
      <w:r>
        <w:rPr>
          <w:rFonts w:hAnsi="Times New Roman"/>
        </w:rPr>
        <w:fldChar w:fldCharType="begin"/>
      </w:r>
      <w:r>
        <w:rPr>
          <w:rFonts w:hAnsi="Times New Roman"/>
        </w:rPr>
        <w:instrText xml:space="preserve"> PAGEREF _Toc61254079 \h </w:instrText>
      </w:r>
      <w:r>
        <w:rPr>
          <w:rFonts w:hAnsi="Times New Roman"/>
        </w:rPr>
        <w:fldChar w:fldCharType="separate"/>
      </w:r>
      <w:r>
        <w:rPr>
          <w:rFonts w:hAnsi="Times New Roman"/>
        </w:rPr>
        <w:t>53</w:t>
      </w:r>
      <w:r>
        <w:rPr>
          <w:rFonts w:hAnsi="Times New Roman"/>
        </w:rPr>
        <w:fldChar w:fldCharType="end"/>
      </w:r>
      <w:r>
        <w:rPr>
          <w:rStyle w:val="39"/>
          <w:rFonts w:hAnsi="Times New Roman"/>
          <w:color w:val="auto"/>
        </w:rPr>
        <w:fldChar w:fldCharType="end"/>
      </w:r>
    </w:p>
    <w:p w14:paraId="1F370959">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"_Toc61254080"</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7.3</w:t>
      </w:r>
      <w:r>
        <w:rPr>
          <w:rFonts w:hAnsi="Times New Roman" w:eastAsia="等线"/>
          <w:szCs w:val="22"/>
        </w:rPr>
        <w:tab/>
      </w:r>
      <w:r>
        <w:rPr>
          <w:rStyle w:val="39"/>
          <w:rFonts w:hAnsi="Times New Roman"/>
          <w:color w:val="auto"/>
        </w:rPr>
        <w:t>TC-Deck</w:t>
      </w:r>
      <w:r>
        <w:rPr>
          <w:rFonts w:hAnsi="Times New Roman"/>
        </w:rPr>
        <w:tab/>
      </w:r>
      <w:r>
        <w:rPr>
          <w:rFonts w:hAnsi="Times New Roman"/>
        </w:rPr>
        <w:fldChar w:fldCharType="begin"/>
      </w:r>
      <w:r>
        <w:rPr>
          <w:rFonts w:hAnsi="Times New Roman"/>
        </w:rPr>
        <w:instrText xml:space="preserve"> PAGEREF _Toc61254080 \h </w:instrText>
      </w:r>
      <w:r>
        <w:rPr>
          <w:rFonts w:hAnsi="Times New Roman"/>
        </w:rPr>
        <w:fldChar w:fldCharType="separate"/>
      </w:r>
      <w:r>
        <w:rPr>
          <w:rFonts w:hAnsi="Times New Roman"/>
        </w:rPr>
        <w:t>71</w:t>
      </w:r>
      <w:r>
        <w:rPr>
          <w:rFonts w:hAnsi="Times New Roman"/>
        </w:rPr>
        <w:fldChar w:fldCharType="end"/>
      </w:r>
      <w:r>
        <w:rPr>
          <w:rStyle w:val="39"/>
          <w:rFonts w:hAnsi="Times New Roman"/>
          <w:color w:val="auto"/>
        </w:rPr>
        <w:fldChar w:fldCharType="end"/>
      </w:r>
    </w:p>
    <w:p w14:paraId="2E1B2FD4">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"_Toc61254081"</w:instrText>
      </w:r>
      <w:r>
        <w:rPr>
          <w:rStyle w:val="39"/>
          <w:color w:val="auto"/>
        </w:rPr>
        <w:instrText xml:space="preserve"> </w:instrText>
      </w:r>
      <w:r>
        <w:rPr>
          <w:rStyle w:val="39"/>
          <w:color w:val="auto"/>
        </w:rPr>
        <w:fldChar w:fldCharType="separate"/>
      </w:r>
      <w:r>
        <w:rPr>
          <w:rStyle w:val="39"/>
          <w:color w:val="auto"/>
        </w:rPr>
        <w:t>8</w:t>
      </w:r>
      <w:r>
        <w:rPr>
          <w:rFonts w:eastAsia="等线"/>
          <w:szCs w:val="22"/>
        </w:rPr>
        <w:tab/>
      </w:r>
      <w:r>
        <w:t xml:space="preserve">Manufacture </w:t>
      </w:r>
      <w:r>
        <w:rPr>
          <w:rFonts w:hint="eastAsia"/>
        </w:rPr>
        <w:t>of</w:t>
      </w:r>
      <w:r>
        <w:t xml:space="preserve"> </w:t>
      </w:r>
      <w:r>
        <w:rPr>
          <w:rFonts w:hint="eastAsia"/>
        </w:rPr>
        <w:t>P</w:t>
      </w:r>
      <w:r>
        <w:t>refabricated</w:t>
      </w:r>
      <w:r>
        <w:rPr>
          <w:rFonts w:hint="eastAsia"/>
        </w:rPr>
        <w:t xml:space="preserve"> Components</w:t>
      </w:r>
      <w:r>
        <w:tab/>
      </w:r>
      <w:r>
        <w:fldChar w:fldCharType="begin"/>
      </w:r>
      <w:r>
        <w:instrText xml:space="preserve"> PAGEREF _Toc61254081 \h </w:instrText>
      </w:r>
      <w:r>
        <w:fldChar w:fldCharType="separate"/>
      </w:r>
      <w:r>
        <w:t>79</w:t>
      </w:r>
      <w:r>
        <w:fldChar w:fldCharType="end"/>
      </w:r>
      <w:r>
        <w:rPr>
          <w:rStyle w:val="39"/>
          <w:color w:val="auto"/>
        </w:rPr>
        <w:fldChar w:fldCharType="end"/>
      </w:r>
    </w:p>
    <w:p w14:paraId="05382526">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"_Toc61254082"</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8.1</w:t>
      </w:r>
      <w:r>
        <w:rPr>
          <w:rFonts w:hAnsi="Times New Roman" w:eastAsia="等线"/>
          <w:szCs w:val="22"/>
        </w:rPr>
        <w:tab/>
      </w:r>
      <w:r>
        <w:t xml:space="preserve">General </w:t>
      </w:r>
      <w:r>
        <w:rPr>
          <w:rFonts w:hint="eastAsia"/>
        </w:rPr>
        <w:t>R</w:t>
      </w:r>
      <w:r>
        <w:t>equirements</w:t>
      </w:r>
      <w:r>
        <w:rPr>
          <w:rFonts w:hAnsi="Times New Roman"/>
        </w:rPr>
        <w:tab/>
      </w:r>
      <w:r>
        <w:rPr>
          <w:rFonts w:hAnsi="Times New Roman"/>
        </w:rPr>
        <w:fldChar w:fldCharType="begin"/>
      </w:r>
      <w:r>
        <w:rPr>
          <w:rFonts w:hAnsi="Times New Roman"/>
        </w:rPr>
        <w:instrText xml:space="preserve"> PAGEREF _Toc61254082 \h </w:instrText>
      </w:r>
      <w:r>
        <w:rPr>
          <w:rFonts w:hAnsi="Times New Roman"/>
        </w:rPr>
        <w:fldChar w:fldCharType="separate"/>
      </w:r>
      <w:r>
        <w:rPr>
          <w:rFonts w:hAnsi="Times New Roman"/>
        </w:rPr>
        <w:t>79</w:t>
      </w:r>
      <w:r>
        <w:rPr>
          <w:rFonts w:hAnsi="Times New Roman"/>
        </w:rPr>
        <w:fldChar w:fldCharType="end"/>
      </w:r>
      <w:r>
        <w:rPr>
          <w:rStyle w:val="39"/>
          <w:rFonts w:hAnsi="Times New Roman"/>
          <w:color w:val="auto"/>
        </w:rPr>
        <w:fldChar w:fldCharType="end"/>
      </w:r>
    </w:p>
    <w:p w14:paraId="717F9AA1">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"_Toc61254083"</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8.2</w:t>
      </w:r>
      <w:r>
        <w:rPr>
          <w:rFonts w:hAnsi="Times New Roman" w:eastAsia="等线"/>
          <w:szCs w:val="22"/>
        </w:rPr>
        <w:tab/>
      </w:r>
      <w:r>
        <w:t xml:space="preserve">Hollow </w:t>
      </w:r>
      <w:r>
        <w:rPr>
          <w:rFonts w:hint="eastAsia"/>
        </w:rPr>
        <w:t>F</w:t>
      </w:r>
      <w:r>
        <w:t>ixed</w:t>
      </w:r>
      <w:r>
        <w:rPr>
          <w:rFonts w:hint="eastAsia"/>
        </w:rPr>
        <w:t>-</w:t>
      </w:r>
      <w:r>
        <w:t>f</w:t>
      </w:r>
      <w:bookmarkStart w:id="26" w:name="_Hlt86651602"/>
      <w:bookmarkEnd w:id="26"/>
      <w:bookmarkStart w:id="27" w:name="_Hlt86651601"/>
      <w:bookmarkEnd w:id="27"/>
      <w:r>
        <w:t>orm</w:t>
      </w:r>
      <w:r>
        <w:rPr>
          <w:rFonts w:hAnsi="Times New Roman"/>
        </w:rPr>
        <w:tab/>
      </w:r>
      <w:r>
        <w:rPr>
          <w:rFonts w:hAnsi="Times New Roman"/>
        </w:rPr>
        <w:fldChar w:fldCharType="begin"/>
      </w:r>
      <w:r>
        <w:rPr>
          <w:rFonts w:hAnsi="Times New Roman"/>
        </w:rPr>
        <w:instrText xml:space="preserve"> PAGEREF _Toc61254083 \h </w:instrText>
      </w:r>
      <w:r>
        <w:rPr>
          <w:rFonts w:hAnsi="Times New Roman"/>
        </w:rPr>
        <w:fldChar w:fldCharType="separate"/>
      </w:r>
      <w:r>
        <w:rPr>
          <w:rFonts w:hAnsi="Times New Roman"/>
        </w:rPr>
        <w:t>84</w:t>
      </w:r>
      <w:r>
        <w:rPr>
          <w:rFonts w:hAnsi="Times New Roman"/>
        </w:rPr>
        <w:fldChar w:fldCharType="end"/>
      </w:r>
      <w:r>
        <w:rPr>
          <w:rStyle w:val="39"/>
          <w:rFonts w:hAnsi="Times New Roman"/>
          <w:color w:val="auto"/>
        </w:rPr>
        <w:fldChar w:fldCharType="end"/>
      </w:r>
    </w:p>
    <w:p w14:paraId="2A1E119C">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"_Toc61254084"</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8.3</w:t>
      </w:r>
      <w:r>
        <w:rPr>
          <w:rFonts w:hAnsi="Times New Roman" w:eastAsia="等线"/>
          <w:szCs w:val="22"/>
        </w:rPr>
        <w:tab/>
      </w:r>
      <w:r>
        <w:rPr>
          <w:rStyle w:val="39"/>
          <w:rFonts w:hAnsi="Times New Roman"/>
          <w:color w:val="auto"/>
        </w:rPr>
        <w:t>TC-Deck</w:t>
      </w:r>
      <w:r>
        <w:rPr>
          <w:rFonts w:hAnsi="Times New Roman"/>
        </w:rPr>
        <w:tab/>
      </w:r>
      <w:r>
        <w:rPr>
          <w:rFonts w:hAnsi="Times New Roman"/>
        </w:rPr>
        <w:fldChar w:fldCharType="begin"/>
      </w:r>
      <w:r>
        <w:rPr>
          <w:rFonts w:hAnsi="Times New Roman"/>
        </w:rPr>
        <w:instrText xml:space="preserve"> PAGEREF _Toc61254084 \h </w:instrText>
      </w:r>
      <w:r>
        <w:rPr>
          <w:rFonts w:hAnsi="Times New Roman"/>
        </w:rPr>
        <w:fldChar w:fldCharType="separate"/>
      </w:r>
      <w:r>
        <w:rPr>
          <w:rFonts w:hAnsi="Times New Roman"/>
        </w:rPr>
        <w:t>90</w:t>
      </w:r>
      <w:r>
        <w:rPr>
          <w:rFonts w:hAnsi="Times New Roman"/>
        </w:rPr>
        <w:fldChar w:fldCharType="end"/>
      </w:r>
      <w:r>
        <w:rPr>
          <w:rStyle w:val="39"/>
          <w:rFonts w:hAnsi="Times New Roman"/>
          <w:color w:val="auto"/>
        </w:rPr>
        <w:fldChar w:fldCharType="end"/>
      </w:r>
    </w:p>
    <w:p w14:paraId="24AE447D">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"_Toc61254085"</w:instrText>
      </w:r>
      <w:r>
        <w:rPr>
          <w:rStyle w:val="39"/>
          <w:color w:val="auto"/>
        </w:rPr>
        <w:instrText xml:space="preserve"> </w:instrText>
      </w:r>
      <w:r>
        <w:rPr>
          <w:rStyle w:val="39"/>
          <w:color w:val="auto"/>
        </w:rPr>
        <w:fldChar w:fldCharType="separate"/>
      </w:r>
      <w:r>
        <w:rPr>
          <w:rStyle w:val="39"/>
          <w:color w:val="auto"/>
        </w:rPr>
        <w:t>9</w:t>
      </w:r>
      <w:r>
        <w:rPr>
          <w:rFonts w:eastAsia="等线"/>
          <w:szCs w:val="22"/>
        </w:rPr>
        <w:tab/>
      </w:r>
      <w:r>
        <w:rPr>
          <w:rFonts w:hint="eastAsia" w:eastAsia="等线"/>
          <w:szCs w:val="22"/>
        </w:rPr>
        <w:t>Structure</w:t>
      </w:r>
      <w:bookmarkStart w:id="28" w:name="_Hlt62735298"/>
      <w:bookmarkEnd w:id="28"/>
      <w:bookmarkStart w:id="29" w:name="_Hlt62735299"/>
      <w:bookmarkEnd w:id="29"/>
      <w:r>
        <w:rPr>
          <w:rFonts w:eastAsia="等线"/>
          <w:szCs w:val="22"/>
        </w:rPr>
        <w:t xml:space="preserve"> </w:t>
      </w:r>
      <w:r>
        <w:rPr>
          <w:rFonts w:hint="eastAsia" w:eastAsia="等线"/>
          <w:szCs w:val="22"/>
        </w:rPr>
        <w:t>C</w:t>
      </w:r>
      <w:r>
        <w:t>onstruction</w:t>
      </w:r>
      <w:r>
        <w:tab/>
      </w:r>
      <w:r>
        <w:fldChar w:fldCharType="begin"/>
      </w:r>
      <w:r>
        <w:instrText xml:space="preserve"> PAGEREF _Toc61254085 \h </w:instrText>
      </w:r>
      <w:r>
        <w:fldChar w:fldCharType="separate"/>
      </w:r>
      <w:r>
        <w:t>94</w:t>
      </w:r>
      <w:r>
        <w:fldChar w:fldCharType="end"/>
      </w:r>
      <w:r>
        <w:rPr>
          <w:rStyle w:val="39"/>
          <w:color w:val="auto"/>
        </w:rPr>
        <w:fldChar w:fldCharType="end"/>
      </w:r>
    </w:p>
    <w:p w14:paraId="336F8A67">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"_Toc61254086"</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9.1</w:t>
      </w:r>
      <w:r>
        <w:rPr>
          <w:rFonts w:hAnsi="Times New Roman" w:eastAsia="等线"/>
          <w:szCs w:val="22"/>
        </w:rPr>
        <w:tab/>
      </w:r>
      <w:r>
        <w:t xml:space="preserve">General </w:t>
      </w:r>
      <w:r>
        <w:rPr>
          <w:rFonts w:hint="eastAsia"/>
        </w:rPr>
        <w:t>R</w:t>
      </w:r>
      <w:r>
        <w:t>equirements</w:t>
      </w:r>
      <w:r>
        <w:rPr>
          <w:rFonts w:hAnsi="Times New Roman"/>
        </w:rPr>
        <w:tab/>
      </w:r>
      <w:r>
        <w:rPr>
          <w:rFonts w:hAnsi="Times New Roman"/>
        </w:rPr>
        <w:fldChar w:fldCharType="begin"/>
      </w:r>
      <w:r>
        <w:rPr>
          <w:rFonts w:hAnsi="Times New Roman"/>
        </w:rPr>
        <w:instrText xml:space="preserve"> PAGEREF _Toc61254086 \h </w:instrText>
      </w:r>
      <w:r>
        <w:rPr>
          <w:rFonts w:hAnsi="Times New Roman"/>
        </w:rPr>
        <w:fldChar w:fldCharType="separate"/>
      </w:r>
      <w:r>
        <w:rPr>
          <w:rFonts w:hAnsi="Times New Roman"/>
        </w:rPr>
        <w:t>94</w:t>
      </w:r>
      <w:r>
        <w:rPr>
          <w:rFonts w:hAnsi="Times New Roman"/>
        </w:rPr>
        <w:fldChar w:fldCharType="end"/>
      </w:r>
      <w:r>
        <w:rPr>
          <w:rStyle w:val="39"/>
          <w:rFonts w:hAnsi="Times New Roman"/>
          <w:color w:val="auto"/>
        </w:rPr>
        <w:fldChar w:fldCharType="end"/>
      </w:r>
    </w:p>
    <w:p w14:paraId="7E05881E">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"_Toc61254087"</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9.2</w:t>
      </w:r>
      <w:r>
        <w:rPr>
          <w:rFonts w:hAnsi="Times New Roman" w:eastAsia="等线"/>
          <w:szCs w:val="22"/>
        </w:rPr>
        <w:tab/>
      </w:r>
      <w:r>
        <w:t xml:space="preserve">Installation of </w:t>
      </w:r>
      <w:r>
        <w:rPr>
          <w:rFonts w:hint="eastAsia"/>
        </w:rPr>
        <w:t>P</w:t>
      </w:r>
      <w:r>
        <w:t xml:space="preserve">refabricated </w:t>
      </w:r>
      <w:r>
        <w:rPr>
          <w:rFonts w:hint="eastAsia"/>
        </w:rPr>
        <w:t>C</w:t>
      </w:r>
      <w:r>
        <w:t>omponents</w:t>
      </w:r>
      <w:r>
        <w:rPr>
          <w:rFonts w:hAnsi="Times New Roman"/>
        </w:rPr>
        <w:tab/>
      </w:r>
      <w:r>
        <w:rPr>
          <w:rFonts w:hAnsi="Times New Roman"/>
        </w:rPr>
        <w:fldChar w:fldCharType="begin"/>
      </w:r>
      <w:r>
        <w:rPr>
          <w:rFonts w:hAnsi="Times New Roman"/>
        </w:rPr>
        <w:instrText xml:space="preserve"> PAGEREF _Toc61254087 \h </w:instrText>
      </w:r>
      <w:r>
        <w:rPr>
          <w:rFonts w:hAnsi="Times New Roman"/>
        </w:rPr>
        <w:fldChar w:fldCharType="separate"/>
      </w:r>
      <w:r>
        <w:rPr>
          <w:rFonts w:hAnsi="Times New Roman"/>
        </w:rPr>
        <w:t>97</w:t>
      </w:r>
      <w:r>
        <w:rPr>
          <w:rFonts w:hAnsi="Times New Roman"/>
        </w:rPr>
        <w:fldChar w:fldCharType="end"/>
      </w:r>
      <w:r>
        <w:rPr>
          <w:rStyle w:val="39"/>
          <w:rFonts w:hAnsi="Times New Roman"/>
          <w:color w:val="auto"/>
        </w:rPr>
        <w:fldChar w:fldCharType="end"/>
      </w:r>
    </w:p>
    <w:p w14:paraId="6A2E4723">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"_Toc61254088"</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9.3</w:t>
      </w:r>
      <w:r>
        <w:rPr>
          <w:rFonts w:hAnsi="Times New Roman" w:eastAsia="等线"/>
          <w:szCs w:val="22"/>
        </w:rPr>
        <w:tab/>
      </w:r>
      <w:r>
        <w:t>Formwork</w:t>
      </w:r>
      <w:r>
        <w:rPr>
          <w:rFonts w:hint="eastAsia"/>
        </w:rPr>
        <w:t>s</w:t>
      </w:r>
      <w:r>
        <w:rPr>
          <w:rFonts w:hAnsi="Times New Roman"/>
        </w:rPr>
        <w:tab/>
      </w:r>
      <w:r>
        <w:rPr>
          <w:rFonts w:hAnsi="Times New Roman"/>
        </w:rPr>
        <w:fldChar w:fldCharType="begin"/>
      </w:r>
      <w:r>
        <w:rPr>
          <w:rFonts w:hAnsi="Times New Roman"/>
        </w:rPr>
        <w:instrText xml:space="preserve"> PAGEREF _Toc61254088 \h </w:instrText>
      </w:r>
      <w:r>
        <w:rPr>
          <w:rFonts w:hAnsi="Times New Roman"/>
        </w:rPr>
        <w:fldChar w:fldCharType="separate"/>
      </w:r>
      <w:r>
        <w:rPr>
          <w:rFonts w:hAnsi="Times New Roman"/>
        </w:rPr>
        <w:t>103</w:t>
      </w:r>
      <w:r>
        <w:rPr>
          <w:rFonts w:hAnsi="Times New Roman"/>
        </w:rPr>
        <w:fldChar w:fldCharType="end"/>
      </w:r>
      <w:r>
        <w:rPr>
          <w:rStyle w:val="39"/>
          <w:rFonts w:hAnsi="Times New Roman"/>
          <w:color w:val="auto"/>
        </w:rPr>
        <w:fldChar w:fldCharType="end"/>
      </w:r>
    </w:p>
    <w:p w14:paraId="32AA6F71">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"_Toc61254089"</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9.4</w:t>
      </w:r>
      <w:r>
        <w:rPr>
          <w:rFonts w:hAnsi="Times New Roman" w:eastAsia="等线"/>
          <w:szCs w:val="22"/>
        </w:rPr>
        <w:tab/>
      </w:r>
      <w:r>
        <w:rPr>
          <w:rFonts w:hint="eastAsia" w:hAnsi="Times New Roman" w:eastAsia="等线"/>
          <w:szCs w:val="22"/>
        </w:rPr>
        <w:t>Steel</w:t>
      </w:r>
      <w:bookmarkStart w:id="30" w:name="_Hlt62046500"/>
      <w:bookmarkEnd w:id="30"/>
      <w:r>
        <w:rPr>
          <w:rFonts w:hAnsi="Times New Roman" w:eastAsia="等线"/>
          <w:szCs w:val="22"/>
        </w:rPr>
        <w:t xml:space="preserve"> </w:t>
      </w:r>
      <w:r>
        <w:rPr>
          <w:rFonts w:hint="eastAsia" w:hAnsi="Times New Roman" w:eastAsia="等线"/>
          <w:szCs w:val="22"/>
        </w:rPr>
        <w:t>R</w:t>
      </w:r>
      <w:r>
        <w:t>einforcement</w:t>
      </w:r>
      <w:r>
        <w:rPr>
          <w:rFonts w:hAnsi="Times New Roman"/>
        </w:rPr>
        <w:tab/>
      </w:r>
      <w:r>
        <w:rPr>
          <w:rFonts w:hAnsi="Times New Roman"/>
        </w:rPr>
        <w:fldChar w:fldCharType="begin"/>
      </w:r>
      <w:r>
        <w:rPr>
          <w:rFonts w:hAnsi="Times New Roman"/>
        </w:rPr>
        <w:instrText xml:space="preserve"> PAGEREF _Toc61254089 \h </w:instrText>
      </w:r>
      <w:r>
        <w:rPr>
          <w:rFonts w:hAnsi="Times New Roman"/>
        </w:rPr>
        <w:fldChar w:fldCharType="separate"/>
      </w:r>
      <w:r>
        <w:rPr>
          <w:rFonts w:hAnsi="Times New Roman"/>
        </w:rPr>
        <w:t>110</w:t>
      </w:r>
      <w:r>
        <w:rPr>
          <w:rFonts w:hAnsi="Times New Roman"/>
        </w:rPr>
        <w:fldChar w:fldCharType="end"/>
      </w:r>
      <w:r>
        <w:rPr>
          <w:rStyle w:val="39"/>
          <w:rFonts w:hAnsi="Times New Roman"/>
          <w:color w:val="auto"/>
        </w:rPr>
        <w:fldChar w:fldCharType="end"/>
      </w:r>
    </w:p>
    <w:p w14:paraId="7BF88BB4">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"_Toc61254090"</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9.5</w:t>
      </w:r>
      <w:r>
        <w:rPr>
          <w:rFonts w:hAnsi="Times New Roman" w:eastAsia="等线"/>
          <w:szCs w:val="22"/>
        </w:rPr>
        <w:tab/>
      </w:r>
      <w:r>
        <w:t>Concrete</w:t>
      </w:r>
      <w:r>
        <w:rPr>
          <w:rFonts w:hAnsi="Times New Roman"/>
        </w:rPr>
        <w:tab/>
      </w:r>
      <w:r>
        <w:rPr>
          <w:rFonts w:hAnsi="Times New Roman"/>
        </w:rPr>
        <w:fldChar w:fldCharType="begin"/>
      </w:r>
      <w:r>
        <w:rPr>
          <w:rFonts w:hAnsi="Times New Roman"/>
        </w:rPr>
        <w:instrText xml:space="preserve"> PAGEREF _Toc61254090 \h </w:instrText>
      </w:r>
      <w:r>
        <w:rPr>
          <w:rFonts w:hAnsi="Times New Roman"/>
        </w:rPr>
        <w:fldChar w:fldCharType="separate"/>
      </w:r>
      <w:r>
        <w:rPr>
          <w:rFonts w:hAnsi="Times New Roman"/>
        </w:rPr>
        <w:t>113</w:t>
      </w:r>
      <w:r>
        <w:rPr>
          <w:rFonts w:hAnsi="Times New Roman"/>
        </w:rPr>
        <w:fldChar w:fldCharType="end"/>
      </w:r>
      <w:r>
        <w:rPr>
          <w:rStyle w:val="39"/>
          <w:rFonts w:hAnsi="Times New Roman"/>
          <w:color w:val="auto"/>
        </w:rPr>
        <w:fldChar w:fldCharType="end"/>
      </w:r>
    </w:p>
    <w:p w14:paraId="60B3C2BA">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"_Toc61254091"</w:instrText>
      </w:r>
      <w:r>
        <w:rPr>
          <w:rStyle w:val="39"/>
          <w:color w:val="auto"/>
        </w:rPr>
        <w:instrText xml:space="preserve"> </w:instrText>
      </w:r>
      <w:r>
        <w:rPr>
          <w:rStyle w:val="39"/>
          <w:color w:val="auto"/>
        </w:rPr>
        <w:fldChar w:fldCharType="separate"/>
      </w:r>
      <w:r>
        <w:rPr>
          <w:rStyle w:val="39"/>
          <w:color w:val="auto"/>
        </w:rPr>
        <w:t>10</w:t>
      </w:r>
      <w:r>
        <w:rPr>
          <w:rFonts w:eastAsia="等线"/>
          <w:szCs w:val="22"/>
        </w:rPr>
        <w:tab/>
      </w:r>
      <w:r>
        <w:t xml:space="preserve">Quality </w:t>
      </w:r>
      <w:r>
        <w:rPr>
          <w:rFonts w:hint="eastAsia"/>
        </w:rPr>
        <w:t>A</w:t>
      </w:r>
      <w:r>
        <w:t>cceptance</w:t>
      </w:r>
      <w:r>
        <w:tab/>
      </w:r>
      <w:r>
        <w:fldChar w:fldCharType="begin"/>
      </w:r>
      <w:r>
        <w:instrText xml:space="preserve"> PAGEREF _Toc61254091 \h </w:instrText>
      </w:r>
      <w:r>
        <w:fldChar w:fldCharType="separate"/>
      </w:r>
      <w:r>
        <w:t>117</w:t>
      </w:r>
      <w:r>
        <w:fldChar w:fldCharType="end"/>
      </w:r>
      <w:r>
        <w:rPr>
          <w:rStyle w:val="39"/>
          <w:color w:val="auto"/>
        </w:rPr>
        <w:fldChar w:fldCharType="end"/>
      </w:r>
    </w:p>
    <w:p w14:paraId="6002067C">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"_Toc61254092"</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10.1</w:t>
      </w:r>
      <w:r>
        <w:rPr>
          <w:rFonts w:hAnsi="Times New Roman" w:eastAsia="等线"/>
          <w:szCs w:val="22"/>
        </w:rPr>
        <w:tab/>
      </w:r>
      <w:r>
        <w:t xml:space="preserve">General </w:t>
      </w:r>
      <w:r>
        <w:rPr>
          <w:rFonts w:hint="eastAsia"/>
        </w:rPr>
        <w:t>R</w:t>
      </w:r>
      <w:r>
        <w:t>equirements</w:t>
      </w:r>
      <w:r>
        <w:rPr>
          <w:rFonts w:hAnsi="Times New Roman"/>
        </w:rPr>
        <w:tab/>
      </w:r>
      <w:r>
        <w:rPr>
          <w:rFonts w:hAnsi="Times New Roman"/>
        </w:rPr>
        <w:fldChar w:fldCharType="begin"/>
      </w:r>
      <w:r>
        <w:rPr>
          <w:rFonts w:hAnsi="Times New Roman"/>
        </w:rPr>
        <w:instrText xml:space="preserve"> PAGEREF _Toc61254092 \h </w:instrText>
      </w:r>
      <w:r>
        <w:rPr>
          <w:rFonts w:hAnsi="Times New Roman"/>
        </w:rPr>
        <w:fldChar w:fldCharType="separate"/>
      </w:r>
      <w:r>
        <w:rPr>
          <w:rFonts w:hAnsi="Times New Roman"/>
        </w:rPr>
        <w:t>117</w:t>
      </w:r>
      <w:r>
        <w:rPr>
          <w:rFonts w:hAnsi="Times New Roman"/>
        </w:rPr>
        <w:fldChar w:fldCharType="end"/>
      </w:r>
      <w:r>
        <w:rPr>
          <w:rStyle w:val="39"/>
          <w:rFonts w:hAnsi="Times New Roman"/>
          <w:color w:val="auto"/>
        </w:rPr>
        <w:fldChar w:fldCharType="end"/>
      </w:r>
    </w:p>
    <w:p w14:paraId="40B9E1BF">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"_Toc61254093"</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10.2</w:t>
      </w:r>
      <w:r>
        <w:rPr>
          <w:rFonts w:hAnsi="Times New Roman" w:eastAsia="等线"/>
          <w:szCs w:val="22"/>
        </w:rPr>
        <w:tab/>
      </w:r>
      <w:r>
        <w:rPr>
          <w:rStyle w:val="39"/>
          <w:rFonts w:hAnsi="Times New Roman"/>
          <w:color w:val="auto"/>
        </w:rPr>
        <w:t xml:space="preserve">Hollow </w:t>
      </w:r>
      <w:r>
        <w:rPr>
          <w:rStyle w:val="39"/>
          <w:rFonts w:hint="eastAsia" w:hAnsi="Times New Roman"/>
          <w:color w:val="auto"/>
        </w:rPr>
        <w:t>F</w:t>
      </w:r>
      <w:r>
        <w:rPr>
          <w:rStyle w:val="39"/>
          <w:rFonts w:hAnsi="Times New Roman"/>
          <w:color w:val="auto"/>
        </w:rPr>
        <w:t>ixed-form</w:t>
      </w:r>
      <w:r>
        <w:rPr>
          <w:rFonts w:hAnsi="Times New Roman"/>
        </w:rPr>
        <w:tab/>
      </w:r>
      <w:r>
        <w:rPr>
          <w:rFonts w:hAnsi="Times New Roman"/>
        </w:rPr>
        <w:fldChar w:fldCharType="begin"/>
      </w:r>
      <w:r>
        <w:rPr>
          <w:rFonts w:hAnsi="Times New Roman"/>
        </w:rPr>
        <w:instrText xml:space="preserve"> PAGEREF _Toc61254093 \h </w:instrText>
      </w:r>
      <w:r>
        <w:rPr>
          <w:rFonts w:hAnsi="Times New Roman"/>
        </w:rPr>
        <w:fldChar w:fldCharType="separate"/>
      </w:r>
      <w:r>
        <w:rPr>
          <w:rFonts w:hAnsi="Times New Roman"/>
        </w:rPr>
        <w:t>122</w:t>
      </w:r>
      <w:r>
        <w:rPr>
          <w:rFonts w:hAnsi="Times New Roman"/>
        </w:rPr>
        <w:fldChar w:fldCharType="end"/>
      </w:r>
      <w:r>
        <w:rPr>
          <w:rStyle w:val="39"/>
          <w:rFonts w:hAnsi="Times New Roman"/>
          <w:color w:val="auto"/>
        </w:rPr>
        <w:fldChar w:fldCharType="end"/>
      </w:r>
    </w:p>
    <w:p w14:paraId="24699694">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"_Toc61254094"</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10.3</w:t>
      </w:r>
      <w:r>
        <w:rPr>
          <w:rFonts w:hAnsi="Times New Roman" w:eastAsia="等线"/>
          <w:szCs w:val="22"/>
        </w:rPr>
        <w:tab/>
      </w:r>
      <w:r>
        <w:rPr>
          <w:rStyle w:val="39"/>
          <w:rFonts w:hAnsi="Times New Roman"/>
          <w:color w:val="auto"/>
        </w:rPr>
        <w:t>TC-Deck</w:t>
      </w:r>
      <w:r>
        <w:rPr>
          <w:rFonts w:hAnsi="Times New Roman"/>
        </w:rPr>
        <w:tab/>
      </w:r>
      <w:r>
        <w:rPr>
          <w:rFonts w:hAnsi="Times New Roman"/>
        </w:rPr>
        <w:fldChar w:fldCharType="begin"/>
      </w:r>
      <w:r>
        <w:rPr>
          <w:rFonts w:hAnsi="Times New Roman"/>
        </w:rPr>
        <w:instrText xml:space="preserve"> PAGEREF _Toc61254094 \h </w:instrText>
      </w:r>
      <w:r>
        <w:rPr>
          <w:rFonts w:hAnsi="Times New Roman"/>
        </w:rPr>
        <w:fldChar w:fldCharType="separate"/>
      </w:r>
      <w:r>
        <w:rPr>
          <w:rFonts w:hAnsi="Times New Roman"/>
        </w:rPr>
        <w:t>124</w:t>
      </w:r>
      <w:r>
        <w:rPr>
          <w:rFonts w:hAnsi="Times New Roman"/>
        </w:rPr>
        <w:fldChar w:fldCharType="end"/>
      </w:r>
      <w:r>
        <w:rPr>
          <w:rStyle w:val="39"/>
          <w:rFonts w:hAnsi="Times New Roman"/>
          <w:color w:val="auto"/>
        </w:rPr>
        <w:fldChar w:fldCharType="end"/>
      </w:r>
    </w:p>
    <w:p w14:paraId="3EE95FFB">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"_Toc61254095"</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10.4</w:t>
      </w:r>
      <w:r>
        <w:rPr>
          <w:rFonts w:hAnsi="Times New Roman" w:eastAsia="等线"/>
          <w:szCs w:val="22"/>
        </w:rPr>
        <w:tab/>
      </w:r>
      <w:r>
        <w:t>Concrete</w:t>
      </w:r>
      <w:r>
        <w:rPr>
          <w:rFonts w:hAnsi="Times New Roman"/>
        </w:rPr>
        <w:tab/>
      </w:r>
      <w:r>
        <w:rPr>
          <w:rFonts w:hAnsi="Times New Roman"/>
        </w:rPr>
        <w:fldChar w:fldCharType="begin"/>
      </w:r>
      <w:r>
        <w:rPr>
          <w:rFonts w:hAnsi="Times New Roman"/>
        </w:rPr>
        <w:instrText xml:space="preserve"> PAGEREF _Toc61254095 \h </w:instrText>
      </w:r>
      <w:r>
        <w:rPr>
          <w:rFonts w:hAnsi="Times New Roman"/>
        </w:rPr>
        <w:fldChar w:fldCharType="separate"/>
      </w:r>
      <w:r>
        <w:rPr>
          <w:rFonts w:hAnsi="Times New Roman"/>
        </w:rPr>
        <w:t>128</w:t>
      </w:r>
      <w:r>
        <w:rPr>
          <w:rFonts w:hAnsi="Times New Roman"/>
        </w:rPr>
        <w:fldChar w:fldCharType="end"/>
      </w:r>
      <w:r>
        <w:rPr>
          <w:rStyle w:val="39"/>
          <w:rFonts w:hAnsi="Times New Roman"/>
          <w:color w:val="auto"/>
        </w:rPr>
        <w:fldChar w:fldCharType="end"/>
      </w:r>
    </w:p>
    <w:p w14:paraId="4434D475">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"_Toc61254096"</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10.5</w:t>
      </w:r>
      <w:r>
        <w:rPr>
          <w:rFonts w:hAnsi="Times New Roman" w:eastAsia="等线"/>
          <w:szCs w:val="22"/>
        </w:rPr>
        <w:tab/>
      </w:r>
      <w:r>
        <w:rPr>
          <w:rFonts w:hAnsi="Times New Roman" w:eastAsia="等线"/>
          <w:szCs w:val="22"/>
        </w:rPr>
        <w:t xml:space="preserve">Entitative </w:t>
      </w:r>
      <w:r>
        <w:rPr>
          <w:rFonts w:hint="eastAsia" w:hAnsi="Times New Roman" w:eastAsia="等线"/>
          <w:szCs w:val="22"/>
        </w:rPr>
        <w:t>I</w:t>
      </w:r>
      <w:r>
        <w:rPr>
          <w:rStyle w:val="39"/>
          <w:rFonts w:hAnsi="Times New Roman"/>
          <w:color w:val="auto"/>
        </w:rPr>
        <w:t xml:space="preserve">nspection of </w:t>
      </w:r>
      <w:r>
        <w:rPr>
          <w:rStyle w:val="39"/>
          <w:rFonts w:hint="eastAsia" w:hAnsi="Times New Roman"/>
          <w:color w:val="auto"/>
        </w:rPr>
        <w:t>S</w:t>
      </w:r>
      <w:r>
        <w:rPr>
          <w:rStyle w:val="39"/>
          <w:rFonts w:hAnsi="Times New Roman"/>
          <w:color w:val="auto"/>
        </w:rPr>
        <w:t>tructure</w:t>
      </w:r>
      <w:r>
        <w:rPr>
          <w:rStyle w:val="39"/>
          <w:rFonts w:hAnsi="Times New Roman"/>
          <w:color w:val="auto"/>
        </w:rPr>
        <w:tab/>
      </w:r>
      <w:r>
        <w:rPr>
          <w:rFonts w:hAnsi="Times New Roman"/>
        </w:rPr>
        <w:fldChar w:fldCharType="begin"/>
      </w:r>
      <w:r>
        <w:rPr>
          <w:rFonts w:hAnsi="Times New Roman"/>
        </w:rPr>
        <w:instrText xml:space="preserve"> PAGEREF _Toc61254096 \h </w:instrText>
      </w:r>
      <w:r>
        <w:rPr>
          <w:rFonts w:hAnsi="Times New Roman"/>
        </w:rPr>
        <w:fldChar w:fldCharType="separate"/>
      </w:r>
      <w:r>
        <w:rPr>
          <w:rFonts w:hAnsi="Times New Roman"/>
        </w:rPr>
        <w:t>130</w:t>
      </w:r>
      <w:r>
        <w:rPr>
          <w:rFonts w:hAnsi="Times New Roman"/>
        </w:rPr>
        <w:fldChar w:fldCharType="end"/>
      </w:r>
      <w:r>
        <w:rPr>
          <w:rStyle w:val="39"/>
          <w:rFonts w:hAnsi="Times New Roman"/>
          <w:color w:val="auto"/>
        </w:rPr>
        <w:fldChar w:fldCharType="end"/>
      </w:r>
    </w:p>
    <w:p w14:paraId="3DB1802E">
      <w:pPr>
        <w:pStyle w:val="29"/>
        <w:ind w:left="210"/>
        <w:rPr>
          <w:rFonts w:hAnsi="Times New Roman" w:eastAsia="等线"/>
          <w:szCs w:val="22"/>
        </w:rPr>
      </w:pPr>
      <w:r>
        <w:rPr>
          <w:rStyle w:val="39"/>
          <w:rFonts w:hAnsi="Times New Roman"/>
          <w:color w:val="auto"/>
        </w:rPr>
        <w:fldChar w:fldCharType="begin"/>
      </w:r>
      <w:r>
        <w:rPr>
          <w:rStyle w:val="39"/>
          <w:rFonts w:hAnsi="Times New Roman"/>
          <w:color w:val="auto"/>
        </w:rPr>
        <w:instrText xml:space="preserve"> </w:instrText>
      </w:r>
      <w:r>
        <w:rPr>
          <w:rFonts w:hAnsi="Times New Roman"/>
        </w:rPr>
        <w:instrText xml:space="preserve">HYPERLINK \l "_Toc61254097"</w:instrText>
      </w:r>
      <w:r>
        <w:rPr>
          <w:rStyle w:val="39"/>
          <w:rFonts w:hAnsi="Times New Roman"/>
          <w:color w:val="auto"/>
        </w:rPr>
        <w:instrText xml:space="preserve"> </w:instrText>
      </w:r>
      <w:r>
        <w:rPr>
          <w:rStyle w:val="39"/>
          <w:rFonts w:hAnsi="Times New Roman"/>
          <w:color w:val="auto"/>
        </w:rPr>
        <w:fldChar w:fldCharType="separate"/>
      </w:r>
      <w:r>
        <w:rPr>
          <w:rStyle w:val="39"/>
          <w:rFonts w:hAnsi="Times New Roman"/>
          <w:color w:val="auto"/>
          <w:spacing w:val="24"/>
        </w:rPr>
        <w:t>10.6</w:t>
      </w:r>
      <w:r>
        <w:rPr>
          <w:rFonts w:hAnsi="Times New Roman" w:eastAsia="等线"/>
          <w:szCs w:val="22"/>
        </w:rPr>
        <w:tab/>
      </w:r>
      <w:r>
        <w:rPr>
          <w:rFonts w:hAnsi="Times New Roman" w:eastAsia="等线"/>
          <w:szCs w:val="22"/>
        </w:rPr>
        <w:t xml:space="preserve">Project </w:t>
      </w:r>
      <w:r>
        <w:rPr>
          <w:rFonts w:hint="eastAsia" w:hAnsi="Times New Roman" w:eastAsia="等线"/>
          <w:szCs w:val="22"/>
        </w:rPr>
        <w:t>A</w:t>
      </w:r>
      <w:r>
        <w:rPr>
          <w:rStyle w:val="39"/>
          <w:rFonts w:hAnsi="Times New Roman"/>
          <w:color w:val="auto"/>
        </w:rPr>
        <w:t xml:space="preserve">cceptance </w:t>
      </w:r>
      <w:r>
        <w:rPr>
          <w:rStyle w:val="39"/>
          <w:rFonts w:hint="eastAsia" w:hAnsi="Times New Roman"/>
          <w:color w:val="auto"/>
        </w:rPr>
        <w:t>of</w:t>
      </w:r>
      <w:r>
        <w:rPr>
          <w:rStyle w:val="39"/>
          <w:rFonts w:hAnsi="Times New Roman"/>
          <w:color w:val="auto"/>
        </w:rPr>
        <w:t xml:space="preserve"> </w:t>
      </w:r>
      <w:r>
        <w:rPr>
          <w:rStyle w:val="39"/>
          <w:rFonts w:hint="eastAsia" w:hAnsi="Times New Roman"/>
          <w:color w:val="auto"/>
        </w:rPr>
        <w:t>Subwork</w:t>
      </w:r>
      <w:r>
        <w:rPr>
          <w:rFonts w:hAnsi="Times New Roman"/>
        </w:rPr>
        <w:tab/>
      </w:r>
      <w:r>
        <w:rPr>
          <w:rFonts w:hAnsi="Times New Roman"/>
        </w:rPr>
        <w:fldChar w:fldCharType="begin"/>
      </w:r>
      <w:r>
        <w:rPr>
          <w:rFonts w:hAnsi="Times New Roman"/>
        </w:rPr>
        <w:instrText xml:space="preserve"> PAGEREF _Toc61254097 \h </w:instrText>
      </w:r>
      <w:r>
        <w:rPr>
          <w:rFonts w:hAnsi="Times New Roman"/>
        </w:rPr>
        <w:fldChar w:fldCharType="separate"/>
      </w:r>
      <w:r>
        <w:rPr>
          <w:rFonts w:hAnsi="Times New Roman"/>
        </w:rPr>
        <w:t>131</w:t>
      </w:r>
      <w:r>
        <w:rPr>
          <w:rFonts w:hAnsi="Times New Roman"/>
        </w:rPr>
        <w:fldChar w:fldCharType="end"/>
      </w:r>
      <w:r>
        <w:rPr>
          <w:rStyle w:val="39"/>
          <w:rFonts w:hAnsi="Times New Roman"/>
          <w:color w:val="auto"/>
        </w:rPr>
        <w:fldChar w:fldCharType="end"/>
      </w:r>
    </w:p>
    <w:p w14:paraId="5ABCA21B">
      <w:pPr>
        <w:pStyle w:val="25"/>
        <w:rPr>
          <w:rFonts w:eastAsia="等线"/>
          <w:szCs w:val="22"/>
        </w:rPr>
      </w:pPr>
      <w:r>
        <w:rPr>
          <w:rStyle w:val="39"/>
          <w:color w:val="auto"/>
        </w:rPr>
        <w:fldChar w:fldCharType="begin"/>
      </w:r>
      <w:r>
        <w:rPr>
          <w:rStyle w:val="39"/>
          <w:color w:val="auto"/>
        </w:rPr>
        <w:instrText xml:space="preserve"> </w:instrText>
      </w:r>
      <w:r>
        <w:instrText xml:space="preserve">HYPERLINK \l "_Toc61254098"</w:instrText>
      </w:r>
      <w:r>
        <w:rPr>
          <w:rStyle w:val="39"/>
          <w:color w:val="auto"/>
        </w:rPr>
        <w:instrText xml:space="preserve"> </w:instrText>
      </w:r>
      <w:r>
        <w:rPr>
          <w:rStyle w:val="39"/>
          <w:color w:val="auto"/>
        </w:rPr>
        <w:fldChar w:fldCharType="separate"/>
      </w:r>
      <w:r>
        <w:t xml:space="preserve">Explanation of </w:t>
      </w:r>
      <w:r>
        <w:rPr>
          <w:rFonts w:hint="eastAsia"/>
        </w:rPr>
        <w:t>W</w:t>
      </w:r>
      <w:r>
        <w:t xml:space="preserve">ording in </w:t>
      </w:r>
      <w:r>
        <w:rPr>
          <w:rFonts w:hint="eastAsia"/>
        </w:rPr>
        <w:t>T</w:t>
      </w:r>
      <w:r>
        <w:t xml:space="preserve">his </w:t>
      </w:r>
      <w:r>
        <w:rPr>
          <w:rFonts w:hint="eastAsia"/>
        </w:rPr>
        <w:t>S</w:t>
      </w:r>
      <w:r>
        <w:t>tandard</w:t>
      </w:r>
      <w:r>
        <w:tab/>
      </w:r>
      <w:r>
        <w:fldChar w:fldCharType="begin"/>
      </w:r>
      <w:r>
        <w:instrText xml:space="preserve"> PAGEREF _Toc61254098 \h </w:instrText>
      </w:r>
      <w:r>
        <w:fldChar w:fldCharType="separate"/>
      </w:r>
      <w:r>
        <w:t>134</w:t>
      </w:r>
      <w:r>
        <w:fldChar w:fldCharType="end"/>
      </w:r>
      <w:r>
        <w:rPr>
          <w:rStyle w:val="39"/>
          <w:color w:val="auto"/>
        </w:rPr>
        <w:fldChar w:fldCharType="end"/>
      </w:r>
    </w:p>
    <w:p w14:paraId="321DAB53">
      <w:pPr>
        <w:pStyle w:val="25"/>
        <w:rPr>
          <w:rStyle w:val="39"/>
          <w:color w:val="auto"/>
        </w:rPr>
      </w:pPr>
      <w:r>
        <w:rPr>
          <w:rStyle w:val="39"/>
          <w:color w:val="auto"/>
        </w:rPr>
        <w:fldChar w:fldCharType="begin"/>
      </w:r>
      <w:r>
        <w:rPr>
          <w:rStyle w:val="39"/>
          <w:color w:val="auto"/>
        </w:rPr>
        <w:instrText xml:space="preserve"> </w:instrText>
      </w:r>
      <w:r>
        <w:instrText xml:space="preserve">HYPERLINK \l "_Toc61254099"</w:instrText>
      </w:r>
      <w:r>
        <w:rPr>
          <w:rStyle w:val="39"/>
          <w:color w:val="auto"/>
        </w:rPr>
        <w:instrText xml:space="preserve"> </w:instrText>
      </w:r>
      <w:r>
        <w:rPr>
          <w:rStyle w:val="39"/>
          <w:color w:val="auto"/>
        </w:rPr>
        <w:fldChar w:fldCharType="separate"/>
      </w:r>
      <w:r>
        <w:rPr>
          <w:rStyle w:val="39"/>
          <w:color w:val="auto"/>
        </w:rPr>
        <w:t xml:space="preserve">List of </w:t>
      </w:r>
      <w:r>
        <w:rPr>
          <w:rStyle w:val="39"/>
          <w:rFonts w:hint="eastAsia"/>
          <w:color w:val="auto"/>
        </w:rPr>
        <w:t>Q</w:t>
      </w:r>
      <w:r>
        <w:rPr>
          <w:rStyle w:val="39"/>
          <w:color w:val="auto"/>
        </w:rPr>
        <w:t xml:space="preserve">uoted </w:t>
      </w:r>
      <w:bookmarkStart w:id="31" w:name="_Hlt62047076"/>
      <w:bookmarkEnd w:id="31"/>
      <w:r>
        <w:rPr>
          <w:rStyle w:val="39"/>
          <w:rFonts w:hint="eastAsia"/>
          <w:color w:val="auto"/>
        </w:rPr>
        <w:t>S</w:t>
      </w:r>
      <w:r>
        <w:rPr>
          <w:rStyle w:val="39"/>
          <w:color w:val="auto"/>
        </w:rPr>
        <w:t>tandards</w:t>
      </w:r>
      <w:r>
        <w:tab/>
      </w:r>
      <w:r>
        <w:fldChar w:fldCharType="begin"/>
      </w:r>
      <w:r>
        <w:instrText xml:space="preserve"> PAGEREF _Toc61254099 \h </w:instrText>
      </w:r>
      <w:r>
        <w:fldChar w:fldCharType="separate"/>
      </w:r>
      <w:r>
        <w:t>135</w:t>
      </w:r>
      <w:r>
        <w:fldChar w:fldCharType="end"/>
      </w:r>
      <w:r>
        <w:rPr>
          <w:rStyle w:val="39"/>
          <w:color w:val="auto"/>
        </w:rPr>
        <w:fldChar w:fldCharType="end"/>
      </w:r>
    </w:p>
    <w:p w14:paraId="64317447">
      <w:pPr>
        <w:pStyle w:val="25"/>
      </w:pPr>
      <w:r>
        <w:rPr>
          <w:rStyle w:val="39"/>
          <w:rFonts w:hint="eastAsia"/>
          <w:color w:val="auto"/>
          <w:u w:val="none"/>
        </w:rPr>
        <w:t>Addition</w:t>
      </w:r>
      <w:r>
        <w:rPr>
          <w:rFonts w:hint="eastAsia"/>
        </w:rPr>
        <w:t>：Explanation of Provisions</w:t>
      </w:r>
      <w:r>
        <w:rPr>
          <w:rFonts w:hint="eastAsia"/>
        </w:rPr>
        <w:tab/>
      </w:r>
      <w:r>
        <w:rPr>
          <w:rFonts w:hint="eastAsia"/>
        </w:rPr>
        <w:t>89</w:t>
      </w:r>
    </w:p>
    <w:p w14:paraId="67AADD2F">
      <w:pPr>
        <w:rPr>
          <w:rFonts w:hint="eastAsia"/>
        </w:rPr>
        <w:sectPr>
          <w:footerReference r:id="rId13" w:type="default"/>
          <w:pgSz w:w="7938" w:h="11510"/>
          <w:pgMar w:top="1247" w:right="1021" w:bottom="907" w:left="1021" w:header="851" w:footer="850" w:gutter="0"/>
          <w:cols w:space="720" w:num="1"/>
          <w:docGrid w:type="linesAndChars" w:linePitch="326" w:charSpace="0"/>
        </w:sectPr>
      </w:pPr>
    </w:p>
    <w:p w14:paraId="2062193D">
      <w:pPr>
        <w:pStyle w:val="4"/>
        <w:spacing w:before="156" w:after="156"/>
      </w:pPr>
      <w:bookmarkStart w:id="32" w:name="_Toc8855"/>
      <w:r>
        <w:rPr>
          <w:sz w:val="24"/>
          <w:szCs w:val="24"/>
        </w:rPr>
        <w:fldChar w:fldCharType="end"/>
      </w:r>
      <w:bookmarkStart w:id="33" w:name="_Toc61254059"/>
      <w:bookmarkStart w:id="34" w:name="_Toc129374359"/>
      <w:bookmarkStart w:id="35" w:name="_Toc61254016"/>
      <w:bookmarkStart w:id="36" w:name="_Toc53842360"/>
      <w:r>
        <w:t>总则</w:t>
      </w:r>
      <w:bookmarkEnd w:id="0"/>
      <w:bookmarkEnd w:id="1"/>
      <w:bookmarkEnd w:id="2"/>
      <w:bookmarkEnd w:id="3"/>
      <w:bookmarkEnd w:id="4"/>
      <w:bookmarkEnd w:id="15"/>
      <w:bookmarkEnd w:id="21"/>
      <w:bookmarkEnd w:id="32"/>
      <w:bookmarkEnd w:id="33"/>
      <w:bookmarkEnd w:id="34"/>
      <w:bookmarkEnd w:id="35"/>
      <w:bookmarkEnd w:id="36"/>
    </w:p>
    <w:p w14:paraId="607FFC59">
      <w:pPr>
        <w:pStyle w:val="6"/>
      </w:pPr>
      <w:r>
        <w:t>为</w:t>
      </w:r>
      <w:r>
        <w:rPr>
          <w:rFonts w:hint="eastAsia"/>
        </w:rPr>
        <w:t>规范装配式固模剪力墙结构及钢筋桁架固模楼承板的设计、制作、施工及验收，</w:t>
      </w:r>
      <w:r>
        <w:t>做到安全适用、确保质量、技术先进、</w:t>
      </w:r>
      <w:r>
        <w:rPr>
          <w:rFonts w:hint="eastAsia"/>
        </w:rPr>
        <w:t>绿色环保、</w:t>
      </w:r>
      <w:r>
        <w:t>经济合理，制</w:t>
      </w:r>
      <w:r>
        <w:rPr>
          <w:rFonts w:hint="eastAsia"/>
        </w:rPr>
        <w:t>定</w:t>
      </w:r>
      <w:r>
        <w:t>本</w:t>
      </w:r>
      <w:r>
        <w:rPr>
          <w:rFonts w:hint="eastAsia"/>
        </w:rPr>
        <w:t>标准</w:t>
      </w:r>
      <w:r>
        <w:t>。</w:t>
      </w:r>
    </w:p>
    <w:p w14:paraId="18EE1996">
      <w:pPr>
        <w:pStyle w:val="6"/>
        <w:numPr>
          <w:ilvl w:val="0"/>
          <w:numId w:val="0"/>
        </w:numPr>
        <w:tabs>
          <w:tab w:val="clear" w:pos="907"/>
        </w:tabs>
        <w:rPr>
          <w:color w:val="0070C0"/>
        </w:rPr>
      </w:pPr>
      <w:r>
        <w:rPr>
          <w:rFonts w:hint="eastAsia"/>
          <w:color w:val="0070C0"/>
        </w:rPr>
        <w:t>【条文说明】本条规定是制定本标准的基本方针和原则。装配式固模剪力墙结构及钢筋桁架固模楼承板技术主要是由用于结构剪力墙的预制混凝土空心墙固模（简称空心墙模）和用于混凝土楼板的钢筋桁架固模楼承板（简称TC板）两项技术组成。其中，空心墙模为一种内部预置由墙体竖向分布钢筋及拉筋形成的钢筋骨架并预留水平方向和竖直方向贯通孔，可兼作墙体固模的双向空心钢筋混凝土预制构件；TC板是一种将钢筋焊接网与钢筋桁架经焊接或绑扎形成的钢筋骨架，采用特制连接件与非金属底板连接固定，制成的免拆底模钢筋桁架楼承板构件。在施工现场，拼装空心墙模，穿设墙体水平分布钢筋，设置墙体竖向连接钢筋，绑扎边缘构件及连梁等钢筋，安装拼接TC板并绑扎支座负筋后，再整体浇筑混凝土，从而形成固模剪力墙与固模楼板共同受力的剪力墙结构体系。固模剪力墙结构与固模楼板技术宜组合使用，也可分别单独使用。本标准综合反映了近几年来装配式固模剪力墙结构及固模楼承板技术的最新研究成果和工程实践经验，力求对固模剪力墙结构及固模楼承板的设计、制作、施工、验收等提供有益指导。</w:t>
      </w:r>
    </w:p>
    <w:p w14:paraId="572C33FE">
      <w:pPr>
        <w:pStyle w:val="6"/>
      </w:pPr>
      <w:r>
        <w:rPr>
          <w:rFonts w:hint="eastAsia"/>
        </w:rPr>
        <w:t>本标准适用于</w:t>
      </w:r>
      <w:r>
        <w:t>广东</w:t>
      </w:r>
      <w:r>
        <w:rPr>
          <w:rFonts w:hint="eastAsia"/>
        </w:rPr>
        <w:t>省抗震设防烈度为8度（0.2g）及以下地区中抗震设防类别为标准设防类的民用建筑，7度</w:t>
      </w:r>
      <w:r>
        <w:rPr>
          <w:rFonts w:hint="eastAsia"/>
          <w:color w:val="FF0000"/>
        </w:rPr>
        <w:t>及以下</w:t>
      </w:r>
      <w:r>
        <w:rPr>
          <w:rFonts w:hint="eastAsia"/>
        </w:rPr>
        <w:t>地区重点设防类民用建筑的设计、构件制作、施工和质量验收。</w:t>
      </w:r>
    </w:p>
    <w:p w14:paraId="1673445B">
      <w:pPr>
        <w:pStyle w:val="6"/>
        <w:numPr>
          <w:ilvl w:val="2"/>
          <w:numId w:val="0"/>
        </w:numPr>
        <w:rPr>
          <w:rFonts w:hint="eastAsia"/>
          <w:color w:val="0070C0"/>
        </w:rPr>
      </w:pPr>
      <w:r>
        <w:rPr>
          <w:rFonts w:hint="eastAsia"/>
          <w:color w:val="0070C0"/>
        </w:rPr>
        <w:t>【条文说明】装配式固模剪力墙结构本质上属于钢筋混凝土剪力墙结构体系，适用房屋的类型主要为居住建筑，也可以用于公寓、宾馆等以墙体承重为主的其他民用建筑中。还可以使用在7度及以下设防地区的学校等重点设防类公共建筑中。本标准的适用对象主要为中高层、高层建筑固模剪力墙结构，对6层及以下低、多层固模剪力墙结构的标准设防类建筑，本标准对其边缘构件及上下层墙体间连接构造进行了简化，使其构造更加简单、施工更加方便。</w:t>
      </w:r>
    </w:p>
    <w:p w14:paraId="42019E7D">
      <w:pPr>
        <w:pStyle w:val="6"/>
        <w:numPr>
          <w:ilvl w:val="2"/>
          <w:numId w:val="0"/>
        </w:numPr>
        <w:ind w:firstLine="420" w:firstLineChars="200"/>
        <w:rPr>
          <w:rFonts w:hint="eastAsia"/>
          <w:color w:val="0070C0"/>
        </w:rPr>
      </w:pPr>
      <w:r>
        <w:rPr>
          <w:rFonts w:hint="eastAsia"/>
          <w:color w:val="0070C0"/>
        </w:rPr>
        <w:t>本标准规定固模剪力墙原则上不宜用于部分框支剪力墙结构体系，确有需要用于部分框支剪力墙结构时，应进行专门研究和论证。部分框支剪力墙结构的框支层受力较大且在地震作用下容易破坏，由于固模剪力墙存在竖向接缝，对水平方向受拉不利，故框支层剪力墙不宜使用固模剪力墙。确有需要将固模剪力墙用于部分框支剪力墙结构时，房屋最大适用高度、抗震等级等应进行专门研究和论证，不得用于底部加强部位。固模剪力墙不适用于具有较多短肢剪力墙的剪力墙结构。由于广东地区未包含9度及8度</w:t>
      </w:r>
      <w:r>
        <w:rPr>
          <w:rFonts w:hint="eastAsia"/>
        </w:rPr>
        <w:t>（0.30g）</w:t>
      </w:r>
      <w:r>
        <w:rPr>
          <w:rFonts w:hint="eastAsia"/>
          <w:color w:val="0070C0"/>
        </w:rPr>
        <w:t>抗震设防烈度，故本标准未对其进行规定；本标准尚未包含特殊设防类建筑、8度及以上重点设防类建筑，如需采用固模剪力墙应进行专门论证。对适度设防类建筑，可参考本标准采用并可适当放松要求。固模剪力墙结构不应用于对抗震危险地段建筑、不宜用于复杂高层建筑（指《高层建筑混凝土结构技术规程》JGJ 3第10章规定带转换层的结构、带加强层的结构、错层结构、连体结构以及竖向体型收进、悬挑结构）。</w:t>
      </w:r>
    </w:p>
    <w:p w14:paraId="2DEA43DB">
      <w:pPr>
        <w:pStyle w:val="6"/>
        <w:numPr>
          <w:ilvl w:val="2"/>
          <w:numId w:val="0"/>
        </w:numPr>
        <w:ind w:firstLine="420" w:firstLineChars="200"/>
        <w:rPr>
          <w:color w:val="0070C0"/>
        </w:rPr>
      </w:pPr>
      <w:r>
        <w:rPr>
          <w:rFonts w:hint="eastAsia"/>
          <w:color w:val="0070C0"/>
        </w:rPr>
        <w:t>本标准规定的固模楼承板除与固模剪力墙结构配套使用外，单独使用时尚可广泛用于框架结构、框-剪结构及其他混凝土剪力墙结构或钢结构民用建筑的混凝土楼板，此时固模楼承板适用的抗震设防烈度、抗震设防类别及建筑高度应遵循其主体结构类型的相关规定。但本标准规定的固模楼承板不应用于无梁楼盖、转换层楼板及支座处可能出现正弯矩的楼板结构。</w:t>
      </w:r>
    </w:p>
    <w:p w14:paraId="2E5A4AC0">
      <w:pPr>
        <w:pStyle w:val="6"/>
      </w:pPr>
      <w:r>
        <w:rPr>
          <w:rFonts w:hint="eastAsia"/>
        </w:rPr>
        <w:t>装配式固模剪力墙结构及钢筋桁架固模楼承板</w:t>
      </w:r>
      <w:r>
        <w:t>的设计</w:t>
      </w:r>
      <w:r>
        <w:rPr>
          <w:rFonts w:hint="eastAsia"/>
        </w:rPr>
        <w:t>、制作、施工及</w:t>
      </w:r>
      <w:r>
        <w:t>验收</w:t>
      </w:r>
      <w:r>
        <w:rPr>
          <w:rFonts w:hint="eastAsia"/>
        </w:rPr>
        <w:t>，</w:t>
      </w:r>
      <w:r>
        <w:t>除应</w:t>
      </w:r>
      <w:r>
        <w:rPr>
          <w:rFonts w:hint="eastAsia"/>
        </w:rPr>
        <w:t>执行</w:t>
      </w:r>
      <w:r>
        <w:t>本</w:t>
      </w:r>
      <w:r>
        <w:rPr>
          <w:rFonts w:hint="eastAsia"/>
        </w:rPr>
        <w:t>标准</w:t>
      </w:r>
      <w:r>
        <w:t>外，尚应符合</w:t>
      </w:r>
      <w:r>
        <w:rPr>
          <w:rFonts w:hint="eastAsia"/>
        </w:rPr>
        <w:t>现行国家和</w:t>
      </w:r>
      <w:r>
        <w:t>广东</w:t>
      </w:r>
      <w:r>
        <w:rPr>
          <w:rFonts w:hint="eastAsia"/>
        </w:rPr>
        <w:t>省有关标准</w:t>
      </w:r>
      <w:r>
        <w:t>的规定</w:t>
      </w:r>
      <w:r>
        <w:rPr>
          <w:szCs w:val="21"/>
        </w:rPr>
        <w:t>。</w:t>
      </w:r>
    </w:p>
    <w:p w14:paraId="6CBDE24B">
      <w:pPr>
        <w:pStyle w:val="6"/>
        <w:numPr>
          <w:ilvl w:val="0"/>
          <w:numId w:val="0"/>
        </w:numPr>
        <w:tabs>
          <w:tab w:val="clear" w:pos="907"/>
        </w:tabs>
        <w:rPr>
          <w:rFonts w:hint="eastAsia"/>
          <w:color w:val="0070C0"/>
        </w:rPr>
      </w:pPr>
      <w:r>
        <w:rPr>
          <w:rFonts w:hint="eastAsia"/>
          <w:color w:val="0070C0"/>
        </w:rPr>
        <w:t>【条文说明】装配式固模剪力墙结构及固模楼承板本质上仍属于钢筋混凝土结构体系。因此，固模剪力墙结构的设计、构件生产、施工与验收除执行本标准外，尚应符合与混凝土结构相关的现行国家和广东省有关标准的规定。</w:t>
      </w:r>
    </w:p>
    <w:p w14:paraId="5FA1C9A6">
      <w:pPr>
        <w:pStyle w:val="6"/>
        <w:numPr>
          <w:ilvl w:val="0"/>
          <w:numId w:val="0"/>
        </w:numPr>
        <w:tabs>
          <w:tab w:val="clear" w:pos="907"/>
        </w:tabs>
        <w:ind w:firstLine="420" w:firstLineChars="200"/>
      </w:pPr>
      <w:r>
        <w:rPr>
          <w:rFonts w:hint="eastAsia"/>
          <w:color w:val="0070C0"/>
        </w:rPr>
        <w:t>当固模剪力墙结构的外墙采用预制混凝土夹心保温外墙板等其他类型预制墙板时，除执行本标准外，预制外墙板的节能设计、结构计算、构件生产、施工与验收尚应符合现行国家和广东省有关标准的规定。</w:t>
      </w:r>
    </w:p>
    <w:p w14:paraId="541EA33C">
      <w:pPr>
        <w:pStyle w:val="4"/>
        <w:spacing w:before="156" w:after="156"/>
      </w:pPr>
      <w:r>
        <w:br w:type="page"/>
      </w:r>
      <w:bookmarkEnd w:id="5"/>
      <w:bookmarkStart w:id="37" w:name="_Toc252452568"/>
      <w:bookmarkStart w:id="38" w:name="_Toc5700"/>
      <w:bookmarkStart w:id="39" w:name="_Toc129374360"/>
      <w:bookmarkStart w:id="40" w:name="_Toc61254017"/>
      <w:bookmarkStart w:id="41" w:name="_Toc475644160"/>
      <w:bookmarkStart w:id="42" w:name="_Toc61254060"/>
      <w:bookmarkStart w:id="43" w:name="_Toc475644629"/>
      <w:bookmarkStart w:id="44" w:name="_Toc475644437"/>
      <w:bookmarkStart w:id="45" w:name="_Toc475644044"/>
      <w:bookmarkStart w:id="46" w:name="_Toc252452571"/>
      <w:bookmarkStart w:id="47" w:name="_Toc247967495"/>
      <w:r>
        <w:t>术语和符号</w:t>
      </w:r>
      <w:bookmarkEnd w:id="37"/>
      <w:bookmarkEnd w:id="38"/>
      <w:bookmarkEnd w:id="39"/>
      <w:bookmarkEnd w:id="40"/>
      <w:bookmarkEnd w:id="41"/>
      <w:bookmarkEnd w:id="42"/>
      <w:bookmarkEnd w:id="43"/>
      <w:bookmarkEnd w:id="44"/>
      <w:bookmarkEnd w:id="45"/>
    </w:p>
    <w:p w14:paraId="0B1F6249">
      <w:pPr>
        <w:pStyle w:val="5"/>
        <w:numPr>
          <w:ilvl w:val="1"/>
          <w:numId w:val="7"/>
        </w:numPr>
        <w:spacing w:before="156" w:beforeLines="50" w:after="156"/>
      </w:pPr>
      <w:bookmarkStart w:id="48" w:name="_Toc3152"/>
      <w:bookmarkStart w:id="49" w:name="_Toc61254018"/>
      <w:bookmarkStart w:id="50" w:name="_Toc475644045"/>
      <w:bookmarkStart w:id="51" w:name="_Toc129374361"/>
      <w:bookmarkStart w:id="52" w:name="_Toc61254061"/>
      <w:bookmarkStart w:id="53" w:name="_Toc475644630"/>
      <w:bookmarkStart w:id="54" w:name="_Toc475644438"/>
      <w:bookmarkStart w:id="55" w:name="_Toc252452569"/>
      <w:bookmarkStart w:id="56" w:name="_Toc247967493"/>
      <w:bookmarkStart w:id="57" w:name="_Toc475644161"/>
      <w:r>
        <w:t>术语</w:t>
      </w:r>
      <w:bookmarkEnd w:id="48"/>
      <w:bookmarkEnd w:id="49"/>
      <w:bookmarkEnd w:id="50"/>
      <w:bookmarkEnd w:id="51"/>
      <w:bookmarkEnd w:id="52"/>
      <w:bookmarkEnd w:id="53"/>
      <w:bookmarkEnd w:id="54"/>
      <w:bookmarkEnd w:id="55"/>
      <w:bookmarkEnd w:id="56"/>
      <w:bookmarkEnd w:id="57"/>
    </w:p>
    <w:p w14:paraId="37CB7893">
      <w:pPr>
        <w:pStyle w:val="6"/>
      </w:pPr>
      <w:r>
        <w:t>固模</w:t>
      </w:r>
      <w:r>
        <w:rPr>
          <w:rFonts w:hint="eastAsia"/>
        </w:rPr>
        <w:t xml:space="preserve">  </w:t>
      </w:r>
      <w:r>
        <w:t>fixed-form</w:t>
      </w:r>
    </w:p>
    <w:p w14:paraId="31CAFB9E">
      <w:pPr>
        <w:pStyle w:val="84"/>
        <w:ind w:firstLine="420"/>
      </w:pPr>
      <w:r>
        <w:t>在墙</w:t>
      </w:r>
      <w:r>
        <w:rPr>
          <w:rFonts w:hint="eastAsia"/>
        </w:rPr>
        <w:t>体、楼板</w:t>
      </w:r>
      <w:r>
        <w:t>混凝土浇筑时起模板作用的免拆预制件。</w:t>
      </w:r>
    </w:p>
    <w:p w14:paraId="3E16BE8F">
      <w:pPr>
        <w:pStyle w:val="84"/>
        <w:ind w:firstLine="0" w:firstLineChars="0"/>
        <w:rPr>
          <w:rFonts w:hint="eastAsia"/>
          <w:color w:val="0070C0"/>
        </w:rPr>
      </w:pPr>
      <w:r>
        <w:rPr>
          <w:rFonts w:hint="eastAsia"/>
          <w:color w:val="0070C0"/>
        </w:rPr>
        <w:t>【条文说明】固模是构件混凝土固化后不再拆除的模板。固模可采用纤维水泥平板、硅酸钙板或其他成品非金属板材。EPS模块、加气混凝条板、ECP条板等也可以作为现浇混凝土墙体（边缘构件）固模使用，固模应满足混凝土浇筑过程中对模板的要求。</w:t>
      </w:r>
    </w:p>
    <w:p w14:paraId="5054EDF6">
      <w:pPr>
        <w:pStyle w:val="84"/>
        <w:ind w:firstLine="420"/>
        <w:rPr>
          <w:rFonts w:hint="eastAsia"/>
          <w:color w:val="0070C0"/>
        </w:rPr>
      </w:pPr>
      <w:r>
        <w:rPr>
          <w:rFonts w:hint="eastAsia"/>
          <w:color w:val="0070C0"/>
        </w:rPr>
        <w:t>加气混凝土条板等易吸水的板材作为固模使用时应事先在混凝土浇筑面上涂刷防水界面剂，以免混凝土浇筑后早期失水影响混凝土的性能。</w:t>
      </w:r>
    </w:p>
    <w:p w14:paraId="70C175B4">
      <w:pPr>
        <w:pStyle w:val="6"/>
      </w:pPr>
      <w:r>
        <w:t>预制混凝土空心墙</w:t>
      </w:r>
      <w:r>
        <w:rPr>
          <w:rFonts w:hint="eastAsia"/>
        </w:rPr>
        <w:t>固</w:t>
      </w:r>
      <w:r>
        <w:t>模</w:t>
      </w:r>
      <w:r>
        <w:rPr>
          <w:rFonts w:hint="eastAsia"/>
        </w:rPr>
        <w:t xml:space="preserve">  </w:t>
      </w:r>
      <w:r>
        <w:t>precast concrete hollow fixed-form</w:t>
      </w:r>
    </w:p>
    <w:p w14:paraId="28847502">
      <w:pPr>
        <w:pStyle w:val="84"/>
        <w:ind w:firstLine="420"/>
      </w:pPr>
      <w:r>
        <w:rPr>
          <w:rFonts w:hint="eastAsia" w:ascii="宋体" w:hAnsi="宋体"/>
          <w:szCs w:val="21"/>
        </w:rPr>
        <w:t>水平及竖直方向均预留有通长孔洞，内部预置包含墙体竖向分布钢筋及拉筋的钢筋骨架，施工时兼作墙体固模并参与结构受力的预制混凝土空心墙板，简称空心墙模</w:t>
      </w:r>
      <w:r>
        <w:t>。</w:t>
      </w:r>
    </w:p>
    <w:p w14:paraId="2E46E29F">
      <w:pPr>
        <w:pStyle w:val="84"/>
        <w:ind w:firstLine="0" w:firstLineChars="0"/>
        <w:rPr>
          <w:rFonts w:hint="eastAsia"/>
          <w:color w:val="0070C0"/>
        </w:rPr>
      </w:pPr>
      <w:r>
        <w:rPr>
          <w:rFonts w:hint="eastAsia"/>
          <w:color w:val="0070C0"/>
        </w:rPr>
        <w:t>【条文说明】空心墙模（图2-1）是一种预制空心墙板，它既是墙体固模，又是剪力墙构件的组成部分。空心墙模水平方向和竖直方向通长孔洞的形状和尺寸可根据工程需要进行设计，但应满足混凝土浇筑过程中作为模板的承载能力要求。</w:t>
      </w:r>
    </w:p>
    <w:p w14:paraId="63F226E5">
      <w:pPr>
        <w:pStyle w:val="84"/>
        <w:ind w:firstLine="420"/>
        <w:rPr>
          <w:rFonts w:hint="eastAsia"/>
          <w:color w:val="0070C0"/>
        </w:rPr>
      </w:pPr>
      <w:r>
        <w:rPr>
          <w:rFonts w:hint="eastAsia"/>
          <w:color w:val="0070C0"/>
        </w:rPr>
        <w:t>空心墙模内含的钢筋骨架（图2-2）可用两片钢筋焊接网与拉筋焊接或绑扎成型。钢筋骨架竖直方向的钢筋作为墙体竖向分布钢筋；空心墙模一般用立模标准化生产，水平方向的钢筋或钢丝一般仅起构造作用，墙体水平受力分布钢筋需要施工现场在水平孔内另行穿设。本标准主要针对这种标准化条形墙板进行构造规定。</w:t>
      </w:r>
    </w:p>
    <w:p w14:paraId="24B9D7F1">
      <w:pPr>
        <w:pStyle w:val="84"/>
        <w:ind w:firstLine="420"/>
        <w:rPr>
          <w:rFonts w:hint="eastAsia"/>
          <w:color w:val="0070C0"/>
        </w:rPr>
      </w:pPr>
      <w:r>
        <w:rPr>
          <w:rFonts w:hint="eastAsia"/>
          <w:color w:val="0070C0"/>
        </w:rPr>
        <w:t>空心墙模也可以根据工程需要做成大板，此时一般用平模生产，墙体水平受力分布钢筋可预制在大板内，墙端边缘构件现浇，施工现场只需要在墙板两端水平孔内穿设水平连接钢筋。大板空心墙模可参考相关产品及标准进行构造设计。</w:t>
      </w:r>
    </w:p>
    <w:p w14:paraId="3547534D">
      <w:pPr>
        <w:spacing w:line="240" w:lineRule="auto"/>
        <w:jc w:val="center"/>
      </w:pPr>
      <w:r>
        <w:drawing>
          <wp:inline distT="0" distB="0" distL="114300" distR="114300">
            <wp:extent cx="1984375" cy="1200785"/>
            <wp:effectExtent l="0" t="0" r="15875" b="18415"/>
            <wp:docPr id="2" name="图片 83"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3" descr="图1"/>
                    <pic:cNvPicPr>
                      <a:picLocks noChangeAspect="1"/>
                    </pic:cNvPicPr>
                  </pic:nvPicPr>
                  <pic:blipFill>
                    <a:blip r:embed="rId20"/>
                    <a:stretch>
                      <a:fillRect/>
                    </a:stretch>
                  </pic:blipFill>
                  <pic:spPr>
                    <a:xfrm>
                      <a:off x="0" y="0"/>
                      <a:ext cx="1984375" cy="1200785"/>
                    </a:xfrm>
                    <a:prstGeom prst="rect">
                      <a:avLst/>
                    </a:prstGeom>
                    <a:noFill/>
                    <a:ln>
                      <a:noFill/>
                    </a:ln>
                  </pic:spPr>
                </pic:pic>
              </a:graphicData>
            </a:graphic>
          </wp:inline>
        </w:drawing>
      </w:r>
    </w:p>
    <w:p w14:paraId="7BA3C64B">
      <w:pPr>
        <w:spacing w:before="78" w:beforeLines="25" w:after="78" w:afterLines="25" w:line="240" w:lineRule="auto"/>
        <w:jc w:val="center"/>
        <w:rPr>
          <w:rFonts w:eastAsia="黑体"/>
          <w:sz w:val="18"/>
          <w:szCs w:val="21"/>
        </w:rPr>
      </w:pPr>
      <w:r>
        <w:rPr>
          <w:rFonts w:eastAsia="黑体"/>
          <w:sz w:val="18"/>
          <w:szCs w:val="21"/>
        </w:rPr>
        <w:t>图</w:t>
      </w:r>
      <w:r>
        <w:rPr>
          <w:rFonts w:hint="eastAsia" w:eastAsia="黑体"/>
          <w:sz w:val="18"/>
          <w:szCs w:val="21"/>
        </w:rPr>
        <w:t>2-1</w:t>
      </w:r>
      <w:r>
        <w:rPr>
          <w:rFonts w:eastAsia="黑体"/>
          <w:sz w:val="18"/>
          <w:szCs w:val="21"/>
        </w:rPr>
        <w:t xml:space="preserve"> </w:t>
      </w:r>
      <w:r>
        <w:rPr>
          <w:rFonts w:hint="eastAsia" w:eastAsia="黑体"/>
          <w:sz w:val="18"/>
          <w:szCs w:val="21"/>
        </w:rPr>
        <w:t xml:space="preserve"> </w:t>
      </w:r>
      <w:r>
        <w:rPr>
          <w:rFonts w:eastAsia="黑体"/>
          <w:sz w:val="18"/>
          <w:szCs w:val="21"/>
        </w:rPr>
        <w:t>空心墙模</w:t>
      </w:r>
      <w:r>
        <w:rPr>
          <w:rFonts w:hint="eastAsia" w:eastAsia="黑体"/>
          <w:sz w:val="18"/>
          <w:szCs w:val="21"/>
        </w:rPr>
        <w:t>构造</w:t>
      </w:r>
      <w:r>
        <w:rPr>
          <w:rFonts w:eastAsia="黑体"/>
          <w:sz w:val="18"/>
          <w:szCs w:val="21"/>
        </w:rPr>
        <w:t>示意图</w:t>
      </w:r>
    </w:p>
    <w:p w14:paraId="68C4011A">
      <w:pPr>
        <w:pStyle w:val="80"/>
        <w:spacing w:beforeLines="0" w:after="78"/>
        <w:rPr>
          <w:rFonts w:hint="eastAsia"/>
        </w:rPr>
      </w:pPr>
      <w:r>
        <w:t>1-水平孔；2-竖向孔；3-粗糙面或键槽；4-</w:t>
      </w:r>
      <w:r>
        <w:rPr>
          <w:rFonts w:hint="eastAsia"/>
        </w:rPr>
        <w:t>齿脚</w:t>
      </w:r>
    </w:p>
    <w:p w14:paraId="3DA8CD21">
      <w:pPr>
        <w:spacing w:line="240" w:lineRule="auto"/>
        <w:jc w:val="center"/>
      </w:pPr>
      <w:r>
        <w:drawing>
          <wp:inline distT="0" distB="0" distL="114300" distR="114300">
            <wp:extent cx="1604010" cy="2234565"/>
            <wp:effectExtent l="0" t="0" r="15240" b="13335"/>
            <wp:docPr id="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4"/>
                    <pic:cNvPicPr>
                      <a:picLocks noChangeAspect="1"/>
                    </pic:cNvPicPr>
                  </pic:nvPicPr>
                  <pic:blipFill>
                    <a:blip r:embed="rId21"/>
                    <a:stretch>
                      <a:fillRect/>
                    </a:stretch>
                  </pic:blipFill>
                  <pic:spPr>
                    <a:xfrm>
                      <a:off x="0" y="0"/>
                      <a:ext cx="1604010" cy="2234565"/>
                    </a:xfrm>
                    <a:prstGeom prst="rect">
                      <a:avLst/>
                    </a:prstGeom>
                    <a:noFill/>
                    <a:ln>
                      <a:noFill/>
                    </a:ln>
                  </pic:spPr>
                </pic:pic>
              </a:graphicData>
            </a:graphic>
          </wp:inline>
        </w:drawing>
      </w:r>
    </w:p>
    <w:p w14:paraId="204B6282">
      <w:pPr>
        <w:pStyle w:val="71"/>
        <w:spacing w:before="78" w:after="78"/>
      </w:pPr>
      <w:r>
        <w:rPr>
          <w:rFonts w:hint="eastAsia"/>
        </w:rPr>
        <w:t xml:space="preserve">图2-2 </w:t>
      </w:r>
      <w:r>
        <w:t xml:space="preserve"> </w:t>
      </w:r>
      <w:r>
        <w:rPr>
          <w:rFonts w:hint="eastAsia"/>
        </w:rPr>
        <w:t>空心墙模配筋示意图</w:t>
      </w:r>
    </w:p>
    <w:p w14:paraId="6F78F5A6">
      <w:pPr>
        <w:pStyle w:val="80"/>
        <w:spacing w:before="78" w:afterLines="0"/>
        <w:rPr>
          <w:rFonts w:hint="eastAsia"/>
        </w:rPr>
      </w:pPr>
      <w:r>
        <w:rPr>
          <w:rFonts w:hint="eastAsia"/>
        </w:rPr>
        <w:t>1-</w:t>
      </w:r>
      <w:r>
        <w:t>水平孔；2-竖向孔；3-粗糙面或键槽；4-</w:t>
      </w:r>
      <w:r>
        <w:rPr>
          <w:rFonts w:hint="eastAsia"/>
        </w:rPr>
        <w:t>水平钢筋；</w:t>
      </w:r>
    </w:p>
    <w:p w14:paraId="2784018E">
      <w:pPr>
        <w:pStyle w:val="80"/>
        <w:spacing w:before="78" w:afterLines="0"/>
        <w:rPr>
          <w:rFonts w:hint="eastAsia"/>
        </w:rPr>
      </w:pPr>
      <w:r>
        <w:rPr>
          <w:rFonts w:hint="eastAsia"/>
        </w:rPr>
        <w:t>5-竖向钢筋；6-拉筋；7-构造边筋</w:t>
      </w:r>
    </w:p>
    <w:p w14:paraId="19D16A6B">
      <w:pPr>
        <w:pStyle w:val="6"/>
      </w:pPr>
      <w:r>
        <w:rPr>
          <w:rFonts w:hint="eastAsia"/>
        </w:rPr>
        <w:t xml:space="preserve">混凝土空心固模剪力墙 </w:t>
      </w:r>
      <w:r>
        <w:t xml:space="preserve"> shear</w:t>
      </w:r>
      <w:r>
        <w:rPr>
          <w:rFonts w:hint="eastAsia"/>
        </w:rPr>
        <w:t>-</w:t>
      </w:r>
      <w:r>
        <w:t>wall with precast concrete hollow fixed-form</w:t>
      </w:r>
    </w:p>
    <w:p w14:paraId="39A1F931">
      <w:pPr>
        <w:pStyle w:val="84"/>
        <w:ind w:firstLine="420"/>
      </w:pPr>
      <w:r>
        <w:t>由空心墙模与现场配置的钢筋及</w:t>
      </w:r>
      <w:r>
        <w:rPr>
          <w:rFonts w:hint="eastAsia"/>
        </w:rPr>
        <w:t>现</w:t>
      </w:r>
      <w:r>
        <w:t>浇混凝土共同形成的</w:t>
      </w:r>
      <w:r>
        <w:rPr>
          <w:rFonts w:hint="eastAsia"/>
        </w:rPr>
        <w:t>叠合</w:t>
      </w:r>
      <w:r>
        <w:t>剪力墙，简称固模剪力墙。</w:t>
      </w:r>
    </w:p>
    <w:p w14:paraId="6540EF17">
      <w:pPr>
        <w:pStyle w:val="84"/>
        <w:ind w:firstLine="0" w:firstLineChars="0"/>
        <w:rPr>
          <w:rFonts w:hint="eastAsia"/>
          <w:color w:val="0070C0"/>
        </w:rPr>
      </w:pPr>
      <w:r>
        <w:rPr>
          <w:rFonts w:hint="eastAsia"/>
          <w:color w:val="0070C0"/>
        </w:rPr>
        <w:t>【条文说明】现场配置的钢筋包括剪力墙水平钢筋、层间插筋、边缘构件及连梁钢筋。空心墙模与现场配置的钢筋以及孔内现浇混凝土共同形成整体协同受力的等同现浇混凝土剪力墙。在固模剪力墙中空心墙模参与结构受力，是剪力墙的有机组成部分。</w:t>
      </w:r>
    </w:p>
    <w:p w14:paraId="6BC5F6AC">
      <w:pPr>
        <w:pStyle w:val="6"/>
      </w:pPr>
      <w:r>
        <w:rPr>
          <w:rFonts w:hint="eastAsia"/>
        </w:rPr>
        <w:t xml:space="preserve">装配式固模剪力墙结构 </w:t>
      </w:r>
      <w:r>
        <w:t xml:space="preserve"> prefabricated shear-wall structure with fixed-form</w:t>
      </w:r>
    </w:p>
    <w:p w14:paraId="68B416FD">
      <w:pPr>
        <w:pStyle w:val="84"/>
        <w:ind w:firstLine="420"/>
        <w:rPr>
          <w:rFonts w:hint="eastAsia"/>
        </w:rPr>
      </w:pPr>
      <w:r>
        <w:rPr>
          <w:rFonts w:hint="eastAsia"/>
        </w:rPr>
        <w:t>全部或部分采用固模剪力墙，通过可靠连接形成整体的装配整体式混凝土剪力墙结构，简称固模剪力墙结构。</w:t>
      </w:r>
    </w:p>
    <w:p w14:paraId="241D6373">
      <w:pPr>
        <w:pStyle w:val="84"/>
        <w:ind w:firstLine="0" w:firstLineChars="0"/>
        <w:rPr>
          <w:rFonts w:hint="eastAsia"/>
          <w:color w:val="0070C0"/>
        </w:rPr>
      </w:pPr>
      <w:r>
        <w:rPr>
          <w:rFonts w:hint="eastAsia"/>
          <w:color w:val="0070C0"/>
        </w:rPr>
        <w:t>【条文说明】固模剪力墙结构应满足广东省和国家相关标准对装配式结构的要求，其中结构墙体可全部或部分采用固模剪力墙，高层建筑底部加强部位宜采用普通现浇混凝土墙。固模剪力墙结构中的楼板、屋面板宜使用钢筋桁架固模混凝土板，可使用叠合板等其他形式的装配整体式混凝土板或其他免支模钢筋混凝土楼板，也可采用普通现浇混凝土板。普通现浇混凝土墙或混凝土板宜采用铝合金模板等高精度模板或免拆除的固模。</w:t>
      </w:r>
    </w:p>
    <w:p w14:paraId="11ED03C8">
      <w:pPr>
        <w:pStyle w:val="6"/>
      </w:pPr>
      <w:r>
        <w:rPr>
          <w:rFonts w:hint="eastAsia"/>
        </w:rPr>
        <w:t xml:space="preserve">装配式固模剪力墙建筑 </w:t>
      </w:r>
      <w:r>
        <w:t xml:space="preserve"> building</w:t>
      </w:r>
      <w:r>
        <w:rPr>
          <w:rFonts w:hint="eastAsia"/>
        </w:rPr>
        <w:t>s</w:t>
      </w:r>
      <w:r>
        <w:t xml:space="preserve"> </w:t>
      </w:r>
      <w:r>
        <w:rPr>
          <w:rFonts w:hint="eastAsia"/>
        </w:rPr>
        <w:t>adopting</w:t>
      </w:r>
      <w:r>
        <w:t xml:space="preserve"> prefabricated shear-wall structure with fixed-form</w:t>
      </w:r>
    </w:p>
    <w:p w14:paraId="070C45D0">
      <w:pPr>
        <w:pStyle w:val="84"/>
        <w:ind w:firstLine="420"/>
        <w:rPr>
          <w:rFonts w:hint="eastAsia"/>
        </w:rPr>
      </w:pPr>
      <w:r>
        <w:rPr>
          <w:rFonts w:hint="eastAsia"/>
        </w:rPr>
        <w:t>采用装配式固模剪力墙结构的建筑，简称固模剪力墙建筑。当为居住建筑时称为固模剪力墙居住建筑。</w:t>
      </w:r>
    </w:p>
    <w:p w14:paraId="15559BF9">
      <w:pPr>
        <w:pStyle w:val="84"/>
        <w:ind w:firstLine="0" w:firstLineChars="0"/>
        <w:rPr>
          <w:rFonts w:hint="eastAsia"/>
        </w:rPr>
      </w:pPr>
      <w:r>
        <w:rPr>
          <w:rFonts w:hint="eastAsia"/>
          <w:color w:val="0070C0"/>
        </w:rPr>
        <w:t>【条文说明】</w:t>
      </w:r>
      <w:r>
        <w:rPr>
          <w:rFonts w:hint="eastAsia"/>
        </w:rPr>
        <w:t>当为民用建筑时称为固模剪力墙民用建筑。</w:t>
      </w:r>
      <w:r>
        <w:rPr>
          <w:rFonts w:hint="eastAsia"/>
          <w:color w:val="0070C0"/>
        </w:rPr>
        <w:t>民用建筑按使用功能分为居住建筑和公共建筑两大类。居住建筑是指供人们居住使用的建筑，又可分为住宅建筑和宿舍建筑，公共建筑主要是指供人们进行各种公共活动的建筑，包括行政办公建筑、文教建筑、科研建筑、医疗建筑、商业建筑等。</w:t>
      </w:r>
    </w:p>
    <w:p w14:paraId="38D6FE17">
      <w:pPr>
        <w:pStyle w:val="6"/>
      </w:pPr>
      <w:bookmarkStart w:id="58" w:name="OLE_LINK1"/>
      <w:r>
        <w:rPr>
          <w:rFonts w:hint="eastAsia"/>
        </w:rPr>
        <w:t>装配式</w:t>
      </w:r>
      <w:r>
        <w:t>钢筋桁架固模楼承板</w:t>
      </w:r>
      <w:r>
        <w:rPr>
          <w:rFonts w:hint="eastAsia"/>
        </w:rPr>
        <w:t>（TC板）</w:t>
      </w:r>
      <w:r>
        <w:t xml:space="preserve">  prefabricated steel-bars truss deck with welded steel fabric and fixed-form</w:t>
      </w:r>
      <w:r>
        <w:rPr>
          <w:rFonts w:hint="eastAsia"/>
        </w:rPr>
        <w:t>（TC-</w:t>
      </w:r>
      <w:r>
        <w:t>D</w:t>
      </w:r>
      <w:r>
        <w:rPr>
          <w:rFonts w:hint="eastAsia"/>
        </w:rPr>
        <w:t>eck）</w:t>
      </w:r>
    </w:p>
    <w:p w14:paraId="79D20102">
      <w:pPr>
        <w:pStyle w:val="84"/>
        <w:tabs>
          <w:tab w:val="left" w:pos="420"/>
          <w:tab w:val="right" w:leader="dot" w:pos="6960"/>
        </w:tabs>
        <w:ind w:firstLine="420"/>
      </w:pPr>
      <w:r>
        <w:t>一种采用工业化方式生产的新型装配式钢筋桁架楼承板，先将钢筋桁架与钢筋焊接网经焊接或绑扎成钢筋骨架，再通过专用连接件</w:t>
      </w:r>
      <w:r>
        <w:rPr>
          <w:rFonts w:hint="eastAsia"/>
        </w:rPr>
        <w:t>（包括螺钉和垫块）</w:t>
      </w:r>
      <w:r>
        <w:t>将钢筋骨架与</w:t>
      </w:r>
      <w:r>
        <w:rPr>
          <w:rFonts w:hint="eastAsia"/>
        </w:rPr>
        <w:t>非金属</w:t>
      </w:r>
      <w:r>
        <w:t>固模底板连接成一个整体的组</w:t>
      </w:r>
      <w:r>
        <w:rPr>
          <w:rFonts w:hint="eastAsia"/>
        </w:rPr>
        <w:t>装</w:t>
      </w:r>
      <w:r>
        <w:t>楼承板，简称</w:t>
      </w:r>
      <w:r>
        <w:rPr>
          <w:rFonts w:hint="eastAsia"/>
        </w:rPr>
        <w:t>固模楼承</w:t>
      </w:r>
      <w:r>
        <w:t>板</w:t>
      </w:r>
      <w:r>
        <w:rPr>
          <w:rFonts w:hint="eastAsia"/>
        </w:rPr>
        <w:t>（又称TC板）</w:t>
      </w:r>
      <w:r>
        <w:t>。</w:t>
      </w:r>
    </w:p>
    <w:p w14:paraId="241D39CD">
      <w:pPr>
        <w:pStyle w:val="84"/>
        <w:ind w:firstLine="0" w:firstLineChars="0"/>
        <w:rPr>
          <w:rFonts w:hint="eastAsia"/>
          <w:color w:val="0070C0"/>
        </w:rPr>
      </w:pPr>
      <w:r>
        <w:rPr>
          <w:rFonts w:hint="eastAsia"/>
          <w:color w:val="0070C0"/>
        </w:rPr>
        <w:t>【条文说明】TC板是一种采用工业化方式生产的新型装配式钢筋桁架楼承板（图2-3），其受力钢筋为钢筋焊接网与钢筋桁架经焊接或绑扎形成的钢筋骨架，固模底板为成品非金属平板，如纤维水泥平板、硅酸钙板等，钢筋骨架通过专用连接件（包括垫块和螺钉）与底板连接固定。在固模剪力墙结构中，TC板既作为楼板固模，其钢筋骨架又作为楼板受力钢筋，可减少现场钢筋绑扎量，底板作为混凝土浇筑的免拆模板，大大减少施工模板。</w:t>
      </w:r>
    </w:p>
    <w:p w14:paraId="65D7FA0F">
      <w:pPr>
        <w:pStyle w:val="86"/>
        <w:spacing w:before="156"/>
      </w:pPr>
      <w:r>
        <w:rPr>
          <w:lang w:val="en-US" w:eastAsia="zh-CN"/>
        </w:rPr>
        <w:drawing>
          <wp:inline distT="0" distB="0" distL="114300" distR="114300">
            <wp:extent cx="2689225" cy="1306195"/>
            <wp:effectExtent l="0" t="0" r="15875" b="8255"/>
            <wp:docPr id="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5"/>
                    <pic:cNvPicPr>
                      <a:picLocks noChangeAspect="1"/>
                    </pic:cNvPicPr>
                  </pic:nvPicPr>
                  <pic:blipFill>
                    <a:blip r:embed="rId22"/>
                    <a:stretch>
                      <a:fillRect/>
                    </a:stretch>
                  </pic:blipFill>
                  <pic:spPr>
                    <a:xfrm>
                      <a:off x="0" y="0"/>
                      <a:ext cx="2689225" cy="1306195"/>
                    </a:xfrm>
                    <a:prstGeom prst="rect">
                      <a:avLst/>
                    </a:prstGeom>
                    <a:noFill/>
                    <a:ln>
                      <a:noFill/>
                    </a:ln>
                  </pic:spPr>
                </pic:pic>
              </a:graphicData>
            </a:graphic>
          </wp:inline>
        </w:drawing>
      </w:r>
    </w:p>
    <w:p w14:paraId="174D5D55">
      <w:pPr>
        <w:pStyle w:val="123"/>
        <w:spacing w:beforeLines="0" w:after="78"/>
        <w:ind w:firstLine="0" w:firstLineChars="0"/>
        <w:jc w:val="center"/>
        <w:rPr>
          <w:rFonts w:ascii="黑体" w:hAnsi="黑体" w:eastAsia="黑体"/>
          <w:sz w:val="16"/>
        </w:rPr>
      </w:pPr>
      <w:r>
        <w:rPr>
          <w:rFonts w:hint="eastAsia" w:ascii="黑体" w:hAnsi="黑体" w:eastAsia="黑体"/>
          <w:sz w:val="16"/>
        </w:rPr>
        <w:t>a）设计图</w:t>
      </w:r>
    </w:p>
    <w:p w14:paraId="7B1A8BC1">
      <w:pPr>
        <w:pStyle w:val="86"/>
        <w:spacing w:before="156"/>
      </w:pPr>
      <w:r>
        <w:drawing>
          <wp:inline distT="0" distB="0" distL="114300" distR="114300">
            <wp:extent cx="2141855" cy="1435100"/>
            <wp:effectExtent l="0" t="0" r="10795" b="12700"/>
            <wp:docPr id="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7"/>
                    <pic:cNvPicPr>
                      <a:picLocks noChangeAspect="1"/>
                    </pic:cNvPicPr>
                  </pic:nvPicPr>
                  <pic:blipFill>
                    <a:blip r:embed="rId23"/>
                    <a:stretch>
                      <a:fillRect/>
                    </a:stretch>
                  </pic:blipFill>
                  <pic:spPr>
                    <a:xfrm>
                      <a:off x="0" y="0"/>
                      <a:ext cx="2141855" cy="1435100"/>
                    </a:xfrm>
                    <a:prstGeom prst="rect">
                      <a:avLst/>
                    </a:prstGeom>
                    <a:noFill/>
                    <a:ln>
                      <a:noFill/>
                    </a:ln>
                  </pic:spPr>
                </pic:pic>
              </a:graphicData>
            </a:graphic>
          </wp:inline>
        </w:drawing>
      </w:r>
    </w:p>
    <w:p w14:paraId="1684AB4E">
      <w:pPr>
        <w:pStyle w:val="71"/>
        <w:spacing w:before="78" w:after="78"/>
        <w:rPr>
          <w:rFonts w:hint="eastAsia"/>
          <w:sz w:val="16"/>
        </w:rPr>
      </w:pPr>
      <w:r>
        <w:rPr>
          <w:rFonts w:hint="eastAsia" w:ascii="黑体" w:hAnsi="黑体"/>
          <w:sz w:val="16"/>
        </w:rPr>
        <w:t>b）实物图</w:t>
      </w:r>
    </w:p>
    <w:p w14:paraId="316ACFAB">
      <w:pPr>
        <w:pStyle w:val="71"/>
        <w:spacing w:before="78" w:after="78"/>
        <w:rPr>
          <w:rFonts w:hint="eastAsia"/>
        </w:rPr>
      </w:pPr>
      <w:r>
        <w:rPr>
          <w:rFonts w:hint="eastAsia"/>
        </w:rPr>
        <w:t>图2-</w:t>
      </w:r>
      <w:r>
        <w:t>3</w:t>
      </w:r>
      <w:r>
        <w:rPr>
          <w:rFonts w:hint="eastAsia"/>
        </w:rPr>
        <w:t xml:space="preserve"> </w:t>
      </w:r>
      <w:r>
        <w:t xml:space="preserve"> </w:t>
      </w:r>
      <w:r>
        <w:rPr>
          <w:rFonts w:hint="eastAsia"/>
        </w:rPr>
        <w:t>TC板</w:t>
      </w:r>
    </w:p>
    <w:bookmarkEnd w:id="58"/>
    <w:p w14:paraId="1786B31F">
      <w:pPr>
        <w:pStyle w:val="6"/>
      </w:pPr>
      <w:r>
        <w:rPr>
          <w:rFonts w:hint="eastAsia"/>
        </w:rPr>
        <w:t>钢筋桁架</w:t>
      </w:r>
      <w:r>
        <w:t xml:space="preserve">固模混凝土板  concrete slab </w:t>
      </w:r>
      <w:r>
        <w:rPr>
          <w:rFonts w:hint="eastAsia"/>
        </w:rPr>
        <w:t>adopting</w:t>
      </w:r>
      <w:r>
        <w:t xml:space="preserve"> the </w:t>
      </w:r>
      <w:r>
        <w:rPr>
          <w:rFonts w:hint="eastAsia"/>
        </w:rPr>
        <w:t>TC</w:t>
      </w:r>
      <w:r>
        <w:t>-</w:t>
      </w:r>
      <w:r>
        <w:rPr>
          <w:rFonts w:hint="eastAsia"/>
        </w:rPr>
        <w:t>D</w:t>
      </w:r>
      <w:r>
        <w:t>e</w:t>
      </w:r>
      <w:r>
        <w:rPr>
          <w:rFonts w:hint="eastAsia"/>
        </w:rPr>
        <w:t>c</w:t>
      </w:r>
      <w:r>
        <w:t>k</w:t>
      </w:r>
    </w:p>
    <w:p w14:paraId="7B853BA6">
      <w:pPr>
        <w:pStyle w:val="84"/>
        <w:tabs>
          <w:tab w:val="left" w:pos="420"/>
          <w:tab w:val="right" w:leader="dot" w:pos="6960"/>
        </w:tabs>
        <w:ind w:firstLine="420"/>
      </w:pPr>
      <w:r>
        <w:rPr>
          <w:rFonts w:hint="eastAsia"/>
        </w:rPr>
        <w:t>将固模楼承</w:t>
      </w:r>
      <w:r>
        <w:t>板用</w:t>
      </w:r>
      <w:r>
        <w:rPr>
          <w:rFonts w:hint="eastAsia"/>
        </w:rPr>
        <w:t>作</w:t>
      </w:r>
      <w:r>
        <w:t>楼板下部钢筋及施工模板，现场设置楼板</w:t>
      </w:r>
      <w:r>
        <w:rPr>
          <w:rFonts w:hint="eastAsia"/>
        </w:rPr>
        <w:t>内</w:t>
      </w:r>
      <w:r>
        <w:t>其</w:t>
      </w:r>
      <w:r>
        <w:rPr>
          <w:rFonts w:hint="eastAsia"/>
        </w:rPr>
        <w:t>他设计配</w:t>
      </w:r>
      <w:r>
        <w:t>筋并浇筑混凝土后形成的免拆底模钢筋混凝土楼板</w:t>
      </w:r>
      <w:r>
        <w:rPr>
          <w:rFonts w:hint="eastAsia"/>
        </w:rPr>
        <w:t>，简称固模混凝土板</w:t>
      </w:r>
      <w:r>
        <w:t>。</w:t>
      </w:r>
    </w:p>
    <w:p w14:paraId="6AF68FB4">
      <w:pPr>
        <w:pStyle w:val="84"/>
        <w:tabs>
          <w:tab w:val="left" w:pos="420"/>
          <w:tab w:val="right" w:leader="dot" w:pos="6960"/>
        </w:tabs>
        <w:ind w:firstLine="0" w:firstLineChars="0"/>
      </w:pPr>
      <w:r>
        <w:rPr>
          <w:rFonts w:hint="eastAsia"/>
          <w:color w:val="0070C0"/>
        </w:rPr>
        <w:t>【条文说明】钢筋桁架固模混凝土板为免支模现浇混凝土楼板，TC板的底板仅作为楼板混凝土浇筑的免拆模板使用。TC板在工厂生产时全部采用自动化生产线，无需浇筑混凝土，生产效率高，符合发展新型建筑工业化的要求；TC板重量轻，方便运输与吊装；施工时全现浇混凝土，管线铺设更容易，楼板整体性好；TC板自带底模，施工现场免支模；钢筋骨架与底板形成的空间结构具有一定刚度，可简化楼板竖向支撑；浇筑混凝土后底板免拆卸，表面平整度好，可免抹灰；TC板相比钢筋桁架混凝土叠合板等综合造价较低。</w:t>
      </w:r>
    </w:p>
    <w:p w14:paraId="0307CE46">
      <w:pPr>
        <w:pStyle w:val="5"/>
        <w:numPr>
          <w:ilvl w:val="1"/>
          <w:numId w:val="7"/>
        </w:numPr>
        <w:spacing w:before="156" w:beforeLines="50" w:after="156"/>
      </w:pPr>
      <w:bookmarkStart w:id="59" w:name="_Toc475644439"/>
      <w:bookmarkStart w:id="60" w:name="_Toc129374362"/>
      <w:bookmarkStart w:id="61" w:name="_Toc475644162"/>
      <w:bookmarkStart w:id="62" w:name="_Toc61254019"/>
      <w:bookmarkStart w:id="63" w:name="_Toc247967494"/>
      <w:bookmarkStart w:id="64" w:name="_Toc61254062"/>
      <w:bookmarkStart w:id="65" w:name="_Toc475644631"/>
      <w:bookmarkStart w:id="66" w:name="_Toc252452570"/>
      <w:bookmarkStart w:id="67" w:name="_Toc475644046"/>
      <w:bookmarkStart w:id="68" w:name="_Toc14439"/>
      <w:r>
        <w:t>符号</w:t>
      </w:r>
      <w:bookmarkEnd w:id="59"/>
      <w:bookmarkEnd w:id="60"/>
      <w:bookmarkEnd w:id="61"/>
      <w:bookmarkEnd w:id="62"/>
      <w:bookmarkEnd w:id="63"/>
      <w:bookmarkEnd w:id="64"/>
      <w:bookmarkEnd w:id="65"/>
      <w:bookmarkEnd w:id="66"/>
      <w:bookmarkEnd w:id="67"/>
      <w:bookmarkEnd w:id="68"/>
    </w:p>
    <w:p w14:paraId="49412CF3">
      <w:pPr>
        <w:pStyle w:val="6"/>
      </w:pPr>
      <w:r>
        <w:t>材料性能</w:t>
      </w:r>
    </w:p>
    <w:p w14:paraId="5629D856">
      <w:pPr>
        <w:pStyle w:val="84"/>
        <w:spacing w:line="240" w:lineRule="auto"/>
        <w:ind w:firstLine="420"/>
      </w:pPr>
      <w:r>
        <w:rPr>
          <w:position w:val="-12"/>
        </w:rPr>
        <w:drawing>
          <wp:inline distT="0" distB="0" distL="114300" distR="114300">
            <wp:extent cx="153670" cy="227965"/>
            <wp:effectExtent l="0" t="0" r="1778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153670" cy="227965"/>
                    </a:xfrm>
                    <a:prstGeom prst="rect">
                      <a:avLst/>
                    </a:prstGeom>
                    <a:noFill/>
                    <a:ln>
                      <a:noFill/>
                    </a:ln>
                  </pic:spPr>
                </pic:pic>
              </a:graphicData>
            </a:graphic>
          </wp:inline>
        </w:drawing>
      </w:r>
      <w:r>
        <w:t>——混凝土轴心抗拉强度设计值；</w:t>
      </w:r>
    </w:p>
    <w:p w14:paraId="0F97EDD7">
      <w:pPr>
        <w:pStyle w:val="84"/>
        <w:spacing w:line="240" w:lineRule="auto"/>
        <w:ind w:firstLine="420"/>
      </w:pPr>
      <w:r>
        <w:rPr>
          <w:position w:val="-12"/>
        </w:rPr>
        <w:drawing>
          <wp:inline distT="0" distB="0" distL="114300" distR="114300">
            <wp:extent cx="164465" cy="227965"/>
            <wp:effectExtent l="0" t="0" r="698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5"/>
                    <a:stretch>
                      <a:fillRect/>
                    </a:stretch>
                  </pic:blipFill>
                  <pic:spPr>
                    <a:xfrm>
                      <a:off x="0" y="0"/>
                      <a:ext cx="164465" cy="227965"/>
                    </a:xfrm>
                    <a:prstGeom prst="rect">
                      <a:avLst/>
                    </a:prstGeom>
                    <a:noFill/>
                    <a:ln>
                      <a:noFill/>
                    </a:ln>
                  </pic:spPr>
                </pic:pic>
              </a:graphicData>
            </a:graphic>
          </wp:inline>
        </w:drawing>
      </w:r>
      <w:r>
        <w:t>——混凝土轴心抗</w:t>
      </w:r>
      <w:r>
        <w:rPr>
          <w:rFonts w:hint="eastAsia"/>
        </w:rPr>
        <w:t>压</w:t>
      </w:r>
      <w:r>
        <w:t>强度设计值；</w:t>
      </w:r>
    </w:p>
    <w:p w14:paraId="15837BEF">
      <w:pPr>
        <w:pStyle w:val="84"/>
        <w:spacing w:line="240" w:lineRule="auto"/>
        <w:ind w:firstLine="420"/>
      </w:pPr>
      <w:r>
        <w:rPr>
          <w:position w:val="-14"/>
        </w:rPr>
        <w:drawing>
          <wp:inline distT="0" distB="0" distL="114300" distR="114300">
            <wp:extent cx="175260" cy="241300"/>
            <wp:effectExtent l="0" t="0" r="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6"/>
                    <a:stretch>
                      <a:fillRect/>
                    </a:stretch>
                  </pic:blipFill>
                  <pic:spPr>
                    <a:xfrm>
                      <a:off x="0" y="0"/>
                      <a:ext cx="175260" cy="241300"/>
                    </a:xfrm>
                    <a:prstGeom prst="rect">
                      <a:avLst/>
                    </a:prstGeom>
                    <a:noFill/>
                    <a:ln>
                      <a:noFill/>
                    </a:ln>
                  </pic:spPr>
                </pic:pic>
              </a:graphicData>
            </a:graphic>
          </wp:inline>
        </w:drawing>
      </w:r>
      <w:r>
        <w:t>——</w:t>
      </w:r>
      <w:r>
        <w:rPr>
          <w:rFonts w:hint="eastAsia"/>
        </w:rPr>
        <w:t>普通</w:t>
      </w:r>
      <w:r>
        <w:t>钢筋抗拉强度设计值；</w:t>
      </w:r>
    </w:p>
    <w:p w14:paraId="17455AED">
      <w:pPr>
        <w:pStyle w:val="84"/>
        <w:spacing w:line="240" w:lineRule="auto"/>
        <w:ind w:firstLine="420"/>
      </w:pPr>
      <w:r>
        <w:rPr>
          <w:position w:val="-14"/>
        </w:rPr>
        <w:drawing>
          <wp:inline distT="0" distB="0" distL="114300" distR="114300">
            <wp:extent cx="216535" cy="241300"/>
            <wp:effectExtent l="0" t="0" r="0" b="50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7"/>
                    <a:stretch>
                      <a:fillRect/>
                    </a:stretch>
                  </pic:blipFill>
                  <pic:spPr>
                    <a:xfrm>
                      <a:off x="0" y="0"/>
                      <a:ext cx="216535" cy="241300"/>
                    </a:xfrm>
                    <a:prstGeom prst="rect">
                      <a:avLst/>
                    </a:prstGeom>
                    <a:noFill/>
                    <a:ln>
                      <a:noFill/>
                    </a:ln>
                  </pic:spPr>
                </pic:pic>
              </a:graphicData>
            </a:graphic>
          </wp:inline>
        </w:drawing>
      </w:r>
      <w:r>
        <w:t>——</w:t>
      </w:r>
      <w:r>
        <w:rPr>
          <w:rFonts w:hint="eastAsia"/>
        </w:rPr>
        <w:t>剪力墙</w:t>
      </w:r>
      <w:r>
        <w:t>水平分布钢筋的抗拉强度设计值</w:t>
      </w:r>
      <w:r>
        <w:rPr>
          <w:rFonts w:hint="eastAsia"/>
        </w:rPr>
        <w:t>。</w:t>
      </w:r>
    </w:p>
    <w:p w14:paraId="55DE4834">
      <w:pPr>
        <w:pStyle w:val="6"/>
      </w:pPr>
      <w:r>
        <w:t>作用</w:t>
      </w:r>
      <w:r>
        <w:rPr>
          <w:rFonts w:hint="eastAsia"/>
        </w:rPr>
        <w:t>及</w:t>
      </w:r>
      <w:r>
        <w:t>作用效应</w:t>
      </w:r>
    </w:p>
    <w:p w14:paraId="2A959B50">
      <w:pPr>
        <w:pStyle w:val="84"/>
        <w:ind w:firstLine="420"/>
        <w:rPr>
          <w:i/>
        </w:rPr>
      </w:pPr>
      <w:r>
        <w:rPr>
          <w:i/>
        </w:rPr>
        <w:t>N</w:t>
      </w:r>
      <w:r>
        <w:t>——剪力墙轴向力设计值；</w:t>
      </w:r>
    </w:p>
    <w:p w14:paraId="1F87B72A">
      <w:pPr>
        <w:pStyle w:val="84"/>
        <w:ind w:firstLine="420"/>
      </w:pPr>
      <w:r>
        <w:rPr>
          <w:i/>
        </w:rPr>
        <w:t>V ——</w:t>
      </w:r>
      <w:r>
        <w:t>剪力</w:t>
      </w:r>
      <w:r>
        <w:rPr>
          <w:rFonts w:hint="eastAsia"/>
        </w:rPr>
        <w:t>墙的剪力</w:t>
      </w:r>
      <w:r>
        <w:t>设计值；</w:t>
      </w:r>
    </w:p>
    <w:p w14:paraId="370D700D">
      <w:pPr>
        <w:pStyle w:val="84"/>
        <w:ind w:firstLine="420"/>
      </w:pPr>
      <w:r>
        <w:rPr>
          <w:i/>
        </w:rPr>
        <w:t>V</w:t>
      </w:r>
      <w:r>
        <w:rPr>
          <w:vertAlign w:val="subscript"/>
        </w:rPr>
        <w:t>wj</w:t>
      </w:r>
      <w:r>
        <w:t>——剪力墙水平施工缝处剪力设计值</w:t>
      </w:r>
      <w:r>
        <w:rPr>
          <w:rFonts w:hint="eastAsia"/>
        </w:rPr>
        <w:t>。</w:t>
      </w:r>
    </w:p>
    <w:p w14:paraId="0C37EE15">
      <w:pPr>
        <w:pStyle w:val="6"/>
      </w:pPr>
      <w:r>
        <w:t>几何参数</w:t>
      </w:r>
    </w:p>
    <w:p w14:paraId="7C557633">
      <w:pPr>
        <w:pStyle w:val="84"/>
        <w:ind w:firstLine="420"/>
      </w:pPr>
      <w:r>
        <w:rPr>
          <w:position w:val="-4"/>
        </w:rPr>
        <w:drawing>
          <wp:inline distT="0" distB="0" distL="114300" distR="114300">
            <wp:extent cx="153670" cy="164465"/>
            <wp:effectExtent l="0" t="0" r="17780" b="444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8"/>
                    <a:stretch>
                      <a:fillRect/>
                    </a:stretch>
                  </pic:blipFill>
                  <pic:spPr>
                    <a:xfrm>
                      <a:off x="0" y="0"/>
                      <a:ext cx="153670" cy="164465"/>
                    </a:xfrm>
                    <a:prstGeom prst="rect">
                      <a:avLst/>
                    </a:prstGeom>
                    <a:noFill/>
                    <a:ln>
                      <a:noFill/>
                    </a:ln>
                  </pic:spPr>
                </pic:pic>
              </a:graphicData>
            </a:graphic>
          </wp:inline>
        </w:drawing>
      </w:r>
      <w:r>
        <w:t>——剪力墙全截面面积；</w:t>
      </w:r>
    </w:p>
    <w:p w14:paraId="0DFB33D6">
      <w:pPr>
        <w:pStyle w:val="84"/>
        <w:ind w:firstLine="420"/>
      </w:pPr>
      <w:r>
        <w:rPr>
          <w:position w:val="-14"/>
        </w:rPr>
        <w:drawing>
          <wp:inline distT="0" distB="0" distL="114300" distR="114300">
            <wp:extent cx="216535" cy="24130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9"/>
                    <a:stretch>
                      <a:fillRect/>
                    </a:stretch>
                  </pic:blipFill>
                  <pic:spPr>
                    <a:xfrm>
                      <a:off x="0" y="0"/>
                      <a:ext cx="216535" cy="241300"/>
                    </a:xfrm>
                    <a:prstGeom prst="rect">
                      <a:avLst/>
                    </a:prstGeom>
                    <a:noFill/>
                    <a:ln>
                      <a:noFill/>
                    </a:ln>
                  </pic:spPr>
                </pic:pic>
              </a:graphicData>
            </a:graphic>
          </wp:inline>
        </w:drawing>
      </w:r>
      <w:r>
        <w:t>——T形或I形截面剪力墙腹板的面积；</w:t>
      </w:r>
    </w:p>
    <w:p w14:paraId="445DA995">
      <w:pPr>
        <w:pStyle w:val="84"/>
        <w:ind w:firstLine="420"/>
      </w:pPr>
      <w:r>
        <w:rPr>
          <w:i/>
        </w:rPr>
        <w:t>A</w:t>
      </w:r>
      <w:r>
        <w:rPr>
          <w:vertAlign w:val="subscript"/>
        </w:rPr>
        <w:t>s</w:t>
      </w:r>
      <w:r>
        <w:t xml:space="preserve"> ——水平施工缝处剪力墙竖向钢筋总面积；</w:t>
      </w:r>
    </w:p>
    <w:p w14:paraId="1E86C593">
      <w:pPr>
        <w:pStyle w:val="84"/>
        <w:spacing w:before="80"/>
        <w:ind w:left="1112" w:leftChars="193" w:hanging="707" w:hangingChars="337"/>
      </w:pPr>
      <w:r>
        <w:rPr>
          <w:i/>
        </w:rPr>
        <w:t>A</w:t>
      </w:r>
      <w:r>
        <w:rPr>
          <w:vertAlign w:val="subscript"/>
        </w:rPr>
        <w:t>sh</w:t>
      </w:r>
      <w:r>
        <w:t xml:space="preserve"> ——</w:t>
      </w:r>
      <w:r>
        <w:rPr>
          <w:rFonts w:hint="eastAsia"/>
        </w:rPr>
        <w:t>固模剪力墙</w:t>
      </w:r>
      <w:r>
        <w:t>水平孔的间距</w:t>
      </w:r>
      <w:r>
        <w:rPr>
          <w:rFonts w:hint="eastAsia"/>
        </w:rPr>
        <w:t>范围内</w:t>
      </w:r>
      <w:r>
        <w:t>水平分布钢筋的全部截面面积；</w:t>
      </w:r>
    </w:p>
    <w:p w14:paraId="62A2E212">
      <w:pPr>
        <w:pStyle w:val="84"/>
        <w:ind w:firstLine="420"/>
      </w:pPr>
      <w:r>
        <w:rPr>
          <w:i/>
        </w:rPr>
        <w:t>b</w:t>
      </w:r>
      <w:r>
        <w:rPr>
          <w:vertAlign w:val="subscript"/>
        </w:rPr>
        <w:t>w</w:t>
      </w:r>
      <w:r>
        <w:t>——剪力墙截面宽度；</w:t>
      </w:r>
    </w:p>
    <w:p w14:paraId="2C3407C8">
      <w:pPr>
        <w:pStyle w:val="84"/>
        <w:ind w:firstLine="420"/>
      </w:pPr>
      <w:r>
        <w:rPr>
          <w:i/>
        </w:rPr>
        <w:t>h</w:t>
      </w:r>
      <w:r>
        <w:rPr>
          <w:vertAlign w:val="subscript"/>
        </w:rPr>
        <w:t>w0</w:t>
      </w:r>
      <w:r>
        <w:t>——剪力墙截面有效高度；</w:t>
      </w:r>
    </w:p>
    <w:p w14:paraId="5A42148A">
      <w:pPr>
        <w:tabs>
          <w:tab w:val="left" w:pos="420"/>
          <w:tab w:val="right" w:leader="dot" w:pos="6960"/>
        </w:tabs>
        <w:ind w:firstLine="420" w:firstLineChars="200"/>
      </w:pPr>
      <w:r>
        <w:rPr>
          <w:i/>
        </w:rPr>
        <w:t xml:space="preserve">h </w:t>
      </w:r>
      <w:r>
        <w:t>——楼板</w:t>
      </w:r>
      <w:r>
        <w:rPr>
          <w:rFonts w:hint="eastAsia"/>
        </w:rPr>
        <w:t>现浇</w:t>
      </w:r>
      <w:r>
        <w:t>混凝土</w:t>
      </w:r>
      <w:r>
        <w:rPr>
          <w:rFonts w:hint="eastAsia"/>
        </w:rPr>
        <w:t>层</w:t>
      </w:r>
      <w:r>
        <w:t>厚度；</w:t>
      </w:r>
    </w:p>
    <w:p w14:paraId="35A60560">
      <w:pPr>
        <w:tabs>
          <w:tab w:val="left" w:pos="420"/>
          <w:tab w:val="right" w:leader="dot" w:pos="6960"/>
        </w:tabs>
        <w:ind w:firstLine="420" w:firstLineChars="200"/>
      </w:pPr>
      <w:r>
        <w:rPr>
          <w:i/>
        </w:rPr>
        <w:t>h</w:t>
      </w:r>
      <w:r>
        <w:rPr>
          <w:vertAlign w:val="subscript"/>
        </w:rPr>
        <w:t>t</w:t>
      </w:r>
      <w:r>
        <w:rPr>
          <w:i/>
        </w:rPr>
        <w:t xml:space="preserve"> </w:t>
      </w:r>
      <w:r>
        <w:t>——</w:t>
      </w:r>
      <w:r>
        <w:rPr>
          <w:rFonts w:hint="eastAsia"/>
        </w:rPr>
        <w:t>固模楼承板</w:t>
      </w:r>
      <w:r>
        <w:t>中钢筋桁架高度。</w:t>
      </w:r>
    </w:p>
    <w:p w14:paraId="67AB0164">
      <w:pPr>
        <w:pStyle w:val="84"/>
        <w:ind w:firstLine="420"/>
      </w:pPr>
      <w:r>
        <w:rPr>
          <w:i/>
        </w:rPr>
        <w:t>l</w:t>
      </w:r>
      <w:r>
        <w:rPr>
          <w:vertAlign w:val="subscript"/>
        </w:rPr>
        <w:t>a</w:t>
      </w:r>
      <w:r>
        <w:t>——</w:t>
      </w:r>
      <w:r>
        <w:rPr>
          <w:rFonts w:hint="eastAsia"/>
        </w:rPr>
        <w:t>受拉</w:t>
      </w:r>
      <w:r>
        <w:t>钢筋的锚固长度</w:t>
      </w:r>
      <w:r>
        <w:rPr>
          <w:rFonts w:hint="eastAsia"/>
        </w:rPr>
        <w:t>；</w:t>
      </w:r>
    </w:p>
    <w:p w14:paraId="49F3ADB6">
      <w:pPr>
        <w:pStyle w:val="84"/>
        <w:ind w:firstLine="420"/>
      </w:pPr>
      <w:r>
        <w:rPr>
          <w:i/>
        </w:rPr>
        <w:t>l</w:t>
      </w:r>
      <w:r>
        <w:rPr>
          <w:vertAlign w:val="subscript"/>
        </w:rPr>
        <w:t>aE</w:t>
      </w:r>
      <w:r>
        <w:t>——</w:t>
      </w:r>
      <w:r>
        <w:rPr>
          <w:rFonts w:hint="eastAsia"/>
        </w:rPr>
        <w:t>受拉</w:t>
      </w:r>
      <w:r>
        <w:t>钢筋的抗震锚固长度</w:t>
      </w:r>
      <w:r>
        <w:rPr>
          <w:rFonts w:hint="eastAsia"/>
        </w:rPr>
        <w:t>；</w:t>
      </w:r>
    </w:p>
    <w:p w14:paraId="359D59DC">
      <w:pPr>
        <w:tabs>
          <w:tab w:val="left" w:pos="420"/>
          <w:tab w:val="right" w:leader="dot" w:pos="6960"/>
        </w:tabs>
        <w:ind w:firstLine="420" w:firstLineChars="200"/>
      </w:pPr>
      <w:r>
        <w:rPr>
          <w:i/>
        </w:rPr>
        <w:t>L</w:t>
      </w:r>
      <w:r>
        <w:t>——</w:t>
      </w:r>
      <w:r>
        <w:rPr>
          <w:rFonts w:hint="eastAsia"/>
        </w:rPr>
        <w:t>固模楼承板</w:t>
      </w:r>
      <w:r>
        <w:t>长度，即底板长度；</w:t>
      </w:r>
    </w:p>
    <w:p w14:paraId="62DCC5A0">
      <w:pPr>
        <w:pStyle w:val="84"/>
        <w:ind w:firstLine="420"/>
        <w:rPr>
          <w:rFonts w:hint="eastAsia"/>
        </w:rPr>
      </w:pPr>
      <w:r>
        <w:rPr>
          <w:i/>
        </w:rPr>
        <w:t xml:space="preserve">s </w:t>
      </w:r>
      <w:r>
        <w:t>——</w:t>
      </w:r>
      <w:r>
        <w:rPr>
          <w:rFonts w:hint="eastAsia"/>
        </w:rPr>
        <w:t>固模剪力墙水平分布钢筋间距；</w:t>
      </w:r>
    </w:p>
    <w:p w14:paraId="7E94E69B">
      <w:pPr>
        <w:tabs>
          <w:tab w:val="left" w:pos="420"/>
          <w:tab w:val="right" w:leader="dot" w:pos="6960"/>
        </w:tabs>
        <w:ind w:firstLine="420" w:firstLineChars="200"/>
      </w:pPr>
      <w:r>
        <w:rPr>
          <w:i/>
        </w:rPr>
        <w:t xml:space="preserve">t </w:t>
      </w:r>
      <w:r>
        <w:t>——</w:t>
      </w:r>
      <w:r>
        <w:rPr>
          <w:rFonts w:hint="eastAsia"/>
        </w:rPr>
        <w:t>固模楼承板的</w:t>
      </w:r>
      <w:r>
        <w:t>底板厚度；</w:t>
      </w:r>
    </w:p>
    <w:p w14:paraId="67CDC59F">
      <w:pPr>
        <w:tabs>
          <w:tab w:val="left" w:pos="420"/>
          <w:tab w:val="right" w:leader="dot" w:pos="6960"/>
        </w:tabs>
        <w:ind w:firstLine="420" w:firstLineChars="200"/>
      </w:pPr>
      <w:r>
        <w:rPr>
          <w:rFonts w:hint="eastAsia"/>
          <w:i/>
        </w:rPr>
        <w:t>W</w:t>
      </w:r>
      <w:r>
        <w:t>——</w:t>
      </w:r>
      <w:r>
        <w:rPr>
          <w:rFonts w:hint="eastAsia"/>
        </w:rPr>
        <w:t>固模楼承板</w:t>
      </w:r>
      <w:r>
        <w:t>宽度，即底板宽度；</w:t>
      </w:r>
    </w:p>
    <w:p w14:paraId="0F1BF3D0">
      <w:pPr>
        <w:pStyle w:val="6"/>
      </w:pPr>
      <w:r>
        <w:t>计算系数及其他</w:t>
      </w:r>
    </w:p>
    <w:p w14:paraId="08FA7166">
      <w:pPr>
        <w:pStyle w:val="84"/>
        <w:ind w:firstLine="420"/>
      </w:pPr>
      <w:r>
        <w:rPr>
          <w:position w:val="-12"/>
        </w:rPr>
        <w:drawing>
          <wp:inline distT="0" distB="0" distL="114300" distR="114300">
            <wp:extent cx="175260" cy="227965"/>
            <wp:effectExtent l="0" t="0" r="15240" b="63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30"/>
                    <a:stretch>
                      <a:fillRect/>
                    </a:stretch>
                  </pic:blipFill>
                  <pic:spPr>
                    <a:xfrm>
                      <a:off x="0" y="0"/>
                      <a:ext cx="175260" cy="227965"/>
                    </a:xfrm>
                    <a:prstGeom prst="rect">
                      <a:avLst/>
                    </a:prstGeom>
                    <a:noFill/>
                    <a:ln>
                      <a:noFill/>
                    </a:ln>
                  </pic:spPr>
                </pic:pic>
              </a:graphicData>
            </a:graphic>
          </wp:inline>
        </w:drawing>
      </w:r>
      <w:r>
        <w:t xml:space="preserve"> ——混凝土强度</w:t>
      </w:r>
      <w:r>
        <w:rPr>
          <w:rFonts w:hint="eastAsia"/>
        </w:rPr>
        <w:t>影响系数；</w:t>
      </w:r>
    </w:p>
    <w:p w14:paraId="59F9D928">
      <w:pPr>
        <w:pStyle w:val="84"/>
        <w:ind w:firstLine="420"/>
      </w:pPr>
      <w:r>
        <w:rPr>
          <w:position w:val="-12"/>
        </w:rPr>
        <w:drawing>
          <wp:inline distT="0" distB="0" distL="114300" distR="114300">
            <wp:extent cx="241300" cy="227965"/>
            <wp:effectExtent l="0" t="0" r="6350"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1"/>
                    <a:stretch>
                      <a:fillRect/>
                    </a:stretch>
                  </pic:blipFill>
                  <pic:spPr>
                    <a:xfrm>
                      <a:off x="0" y="0"/>
                      <a:ext cx="241300" cy="227965"/>
                    </a:xfrm>
                    <a:prstGeom prst="rect">
                      <a:avLst/>
                    </a:prstGeom>
                    <a:noFill/>
                    <a:ln>
                      <a:noFill/>
                    </a:ln>
                  </pic:spPr>
                </pic:pic>
              </a:graphicData>
            </a:graphic>
          </wp:inline>
        </w:drawing>
      </w:r>
      <w:r>
        <w:t>——</w:t>
      </w:r>
      <w:r>
        <w:rPr>
          <w:rFonts w:hint="eastAsia"/>
        </w:rPr>
        <w:t>剪力墙</w:t>
      </w:r>
      <w:r>
        <w:t>承载力抗震调整系数；</w:t>
      </w:r>
    </w:p>
    <w:p w14:paraId="71DA8E2D">
      <w:pPr>
        <w:pStyle w:val="84"/>
        <w:ind w:firstLine="420"/>
      </w:pPr>
      <w:r>
        <w:rPr>
          <w:position w:val="-6"/>
        </w:rPr>
        <w:drawing>
          <wp:inline distT="0" distB="0" distL="114300" distR="114300">
            <wp:extent cx="139700" cy="175260"/>
            <wp:effectExtent l="0" t="0" r="12700"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2"/>
                    <a:stretch>
                      <a:fillRect/>
                    </a:stretch>
                  </pic:blipFill>
                  <pic:spPr>
                    <a:xfrm>
                      <a:off x="0" y="0"/>
                      <a:ext cx="139700" cy="175260"/>
                    </a:xfrm>
                    <a:prstGeom prst="rect">
                      <a:avLst/>
                    </a:prstGeom>
                    <a:noFill/>
                    <a:ln>
                      <a:noFill/>
                    </a:ln>
                  </pic:spPr>
                </pic:pic>
              </a:graphicData>
            </a:graphic>
          </wp:inline>
        </w:drawing>
      </w:r>
      <w:r>
        <w:t xml:space="preserve"> ——截面的计算剪跨比</w:t>
      </w:r>
      <w:r>
        <w:rPr>
          <w:rFonts w:hint="eastAsia"/>
        </w:rPr>
        <w:t>。</w:t>
      </w:r>
    </w:p>
    <w:p w14:paraId="159C6F07">
      <w:pPr>
        <w:pStyle w:val="4"/>
        <w:spacing w:before="156" w:after="156"/>
      </w:pPr>
      <w:r>
        <w:br w:type="page"/>
      </w:r>
      <w:bookmarkStart w:id="69" w:name="_Toc61254020"/>
      <w:bookmarkStart w:id="70" w:name="_Toc475644638"/>
      <w:bookmarkStart w:id="71" w:name="_Toc17697"/>
      <w:bookmarkStart w:id="72" w:name="_Toc454444392"/>
      <w:bookmarkStart w:id="73" w:name="_Toc61254063"/>
      <w:bookmarkStart w:id="74" w:name="_Toc475644446"/>
      <w:bookmarkStart w:id="75" w:name="_Toc475644053"/>
      <w:bookmarkStart w:id="76" w:name="_Toc475644169"/>
      <w:bookmarkStart w:id="77" w:name="_Toc129374363"/>
      <w:bookmarkStart w:id="78" w:name="_Toc475644632"/>
      <w:bookmarkStart w:id="79" w:name="_Toc475644047"/>
      <w:bookmarkStart w:id="80" w:name="_Toc475644163"/>
      <w:bookmarkStart w:id="81" w:name="_Toc475644440"/>
      <w:r>
        <w:rPr>
          <w:rFonts w:hint="eastAsia"/>
        </w:rPr>
        <w:t>基本</w:t>
      </w:r>
      <w:r>
        <w:t>规定</w:t>
      </w:r>
      <w:bookmarkEnd w:id="69"/>
      <w:bookmarkEnd w:id="70"/>
      <w:bookmarkEnd w:id="71"/>
      <w:bookmarkEnd w:id="72"/>
      <w:bookmarkEnd w:id="73"/>
      <w:bookmarkEnd w:id="74"/>
      <w:bookmarkEnd w:id="75"/>
      <w:bookmarkEnd w:id="76"/>
      <w:bookmarkEnd w:id="77"/>
    </w:p>
    <w:p w14:paraId="57AA1DEB">
      <w:pPr>
        <w:pStyle w:val="6"/>
      </w:pPr>
      <w:r>
        <w:rPr>
          <w:rFonts w:hint="eastAsia"/>
        </w:rPr>
        <w:t>固模剪力墙建筑设计应进行技术策划，对技术选型、技术经济可行性等进行评估，根据装配式评价目标，科学合理地确定技术实施方案。</w:t>
      </w:r>
    </w:p>
    <w:p w14:paraId="59FFD3E9">
      <w:pPr>
        <w:pStyle w:val="6"/>
        <w:numPr>
          <w:ilvl w:val="0"/>
          <w:numId w:val="0"/>
        </w:numPr>
        <w:tabs>
          <w:tab w:val="clear" w:pos="907"/>
        </w:tabs>
      </w:pPr>
      <w:r>
        <w:rPr>
          <w:rFonts w:hint="eastAsia"/>
          <w:color w:val="0070C0"/>
        </w:rPr>
        <w:t>【条文说明】为实现装配式评价目标，应根据现场施工条件以轻量化、标准化、少支撑为原则尽量减少现浇作业，但不应以高装配率得分为目的而盲目增加预制构件应用比例。</w:t>
      </w:r>
    </w:p>
    <w:p w14:paraId="1ED56E2B">
      <w:pPr>
        <w:pStyle w:val="6"/>
      </w:pPr>
      <w:r>
        <w:rPr>
          <w:rFonts w:hint="eastAsia"/>
        </w:rPr>
        <w:t>固模剪力墙建筑应采用标准化、模数化设计原则，将建筑设计与结构系统、外围护系统、设备与管线系统和内装系统等进行协同设计；宜采用规划设计、生产运输、施工安装和使用维护全过程的一体化管理。</w:t>
      </w:r>
    </w:p>
    <w:p w14:paraId="3B02C873">
      <w:pPr>
        <w:pStyle w:val="6"/>
        <w:numPr>
          <w:ilvl w:val="2"/>
          <w:numId w:val="0"/>
        </w:numPr>
      </w:pPr>
      <w:r>
        <w:rPr>
          <w:rFonts w:hint="eastAsia"/>
          <w:color w:val="0070C0"/>
        </w:rPr>
        <w:t>【条文说明】协同设计和一体化管理是装配式建筑设计的基本要求。协同设计是指工程设计各专业之间的协调配合，一体化管理是指工程建设各阶段之间的统一管理。</w:t>
      </w:r>
    </w:p>
    <w:p w14:paraId="2EB12FFB">
      <w:pPr>
        <w:pStyle w:val="6"/>
      </w:pPr>
      <w:r>
        <w:rPr>
          <w:rFonts w:hint="eastAsia"/>
        </w:rPr>
        <w:t>固模剪力墙建筑的标准化设计应采用模数协调的方法，应符合现行国家标准《建筑模数协调标准》GB/T 50002的有关规定。功能空间宜采用界面定位法，部品部件定位可采用中心线定位法、界面定位法或两者混合使用的方法。</w:t>
      </w:r>
    </w:p>
    <w:p w14:paraId="7E966EEA">
      <w:pPr>
        <w:pStyle w:val="106"/>
        <w:ind w:firstLine="0" w:firstLineChars="0"/>
      </w:pPr>
      <w:r>
        <w:rPr>
          <w:rFonts w:hint="eastAsia"/>
          <w:color w:val="0070C0"/>
        </w:rPr>
        <w:t>【条文说明】固模剪力墙建筑的标准化设计应采用模数协调的方法，模数协调应遵照下列原则：建立与建筑模数相协调的结构模数网格，主体结构部件按模数网格定位。主体结构部件的定位法分为中心线定位法、界面定位法和制作面定位法。其中制作面定位法可视为界面定位法的一种特殊情况（图3-1）。</w:t>
      </w:r>
    </w:p>
    <w:p w14:paraId="45A408FC">
      <w:pPr>
        <w:pStyle w:val="86"/>
        <w:spacing w:before="156"/>
        <w:rPr>
          <w:lang w:val="en-US" w:eastAsia="zh-CN"/>
        </w:rPr>
      </w:pPr>
      <w:r>
        <w:rPr>
          <w:lang w:val="en-US" w:eastAsia="zh-CN"/>
        </w:rPr>
        <w:drawing>
          <wp:inline distT="0" distB="0" distL="114300" distR="114300">
            <wp:extent cx="2824480" cy="1875155"/>
            <wp:effectExtent l="0" t="0" r="13970" b="10795"/>
            <wp:docPr id="1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8"/>
                    <pic:cNvPicPr>
                      <a:picLocks noChangeAspect="1"/>
                    </pic:cNvPicPr>
                  </pic:nvPicPr>
                  <pic:blipFill>
                    <a:blip r:embed="rId33"/>
                    <a:stretch>
                      <a:fillRect/>
                    </a:stretch>
                  </pic:blipFill>
                  <pic:spPr>
                    <a:xfrm>
                      <a:off x="0" y="0"/>
                      <a:ext cx="2824480" cy="1875155"/>
                    </a:xfrm>
                    <a:prstGeom prst="rect">
                      <a:avLst/>
                    </a:prstGeom>
                    <a:noFill/>
                    <a:ln>
                      <a:noFill/>
                    </a:ln>
                  </pic:spPr>
                </pic:pic>
              </a:graphicData>
            </a:graphic>
          </wp:inline>
        </w:drawing>
      </w:r>
    </w:p>
    <w:p w14:paraId="7AFC2C36">
      <w:pPr>
        <w:pStyle w:val="71"/>
        <w:spacing w:before="78" w:after="78"/>
      </w:pPr>
      <w:r>
        <w:rPr>
          <w:rFonts w:hint="eastAsia"/>
        </w:rPr>
        <w:t>图3-1</w:t>
      </w:r>
      <w:r>
        <w:t xml:space="preserve">  </w:t>
      </w:r>
      <w:r>
        <w:rPr>
          <w:rFonts w:hint="eastAsia"/>
        </w:rPr>
        <w:t>主体结构的定位</w:t>
      </w:r>
    </w:p>
    <w:p w14:paraId="0505A212">
      <w:pPr>
        <w:spacing w:before="78" w:beforeLines="25" w:after="78" w:afterLines="25" w:line="240" w:lineRule="auto"/>
        <w:jc w:val="center"/>
        <w:rPr>
          <w:rFonts w:hint="eastAsia"/>
          <w:sz w:val="16"/>
          <w:szCs w:val="21"/>
        </w:rPr>
      </w:pPr>
      <w:r>
        <w:rPr>
          <w:rFonts w:hint="eastAsia"/>
          <w:sz w:val="16"/>
          <w:szCs w:val="21"/>
        </w:rPr>
        <w:t>1-轴线</w:t>
      </w:r>
      <w:r>
        <w:rPr>
          <w:sz w:val="16"/>
          <w:szCs w:val="21"/>
        </w:rPr>
        <w:t>；2-</w:t>
      </w:r>
      <w:r>
        <w:rPr>
          <w:rFonts w:hint="eastAsia"/>
          <w:sz w:val="16"/>
          <w:szCs w:val="21"/>
        </w:rPr>
        <w:t>主体结构部件</w:t>
      </w:r>
      <w:r>
        <w:rPr>
          <w:sz w:val="16"/>
          <w:szCs w:val="21"/>
        </w:rPr>
        <w:t>；3-</w:t>
      </w:r>
      <w:r>
        <w:rPr>
          <w:rFonts w:hint="eastAsia"/>
          <w:sz w:val="16"/>
          <w:szCs w:val="21"/>
        </w:rPr>
        <w:t>建筑面层</w:t>
      </w:r>
    </w:p>
    <w:p w14:paraId="25A8B34A">
      <w:pPr>
        <w:pStyle w:val="106"/>
        <w:ind w:firstLine="400"/>
      </w:pPr>
      <w:r>
        <w:rPr>
          <w:rFonts w:hint="eastAsia"/>
          <w:color w:val="0070C0"/>
        </w:rPr>
        <w:t>隔墙、屋面板、楼板等与主体结构承重构件交接的建筑构配件及部品可采用界面定位法，全装修、设备管线可采用中心线与界面定位法混合使用的方法。</w:t>
      </w:r>
    </w:p>
    <w:p w14:paraId="09775BE0">
      <w:pPr>
        <w:pStyle w:val="6"/>
      </w:pPr>
      <w:r>
        <w:rPr>
          <w:rFonts w:hint="eastAsia"/>
        </w:rPr>
        <w:t>在模数协调的基础上，应遵循“少规格、多组合”的原则，进行部品部件的模块化、定型化设计。</w:t>
      </w:r>
    </w:p>
    <w:p w14:paraId="2C0CF142">
      <w:pPr>
        <w:pStyle w:val="6"/>
      </w:pPr>
      <w:r>
        <w:rPr>
          <w:rFonts w:hint="eastAsia"/>
        </w:rPr>
        <w:t>固模剪力墙居住建筑设计应满足使用者多样化的居住需求，宜采用标准套型所形成的功能模块进行组合的设计方法，同系列模块间应具备一定的逻辑及衍生关系并预留统一的标准化接口。</w:t>
      </w:r>
    </w:p>
    <w:p w14:paraId="07581145">
      <w:pPr>
        <w:pStyle w:val="6"/>
      </w:pPr>
      <w:r>
        <w:rPr>
          <w:rFonts w:hint="eastAsia"/>
        </w:rPr>
        <w:t>固模剪力墙建筑设计宜以模块化设计方法统领建筑系统集成，宜依托BIM技术、工程总承包模式促成一体化建造、信息化管理。</w:t>
      </w:r>
    </w:p>
    <w:p w14:paraId="62E3FDBF">
      <w:pPr>
        <w:pStyle w:val="6"/>
        <w:numPr>
          <w:ilvl w:val="0"/>
          <w:numId w:val="0"/>
        </w:numPr>
        <w:tabs>
          <w:tab w:val="clear" w:pos="907"/>
        </w:tabs>
      </w:pPr>
      <w:r>
        <w:rPr>
          <w:rFonts w:hint="eastAsia"/>
        </w:rPr>
        <w:t>【条文说明】《国务院办公厅关于促进建筑业持续健康发展的意见》国办发〔20</w:t>
      </w:r>
      <w:r>
        <w:rPr>
          <w:rFonts w:hint="eastAsia"/>
          <w:lang w:val="en-US" w:eastAsia="zh-CN"/>
        </w:rPr>
        <w:t>17</w:t>
      </w:r>
      <w:r>
        <w:rPr>
          <w:rFonts w:hint="eastAsia"/>
        </w:rPr>
        <w:t>〕19号中提出“加快推行工程总承包。装配式建筑原则上应采用工程总承包模式。政府投资工程应完善建设管理模式，带头推行工程总承包。”装配式建筑项目具有“设计标准化、生产工厂化、施工装配化、主体机电装修一体化、全过程管理信息化”的特征，推行工程总承包模式，能将工程建设的全过程联结为完整的一体化产业链，全面发挥装配式建筑的建造优势。</w:t>
      </w:r>
    </w:p>
    <w:p w14:paraId="5EEDF65C">
      <w:pPr>
        <w:pStyle w:val="6"/>
      </w:pPr>
      <w:r>
        <w:rPr>
          <w:rFonts w:hint="eastAsia"/>
        </w:rPr>
        <w:t>固模剪力墙结构应满足建筑全生命周期的使用及维护要求，宜采用结构与设备管线分离的方式进行设计。</w:t>
      </w:r>
    </w:p>
    <w:p w14:paraId="134813F4">
      <w:pPr>
        <w:pStyle w:val="6"/>
        <w:numPr>
          <w:ilvl w:val="2"/>
          <w:numId w:val="0"/>
        </w:numPr>
      </w:pPr>
      <w:r>
        <w:rPr>
          <w:rFonts w:hint="eastAsia"/>
          <w:color w:val="0070C0"/>
        </w:rPr>
        <w:t>【条文说明】装配式建筑设计推荐结构与管线分离的方式，以提高结构构件的使用寿命。对没有采用结构与管线分离的房间，机电预留预埋应落实到位。对竖向管线集中布置的部位，宜设置管道井，应满足维修和更换的要求。</w:t>
      </w:r>
    </w:p>
    <w:p w14:paraId="26371763">
      <w:pPr>
        <w:pStyle w:val="6"/>
      </w:pPr>
      <w:r>
        <w:rPr>
          <w:rFonts w:hint="eastAsia"/>
        </w:rPr>
        <w:t>固模剪力墙结构构件深化设计应符合现行广东省标准《装配式混凝土建筑深化设计技术规程》DBJ/T15-155的有关规定</w:t>
      </w:r>
      <w:r>
        <w:rPr>
          <w:rFonts w:hint="eastAsia"/>
          <w:spacing w:val="-16"/>
        </w:rPr>
        <w:t>。</w:t>
      </w:r>
    </w:p>
    <w:p w14:paraId="7A09A011">
      <w:pPr>
        <w:pStyle w:val="6"/>
        <w:numPr>
          <w:ilvl w:val="0"/>
          <w:numId w:val="0"/>
        </w:numPr>
        <w:tabs>
          <w:tab w:val="clear" w:pos="907"/>
        </w:tabs>
      </w:pPr>
      <w:r>
        <w:rPr>
          <w:rFonts w:hint="eastAsia"/>
          <w:color w:val="0070C0"/>
        </w:rPr>
        <w:t>【条文说明】预制构件制作前应进行深化设计，构件深化设计宜由主体建筑设计单位完成，也可由相关设计单位或构件生产单位完成。深化设计单位应与主体设计单位紧密配合，宜从方案阶段开始介入。主体建筑设计单位应对预制构件深化设计进行会签，确保荷载、配筋、节点连接以及对主体结构的影响均符合主体结构设计的要求。</w:t>
      </w:r>
    </w:p>
    <w:p w14:paraId="19C550BE">
      <w:pPr>
        <w:pStyle w:val="6"/>
      </w:pPr>
      <w:r>
        <w:rPr>
          <w:rFonts w:hint="eastAsia"/>
        </w:rPr>
        <w:t>预制构件和部品的生产应建立完善的生产质量管理体系，设置产品标识，提高生产精度，保障产品质量。</w:t>
      </w:r>
    </w:p>
    <w:p w14:paraId="37AFA935">
      <w:pPr>
        <w:pStyle w:val="6"/>
      </w:pPr>
      <w:r>
        <w:t>预制</w:t>
      </w:r>
      <w:r>
        <w:rPr>
          <w:rFonts w:hint="eastAsia"/>
        </w:rPr>
        <w:t>混凝土</w:t>
      </w:r>
      <w:r>
        <w:t>构件在脱模、翻转、运输、</w:t>
      </w:r>
      <w:r>
        <w:rPr>
          <w:rFonts w:hint="eastAsia"/>
        </w:rPr>
        <w:t>堆放及</w:t>
      </w:r>
      <w:r>
        <w:t>吊装等短暂</w:t>
      </w:r>
      <w:r>
        <w:rPr>
          <w:rFonts w:hint="eastAsia"/>
        </w:rPr>
        <w:t>设计</w:t>
      </w:r>
      <w:r>
        <w:t>状况下的</w:t>
      </w:r>
      <w:r>
        <w:rPr>
          <w:rFonts w:hint="eastAsia"/>
        </w:rPr>
        <w:t>施工</w:t>
      </w:r>
      <w:r>
        <w:t>验算，动力系数</w:t>
      </w:r>
      <w:r>
        <w:rPr>
          <w:b/>
        </w:rPr>
        <w:t>、</w:t>
      </w:r>
      <w:r>
        <w:t>脱模吸附力的取值及作用组合应符合现行</w:t>
      </w:r>
      <w:r>
        <w:rPr>
          <w:rFonts w:hint="eastAsia"/>
        </w:rPr>
        <w:t>广东省标准《装配式混凝土建筑结构技术规程》DBJ/T15-107</w:t>
      </w:r>
      <w:r>
        <w:t>的</w:t>
      </w:r>
      <w:r>
        <w:rPr>
          <w:rFonts w:hint="eastAsia"/>
        </w:rPr>
        <w:t>有关</w:t>
      </w:r>
      <w:r>
        <w:t>规定</w:t>
      </w:r>
      <w:r>
        <w:rPr>
          <w:rFonts w:hint="eastAsia"/>
        </w:rPr>
        <w:t>。</w:t>
      </w:r>
    </w:p>
    <w:p w14:paraId="7827D212">
      <w:pPr>
        <w:pStyle w:val="6"/>
        <w:numPr>
          <w:ilvl w:val="0"/>
          <w:numId w:val="0"/>
        </w:numPr>
        <w:tabs>
          <w:tab w:val="clear" w:pos="907"/>
        </w:tabs>
        <w:rPr>
          <w:rFonts w:hint="eastAsia"/>
          <w:color w:val="0070C0"/>
        </w:rPr>
      </w:pPr>
      <w:r>
        <w:rPr>
          <w:rFonts w:hint="eastAsia"/>
          <w:color w:val="0070C0"/>
        </w:rPr>
        <w:t>【条文说明】广东省标准《装配式混凝土建筑结构技术规程》DBJ/T15-107-2016第6.2.2~6.2.3条规定：预制构件在翻转、运输、吊运、安装等短暂设计状况下的施工验算，应将构件自重标准值乘以动力系数后作为等效静力荷载标准值。构件运输、吊运时，动力系数宜取1.5；构件翻转及安装过程中就位、临时固定时，动力系数可取1.2。脱模时，等效静力荷载标准值应取构件自重标准值乘以动力系数后于脱模吸附力的组合值，不宜小于构件自重标准值的1.5倍，动力系数不宜小于1.2，脱模吸附力不宜小于1.5kN/m</w:t>
      </w:r>
      <w:r>
        <w:rPr>
          <w:rFonts w:hint="eastAsia"/>
          <w:color w:val="0070C0"/>
          <w:vertAlign w:val="superscript"/>
        </w:rPr>
        <w:t>2</w:t>
      </w:r>
      <w:r>
        <w:rPr>
          <w:rFonts w:hint="eastAsia"/>
          <w:color w:val="0070C0"/>
        </w:rPr>
        <w:t>。</w:t>
      </w:r>
    </w:p>
    <w:p w14:paraId="0B1A981A">
      <w:pPr>
        <w:pStyle w:val="6"/>
      </w:pPr>
      <w:r>
        <w:rPr>
          <w:rFonts w:hint="eastAsia"/>
        </w:rPr>
        <w:t>固模剪力墙、固模楼承</w:t>
      </w:r>
      <w:r>
        <w:t>板及其支撑系统应具有足够的</w:t>
      </w:r>
      <w:r>
        <w:rPr>
          <w:rFonts w:hint="eastAsia"/>
        </w:rPr>
        <w:t>强度</w:t>
      </w:r>
      <w:r>
        <w:t>、刚度和稳定性，应能可靠地承受</w:t>
      </w:r>
      <w:r>
        <w:rPr>
          <w:rFonts w:hint="eastAsia"/>
        </w:rPr>
        <w:t>现浇混凝土自重、侧压力及</w:t>
      </w:r>
      <w:r>
        <w:t>施工过程中所产生的各类荷载，应满足</w:t>
      </w:r>
      <w:r>
        <w:rPr>
          <w:rFonts w:hint="eastAsia"/>
        </w:rPr>
        <w:t>国家现行有关标准</w:t>
      </w:r>
      <w:r>
        <w:t>的规定。</w:t>
      </w:r>
      <w:r>
        <w:rPr>
          <w:rFonts w:hint="eastAsia"/>
        </w:rPr>
        <w:t>固模楼承</w:t>
      </w:r>
      <w:r>
        <w:t>板</w:t>
      </w:r>
      <w:r>
        <w:rPr>
          <w:rFonts w:hint="eastAsia"/>
        </w:rPr>
        <w:t>的底板及连接件应</w:t>
      </w:r>
      <w:r>
        <w:t>具有足够的</w:t>
      </w:r>
      <w:r>
        <w:rPr>
          <w:rFonts w:hint="eastAsia"/>
        </w:rPr>
        <w:t>安全性及与主体结构同寿命的耐久性。</w:t>
      </w:r>
    </w:p>
    <w:p w14:paraId="0522AA64">
      <w:pPr>
        <w:pStyle w:val="6"/>
      </w:pPr>
      <w:r>
        <w:rPr>
          <w:rFonts w:hint="eastAsia"/>
        </w:rPr>
        <w:t>预埋件、连接件等外露金属件应按不同环境类别进行封闭或防腐、防火处理，应符合耐久性要求。</w:t>
      </w:r>
    </w:p>
    <w:p w14:paraId="48084BE3">
      <w:pPr>
        <w:pStyle w:val="4"/>
        <w:spacing w:before="156" w:after="156"/>
      </w:pPr>
      <w:r>
        <w:br w:type="page"/>
      </w:r>
      <w:bookmarkStart w:id="82" w:name="_Toc129374364"/>
      <w:bookmarkStart w:id="83" w:name="_Toc30951"/>
      <w:bookmarkStart w:id="84" w:name="_Toc61254021"/>
      <w:bookmarkStart w:id="85" w:name="_Toc61254064"/>
      <w:r>
        <w:t>材料</w:t>
      </w:r>
      <w:bookmarkEnd w:id="46"/>
      <w:bookmarkEnd w:id="47"/>
      <w:bookmarkEnd w:id="78"/>
      <w:bookmarkEnd w:id="79"/>
      <w:bookmarkEnd w:id="80"/>
      <w:bookmarkEnd w:id="81"/>
      <w:bookmarkEnd w:id="82"/>
      <w:bookmarkEnd w:id="83"/>
      <w:bookmarkEnd w:id="84"/>
      <w:bookmarkEnd w:id="85"/>
    </w:p>
    <w:p w14:paraId="6FD391FC">
      <w:pPr>
        <w:pStyle w:val="5"/>
        <w:numPr>
          <w:ilvl w:val="1"/>
          <w:numId w:val="8"/>
        </w:numPr>
        <w:spacing w:before="156" w:beforeLines="50" w:after="156"/>
      </w:pPr>
      <w:bookmarkStart w:id="86" w:name="_Toc475644164"/>
      <w:bookmarkStart w:id="87" w:name="_Toc129374365"/>
      <w:bookmarkStart w:id="88" w:name="_Toc475644441"/>
      <w:bookmarkStart w:id="89" w:name="_Toc252452573"/>
      <w:bookmarkStart w:id="90" w:name="_Toc61254022"/>
      <w:bookmarkStart w:id="91" w:name="_Toc26854"/>
      <w:bookmarkStart w:id="92" w:name="_Toc475644048"/>
      <w:bookmarkStart w:id="93" w:name="_Toc475644633"/>
      <w:bookmarkStart w:id="94" w:name="_Toc247967497"/>
      <w:bookmarkStart w:id="95" w:name="_Toc61254065"/>
      <w:r>
        <w:t>混凝土</w:t>
      </w:r>
      <w:bookmarkEnd w:id="86"/>
      <w:bookmarkEnd w:id="87"/>
      <w:bookmarkEnd w:id="88"/>
      <w:bookmarkEnd w:id="89"/>
      <w:bookmarkEnd w:id="90"/>
      <w:bookmarkEnd w:id="91"/>
      <w:bookmarkEnd w:id="92"/>
      <w:bookmarkEnd w:id="93"/>
      <w:bookmarkEnd w:id="94"/>
      <w:bookmarkEnd w:id="95"/>
    </w:p>
    <w:p w14:paraId="72AF0BCA">
      <w:pPr>
        <w:pStyle w:val="6"/>
      </w:pPr>
      <w:r>
        <w:t>混凝土的</w:t>
      </w:r>
      <w:r>
        <w:rPr>
          <w:rFonts w:hint="eastAsia"/>
        </w:rPr>
        <w:t>物理</w:t>
      </w:r>
      <w:r>
        <w:t>力学性能指标和耐久性要求</w:t>
      </w:r>
      <w:r>
        <w:rPr>
          <w:rFonts w:hint="eastAsia"/>
        </w:rPr>
        <w:t>等</w:t>
      </w:r>
      <w:r>
        <w:t>应符合现行国家标准《混凝土结构设计</w:t>
      </w:r>
      <w:r>
        <w:rPr>
          <w:rFonts w:hint="eastAsia"/>
        </w:rPr>
        <w:t>标准</w:t>
      </w:r>
      <w:r>
        <w:t>》GB</w:t>
      </w:r>
      <w:r>
        <w:rPr>
          <w:rFonts w:hint="eastAsia"/>
        </w:rPr>
        <w:t>/T</w:t>
      </w:r>
      <w:r>
        <w:t xml:space="preserve"> 50010</w:t>
      </w:r>
      <w:r>
        <w:rPr>
          <w:rFonts w:hint="eastAsia"/>
          <w:color w:val="FF0000"/>
        </w:rPr>
        <w:t>及《混凝土结构耐久性设计标准》</w:t>
      </w:r>
      <w:r>
        <w:rPr>
          <w:color w:val="FF0000"/>
        </w:rPr>
        <w:t>GB</w:t>
      </w:r>
      <w:r>
        <w:rPr>
          <w:rFonts w:hint="eastAsia"/>
          <w:color w:val="FF0000"/>
        </w:rPr>
        <w:t>/T</w:t>
      </w:r>
      <w:r>
        <w:rPr>
          <w:color w:val="FF0000"/>
        </w:rPr>
        <w:t xml:space="preserve"> 50</w:t>
      </w:r>
      <w:r>
        <w:rPr>
          <w:rFonts w:hint="eastAsia"/>
          <w:color w:val="FF0000"/>
        </w:rPr>
        <w:t>476</w:t>
      </w:r>
      <w:r>
        <w:t>的</w:t>
      </w:r>
      <w:r>
        <w:rPr>
          <w:rFonts w:hint="eastAsia"/>
        </w:rPr>
        <w:t>有关</w:t>
      </w:r>
      <w:r>
        <w:t>规定。</w:t>
      </w:r>
    </w:p>
    <w:p w14:paraId="20C69A5E">
      <w:pPr>
        <w:pStyle w:val="6"/>
      </w:pPr>
      <w:r>
        <w:t>空心墙模的混凝土</w:t>
      </w:r>
      <w:r>
        <w:rPr>
          <w:rFonts w:hint="eastAsia"/>
        </w:rPr>
        <w:t>强度等级</w:t>
      </w:r>
      <w:r>
        <w:t>不</w:t>
      </w:r>
      <w:r>
        <w:rPr>
          <w:rFonts w:hint="eastAsia"/>
        </w:rPr>
        <w:t>应</w:t>
      </w:r>
      <w:r>
        <w:t>低于C30</w:t>
      </w:r>
      <w:bookmarkStart w:id="96" w:name="_Toc252452572"/>
      <w:bookmarkStart w:id="97" w:name="_Toc247967496"/>
      <w:r>
        <w:rPr>
          <w:rFonts w:hint="eastAsia"/>
        </w:rPr>
        <w:t>、不宜高于C</w:t>
      </w:r>
      <w:r>
        <w:t>50</w:t>
      </w:r>
      <w:r>
        <w:rPr>
          <w:rFonts w:hint="eastAsia"/>
        </w:rPr>
        <w:t>，固模剪力墙及固模混凝土板的现浇</w:t>
      </w:r>
      <w:r>
        <w:t>混凝土强度等级不</w:t>
      </w:r>
      <w:r>
        <w:rPr>
          <w:rFonts w:hint="eastAsia"/>
        </w:rPr>
        <w:t>应</w:t>
      </w:r>
      <w:r>
        <w:t>低于C</w:t>
      </w:r>
      <w:r>
        <w:rPr>
          <w:rFonts w:hint="eastAsia"/>
        </w:rPr>
        <w:t>30。</w:t>
      </w:r>
      <w:bookmarkEnd w:id="96"/>
      <w:bookmarkEnd w:id="97"/>
    </w:p>
    <w:p w14:paraId="1E5B621B">
      <w:pPr>
        <w:pStyle w:val="6"/>
      </w:pPr>
      <w:r>
        <w:rPr>
          <w:rFonts w:hint="eastAsia"/>
        </w:rPr>
        <w:t>墙体现浇混凝土强度等级与空心墙模混凝土强度等级宜相同；强度不同时，相差不应超过两个强度等级，结构计算中墙体混凝土等级应取二者较小值。</w:t>
      </w:r>
    </w:p>
    <w:p w14:paraId="1781BB9D">
      <w:pPr>
        <w:pStyle w:val="6"/>
        <w:numPr>
          <w:ilvl w:val="2"/>
          <w:numId w:val="0"/>
        </w:numPr>
        <w:rPr>
          <w:rFonts w:hint="eastAsia"/>
          <w:color w:val="0070C0"/>
        </w:rPr>
      </w:pPr>
      <w:r>
        <w:rPr>
          <w:rFonts w:hint="eastAsia"/>
          <w:color w:val="0070C0"/>
        </w:rPr>
        <w:t>【条文说明】空心墙模需经历抽芯成孔、脱模、翻板、运输、吊装等多个阶段。为保证产品质量，本条对预制空心墙模混凝土的最低强度等级提出要求。实际生产中为了提高预制空心墙模的脱模质量和效率，允许使用更高强度等级的混凝土。当墙体现浇混凝土强度等级与预制空心墙模混凝土强度等级不同时，在进行结构计算、墙肢的轴压比及承载力验算时，墙体混凝土等级应取二者较小值。</w:t>
      </w:r>
    </w:p>
    <w:p w14:paraId="31E6C2EF">
      <w:pPr>
        <w:pStyle w:val="6"/>
        <w:numPr>
          <w:ilvl w:val="2"/>
          <w:numId w:val="0"/>
        </w:numPr>
        <w:ind w:firstLine="420" w:firstLineChars="200"/>
        <w:rPr>
          <w:rFonts w:hint="eastAsia"/>
          <w:color w:val="0070C0"/>
        </w:rPr>
      </w:pPr>
      <w:r>
        <w:rPr>
          <w:rFonts w:hint="eastAsia"/>
          <w:color w:val="0070C0"/>
        </w:rPr>
        <w:t>为减少固模剪力墙及固模混凝土板中钢筋的搭接长度，本标准对固模剪力墙及固模混凝土板的现浇混凝土最低强度等级也做了要求并高于普通现浇混凝土结构。</w:t>
      </w:r>
    </w:p>
    <w:p w14:paraId="5EB63C6C">
      <w:pPr>
        <w:pStyle w:val="6"/>
        <w:numPr>
          <w:ilvl w:val="2"/>
          <w:numId w:val="0"/>
        </w:numPr>
        <w:ind w:firstLine="420" w:firstLineChars="200"/>
      </w:pPr>
      <w:r>
        <w:rPr>
          <w:rFonts w:hint="eastAsia"/>
          <w:color w:val="0070C0"/>
        </w:rPr>
        <w:t>固模剪力墙混凝土强度等级不宜超过C50的规定，主要是考虑到C50级以上的混凝土在力学性能、本构关系等方面与一般强度混凝土存在较大差异。由这类混凝土所建造的固模剪力墙在结构性能、计算方法、构造措施等方面尚缺乏深入研究，故应谨慎采用。</w:t>
      </w:r>
    </w:p>
    <w:p w14:paraId="142DB864">
      <w:pPr>
        <w:pStyle w:val="6"/>
      </w:pPr>
      <w:r>
        <w:rPr>
          <w:rFonts w:hint="eastAsia"/>
        </w:rPr>
        <w:t>空心墙模混凝土的细骨料宜采用中砂，粗骨料宜连续级配、最大公称粒径不应大于10mm。</w:t>
      </w:r>
    </w:p>
    <w:p w14:paraId="06EEDAC5">
      <w:pPr>
        <w:pStyle w:val="6"/>
        <w:numPr>
          <w:ilvl w:val="2"/>
          <w:numId w:val="0"/>
        </w:numPr>
      </w:pPr>
      <w:r>
        <w:rPr>
          <w:rFonts w:hint="eastAsia"/>
          <w:color w:val="0070C0"/>
        </w:rPr>
        <w:t>【条文说明】空心墙模在工厂内机械化生产，其混凝土可采用细石混凝土并可采用适当的添加剂控制初凝时间以利于抽芯。根据《混凝土结构工程施工规范》GB50666的规定，粗骨料最大粒径不应超过构件截面最小尺寸的1/4，故本标准规定空心墙模混凝土粗骨料最大公称粒径不应大于10mm；混凝土骨料质量应符合《普通混凝土用砂、石质量及检验方法标准》JGJ 52的规定。</w:t>
      </w:r>
    </w:p>
    <w:p w14:paraId="53683656">
      <w:pPr>
        <w:pStyle w:val="6"/>
      </w:pPr>
      <w:r>
        <w:rPr>
          <w:rFonts w:hint="eastAsia"/>
        </w:rPr>
        <w:t>固模剪力墙</w:t>
      </w:r>
      <w:r>
        <w:t>孔内</w:t>
      </w:r>
      <w:r>
        <w:rPr>
          <w:rFonts w:hint="eastAsia"/>
        </w:rPr>
        <w:t>现浇</w:t>
      </w:r>
      <w:r>
        <w:t>混凝土及相关</w:t>
      </w:r>
      <w:r>
        <w:rPr>
          <w:rFonts w:hint="eastAsia"/>
        </w:rPr>
        <w:t>部位现浇</w:t>
      </w:r>
      <w:r>
        <w:t>混凝土应采用大流动性</w:t>
      </w:r>
      <w:r>
        <w:rPr>
          <w:rFonts w:hint="eastAsia"/>
        </w:rPr>
        <w:t>补偿收缩混凝土，严格控制水胶比，粗骨料宜连续级配、最大公称粒径不宜大于20mm。当采用自密实混凝土时，尚应符合现行行业标准《自密实混凝土应用技术规程》JGJ/T 283的有关规定。</w:t>
      </w:r>
      <w:r>
        <w:rPr>
          <w:color w:val="FF0000"/>
        </w:rPr>
        <w:t>孔内</w:t>
      </w:r>
      <w:r>
        <w:rPr>
          <w:rFonts w:hint="eastAsia"/>
          <w:color w:val="FF0000"/>
        </w:rPr>
        <w:t>现浇混凝土的限制膨胀率宜为0.03%</w:t>
      </w:r>
      <w:r>
        <w:rPr>
          <w:rFonts w:hint="eastAsia"/>
          <w:color w:val="FF0000"/>
          <w:lang w:eastAsia="zh-CN"/>
        </w:rPr>
        <w:t>，</w:t>
      </w:r>
      <w:r>
        <w:rPr>
          <w:rFonts w:hint="eastAsia"/>
          <w:color w:val="FF0000"/>
        </w:rPr>
        <w:t>限制干缩率不大于0.015%。</w:t>
      </w:r>
    </w:p>
    <w:p w14:paraId="6423753F">
      <w:pPr>
        <w:pStyle w:val="6"/>
        <w:numPr>
          <w:ilvl w:val="2"/>
          <w:numId w:val="0"/>
        </w:numPr>
        <w:rPr>
          <w:rFonts w:hint="eastAsia"/>
          <w:color w:val="0070C0"/>
        </w:rPr>
      </w:pPr>
      <w:r>
        <w:rPr>
          <w:rFonts w:hint="eastAsia"/>
          <w:color w:val="0070C0"/>
        </w:rPr>
        <w:t>【条文说明】空心墙模内有水平和竖直两个方向的孔洞，为了使混凝土能浇筑密实，要求采用大流动性混凝土。此外，为了保证空心墙模与孔内现浇的混凝土之间、空心墙模与剪力墙现浇边缘构件之间的有效结合，需要从严控制现浇混凝土的收缩，应采用补偿收缩混凝土并加强振捣和养护。</w:t>
      </w:r>
    </w:p>
    <w:p w14:paraId="684C68B2">
      <w:pPr>
        <w:pStyle w:val="6"/>
        <w:numPr>
          <w:ilvl w:val="2"/>
          <w:numId w:val="0"/>
        </w:numPr>
        <w:ind w:firstLine="420" w:firstLineChars="200"/>
        <w:rPr>
          <w:rFonts w:hint="eastAsia"/>
          <w:color w:val="0070C0"/>
        </w:rPr>
      </w:pPr>
      <w:r>
        <w:rPr>
          <w:rFonts w:hint="eastAsia"/>
          <w:color w:val="0070C0"/>
        </w:rPr>
        <w:t>实践表明，空心墙模灌孔采用补偿收缩可取得较好效果。在确定了限值膨胀率和限值干缩率后，生产补偿收缩混凝土时，添加膨胀剂的品种和掺量应通过试验确定，试验应按现行国家标准《混凝土外加剂应用技术规范》GB 50119的有关规定执行。</w:t>
      </w:r>
    </w:p>
    <w:p w14:paraId="48534A51">
      <w:pPr>
        <w:pStyle w:val="6"/>
        <w:numPr>
          <w:ilvl w:val="2"/>
          <w:numId w:val="0"/>
        </w:numPr>
        <w:ind w:firstLine="420" w:firstLineChars="200"/>
        <w:rPr>
          <w:rFonts w:hint="eastAsia"/>
          <w:color w:val="0070C0"/>
        </w:rPr>
      </w:pPr>
      <w:r>
        <w:rPr>
          <w:rFonts w:hint="eastAsia"/>
          <w:color w:val="0070C0"/>
        </w:rPr>
        <w:t>根据现行行业标准《普通混凝土配合比设计规程》JGJ 55的有关规定，大流动性混凝土是指拌合物坍落度不小于160mm的混凝土。为了使固模剪力墙混凝土浇筑密实，也可采用自密实混凝土。采用自密实混凝土时，除适当添加膨胀剂从严控制现浇混凝土的收缩外，尚应符合现行行业标准《自密实混凝土应用技术规程》JGJ/T 283的有关规定。</w:t>
      </w:r>
    </w:p>
    <w:p w14:paraId="7F8389F6">
      <w:pPr>
        <w:pStyle w:val="6"/>
        <w:numPr>
          <w:ilvl w:val="2"/>
          <w:numId w:val="0"/>
        </w:numPr>
        <w:ind w:firstLine="420" w:firstLineChars="200"/>
      </w:pPr>
      <w:r>
        <w:rPr>
          <w:rFonts w:hint="eastAsia"/>
          <w:color w:val="0070C0"/>
        </w:rPr>
        <w:t>相关部位指与固模剪力墙直接相邻的连梁及边缘构件。</w:t>
      </w:r>
    </w:p>
    <w:p w14:paraId="2542634F">
      <w:pPr>
        <w:pStyle w:val="5"/>
        <w:numPr>
          <w:ilvl w:val="1"/>
          <w:numId w:val="8"/>
        </w:numPr>
        <w:spacing w:before="156" w:beforeLines="50" w:after="156"/>
      </w:pPr>
      <w:bookmarkStart w:id="98" w:name="_Toc475644049"/>
      <w:bookmarkStart w:id="99" w:name="_Toc475644442"/>
      <w:bookmarkStart w:id="100" w:name="_Toc475644165"/>
      <w:bookmarkStart w:id="101" w:name="_Toc475644634"/>
      <w:bookmarkStart w:id="102" w:name="_Toc61254023"/>
      <w:bookmarkStart w:id="103" w:name="_Toc27491"/>
      <w:bookmarkStart w:id="104" w:name="_Toc129374366"/>
      <w:bookmarkStart w:id="105" w:name="_Toc61254066"/>
      <w:bookmarkStart w:id="106" w:name="_Toc252452575"/>
      <w:bookmarkStart w:id="107" w:name="_Toc247967499"/>
      <w:r>
        <w:t>钢筋</w:t>
      </w:r>
      <w:bookmarkEnd w:id="98"/>
      <w:bookmarkEnd w:id="99"/>
      <w:bookmarkEnd w:id="100"/>
      <w:bookmarkEnd w:id="101"/>
      <w:r>
        <w:rPr>
          <w:rFonts w:hint="eastAsia"/>
        </w:rPr>
        <w:t>和</w:t>
      </w:r>
      <w:r>
        <w:t>钢材</w:t>
      </w:r>
      <w:bookmarkEnd w:id="102"/>
      <w:bookmarkEnd w:id="103"/>
      <w:bookmarkEnd w:id="104"/>
      <w:bookmarkEnd w:id="105"/>
    </w:p>
    <w:p w14:paraId="2B61F238">
      <w:pPr>
        <w:pStyle w:val="6"/>
      </w:pPr>
      <w:r>
        <w:rPr>
          <w:rFonts w:hint="eastAsia"/>
        </w:rPr>
        <w:t>普通</w:t>
      </w:r>
      <w:r>
        <w:t>钢筋和钢材的</w:t>
      </w:r>
      <w:r>
        <w:rPr>
          <w:rFonts w:hint="eastAsia"/>
        </w:rPr>
        <w:t>性能</w:t>
      </w:r>
      <w:r>
        <w:t>应符合现行国家标准《钢筋混凝土用钢第1部分：热轧光圆钢筋》GB/T 1499.1、《钢筋混凝土用钢第2部分：热轧带肋钢筋》GB/T 1499.2、《混凝土结构设计</w:t>
      </w:r>
      <w:r>
        <w:rPr>
          <w:rFonts w:hint="eastAsia"/>
        </w:rPr>
        <w:t>标准</w:t>
      </w:r>
      <w:r>
        <w:t>》GB</w:t>
      </w:r>
      <w:r>
        <w:rPr>
          <w:rFonts w:hint="eastAsia"/>
        </w:rPr>
        <w:t>/T</w:t>
      </w:r>
      <w:r>
        <w:t xml:space="preserve"> 50010</w:t>
      </w:r>
      <w:r>
        <w:rPr>
          <w:rFonts w:hint="eastAsia"/>
        </w:rPr>
        <w:t>、《钢结构设计标准》GB 50017和</w:t>
      </w:r>
      <w:r>
        <w:t>《建筑抗震设计</w:t>
      </w:r>
      <w:r>
        <w:rPr>
          <w:rFonts w:hint="eastAsia"/>
        </w:rPr>
        <w:t>标准</w:t>
      </w:r>
      <w:r>
        <w:t>》GB</w:t>
      </w:r>
      <w:r>
        <w:rPr>
          <w:rFonts w:hint="eastAsia"/>
        </w:rPr>
        <w:t>/T</w:t>
      </w:r>
      <w:r>
        <w:t xml:space="preserve"> 5001</w:t>
      </w:r>
      <w:r>
        <w:rPr>
          <w:rFonts w:hint="eastAsia"/>
        </w:rPr>
        <w:t>1</w:t>
      </w:r>
      <w:r>
        <w:t>的</w:t>
      </w:r>
      <w:r>
        <w:rPr>
          <w:rFonts w:hint="eastAsia"/>
        </w:rPr>
        <w:t>有关</w:t>
      </w:r>
      <w:r>
        <w:t>规定</w:t>
      </w:r>
      <w:r>
        <w:rPr>
          <w:rFonts w:hint="eastAsia"/>
        </w:rPr>
        <w:t>。</w:t>
      </w:r>
    </w:p>
    <w:p w14:paraId="1804DBAF">
      <w:pPr>
        <w:pStyle w:val="6"/>
      </w:pPr>
      <w:r>
        <w:rPr>
          <w:rFonts w:hint="eastAsia"/>
        </w:rPr>
        <w:t>钢筋</w:t>
      </w:r>
      <w:r>
        <w:t>焊接网</w:t>
      </w:r>
      <w:r>
        <w:rPr>
          <w:rFonts w:hint="eastAsia"/>
        </w:rPr>
        <w:t>宜采用HRB400</w:t>
      </w:r>
      <w:r>
        <w:t>、HRB500级</w:t>
      </w:r>
      <w:r>
        <w:rPr>
          <w:rFonts w:hint="eastAsia"/>
        </w:rPr>
        <w:t>热轧带肋钢筋或CRB550及CRB600H冷轧带肋钢筋。钢筋焊接网的</w:t>
      </w:r>
      <w:r>
        <w:t>质量要求和技术性能应符合</w:t>
      </w:r>
      <w:r>
        <w:rPr>
          <w:rFonts w:hint="eastAsia"/>
        </w:rPr>
        <w:t>本标准及</w:t>
      </w:r>
      <w:r>
        <w:t>国家现行标准《钢筋混凝土用钢第3部分：钢筋焊接网》GB/T 1499.3、《冷轧带肋钢筋》GB/T 13788</w:t>
      </w:r>
      <w:r>
        <w:rPr>
          <w:rFonts w:hint="eastAsia"/>
        </w:rPr>
        <w:t>和</w:t>
      </w:r>
      <w:r>
        <w:t>《钢筋焊接网混凝土结构技术规程》JGJ 114的</w:t>
      </w:r>
      <w:r>
        <w:rPr>
          <w:rFonts w:hint="eastAsia"/>
        </w:rPr>
        <w:t>有关</w:t>
      </w:r>
      <w:r>
        <w:t>规定。</w:t>
      </w:r>
    </w:p>
    <w:p w14:paraId="3B9480EA">
      <w:pPr>
        <w:pStyle w:val="6"/>
      </w:pPr>
      <w:r>
        <w:rPr>
          <w:rFonts w:hint="eastAsia"/>
        </w:rPr>
        <w:t>热轧带肋钢筋焊接网可用作固模剪力墙结构中抗震等级为一、二、三、四级空心墙模及现浇墙体的分布钢筋；CRB550、CRB600H焊接网不应用于抗震等级为一级的固模剪力墙结构中，可用作抗震等级为二、三、四级的剪力墙底部加强部位以上的空心墙模及现浇墙体分布钢筋。</w:t>
      </w:r>
    </w:p>
    <w:p w14:paraId="577CD130">
      <w:pPr>
        <w:pStyle w:val="6"/>
      </w:pPr>
      <w:r>
        <w:t>钢筋桁架上、下弦宜采用HRB400、HRB500级热轧带肋钢筋</w:t>
      </w:r>
      <w:r>
        <w:rPr>
          <w:rFonts w:hint="eastAsia"/>
        </w:rPr>
        <w:t>，也可</w:t>
      </w:r>
      <w:r>
        <w:t>采用CRB550、CRB600H级冷轧带肋钢筋。腹杆钢筋宜采用HPB300、HRB400级热轧钢筋，也可采用冷轧或冷拔钢筋。</w:t>
      </w:r>
      <w:bookmarkStart w:id="108" w:name="_Hlk43042117"/>
      <w:r>
        <w:t>钢筋桁架的质量及性能要求应符合</w:t>
      </w:r>
      <w:r>
        <w:rPr>
          <w:rFonts w:hint="eastAsia"/>
        </w:rPr>
        <w:t>现行行业标准</w:t>
      </w:r>
      <w:r>
        <w:t>《钢筋混凝土用钢筋桁架》YB/T 4262的要求</w:t>
      </w:r>
      <w:bookmarkEnd w:id="108"/>
      <w:r>
        <w:rPr>
          <w:rFonts w:hint="eastAsia"/>
        </w:rPr>
        <w:t>。</w:t>
      </w:r>
    </w:p>
    <w:p w14:paraId="060AE083">
      <w:pPr>
        <w:pStyle w:val="6"/>
        <w:numPr>
          <w:ilvl w:val="0"/>
          <w:numId w:val="0"/>
        </w:numPr>
        <w:tabs>
          <w:tab w:val="clear" w:pos="907"/>
        </w:tabs>
      </w:pPr>
      <w:r>
        <w:rPr>
          <w:rFonts w:hint="eastAsia"/>
          <w:color w:val="0070C0"/>
        </w:rPr>
        <w:t>【条文说明】4.2.1~4.2.4国家发改委《产业结构调整指导目录（2011年本）（修正）》（2013年第21号令）已将冷轧带肋钢筋加工设备列入淘汰类技术（高延性冷轧带肋钢筋生产装备除外），将在线热处理工艺作为鼓励类钢材加工工艺技术，非在线热处理工艺生产的冷轧带肋钢筋伸长率、肋高难以达到标准《冷轧带肋钢筋》GB/T 13788要求，抗震性能差，影响建筑质量安全。因此，冷轧带肋钢筋应为在线热处理工艺生产的冷轧带肋钢筋，不得为非在线热处理工艺生产。在国家发改委《产业结构调整指导目录（2019年本）》中，CRB600H高延性冷轧带肋钢筋被列入鼓励类产品。</w:t>
      </w:r>
    </w:p>
    <w:p w14:paraId="7FFD8912">
      <w:pPr>
        <w:pStyle w:val="6"/>
      </w:pPr>
      <w:r>
        <w:rPr>
          <w:rFonts w:hint="eastAsia"/>
        </w:rPr>
        <w:t>固模剪力墙结构中，上下层剪力墙之间竖向连接钢筋、基础预留剪力墙连接钢筋应采用热轧带肋钢筋。</w:t>
      </w:r>
    </w:p>
    <w:p w14:paraId="252F9E75">
      <w:pPr>
        <w:pStyle w:val="6"/>
      </w:pPr>
      <w:r>
        <w:t>预制构件的吊环应采用未经冷加工的HPB300级钢筋</w:t>
      </w:r>
      <w:r>
        <w:rPr>
          <w:rFonts w:hint="eastAsia"/>
        </w:rPr>
        <w:t>或Q235B圆钢</w:t>
      </w:r>
      <w:r>
        <w:t>制作</w:t>
      </w:r>
      <w:r>
        <w:rPr>
          <w:rFonts w:hint="eastAsia"/>
        </w:rPr>
        <w:t>，应符合现行国家标准</w:t>
      </w:r>
      <w:r>
        <w:t>《混凝土结构设计</w:t>
      </w:r>
      <w:r>
        <w:rPr>
          <w:rFonts w:hint="eastAsia"/>
        </w:rPr>
        <w:t>标准</w:t>
      </w:r>
      <w:r>
        <w:t>》GB</w:t>
      </w:r>
      <w:r>
        <w:rPr>
          <w:rFonts w:hint="eastAsia"/>
        </w:rPr>
        <w:t>/T</w:t>
      </w:r>
      <w:r>
        <w:t xml:space="preserve"> 50010</w:t>
      </w:r>
      <w:r>
        <w:rPr>
          <w:rFonts w:hint="eastAsia"/>
        </w:rPr>
        <w:t>的有关规定</w:t>
      </w:r>
      <w:r>
        <w:t>。吊装用内埋式螺母或吊杆的材料应符合国家现行有关标准的规定。</w:t>
      </w:r>
    </w:p>
    <w:p w14:paraId="37DD9696">
      <w:pPr>
        <w:pStyle w:val="6"/>
        <w:numPr>
          <w:ilvl w:val="2"/>
          <w:numId w:val="0"/>
        </w:numPr>
      </w:pPr>
      <w:r>
        <w:rPr>
          <w:rFonts w:hint="eastAsia"/>
          <w:color w:val="0070C0"/>
        </w:rPr>
        <w:t>【条文说明】本条与现行国家标准《混凝土结构设计</w:t>
      </w:r>
      <w:r>
        <w:rPr>
          <w:rFonts w:hint="eastAsia"/>
        </w:rPr>
        <w:t>标准</w:t>
      </w:r>
      <w:r>
        <w:t>》GB</w:t>
      </w:r>
      <w:r>
        <w:rPr>
          <w:rFonts w:hint="eastAsia"/>
        </w:rPr>
        <w:t>/T</w:t>
      </w:r>
      <w:r>
        <w:t xml:space="preserve"> 50010</w:t>
      </w:r>
      <w:r>
        <w:rPr>
          <w:rFonts w:hint="eastAsia"/>
          <w:color w:val="0070C0"/>
        </w:rPr>
        <w:t>的规定一致。为了节约材料、方便施工、吊装可靠并避免外露金属件的锈蚀，预制构件的吊装方式宜优先采用内埋式螺母、内埋式吊杆或预留吊装孔。这些部件及配套的专用吊具等所采用的材料，应根据相应的产品标准和应用技术规程选用。</w:t>
      </w:r>
    </w:p>
    <w:p w14:paraId="500589F4">
      <w:pPr>
        <w:pStyle w:val="6"/>
      </w:pPr>
      <w:r>
        <w:t>受力预埋件的锚板及锚筋材料应符合现行国家标准《混凝土结构设计</w:t>
      </w:r>
      <w:r>
        <w:rPr>
          <w:rFonts w:hint="eastAsia"/>
        </w:rPr>
        <w:t>标准</w:t>
      </w:r>
      <w:r>
        <w:t>》GB</w:t>
      </w:r>
      <w:r>
        <w:rPr>
          <w:rFonts w:hint="eastAsia"/>
        </w:rPr>
        <w:t>/T</w:t>
      </w:r>
      <w:r>
        <w:t xml:space="preserve"> 50010的</w:t>
      </w:r>
      <w:r>
        <w:rPr>
          <w:rFonts w:hint="eastAsia"/>
        </w:rPr>
        <w:t>有关</w:t>
      </w:r>
      <w:r>
        <w:t>规定。专用预埋件及连接件材料应符合国家现行有关标准的规定。</w:t>
      </w:r>
    </w:p>
    <w:p w14:paraId="5D6437E2">
      <w:pPr>
        <w:pStyle w:val="6"/>
      </w:pPr>
      <w:r>
        <w:t>连接</w:t>
      </w:r>
      <w:r>
        <w:rPr>
          <w:rFonts w:hint="eastAsia"/>
        </w:rPr>
        <w:t>用</w:t>
      </w:r>
      <w:r>
        <w:t>焊接材料，螺栓、锚栓和铆钉等紧固件</w:t>
      </w:r>
      <w:r>
        <w:rPr>
          <w:rFonts w:hint="eastAsia"/>
        </w:rPr>
        <w:t>，专用支承件等的</w:t>
      </w:r>
      <w:r>
        <w:t>材料应符合国家现行标准《钢结构设计</w:t>
      </w:r>
      <w:r>
        <w:rPr>
          <w:rFonts w:hint="eastAsia"/>
        </w:rPr>
        <w:t>标准</w:t>
      </w:r>
      <w:r>
        <w:t>》GB 50017、《钢结构焊接规范》GB 50661和</w:t>
      </w:r>
      <w:r>
        <w:rPr>
          <w:rFonts w:hint="eastAsia"/>
        </w:rPr>
        <w:t>《钢筋机械连接技术规程》JGJ</w:t>
      </w:r>
      <w:r>
        <w:t xml:space="preserve"> 107</w:t>
      </w:r>
      <w:r>
        <w:rPr>
          <w:rFonts w:hint="eastAsia"/>
        </w:rPr>
        <w:t>、</w:t>
      </w:r>
      <w:r>
        <w:t>《钢筋焊接及验收规程》JGJ 18等的</w:t>
      </w:r>
      <w:r>
        <w:rPr>
          <w:rFonts w:hint="eastAsia"/>
        </w:rPr>
        <w:t>有关</w:t>
      </w:r>
      <w:r>
        <w:t>规定。</w:t>
      </w:r>
    </w:p>
    <w:p w14:paraId="0B803C37">
      <w:pPr>
        <w:pStyle w:val="5"/>
        <w:numPr>
          <w:ilvl w:val="1"/>
          <w:numId w:val="8"/>
        </w:numPr>
        <w:spacing w:before="156" w:beforeLines="50" w:after="156"/>
      </w:pPr>
      <w:bookmarkStart w:id="109" w:name="_Toc61254024"/>
      <w:bookmarkStart w:id="110" w:name="_Toc20273"/>
      <w:bookmarkStart w:id="111" w:name="_Toc129374367"/>
      <w:bookmarkStart w:id="112" w:name="_Toc61254067"/>
      <w:r>
        <w:rPr>
          <w:rFonts w:hint="eastAsia"/>
        </w:rPr>
        <w:t>固模楼承板</w:t>
      </w:r>
      <w:bookmarkEnd w:id="109"/>
      <w:bookmarkEnd w:id="110"/>
      <w:bookmarkEnd w:id="111"/>
      <w:bookmarkEnd w:id="112"/>
      <w:r>
        <w:rPr>
          <w:rFonts w:hint="eastAsia"/>
        </w:rPr>
        <w:t>用其他材料</w:t>
      </w:r>
    </w:p>
    <w:p w14:paraId="3FCBEADE">
      <w:pPr>
        <w:pStyle w:val="6"/>
      </w:pPr>
      <w:r>
        <w:rPr>
          <w:rFonts w:hint="eastAsia"/>
        </w:rPr>
        <w:t>固模楼承板的底板宜</w:t>
      </w:r>
      <w:r>
        <w:t>采用</w:t>
      </w:r>
      <w:r>
        <w:rPr>
          <w:rFonts w:hint="eastAsia"/>
        </w:rPr>
        <w:t>纤维水泥平板，也可采用硅酸钙</w:t>
      </w:r>
      <w:r>
        <w:t>板或其他</w:t>
      </w:r>
      <w:r>
        <w:rPr>
          <w:rFonts w:hint="eastAsia"/>
        </w:rPr>
        <w:t>成品非金属</w:t>
      </w:r>
      <w:r>
        <w:t>板材</w:t>
      </w:r>
      <w:r>
        <w:rPr>
          <w:rFonts w:hint="eastAsia"/>
        </w:rPr>
        <w:t>。当采用纤维水泥板时</w:t>
      </w:r>
      <w:r>
        <w:t>应满足《纤维水泥平板</w:t>
      </w:r>
      <w:r>
        <w:rPr>
          <w:rFonts w:hint="eastAsia"/>
        </w:rPr>
        <w:t xml:space="preserve"> </w:t>
      </w:r>
      <w:r>
        <w:t>第1部分：无石棉纤维水泥平板》JC/T 412.1中B类板的要求，当采用其他板材时应符合现行</w:t>
      </w:r>
      <w:r>
        <w:rPr>
          <w:rFonts w:hint="eastAsia"/>
        </w:rPr>
        <w:t>有关标准的有关规定。</w:t>
      </w:r>
      <w:r>
        <w:t>底板</w:t>
      </w:r>
      <w:r>
        <w:rPr>
          <w:rFonts w:hint="eastAsia"/>
        </w:rPr>
        <w:t>设计</w:t>
      </w:r>
      <w:r>
        <w:t>使用年限应与主体结构相同</w:t>
      </w:r>
      <w:r>
        <w:rPr>
          <w:rFonts w:hint="eastAsia"/>
        </w:rPr>
        <w:t>。</w:t>
      </w:r>
    </w:p>
    <w:p w14:paraId="3785144F">
      <w:pPr>
        <w:pStyle w:val="6"/>
        <w:numPr>
          <w:ilvl w:val="0"/>
          <w:numId w:val="0"/>
        </w:numPr>
        <w:tabs>
          <w:tab w:val="clear" w:pos="907"/>
        </w:tabs>
      </w:pPr>
      <w:r>
        <w:rPr>
          <w:rFonts w:hint="eastAsia"/>
          <w:color w:val="0070C0"/>
        </w:rPr>
        <w:t>【条文说明】当有可靠依据或工程经验时，TC板的固模底板也可采用玻镁平板、硅酸钙板等其他成品板材，其性能指标除应满足本条要求外，尚应符合相关产品标准的要求。正常使用阶段底板应无脱落、无翘曲、无返卤现象，应做到终生免拆免更换，因此要求底板正常使用年限与主体结构相同。</w:t>
      </w:r>
    </w:p>
    <w:p w14:paraId="09774F02">
      <w:pPr>
        <w:pStyle w:val="6"/>
      </w:pPr>
      <w:r>
        <w:rPr>
          <w:rFonts w:hint="eastAsia"/>
        </w:rPr>
        <w:t>固模楼承板的底板厚度宜为2</w:t>
      </w:r>
      <w:r>
        <w:t>0</w:t>
      </w:r>
      <w:r>
        <w:rPr>
          <w:rFonts w:hint="eastAsia"/>
        </w:rPr>
        <w:t>mm并不宜小于1</w:t>
      </w:r>
      <w:r>
        <w:t>2</w:t>
      </w:r>
      <w:r>
        <w:rPr>
          <w:rFonts w:hint="eastAsia"/>
        </w:rPr>
        <w:t>mm、不应小于1</w:t>
      </w:r>
      <w:r>
        <w:t>0</w:t>
      </w:r>
      <w:r>
        <w:rPr>
          <w:rFonts w:hint="eastAsia"/>
        </w:rPr>
        <w:t>mm。底板与混凝土接触面的粗糙度不宜小于2mm，不应小于1mm。其</w:t>
      </w:r>
      <w:r>
        <w:t>物理力学性能</w:t>
      </w:r>
      <w:r>
        <w:rPr>
          <w:rFonts w:hint="eastAsia"/>
        </w:rPr>
        <w:t>指标及试验方法</w:t>
      </w:r>
      <w:r>
        <w:t>应符合</w:t>
      </w:r>
      <w:r>
        <w:fldChar w:fldCharType="begin"/>
      </w:r>
      <w:r>
        <w:instrText xml:space="preserve"> REF _Ref60579848 \h  \* MERGEFORMAT </w:instrText>
      </w:r>
      <w:r>
        <w:fldChar w:fldCharType="separate"/>
      </w:r>
      <w:r>
        <w:rPr>
          <w:rFonts w:hint="eastAsia"/>
        </w:rPr>
        <w:t>表</w:t>
      </w:r>
      <w:r>
        <w:t>4.3.2</w:t>
      </w:r>
      <w:r>
        <w:fldChar w:fldCharType="end"/>
      </w:r>
      <w:r>
        <w:t>的规定。</w:t>
      </w:r>
    </w:p>
    <w:p w14:paraId="6346C896">
      <w:pPr>
        <w:pStyle w:val="64"/>
        <w:spacing w:before="78" w:after="78"/>
        <w:rPr>
          <w:rStyle w:val="70"/>
          <w:rFonts w:hint="eastAsia"/>
        </w:rPr>
      </w:pPr>
      <w:bookmarkStart w:id="113" w:name="_Ref60579848"/>
      <w:bookmarkStart w:id="114" w:name="_Ref51762908"/>
      <w:r>
        <w:rPr>
          <w:rFonts w:hint="eastAsia"/>
        </w:rPr>
        <w:t>表</w:t>
      </w:r>
      <w:r>
        <w:fldChar w:fldCharType="begin"/>
      </w:r>
      <w:r>
        <w:instrText xml:space="preserve"> </w:instrText>
      </w:r>
      <w:r>
        <w:rPr>
          <w:rFonts w:hint="eastAsia"/>
        </w:rPr>
        <w:instrText xml:space="preserve">STYLEREF 3 \s</w:instrText>
      </w:r>
      <w:r>
        <w:instrText xml:space="preserve"> </w:instrText>
      </w:r>
      <w:r>
        <w:fldChar w:fldCharType="separate"/>
      </w:r>
      <w:r>
        <w:t>4.3.2</w:t>
      </w:r>
      <w:r>
        <w:fldChar w:fldCharType="end"/>
      </w:r>
      <w:bookmarkEnd w:id="113"/>
      <w:r>
        <w:rPr>
          <w:rStyle w:val="70"/>
        </w:rPr>
        <w:t xml:space="preserve">  </w:t>
      </w:r>
      <w:r>
        <w:rPr>
          <w:rStyle w:val="70"/>
          <w:rFonts w:hint="eastAsia"/>
        </w:rPr>
        <w:t>固模</w:t>
      </w:r>
      <w:r>
        <w:rPr>
          <w:rStyle w:val="70"/>
        </w:rPr>
        <w:t>底板</w:t>
      </w:r>
      <w:r>
        <w:rPr>
          <w:rStyle w:val="70"/>
          <w:rFonts w:hint="eastAsia"/>
        </w:rPr>
        <w:t>物理</w:t>
      </w:r>
      <w:r>
        <w:rPr>
          <w:rStyle w:val="70"/>
        </w:rPr>
        <w:t>力学性能</w:t>
      </w:r>
      <w:bookmarkEnd w:id="114"/>
      <w:r>
        <w:rPr>
          <w:rStyle w:val="70"/>
          <w:rFonts w:hint="eastAsia"/>
        </w:rPr>
        <w:t>指标及实验方法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2"/>
        <w:gridCol w:w="1102"/>
        <w:gridCol w:w="2270"/>
        <w:gridCol w:w="1542"/>
      </w:tblGrid>
      <w:tr w14:paraId="707B3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1203" w:type="dxa"/>
            <w:noWrap w:val="0"/>
            <w:vAlign w:val="center"/>
          </w:tcPr>
          <w:p w14:paraId="18691613">
            <w:pPr>
              <w:pStyle w:val="95"/>
              <w:spacing w:before="78" w:after="78"/>
            </w:pPr>
            <w:r>
              <w:t>项目</w:t>
            </w:r>
          </w:p>
        </w:tc>
        <w:tc>
          <w:tcPr>
            <w:tcW w:w="3368" w:type="dxa"/>
            <w:gridSpan w:val="2"/>
            <w:noWrap w:val="0"/>
            <w:vAlign w:val="center"/>
          </w:tcPr>
          <w:p w14:paraId="28DD2555">
            <w:pPr>
              <w:pStyle w:val="95"/>
              <w:spacing w:before="78" w:after="78"/>
            </w:pPr>
            <w:r>
              <w:t>指标要求</w:t>
            </w:r>
          </w:p>
        </w:tc>
        <w:tc>
          <w:tcPr>
            <w:tcW w:w="1541" w:type="dxa"/>
            <w:noWrap w:val="0"/>
            <w:vAlign w:val="top"/>
          </w:tcPr>
          <w:p w14:paraId="15DA660F">
            <w:pPr>
              <w:pStyle w:val="95"/>
              <w:spacing w:before="78" w:after="78"/>
            </w:pPr>
            <w:r>
              <w:t>试验方法</w:t>
            </w:r>
          </w:p>
        </w:tc>
      </w:tr>
      <w:tr w14:paraId="6F307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291" w:type="dxa"/>
            <w:noWrap w:val="0"/>
            <w:vAlign w:val="center"/>
          </w:tcPr>
          <w:p w14:paraId="0208B13D">
            <w:pPr>
              <w:pStyle w:val="95"/>
              <w:spacing w:before="78" w:after="78"/>
            </w:pPr>
            <w:r>
              <w:t>表观密度</w:t>
            </w:r>
          </w:p>
          <w:p w14:paraId="3684FB4D">
            <w:pPr>
              <w:pStyle w:val="95"/>
              <w:spacing w:before="78" w:after="78"/>
            </w:pPr>
            <w:r>
              <w:t>（kg/</w:t>
            </w:r>
            <w:r>
              <w:rPr>
                <w:rFonts w:hint="eastAsia"/>
              </w:rPr>
              <w:t>m</w:t>
            </w:r>
            <w:r>
              <w:rPr>
                <w:vertAlign w:val="superscript"/>
              </w:rPr>
              <w:t>3</w:t>
            </w:r>
            <w:r>
              <w:t>）</w:t>
            </w:r>
          </w:p>
        </w:tc>
        <w:tc>
          <w:tcPr>
            <w:tcW w:w="3941" w:type="dxa"/>
            <w:gridSpan w:val="2"/>
            <w:noWrap w:val="0"/>
            <w:vAlign w:val="center"/>
          </w:tcPr>
          <w:p w14:paraId="6649E8EB">
            <w:pPr>
              <w:pStyle w:val="95"/>
              <w:spacing w:before="78" w:after="78"/>
            </w:pPr>
            <w:r>
              <w:t>≤1500</w:t>
            </w:r>
          </w:p>
        </w:tc>
        <w:tc>
          <w:tcPr>
            <w:tcW w:w="1762" w:type="dxa"/>
            <w:vMerge w:val="restart"/>
            <w:noWrap w:val="0"/>
            <w:vAlign w:val="center"/>
          </w:tcPr>
          <w:p w14:paraId="1D245593">
            <w:pPr>
              <w:pStyle w:val="95"/>
              <w:spacing w:before="78" w:after="78"/>
            </w:pPr>
            <w:r>
              <w:t>《纤维水泥制品试验方法》GB/T 7019</w:t>
            </w:r>
          </w:p>
          <w:p w14:paraId="639CAB60"/>
          <w:p w14:paraId="039B757C"/>
          <w:p w14:paraId="3C120D89">
            <w:pPr>
              <w:pStyle w:val="95"/>
              <w:spacing w:before="78" w:after="78"/>
            </w:pPr>
          </w:p>
          <w:p w14:paraId="503C370E">
            <w:pPr>
              <w:pStyle w:val="95"/>
              <w:spacing w:before="78" w:after="78"/>
            </w:pPr>
            <w:r>
              <w:t>《</w:t>
            </w:r>
            <w:r>
              <w:rPr>
                <w:rFonts w:hint="eastAsia"/>
              </w:rPr>
              <w:t>人造板及饰面人造板理化性能试验方法</w:t>
            </w:r>
            <w:r>
              <w:t>》GB/T 17657</w:t>
            </w:r>
          </w:p>
        </w:tc>
      </w:tr>
      <w:tr w14:paraId="69F5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0"/>
            <w:vAlign w:val="center"/>
          </w:tcPr>
          <w:p w14:paraId="6373D7DF">
            <w:pPr>
              <w:pStyle w:val="95"/>
              <w:spacing w:before="78" w:after="78"/>
            </w:pPr>
            <w:r>
              <w:t>吸水率（%）</w:t>
            </w:r>
          </w:p>
        </w:tc>
        <w:tc>
          <w:tcPr>
            <w:tcW w:w="3941" w:type="dxa"/>
            <w:gridSpan w:val="2"/>
            <w:noWrap w:val="0"/>
            <w:vAlign w:val="center"/>
          </w:tcPr>
          <w:p w14:paraId="23AEEBAC">
            <w:pPr>
              <w:pStyle w:val="95"/>
              <w:spacing w:before="78" w:after="78"/>
            </w:pPr>
            <w:r>
              <w:t>≤40</w:t>
            </w:r>
          </w:p>
        </w:tc>
        <w:tc>
          <w:tcPr>
            <w:tcW w:w="1762" w:type="dxa"/>
            <w:vMerge w:val="continue"/>
            <w:noWrap w:val="0"/>
            <w:vAlign w:val="top"/>
          </w:tcPr>
          <w:p w14:paraId="677AB6C9">
            <w:pPr>
              <w:pStyle w:val="95"/>
              <w:spacing w:before="78" w:after="78"/>
            </w:pPr>
          </w:p>
        </w:tc>
      </w:tr>
      <w:tr w14:paraId="45FD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0"/>
            <w:vAlign w:val="center"/>
          </w:tcPr>
          <w:p w14:paraId="46D77349">
            <w:pPr>
              <w:pStyle w:val="95"/>
              <w:spacing w:before="78" w:after="78"/>
            </w:pPr>
            <w:r>
              <w:t>湿涨率（%）</w:t>
            </w:r>
          </w:p>
        </w:tc>
        <w:tc>
          <w:tcPr>
            <w:tcW w:w="3941" w:type="dxa"/>
            <w:gridSpan w:val="2"/>
            <w:noWrap w:val="0"/>
            <w:vAlign w:val="center"/>
          </w:tcPr>
          <w:p w14:paraId="696D9BEA">
            <w:pPr>
              <w:pStyle w:val="95"/>
              <w:spacing w:before="78" w:after="78"/>
            </w:pPr>
            <w:r>
              <w:t>≤0.25</w:t>
            </w:r>
          </w:p>
        </w:tc>
        <w:tc>
          <w:tcPr>
            <w:tcW w:w="1762" w:type="dxa"/>
            <w:vMerge w:val="continue"/>
            <w:noWrap w:val="0"/>
            <w:vAlign w:val="top"/>
          </w:tcPr>
          <w:p w14:paraId="00454094">
            <w:pPr>
              <w:pStyle w:val="95"/>
              <w:spacing w:before="78" w:after="78"/>
            </w:pPr>
          </w:p>
        </w:tc>
      </w:tr>
      <w:tr w14:paraId="2386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0"/>
            <w:vAlign w:val="center"/>
          </w:tcPr>
          <w:p w14:paraId="780DC393">
            <w:pPr>
              <w:pStyle w:val="95"/>
              <w:spacing w:before="78" w:after="78"/>
            </w:pPr>
            <w:r>
              <w:rPr>
                <w:rFonts w:hint="eastAsia"/>
              </w:rPr>
              <w:t>静曲</w:t>
            </w:r>
            <w:r>
              <w:t>强度（MPa）</w:t>
            </w:r>
          </w:p>
        </w:tc>
        <w:tc>
          <w:tcPr>
            <w:tcW w:w="3941" w:type="dxa"/>
            <w:gridSpan w:val="2"/>
            <w:noWrap w:val="0"/>
            <w:vAlign w:val="center"/>
          </w:tcPr>
          <w:p w14:paraId="117E0452">
            <w:pPr>
              <w:pStyle w:val="95"/>
              <w:spacing w:before="78" w:after="78"/>
            </w:pPr>
            <w:r>
              <w:t>≥8</w:t>
            </w:r>
          </w:p>
        </w:tc>
        <w:tc>
          <w:tcPr>
            <w:tcW w:w="1762" w:type="dxa"/>
            <w:vMerge w:val="continue"/>
            <w:noWrap w:val="0"/>
            <w:vAlign w:val="top"/>
          </w:tcPr>
          <w:p w14:paraId="240E49A8">
            <w:pPr>
              <w:pStyle w:val="95"/>
              <w:spacing w:before="78" w:after="78"/>
            </w:pPr>
          </w:p>
        </w:tc>
      </w:tr>
      <w:tr w14:paraId="63389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1" w:type="dxa"/>
            <w:noWrap w:val="0"/>
            <w:vAlign w:val="center"/>
          </w:tcPr>
          <w:p w14:paraId="4567F185">
            <w:pPr>
              <w:pStyle w:val="95"/>
              <w:spacing w:before="78" w:after="78"/>
            </w:pPr>
            <w:r>
              <w:t>弹性模量（MPa）</w:t>
            </w:r>
          </w:p>
        </w:tc>
        <w:tc>
          <w:tcPr>
            <w:tcW w:w="3941" w:type="dxa"/>
            <w:gridSpan w:val="2"/>
            <w:noWrap w:val="0"/>
            <w:vAlign w:val="center"/>
          </w:tcPr>
          <w:p w14:paraId="002EA6E2">
            <w:pPr>
              <w:pStyle w:val="95"/>
              <w:spacing w:before="78" w:after="78"/>
            </w:pPr>
            <w:r>
              <w:t>≥3000</w:t>
            </w:r>
          </w:p>
        </w:tc>
        <w:tc>
          <w:tcPr>
            <w:tcW w:w="1762" w:type="dxa"/>
            <w:vMerge w:val="continue"/>
            <w:noWrap w:val="0"/>
            <w:vAlign w:val="top"/>
          </w:tcPr>
          <w:p w14:paraId="6AE80C58">
            <w:pPr>
              <w:pStyle w:val="95"/>
              <w:spacing w:before="78" w:after="78"/>
            </w:pPr>
          </w:p>
        </w:tc>
      </w:tr>
      <w:tr w14:paraId="2611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1291" w:type="dxa"/>
            <w:noWrap w:val="0"/>
            <w:vAlign w:val="center"/>
          </w:tcPr>
          <w:p w14:paraId="4C19218A">
            <w:pPr>
              <w:pStyle w:val="95"/>
              <w:spacing w:before="78" w:after="78"/>
            </w:pPr>
            <w:r>
              <w:t>抗冲击强度</w:t>
            </w:r>
          </w:p>
          <w:p w14:paraId="164E25A2">
            <w:pPr>
              <w:pStyle w:val="95"/>
              <w:spacing w:before="78" w:after="78"/>
            </w:pPr>
            <w:r>
              <w:t>（KJ/</w:t>
            </w:r>
            <w:r>
              <w:rPr>
                <w:rFonts w:hint="eastAsia"/>
              </w:rPr>
              <w:t>m</w:t>
            </w:r>
            <w:r>
              <w:rPr>
                <w:vertAlign w:val="superscript"/>
              </w:rPr>
              <w:t>2</w:t>
            </w:r>
            <w:r>
              <w:t>）</w:t>
            </w:r>
          </w:p>
        </w:tc>
        <w:tc>
          <w:tcPr>
            <w:tcW w:w="3941" w:type="dxa"/>
            <w:gridSpan w:val="2"/>
            <w:noWrap w:val="0"/>
            <w:vAlign w:val="center"/>
          </w:tcPr>
          <w:p w14:paraId="5E8AB602">
            <w:pPr>
              <w:pStyle w:val="95"/>
              <w:spacing w:before="78" w:after="78"/>
            </w:pPr>
            <w:r>
              <w:t>≥2.6</w:t>
            </w:r>
          </w:p>
        </w:tc>
        <w:tc>
          <w:tcPr>
            <w:tcW w:w="1762" w:type="dxa"/>
            <w:vMerge w:val="continue"/>
            <w:noWrap w:val="0"/>
            <w:vAlign w:val="top"/>
          </w:tcPr>
          <w:p w14:paraId="0BA84520">
            <w:pPr>
              <w:pStyle w:val="95"/>
              <w:spacing w:before="78" w:after="78"/>
            </w:pPr>
          </w:p>
        </w:tc>
      </w:tr>
      <w:tr w14:paraId="0856F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203" w:type="dxa"/>
            <w:vMerge w:val="restart"/>
            <w:noWrap w:val="0"/>
            <w:vAlign w:val="center"/>
          </w:tcPr>
          <w:p w14:paraId="2AE56604">
            <w:pPr>
              <w:pStyle w:val="95"/>
              <w:spacing w:before="78" w:after="78"/>
            </w:pPr>
            <w:r>
              <w:t>抗冻性*</w:t>
            </w:r>
          </w:p>
        </w:tc>
        <w:tc>
          <w:tcPr>
            <w:tcW w:w="1274" w:type="dxa"/>
            <w:noWrap w:val="0"/>
            <w:vAlign w:val="center"/>
          </w:tcPr>
          <w:p w14:paraId="65688017">
            <w:pPr>
              <w:pStyle w:val="95"/>
              <w:spacing w:before="78" w:after="78"/>
            </w:pPr>
            <w:r>
              <w:t>抗冻性能</w:t>
            </w:r>
          </w:p>
        </w:tc>
        <w:tc>
          <w:tcPr>
            <w:tcW w:w="2094" w:type="dxa"/>
            <w:noWrap w:val="0"/>
            <w:vAlign w:val="center"/>
          </w:tcPr>
          <w:p w14:paraId="793F7E74">
            <w:pPr>
              <w:pStyle w:val="95"/>
              <w:spacing w:before="78" w:after="78"/>
            </w:pPr>
            <w:r>
              <w:t>经50次冻融循环，不得出现破裂、分层</w:t>
            </w:r>
          </w:p>
        </w:tc>
        <w:tc>
          <w:tcPr>
            <w:tcW w:w="1541" w:type="dxa"/>
            <w:vMerge w:val="continue"/>
            <w:noWrap w:val="0"/>
            <w:vAlign w:val="top"/>
          </w:tcPr>
          <w:p w14:paraId="648FCA02">
            <w:pPr>
              <w:pStyle w:val="95"/>
              <w:spacing w:before="78" w:after="78"/>
            </w:pPr>
          </w:p>
        </w:tc>
      </w:tr>
      <w:tr w14:paraId="7B41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03" w:type="dxa"/>
            <w:vMerge w:val="continue"/>
            <w:noWrap w:val="0"/>
            <w:vAlign w:val="center"/>
          </w:tcPr>
          <w:p w14:paraId="0CC094D1">
            <w:pPr>
              <w:pStyle w:val="95"/>
              <w:spacing w:before="78" w:after="78"/>
            </w:pPr>
          </w:p>
        </w:tc>
        <w:tc>
          <w:tcPr>
            <w:tcW w:w="1274" w:type="dxa"/>
            <w:noWrap w:val="0"/>
            <w:vAlign w:val="center"/>
          </w:tcPr>
          <w:p w14:paraId="13AA1E53">
            <w:pPr>
              <w:pStyle w:val="95"/>
              <w:spacing w:before="78" w:after="78"/>
            </w:pPr>
            <w:r>
              <w:rPr>
                <w:rFonts w:hint="eastAsia"/>
              </w:rPr>
              <w:t>静曲</w:t>
            </w:r>
            <w:r>
              <w:t>强度比率</w:t>
            </w:r>
          </w:p>
        </w:tc>
        <w:tc>
          <w:tcPr>
            <w:tcW w:w="2094" w:type="dxa"/>
            <w:noWrap w:val="0"/>
            <w:vAlign w:val="center"/>
          </w:tcPr>
          <w:p w14:paraId="25DEA411">
            <w:pPr>
              <w:pStyle w:val="95"/>
              <w:spacing w:before="78" w:after="78"/>
            </w:pPr>
            <w:r>
              <w:t>≥70%</w:t>
            </w:r>
          </w:p>
        </w:tc>
        <w:tc>
          <w:tcPr>
            <w:tcW w:w="1541" w:type="dxa"/>
            <w:vMerge w:val="continue"/>
            <w:noWrap w:val="0"/>
            <w:vAlign w:val="top"/>
          </w:tcPr>
          <w:p w14:paraId="65835732">
            <w:pPr>
              <w:pStyle w:val="95"/>
              <w:spacing w:before="78" w:after="78"/>
            </w:pPr>
          </w:p>
        </w:tc>
      </w:tr>
    </w:tbl>
    <w:p w14:paraId="74F0D615">
      <w:pPr>
        <w:pStyle w:val="80"/>
        <w:tabs>
          <w:tab w:val="left" w:pos="420"/>
          <w:tab w:val="right" w:leader="dot" w:pos="6960"/>
        </w:tabs>
        <w:spacing w:before="78" w:after="78"/>
        <w:jc w:val="left"/>
      </w:pPr>
      <w:r>
        <w:t>*注：仅当用于室外潮湿环境且可能出现冻融现象时有抗冻性要求。</w:t>
      </w:r>
    </w:p>
    <w:p w14:paraId="08585109">
      <w:pPr>
        <w:pStyle w:val="6"/>
        <w:numPr>
          <w:ilvl w:val="2"/>
          <w:numId w:val="0"/>
        </w:numPr>
      </w:pPr>
      <w:r>
        <w:rPr>
          <w:rFonts w:hint="eastAsia"/>
          <w:color w:val="0070C0"/>
        </w:rPr>
        <w:t>【条文说明】固模底板的厚度、弹性模量、静曲强度等将影响堆放、运输及吊装时TC板的质量并将决定施工时TC板支撑龙骨的间距。因此应根据底板的材性做好相应的承载力验算，必要时应提高对底板厚度、弹性模量、静曲强度的要求，确保TC板堆放、运输及吊装及施工各阶段底板不发生开裂并应采取适当措施保证施工时支撑龙骨的间距满足装配式建筑评价标准的要求。仅当TC板用于室外潮湿环境时应有抗冻性要求。</w:t>
      </w:r>
    </w:p>
    <w:p w14:paraId="7D33DC78">
      <w:pPr>
        <w:pStyle w:val="6"/>
      </w:pPr>
      <w:r>
        <w:rPr>
          <w:rFonts w:hint="eastAsia"/>
        </w:rPr>
        <w:t>固模楼承板的底板的</w:t>
      </w:r>
      <w:r>
        <w:t>燃烧性能不应低于</w:t>
      </w:r>
      <w:r>
        <w:rPr>
          <w:rFonts w:hint="eastAsia"/>
        </w:rPr>
        <w:t>现行</w:t>
      </w:r>
      <w:r>
        <w:t>国家标准《建筑材料及制品燃烧性能分级》GB 8624中</w:t>
      </w:r>
      <w:r>
        <w:rPr>
          <w:rFonts w:hint="eastAsia"/>
        </w:rPr>
        <w:t>A</w:t>
      </w:r>
      <w:r>
        <w:t>级的要求</w:t>
      </w:r>
      <w:r>
        <w:rPr>
          <w:rFonts w:hint="eastAsia"/>
        </w:rPr>
        <w:t>，</w:t>
      </w:r>
      <w:r>
        <w:t>甲醛含量应达到</w:t>
      </w:r>
      <w:r>
        <w:rPr>
          <w:rFonts w:hint="eastAsia"/>
        </w:rPr>
        <w:t>现行</w:t>
      </w:r>
      <w:r>
        <w:t>国家标准</w:t>
      </w:r>
      <w:r>
        <w:rPr>
          <w:rFonts w:hint="eastAsia"/>
        </w:rPr>
        <w:t>《室内装饰装修材料 人造板及其制品中甲醛释放限量》GB</w:t>
      </w:r>
      <w:r>
        <w:t xml:space="preserve"> </w:t>
      </w:r>
      <w:r>
        <w:rPr>
          <w:rFonts w:hint="eastAsia"/>
        </w:rPr>
        <w:t>18580中E1级的要求。</w:t>
      </w:r>
    </w:p>
    <w:p w14:paraId="78D8812C">
      <w:pPr>
        <w:pStyle w:val="6"/>
      </w:pPr>
      <w:r>
        <w:rPr>
          <w:rFonts w:hint="eastAsia"/>
        </w:rPr>
        <w:t>固模楼承板中的连接材料应符合下列规定：</w:t>
      </w:r>
    </w:p>
    <w:p w14:paraId="575FDDDF">
      <w:pPr>
        <w:pStyle w:val="7"/>
        <w:numPr>
          <w:ilvl w:val="0"/>
          <w:numId w:val="9"/>
        </w:numPr>
      </w:pPr>
      <w:r>
        <w:t>垫块应选用聚乙烯（PE）、聚丙烯（PP）或尼龙（PA）等塑料，不得使用</w:t>
      </w:r>
      <w:r>
        <w:rPr>
          <w:rFonts w:hint="eastAsia"/>
        </w:rPr>
        <w:t>再生</w:t>
      </w:r>
      <w:r>
        <w:t>塑料；</w:t>
      </w:r>
    </w:p>
    <w:p w14:paraId="7F7E4523">
      <w:pPr>
        <w:pStyle w:val="7"/>
        <w:numPr>
          <w:ilvl w:val="0"/>
          <w:numId w:val="9"/>
        </w:numPr>
      </w:pPr>
      <w:r>
        <w:t>螺钉应采用奥氏体或铁素体不锈钢钉。螺钉规格应符合</w:t>
      </w:r>
      <w:r>
        <w:rPr>
          <w:rFonts w:hint="eastAsia"/>
        </w:rPr>
        <w:t>现行</w:t>
      </w:r>
      <w:r>
        <w:t>国家标准《十字槽沉头自攻钉》GB/T 846的规定，其性能指标应符合</w:t>
      </w:r>
      <w:r>
        <w:rPr>
          <w:rFonts w:hint="eastAsia"/>
        </w:rPr>
        <w:t>现行</w:t>
      </w:r>
      <w:r>
        <w:t>国家标准《紧固件机械性能</w:t>
      </w:r>
      <w:r>
        <w:rPr>
          <w:rFonts w:hint="eastAsia"/>
        </w:rPr>
        <w:t xml:space="preserve"> </w:t>
      </w:r>
      <w:r>
        <w:t>不锈钢自攻螺钉》GB/T 3098.21的规定</w:t>
      </w:r>
      <w:r>
        <w:rPr>
          <w:rFonts w:hint="eastAsia"/>
        </w:rPr>
        <w:t>；</w:t>
      </w:r>
    </w:p>
    <w:p w14:paraId="115B0AED">
      <w:pPr>
        <w:pStyle w:val="7"/>
        <w:numPr>
          <w:ilvl w:val="0"/>
          <w:numId w:val="9"/>
        </w:numPr>
      </w:pPr>
      <w:r>
        <w:rPr>
          <w:rFonts w:hint="eastAsia"/>
        </w:rPr>
        <w:t>正常使用时</w:t>
      </w:r>
      <w:r>
        <w:t>底板通过连接件悬挂于楼板底面，</w:t>
      </w:r>
      <w:r>
        <w:rPr>
          <w:rFonts w:hint="eastAsia"/>
        </w:rPr>
        <w:t>连接件的力学性能指标及试验方法应符合</w:t>
      </w:r>
      <w:r>
        <w:fldChar w:fldCharType="begin"/>
      </w:r>
      <w:r>
        <w:instrText xml:space="preserve"> </w:instrText>
      </w:r>
      <w:r>
        <w:rPr>
          <w:rFonts w:hint="eastAsia"/>
        </w:rPr>
        <w:instrText xml:space="preserve">REF _Ref62672967 \h</w:instrText>
      </w:r>
      <w:r>
        <w:instrText xml:space="preserve">  \* MERGEFORMAT </w:instrText>
      </w:r>
      <w:r>
        <w:fldChar w:fldCharType="separate"/>
      </w:r>
      <w:r>
        <w:rPr>
          <w:rFonts w:hint="eastAsia"/>
        </w:rPr>
        <w:t>表</w:t>
      </w:r>
      <w:r>
        <w:t>4.3.4</w:t>
      </w:r>
      <w:r>
        <w:fldChar w:fldCharType="end"/>
      </w:r>
      <w:r>
        <w:rPr>
          <w:rFonts w:hint="eastAsia"/>
        </w:rPr>
        <w:t>的要求；</w:t>
      </w:r>
    </w:p>
    <w:p w14:paraId="5465FBEC">
      <w:pPr>
        <w:pStyle w:val="14"/>
        <w:jc w:val="center"/>
      </w:pPr>
      <w:bookmarkStart w:id="115" w:name="_Ref62672967"/>
      <w:r>
        <w:rPr>
          <w:rFonts w:hint="eastAsia"/>
        </w:rPr>
        <w:t>表</w:t>
      </w:r>
      <w:r>
        <w:fldChar w:fldCharType="begin"/>
      </w:r>
      <w:r>
        <w:instrText xml:space="preserve"> </w:instrText>
      </w:r>
      <w:r>
        <w:rPr>
          <w:rFonts w:hint="eastAsia"/>
        </w:rPr>
        <w:instrText xml:space="preserve">STYLEREF 3 \s</w:instrText>
      </w:r>
      <w:r>
        <w:instrText xml:space="preserve"> </w:instrText>
      </w:r>
      <w:r>
        <w:fldChar w:fldCharType="separate"/>
      </w:r>
      <w:r>
        <w:t>4.3.4</w:t>
      </w:r>
      <w:r>
        <w:fldChar w:fldCharType="end"/>
      </w:r>
      <w:bookmarkEnd w:id="115"/>
      <w:r>
        <w:t xml:space="preserve"> </w:t>
      </w:r>
      <w:r>
        <w:rPr>
          <w:rFonts w:hint="eastAsia"/>
        </w:rPr>
        <w:t>连接件的力学性能指标及试验方法</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236"/>
        <w:gridCol w:w="1801"/>
      </w:tblGrid>
      <w:tr w14:paraId="1FB6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895" w:type="pct"/>
            <w:noWrap w:val="0"/>
            <w:vAlign w:val="center"/>
          </w:tcPr>
          <w:p w14:paraId="60BAC04E">
            <w:pPr>
              <w:pStyle w:val="95"/>
              <w:tabs>
                <w:tab w:val="left" w:pos="420"/>
                <w:tab w:val="right" w:leader="dot" w:pos="6960"/>
              </w:tabs>
              <w:spacing w:before="78" w:after="78"/>
            </w:pPr>
            <w:r>
              <w:t>项 目</w:t>
            </w:r>
          </w:p>
        </w:tc>
        <w:tc>
          <w:tcPr>
            <w:tcW w:w="2636" w:type="pct"/>
            <w:noWrap w:val="0"/>
            <w:vAlign w:val="center"/>
          </w:tcPr>
          <w:p w14:paraId="04C7CFB0">
            <w:pPr>
              <w:pStyle w:val="95"/>
              <w:tabs>
                <w:tab w:val="left" w:pos="420"/>
                <w:tab w:val="right" w:leader="dot" w:pos="6960"/>
              </w:tabs>
              <w:spacing w:before="78" w:after="78"/>
            </w:pPr>
            <w:r>
              <w:t>力学性能</w:t>
            </w:r>
            <w:r>
              <w:rPr>
                <w:rFonts w:hint="eastAsia"/>
              </w:rPr>
              <w:t>要求</w:t>
            </w:r>
          </w:p>
        </w:tc>
        <w:tc>
          <w:tcPr>
            <w:tcW w:w="1467" w:type="pct"/>
            <w:noWrap w:val="0"/>
            <w:vAlign w:val="center"/>
          </w:tcPr>
          <w:p w14:paraId="3588F0C1">
            <w:pPr>
              <w:pStyle w:val="95"/>
              <w:tabs>
                <w:tab w:val="left" w:pos="420"/>
                <w:tab w:val="right" w:leader="dot" w:pos="6960"/>
              </w:tabs>
              <w:spacing w:before="78" w:after="78"/>
            </w:pPr>
            <w:r>
              <w:t>试验方法</w:t>
            </w:r>
          </w:p>
        </w:tc>
      </w:tr>
      <w:tr w14:paraId="2906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trPr>
        <w:tc>
          <w:tcPr>
            <w:tcW w:w="895" w:type="pct"/>
            <w:noWrap w:val="0"/>
            <w:vAlign w:val="center"/>
          </w:tcPr>
          <w:p w14:paraId="0C2E3A06">
            <w:pPr>
              <w:pStyle w:val="95"/>
              <w:tabs>
                <w:tab w:val="left" w:pos="420"/>
                <w:tab w:val="right" w:leader="dot" w:pos="6960"/>
              </w:tabs>
              <w:spacing w:before="78" w:after="78"/>
            </w:pPr>
            <w:r>
              <w:t>握钉力</w:t>
            </w:r>
          </w:p>
        </w:tc>
        <w:tc>
          <w:tcPr>
            <w:tcW w:w="2636" w:type="pct"/>
            <w:noWrap w:val="0"/>
            <w:vAlign w:val="center"/>
          </w:tcPr>
          <w:p w14:paraId="3004F04F">
            <w:pPr>
              <w:pStyle w:val="95"/>
              <w:tabs>
                <w:tab w:val="left" w:pos="420"/>
                <w:tab w:val="right" w:leader="dot" w:pos="6960"/>
              </w:tabs>
              <w:spacing w:before="78" w:after="78"/>
            </w:pPr>
            <w:r>
              <w:t>垫块及底板握钉（即钉子的拔出力）均不应小于0.5kN</w:t>
            </w:r>
          </w:p>
        </w:tc>
        <w:tc>
          <w:tcPr>
            <w:tcW w:w="1467" w:type="pct"/>
            <w:noWrap w:val="0"/>
            <w:vAlign w:val="center"/>
          </w:tcPr>
          <w:p w14:paraId="4E7D4CCE">
            <w:pPr>
              <w:pStyle w:val="95"/>
              <w:tabs>
                <w:tab w:val="left" w:pos="420"/>
                <w:tab w:val="right" w:leader="dot" w:pos="6960"/>
              </w:tabs>
              <w:spacing w:before="78" w:after="78"/>
            </w:pPr>
            <w:r>
              <w:t>《</w:t>
            </w:r>
            <w:r>
              <w:rPr>
                <w:rFonts w:hint="eastAsia"/>
              </w:rPr>
              <w:t>人造板及饰面人造板理化性能试验方法</w:t>
            </w:r>
            <w:r>
              <w:t>》GB/T 17657</w:t>
            </w:r>
          </w:p>
        </w:tc>
      </w:tr>
      <w:tr w14:paraId="03AF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exact"/>
        </w:trPr>
        <w:tc>
          <w:tcPr>
            <w:tcW w:w="895" w:type="pct"/>
            <w:noWrap w:val="0"/>
            <w:vAlign w:val="center"/>
          </w:tcPr>
          <w:p w14:paraId="72C85AD2">
            <w:pPr>
              <w:pStyle w:val="95"/>
              <w:tabs>
                <w:tab w:val="left" w:pos="420"/>
                <w:tab w:val="right" w:leader="dot" w:pos="6960"/>
              </w:tabs>
              <w:spacing w:before="78" w:after="78"/>
            </w:pPr>
            <w:r>
              <w:t>垫块承载力</w:t>
            </w:r>
          </w:p>
        </w:tc>
        <w:tc>
          <w:tcPr>
            <w:tcW w:w="2636" w:type="pct"/>
            <w:noWrap w:val="0"/>
            <w:vAlign w:val="center"/>
          </w:tcPr>
          <w:p w14:paraId="62CA74CC">
            <w:pPr>
              <w:pStyle w:val="95"/>
              <w:tabs>
                <w:tab w:val="left" w:pos="420"/>
                <w:tab w:val="right" w:leader="dot" w:pos="6960"/>
              </w:tabs>
              <w:spacing w:before="78" w:after="78"/>
            </w:pPr>
            <w:r>
              <w:t>垫块卡住钢筋后，垫块应能保证该处钢筋承受不小于1kN竖直向下的集中力、不小于0.25kN竖直向上的集中力</w:t>
            </w:r>
          </w:p>
        </w:tc>
        <w:tc>
          <w:tcPr>
            <w:tcW w:w="1467" w:type="pct"/>
            <w:noWrap w:val="0"/>
            <w:vAlign w:val="center"/>
          </w:tcPr>
          <w:p w14:paraId="0600A936">
            <w:pPr>
              <w:pStyle w:val="95"/>
              <w:tabs>
                <w:tab w:val="left" w:pos="420"/>
                <w:tab w:val="right" w:leader="dot" w:pos="6960"/>
              </w:tabs>
              <w:spacing w:before="78" w:after="78"/>
              <w:jc w:val="left"/>
            </w:pPr>
            <w:r>
              <w:t>垫块卡住钢筋后，在钢筋两侧施加集中荷载，垫块不发生变形或断裂破坏</w:t>
            </w:r>
          </w:p>
        </w:tc>
      </w:tr>
    </w:tbl>
    <w:p w14:paraId="02358BC5">
      <w:pPr>
        <w:pStyle w:val="7"/>
        <w:numPr>
          <w:ilvl w:val="0"/>
          <w:numId w:val="9"/>
        </w:numPr>
      </w:pPr>
      <w:r>
        <w:rPr>
          <w:rFonts w:hint="eastAsia"/>
        </w:rPr>
        <w:t>连接材料的设计</w:t>
      </w:r>
      <w:r>
        <w:t>使用年限应与主体结构相同。</w:t>
      </w:r>
    </w:p>
    <w:p w14:paraId="39F6D378">
      <w:pPr>
        <w:pStyle w:val="6"/>
      </w:pPr>
      <w:r>
        <w:t>固模楼承板拼缝及</w:t>
      </w:r>
      <w:r>
        <w:rPr>
          <w:rFonts w:hint="eastAsia"/>
        </w:rPr>
        <w:t>底</w:t>
      </w:r>
      <w:r>
        <w:t>面找平处理应采用建筑用室内腻子，腻子的物理性能技术指标应符合</w:t>
      </w:r>
      <w:r>
        <w:rPr>
          <w:rFonts w:hint="eastAsia"/>
        </w:rPr>
        <w:t>现行行业</w:t>
      </w:r>
      <w:r>
        <w:t>标准《建筑室内用腻子》JG/T 298的要求，应与固模楼承板</w:t>
      </w:r>
      <w:r>
        <w:rPr>
          <w:rFonts w:hint="eastAsia"/>
        </w:rPr>
        <w:t>的</w:t>
      </w:r>
      <w:r>
        <w:t>底板材料相容</w:t>
      </w:r>
      <w:r>
        <w:rPr>
          <w:rFonts w:hint="eastAsia"/>
        </w:rPr>
        <w:t>；拼缝处宜粘贴玻璃纤维网格布，防止开裂</w:t>
      </w:r>
      <w:r>
        <w:t>。</w:t>
      </w:r>
      <w:bookmarkEnd w:id="106"/>
      <w:bookmarkEnd w:id="107"/>
    </w:p>
    <w:p w14:paraId="0EDE04EF">
      <w:pPr>
        <w:pStyle w:val="6"/>
        <w:numPr>
          <w:ilvl w:val="2"/>
          <w:numId w:val="0"/>
        </w:numPr>
      </w:pPr>
      <w:r>
        <w:rPr>
          <w:rFonts w:hint="eastAsia"/>
          <w:color w:val="0070C0"/>
        </w:rPr>
        <w:t>【条文说明】TC板的底板下表面应做到光滑平整，以达到免抹灰要求。板底表面仅需板拼缝处理及刮腻子找平，填缝腻子应与底板材料兼容并具有抗收缩性，避免板底出现裂缝。</w:t>
      </w:r>
    </w:p>
    <w:p w14:paraId="3CF337A6">
      <w:pPr>
        <w:pStyle w:val="6"/>
        <w:numPr>
          <w:ilvl w:val="0"/>
          <w:numId w:val="0"/>
        </w:numPr>
        <w:tabs>
          <w:tab w:val="clear" w:pos="907"/>
        </w:tabs>
      </w:pPr>
    </w:p>
    <w:p w14:paraId="72BB1C92">
      <w:pPr>
        <w:pStyle w:val="6"/>
        <w:numPr>
          <w:ilvl w:val="0"/>
          <w:numId w:val="0"/>
        </w:numPr>
        <w:tabs>
          <w:tab w:val="clear" w:pos="907"/>
        </w:tabs>
        <w:rPr>
          <w:rFonts w:hint="eastAsia"/>
        </w:rPr>
      </w:pPr>
    </w:p>
    <w:p w14:paraId="0B78C97A">
      <w:pPr>
        <w:pStyle w:val="4"/>
        <w:spacing w:before="156" w:after="156"/>
      </w:pPr>
      <w:r>
        <w:br w:type="page"/>
      </w:r>
      <w:bookmarkStart w:id="116" w:name="_Toc61254068"/>
      <w:bookmarkStart w:id="117" w:name="_Toc129374368"/>
      <w:bookmarkStart w:id="118" w:name="_Toc61254025"/>
      <w:bookmarkStart w:id="119" w:name="_Toc31208"/>
      <w:bookmarkStart w:id="120" w:name="_Toc247967500"/>
      <w:bookmarkStart w:id="121" w:name="_Toc252452576"/>
      <w:bookmarkStart w:id="122" w:name="_Toc224054446"/>
      <w:r>
        <w:t>建筑设计</w:t>
      </w:r>
      <w:bookmarkEnd w:id="116"/>
      <w:bookmarkEnd w:id="117"/>
      <w:bookmarkEnd w:id="118"/>
      <w:bookmarkEnd w:id="119"/>
    </w:p>
    <w:p w14:paraId="0B5958BB">
      <w:pPr>
        <w:pStyle w:val="5"/>
        <w:numPr>
          <w:ilvl w:val="1"/>
          <w:numId w:val="10"/>
        </w:numPr>
        <w:spacing w:before="156" w:beforeLines="50" w:after="156"/>
      </w:pPr>
      <w:bookmarkStart w:id="123" w:name="_Toc61254069"/>
      <w:bookmarkStart w:id="124" w:name="_Toc61254026"/>
      <w:bookmarkStart w:id="125" w:name="_Toc129374369"/>
      <w:bookmarkStart w:id="126" w:name="_Toc28561"/>
      <w:bookmarkStart w:id="127" w:name="_Toc475644054"/>
      <w:bookmarkStart w:id="128" w:name="_Toc475644447"/>
      <w:bookmarkStart w:id="129" w:name="_Toc475644639"/>
      <w:bookmarkStart w:id="130" w:name="_Toc454444393"/>
      <w:bookmarkStart w:id="131" w:name="_Toc475644170"/>
      <w:r>
        <w:rPr>
          <w:rFonts w:hint="eastAsia"/>
        </w:rPr>
        <w:t>一般规定</w:t>
      </w:r>
      <w:bookmarkEnd w:id="123"/>
      <w:bookmarkEnd w:id="124"/>
      <w:bookmarkEnd w:id="125"/>
      <w:bookmarkEnd w:id="126"/>
    </w:p>
    <w:p w14:paraId="55BE3196">
      <w:pPr>
        <w:pStyle w:val="6"/>
      </w:pPr>
      <w:r>
        <w:rPr>
          <w:rFonts w:hint="eastAsia"/>
        </w:rPr>
        <w:t>固模剪力墙建筑设计中防火、防水、保温、隔热及隔声等应符合现行国家和广东省有关标准的规定并应满足建筑工业化及绿色建筑的要求。</w:t>
      </w:r>
    </w:p>
    <w:p w14:paraId="7913D3B4">
      <w:pPr>
        <w:pStyle w:val="6"/>
      </w:pPr>
      <w:r>
        <w:rPr>
          <w:rFonts w:hint="eastAsia"/>
        </w:rPr>
        <w:t>固模剪力墙建筑的节能设计应符合现行地方标准《广东省居住建筑节能设计标准》</w:t>
      </w:r>
      <w:r>
        <w:t>DBJ/T 15-133</w:t>
      </w:r>
      <w:r>
        <w:rPr>
          <w:rFonts w:hint="eastAsia"/>
        </w:rPr>
        <w:t>及《广东省公共建筑节能设计标准》</w:t>
      </w:r>
      <w:r>
        <w:t>DBJ 15-51</w:t>
      </w:r>
      <w:r>
        <w:rPr>
          <w:rFonts w:hint="eastAsia"/>
        </w:rPr>
        <w:t>等的规定。</w:t>
      </w:r>
    </w:p>
    <w:p w14:paraId="481E4D6C">
      <w:pPr>
        <w:pStyle w:val="6"/>
      </w:pPr>
      <w:r>
        <w:rPr>
          <w:rFonts w:hint="eastAsia"/>
        </w:rPr>
        <w:t>固模剪力墙建筑设计应符合城市规划的要求并与当地的产业资源和周围环境相协调。在标准化设计的同时，结合总体布局利用立面色彩、细部处理等手法丰富建筑造型及空间。</w:t>
      </w:r>
    </w:p>
    <w:p w14:paraId="39055917">
      <w:pPr>
        <w:pStyle w:val="6"/>
      </w:pPr>
      <w:r>
        <w:rPr>
          <w:rFonts w:hint="eastAsia"/>
        </w:rPr>
        <w:t>固模剪力墙建筑的外围护结构以及女儿墙、楼梯、阳台、隔墙、空调板、管道井等配套构件，室内装饰装修材料宜采用工业化、标准化产品。</w:t>
      </w:r>
    </w:p>
    <w:p w14:paraId="23CFBBB7">
      <w:pPr>
        <w:pStyle w:val="6"/>
      </w:pPr>
      <w:r>
        <w:rPr>
          <w:rFonts w:hint="eastAsia"/>
        </w:rPr>
        <w:t>固模剪力墙建筑设计应根据建筑功能、空心墙模的规格、设备管线及装修等的要求，确定合理的层高及净高尺寸。</w:t>
      </w:r>
    </w:p>
    <w:p w14:paraId="46419D3C">
      <w:pPr>
        <w:pStyle w:val="6"/>
      </w:pPr>
      <w:r>
        <w:rPr>
          <w:rFonts w:hint="eastAsia"/>
        </w:rPr>
        <w:t>固模剪力墙建筑、给排水、暖通与燃气、电气工程的设计，除应符合本标准的规定外，尚应符合现行国家和广东省有关标准的规定。</w:t>
      </w:r>
    </w:p>
    <w:p w14:paraId="18374037">
      <w:pPr>
        <w:pStyle w:val="5"/>
        <w:numPr>
          <w:ilvl w:val="1"/>
          <w:numId w:val="10"/>
        </w:numPr>
        <w:spacing w:before="156" w:beforeLines="50" w:after="156"/>
      </w:pPr>
      <w:bookmarkStart w:id="132" w:name="_Toc129374370"/>
      <w:bookmarkStart w:id="133" w:name="_Toc61254027"/>
      <w:bookmarkStart w:id="134" w:name="_Toc1178"/>
      <w:bookmarkStart w:id="135" w:name="_Toc61254070"/>
      <w:r>
        <w:t>平面、立面设计</w:t>
      </w:r>
      <w:bookmarkEnd w:id="127"/>
      <w:bookmarkEnd w:id="128"/>
      <w:bookmarkEnd w:id="129"/>
      <w:bookmarkEnd w:id="130"/>
      <w:bookmarkEnd w:id="131"/>
      <w:bookmarkEnd w:id="132"/>
      <w:bookmarkEnd w:id="133"/>
      <w:bookmarkEnd w:id="134"/>
      <w:bookmarkEnd w:id="135"/>
    </w:p>
    <w:p w14:paraId="53604761">
      <w:pPr>
        <w:pStyle w:val="6"/>
      </w:pPr>
      <w:r>
        <w:rPr>
          <w:rFonts w:hint="eastAsia"/>
        </w:rPr>
        <w:t>固模剪力墙建筑平面设计应符合下列规定：</w:t>
      </w:r>
    </w:p>
    <w:p w14:paraId="0E6985E5">
      <w:pPr>
        <w:pStyle w:val="7"/>
        <w:numPr>
          <w:ilvl w:val="0"/>
          <w:numId w:val="11"/>
        </w:numPr>
      </w:pPr>
      <w:r>
        <w:rPr>
          <w:rFonts w:hint="eastAsia"/>
        </w:rPr>
        <w:t>宜采用大开间大进深、空间灵活多变的布置方式。平面尺寸应尽量满足标准化构件的模数要求，减少非标构件；</w:t>
      </w:r>
    </w:p>
    <w:p w14:paraId="25D93011">
      <w:pPr>
        <w:pStyle w:val="7"/>
        <w:numPr>
          <w:ilvl w:val="0"/>
          <w:numId w:val="11"/>
        </w:numPr>
      </w:pPr>
      <w:r>
        <w:rPr>
          <w:rFonts w:hint="eastAsia"/>
        </w:rPr>
        <w:t>平面布局宜简单、规则，应合理控制建筑的体型；</w:t>
      </w:r>
    </w:p>
    <w:p w14:paraId="661F4016">
      <w:pPr>
        <w:pStyle w:val="7"/>
        <w:numPr>
          <w:ilvl w:val="0"/>
          <w:numId w:val="11"/>
        </w:numPr>
      </w:pPr>
      <w:r>
        <w:rPr>
          <w:rFonts w:hint="eastAsia"/>
        </w:rPr>
        <w:t>设备管线应进行管线综合设计，设备管线宜集中布置在公共空间的管道井内。管道井应满足相关设备专业及防火的设计要求，宜采用预制管道井；</w:t>
      </w:r>
    </w:p>
    <w:p w14:paraId="4AA3D2BE">
      <w:pPr>
        <w:pStyle w:val="7"/>
        <w:numPr>
          <w:ilvl w:val="0"/>
          <w:numId w:val="11"/>
        </w:numPr>
      </w:pPr>
      <w:r>
        <w:rPr>
          <w:rFonts w:hint="eastAsia"/>
        </w:rPr>
        <w:t>厨房和卫生间的平面功能分区应合理，平面布置宜上下对位，平面尺寸宜满足标准化整体橱柜及整体卫浴的设置要求；</w:t>
      </w:r>
    </w:p>
    <w:p w14:paraId="50A3FF29">
      <w:pPr>
        <w:pStyle w:val="7"/>
        <w:numPr>
          <w:ilvl w:val="0"/>
          <w:numId w:val="11"/>
        </w:numPr>
      </w:pPr>
      <w:r>
        <w:rPr>
          <w:rFonts w:hint="eastAsia"/>
        </w:rPr>
        <w:t>建筑门窗洞口宜上下对齐、成列布置，其平面布置和尺寸应满足结构受力及预制构件设计要求，不宜采用转角窗。</w:t>
      </w:r>
    </w:p>
    <w:p w14:paraId="4950DF86">
      <w:pPr>
        <w:pStyle w:val="7"/>
        <w:numPr>
          <w:ilvl w:val="0"/>
          <w:numId w:val="0"/>
        </w:numPr>
        <w:rPr>
          <w:rFonts w:hint="eastAsia"/>
          <w:bCs/>
          <w:color w:val="0070C0"/>
        </w:rPr>
      </w:pPr>
      <w:r>
        <w:rPr>
          <w:rFonts w:hint="eastAsia"/>
          <w:color w:val="0070C0"/>
        </w:rPr>
        <w:t>【条文说明</w:t>
      </w:r>
      <w:r>
        <w:rPr>
          <w:rFonts w:hint="eastAsia"/>
          <w:bCs/>
          <w:color w:val="0070C0"/>
        </w:rPr>
        <w:t>】平面体型除应符合建筑功能及结构设计要求外，尚应符合现行国家及广东省有关建筑节能设计标准对体型系数的要求。</w:t>
      </w:r>
    </w:p>
    <w:p w14:paraId="6B8688AA">
      <w:pPr>
        <w:pStyle w:val="7"/>
        <w:numPr>
          <w:ilvl w:val="0"/>
          <w:numId w:val="0"/>
        </w:numPr>
        <w:ind w:firstLine="420" w:firstLineChars="200"/>
        <w:rPr>
          <w:rFonts w:hint="eastAsia"/>
          <w:bCs/>
          <w:color w:val="0070C0"/>
        </w:rPr>
      </w:pPr>
      <w:r>
        <w:rPr>
          <w:rFonts w:hint="eastAsia"/>
          <w:bCs/>
          <w:color w:val="0070C0"/>
        </w:rPr>
        <w:t>整体厨卫设计宜符合现行行业标准《住宅整体厨房》JG/T 184、《住宅整体卫浴间》JG/T 183以及广东省地方标准《建筑室内装配式装修技术规程》DBJ/T 15-246的有关规定。</w:t>
      </w:r>
    </w:p>
    <w:p w14:paraId="581362AD">
      <w:pPr>
        <w:pStyle w:val="7"/>
        <w:numPr>
          <w:ilvl w:val="0"/>
          <w:numId w:val="0"/>
        </w:numPr>
        <w:ind w:firstLine="420" w:firstLineChars="200"/>
      </w:pPr>
      <w:r>
        <w:rPr>
          <w:rFonts w:hint="eastAsia"/>
          <w:bCs/>
          <w:color w:val="0070C0"/>
        </w:rPr>
        <w:t>本条参考了《装配式混凝土结构技术规程》JGJ 1-2014第5.2.3条规定“剪力墙结构中不宜采用转角窗”，但参考《全国民用建筑工程设计技术措施-结构》（混凝土结构）（2009版）第5.1.13条规定“抗震设防烈度为7度和8度时，高层剪力墙结构不宜在外墙角部开设角窗，必须设置时应加强其抗震措施”，即在6度区或非高层固模剪力墙结构中可采用转角窗，但应加强其抗震措施。</w:t>
      </w:r>
    </w:p>
    <w:p w14:paraId="77B35624">
      <w:pPr>
        <w:pStyle w:val="6"/>
      </w:pPr>
      <w:r>
        <w:rPr>
          <w:rFonts w:hint="eastAsia"/>
        </w:rPr>
        <w:t>固模剪力墙建筑立面设计应符合下列规定：</w:t>
      </w:r>
    </w:p>
    <w:p w14:paraId="2800E5BE">
      <w:pPr>
        <w:pStyle w:val="7"/>
        <w:numPr>
          <w:ilvl w:val="0"/>
          <w:numId w:val="12"/>
        </w:numPr>
      </w:pPr>
      <w:r>
        <w:rPr>
          <w:rFonts w:hint="eastAsia"/>
        </w:rPr>
        <w:t>固模剪力墙宜上下对应贯通，楼层收进与外挑尺寸不宜过大，不宜错层；</w:t>
      </w:r>
    </w:p>
    <w:p w14:paraId="217A8DA7">
      <w:pPr>
        <w:pStyle w:val="7"/>
        <w:numPr>
          <w:ilvl w:val="0"/>
          <w:numId w:val="12"/>
        </w:numPr>
      </w:pPr>
      <w:r>
        <w:rPr>
          <w:rFonts w:hint="eastAsia"/>
        </w:rPr>
        <w:t>立面设计应体现工厂化生产、装配式施工和外围护结构简洁规整的特征，外墙、阳台板、空调板、外窗、遮阳设施及装饰等部品部件宜进行标准化设计；</w:t>
      </w:r>
    </w:p>
    <w:p w14:paraId="7764BC02">
      <w:pPr>
        <w:pStyle w:val="7"/>
        <w:numPr>
          <w:ilvl w:val="0"/>
          <w:numId w:val="12"/>
        </w:numPr>
      </w:pPr>
      <w:r>
        <w:rPr>
          <w:rFonts w:hint="eastAsia"/>
        </w:rPr>
        <w:t>立面设计宜通过建筑体量、材质肌理、色彩等变化，形成丰富多样的立面效果。</w:t>
      </w:r>
    </w:p>
    <w:p w14:paraId="1979478E">
      <w:pPr>
        <w:pStyle w:val="7"/>
        <w:numPr>
          <w:ilvl w:val="0"/>
          <w:numId w:val="0"/>
        </w:numPr>
        <w:rPr>
          <w:rFonts w:hint="eastAsia"/>
          <w:bCs/>
          <w:color w:val="0070C0"/>
        </w:rPr>
      </w:pPr>
      <w:r>
        <w:rPr>
          <w:rFonts w:hint="eastAsia"/>
          <w:color w:val="0070C0"/>
        </w:rPr>
        <w:t>【条文说明</w:t>
      </w:r>
      <w:r>
        <w:rPr>
          <w:rFonts w:hint="eastAsia"/>
          <w:bCs/>
          <w:color w:val="0070C0"/>
        </w:rPr>
        <w:t>】高层建筑的楼层竖向收进与外挑的尺寸规定应符合《高层建筑混凝土结构技术规程》JGJ 3-2010第3.5.5条规定。</w:t>
      </w:r>
    </w:p>
    <w:p w14:paraId="31108680">
      <w:pPr>
        <w:pStyle w:val="7"/>
        <w:numPr>
          <w:ilvl w:val="0"/>
          <w:numId w:val="0"/>
        </w:numPr>
      </w:pPr>
    </w:p>
    <w:p w14:paraId="793EF62B">
      <w:pPr>
        <w:pStyle w:val="5"/>
        <w:numPr>
          <w:ilvl w:val="1"/>
          <w:numId w:val="10"/>
        </w:numPr>
        <w:spacing w:before="156" w:beforeLines="50" w:after="156"/>
      </w:pPr>
      <w:bookmarkStart w:id="136" w:name="_Toc129374371"/>
      <w:bookmarkStart w:id="137" w:name="_Toc475644448"/>
      <w:bookmarkStart w:id="138" w:name="_Toc61254071"/>
      <w:bookmarkStart w:id="139" w:name="_Toc475644171"/>
      <w:bookmarkStart w:id="140" w:name="_Toc61254028"/>
      <w:bookmarkStart w:id="141" w:name="_Toc475644055"/>
      <w:bookmarkStart w:id="142" w:name="_Toc7462"/>
      <w:bookmarkStart w:id="143" w:name="_Toc454444394"/>
      <w:bookmarkStart w:id="144" w:name="_Toc475644640"/>
      <w:r>
        <w:t>外</w:t>
      </w:r>
      <w:r>
        <w:rPr>
          <w:rFonts w:hint="eastAsia"/>
        </w:rPr>
        <w:t>围护系统</w:t>
      </w:r>
      <w:r>
        <w:t>设计</w:t>
      </w:r>
      <w:bookmarkEnd w:id="136"/>
      <w:bookmarkEnd w:id="137"/>
      <w:bookmarkEnd w:id="138"/>
      <w:bookmarkEnd w:id="139"/>
      <w:bookmarkEnd w:id="140"/>
      <w:bookmarkEnd w:id="141"/>
      <w:bookmarkEnd w:id="142"/>
      <w:bookmarkEnd w:id="143"/>
      <w:bookmarkEnd w:id="144"/>
    </w:p>
    <w:p w14:paraId="25A55ABA">
      <w:pPr>
        <w:pStyle w:val="6"/>
      </w:pPr>
      <w:r>
        <w:rPr>
          <w:rFonts w:hint="eastAsia"/>
        </w:rPr>
        <w:t>建筑外围护系统的设计应协调与建筑空间划分、建筑外立面的关系，宜采用墙体、隔热、装饰一体化设计并应满足整体建筑的性能要求。外围护系统的设计使用年限应与主体结构相协调。</w:t>
      </w:r>
    </w:p>
    <w:p w14:paraId="34AEB9C6">
      <w:pPr>
        <w:pStyle w:val="6"/>
        <w:numPr>
          <w:ilvl w:val="0"/>
          <w:numId w:val="0"/>
        </w:numPr>
        <w:tabs>
          <w:tab w:val="clear" w:pos="907"/>
        </w:tabs>
      </w:pPr>
      <w:r>
        <w:rPr>
          <w:rFonts w:hint="eastAsia"/>
          <w:color w:val="0070C0"/>
        </w:rPr>
        <w:t>【条文说明】外围护系统的设计使用年限应与主体结构相协调，承重墙及边缘构件保温系统应实现保温结构一体化、保温系统与结构同寿命。非承重外墙宜做到与结构同寿命。</w:t>
      </w:r>
    </w:p>
    <w:p w14:paraId="55D1465B">
      <w:pPr>
        <w:pStyle w:val="6"/>
      </w:pPr>
      <w:r>
        <w:rPr>
          <w:rFonts w:hint="eastAsia"/>
        </w:rPr>
        <w:t>固模剪力墙居住建筑外墙</w:t>
      </w:r>
      <w:r>
        <w:t>保温</w:t>
      </w:r>
      <w:r>
        <w:rPr>
          <w:rFonts w:hint="eastAsia"/>
        </w:rPr>
        <w:t>层材料及</w:t>
      </w:r>
      <w:r>
        <w:t>厚度</w:t>
      </w:r>
      <w:r>
        <w:rPr>
          <w:rFonts w:hint="eastAsia"/>
        </w:rPr>
        <w:t>应</w:t>
      </w:r>
      <w:r>
        <w:t>由建筑热工设计确定，应符合现行</w:t>
      </w:r>
      <w:r>
        <w:rPr>
          <w:rFonts w:hint="eastAsia"/>
        </w:rPr>
        <w:t>地方标准《广东省居住建筑节能设计标准》DBJ/T 15-133等的有关规定。</w:t>
      </w:r>
      <w:r>
        <w:t>节能设计计算时</w:t>
      </w:r>
      <w:r>
        <w:rPr>
          <w:rFonts w:hint="eastAsia"/>
        </w:rPr>
        <w:t>，应</w:t>
      </w:r>
      <w:r>
        <w:t>考虑</w:t>
      </w:r>
      <w:r>
        <w:rPr>
          <w:rFonts w:hint="eastAsia"/>
        </w:rPr>
        <w:t>穿透</w:t>
      </w:r>
      <w:r>
        <w:t>保温</w:t>
      </w:r>
      <w:r>
        <w:rPr>
          <w:rFonts w:hint="eastAsia"/>
        </w:rPr>
        <w:t>材料的</w:t>
      </w:r>
      <w:r>
        <w:t>连接件</w:t>
      </w:r>
      <w:r>
        <w:rPr>
          <w:rFonts w:hint="eastAsia"/>
        </w:rPr>
        <w:t>及层间设置的挑板等热桥</w:t>
      </w:r>
      <w:r>
        <w:t>对传热系数的影响。</w:t>
      </w:r>
    </w:p>
    <w:p w14:paraId="60754DD2">
      <w:pPr>
        <w:pStyle w:val="6"/>
      </w:pPr>
      <w:r>
        <w:rPr>
          <w:rFonts w:hint="eastAsia"/>
        </w:rPr>
        <w:t>建筑外围护系统热桥部位的内表面应进行结露验算并应符合现行国家标准《民用建筑热工设计规范》GB</w:t>
      </w:r>
      <w:r>
        <w:t xml:space="preserve"> 50176</w:t>
      </w:r>
      <w:r>
        <w:rPr>
          <w:rFonts w:hint="eastAsia"/>
        </w:rPr>
        <w:t>的有关规定。</w:t>
      </w:r>
    </w:p>
    <w:p w14:paraId="57AD6F16">
      <w:pPr>
        <w:pStyle w:val="6"/>
        <w:numPr>
          <w:ilvl w:val="2"/>
          <w:numId w:val="0"/>
        </w:numPr>
      </w:pPr>
      <w:r>
        <w:rPr>
          <w:rFonts w:hint="eastAsia"/>
          <w:color w:val="0070C0"/>
        </w:rPr>
        <w:t>【条文说明】热桥部位是围护结构热工性能的薄弱环节，确保热桥部位在冬季不结露是避免围护结构内表面霉变的必要条件。《民用建筑热工设计规范》GB 50176规定从保证建筑正常使用、保证健康室内环境的角度考虑，冬季热桥内表面温度应高于房间空气露点温度。</w:t>
      </w:r>
    </w:p>
    <w:p w14:paraId="6CE39FE6">
      <w:pPr>
        <w:pStyle w:val="6"/>
      </w:pPr>
      <w:r>
        <w:rPr>
          <w:rFonts w:hint="eastAsia"/>
        </w:rPr>
        <w:t>外门窗宜采用在工厂生产的标准化产品及带有批水板的外门窗配套系列部品。外门窗应有可靠连接，门窗洞口与外门窗框接缝处的气密性能、水密性能和保温性能不应低于外门窗的有关性能。</w:t>
      </w:r>
    </w:p>
    <w:p w14:paraId="17B15948">
      <w:pPr>
        <w:pStyle w:val="6"/>
        <w:numPr>
          <w:ilvl w:val="2"/>
          <w:numId w:val="0"/>
        </w:numPr>
      </w:pPr>
      <w:r>
        <w:rPr>
          <w:rFonts w:hint="eastAsia"/>
          <w:color w:val="0070C0"/>
        </w:rPr>
        <w:t>【条文说明】固模剪力墙结构外墙上的门窗安装可结合实际工程项目选用先装法或者后装法。当采用后装法安装门窗框时，预制外墙板上</w:t>
      </w:r>
      <w:r>
        <w:rPr>
          <w:rFonts w:hint="eastAsia"/>
          <w:color w:val="FF0000"/>
        </w:rPr>
        <w:t>宜</w:t>
      </w:r>
      <w:r>
        <w:rPr>
          <w:rFonts w:hint="eastAsia"/>
          <w:color w:val="0070C0"/>
        </w:rPr>
        <w:t>预埋连接件。门窗框或副框与墙体之间应采取保温及防水措施，门窗洞口与门窗框间的密闭性不应低于门窗的密闭性。门窗的安装位置宜靠近保温层位置，或者根据节能设计要求在门窗口外侧及内侧四周进行保温处理。</w:t>
      </w:r>
    </w:p>
    <w:p w14:paraId="19961031">
      <w:pPr>
        <w:pStyle w:val="6"/>
      </w:pPr>
      <w:r>
        <w:rPr>
          <w:rFonts w:hint="eastAsia"/>
        </w:rPr>
        <w:t>外墙装饰一体化复合板及建筑外墙饰面材料</w:t>
      </w:r>
      <w:r>
        <w:t>应结合</w:t>
      </w:r>
      <w:r>
        <w:rPr>
          <w:rFonts w:hint="eastAsia"/>
        </w:rPr>
        <w:t>广东省</w:t>
      </w:r>
      <w:r>
        <w:t>当地条件</w:t>
      </w:r>
      <w:r>
        <w:rPr>
          <w:rFonts w:hint="eastAsia"/>
        </w:rPr>
        <w:t>，</w:t>
      </w:r>
      <w:r>
        <w:t>采用耐</w:t>
      </w:r>
      <w:r>
        <w:rPr>
          <w:rFonts w:hint="eastAsia"/>
        </w:rPr>
        <w:t>侯、</w:t>
      </w:r>
      <w:r>
        <w:t>防水</w:t>
      </w:r>
      <w:r>
        <w:rPr>
          <w:rFonts w:hint="eastAsia"/>
        </w:rPr>
        <w:t>、</w:t>
      </w:r>
      <w:r>
        <w:t>防火及不易污染的材料和做法</w:t>
      </w:r>
      <w:r>
        <w:rPr>
          <w:rFonts w:hint="eastAsia"/>
        </w:rPr>
        <w:t>。复合板或饰面层应采用可靠方式固定在基层墙体上并应采用嵌缝材料封填板缝或墙面分隔缝。</w:t>
      </w:r>
    </w:p>
    <w:p w14:paraId="294B1EFC">
      <w:pPr>
        <w:pStyle w:val="6"/>
        <w:numPr>
          <w:ilvl w:val="2"/>
          <w:numId w:val="0"/>
        </w:numPr>
        <w:rPr>
          <w:rFonts w:hint="eastAsia"/>
          <w:color w:val="0070C0"/>
        </w:rPr>
      </w:pPr>
      <w:r>
        <w:rPr>
          <w:rFonts w:hint="eastAsia"/>
          <w:color w:val="0070C0"/>
        </w:rPr>
        <w:t>【条文说明】本条参考了《保温防火复合板应用技术规程》JGJ/T 350-2015第5.3.2条，有饰面保温防火复合板外墙外保温系统采取粘贴为主，锚固为辅的构造方式，其中锚固件通常固定于有饰面复合板的面板，对于保温板本身就带有装饰层的复合板，例如带有釉面装饰层的发泡陶瓷保温板，锚固件可以固定于保温板本身；锚固件与装饰面层的结合方式，可以根据产品设计，采用面板侧边开槽、背栓连接或板面穿洞等多种连接方式。</w:t>
      </w:r>
    </w:p>
    <w:p w14:paraId="5920ABB7">
      <w:pPr>
        <w:pStyle w:val="6"/>
      </w:pPr>
      <w:r>
        <w:rPr>
          <w:rFonts w:hint="eastAsia"/>
        </w:rPr>
        <w:t>设置在外墙围护系统上的附属部（构）件应进行构造设计与承载力验算。建筑遮阳、雨篷、空调板、栏杆、装饰件、雨水管等应与主体结构或外围护系统可靠连接，应加强连接部位的保温防水构造。</w:t>
      </w:r>
    </w:p>
    <w:p w14:paraId="66903075">
      <w:pPr>
        <w:pStyle w:val="5"/>
        <w:numPr>
          <w:ilvl w:val="1"/>
          <w:numId w:val="10"/>
        </w:numPr>
        <w:spacing w:before="156" w:beforeLines="50" w:after="156"/>
      </w:pPr>
      <w:bookmarkStart w:id="145" w:name="_Toc61254072"/>
      <w:bookmarkStart w:id="146" w:name="_Toc61254029"/>
      <w:bookmarkStart w:id="147" w:name="_Toc129374372"/>
      <w:bookmarkStart w:id="148" w:name="_Toc24443"/>
      <w:r>
        <w:rPr>
          <w:rFonts w:hint="eastAsia"/>
        </w:rPr>
        <w:t>内</w:t>
      </w:r>
      <w:r>
        <w:t>装修设计</w:t>
      </w:r>
      <w:bookmarkEnd w:id="145"/>
      <w:bookmarkEnd w:id="146"/>
      <w:bookmarkEnd w:id="147"/>
      <w:bookmarkEnd w:id="148"/>
    </w:p>
    <w:p w14:paraId="47DC84D0">
      <w:pPr>
        <w:pStyle w:val="6"/>
      </w:pPr>
      <w:r>
        <w:rPr>
          <w:rFonts w:hint="eastAsia"/>
        </w:rPr>
        <w:t>固模剪力墙建筑</w:t>
      </w:r>
      <w:r>
        <w:t>的室内装修</w:t>
      </w:r>
      <w:r>
        <w:rPr>
          <w:rFonts w:hint="eastAsia"/>
        </w:rPr>
        <w:t>设计宜采用装配式装修，宜在装配式装修饰面板内设置外墙的内保温层并应符合现行广东省标准《建筑室内装配式装修技术规程》DBJ/T 15-246的有关规定。</w:t>
      </w:r>
    </w:p>
    <w:p w14:paraId="6D86D184">
      <w:pPr>
        <w:pStyle w:val="6"/>
      </w:pPr>
      <w:r>
        <w:rPr>
          <w:rFonts w:hint="eastAsia"/>
        </w:rPr>
        <w:t>固模剪力墙建筑</w:t>
      </w:r>
      <w:r>
        <w:t>的室内装修</w:t>
      </w:r>
      <w:r>
        <w:rPr>
          <w:rFonts w:hint="eastAsia"/>
        </w:rPr>
        <w:t>设计宜与建筑设计同步完成，内装修设计应遵循模数协调的原则，应与结构系统、外围护系统、设备与管线系统进行集成设计。</w:t>
      </w:r>
    </w:p>
    <w:p w14:paraId="095F02C7">
      <w:pPr>
        <w:pStyle w:val="6"/>
      </w:pPr>
      <w:r>
        <w:rPr>
          <w:rFonts w:hint="eastAsia"/>
        </w:rPr>
        <w:t>固模剪力墙建筑宜采用工业化生产的标准化、集成化、模块化的内装部品进行装配式内装设计，部分非标准或特殊的构配件可在现场安装时统一处理。</w:t>
      </w:r>
      <w:r>
        <w:t>室内装修</w:t>
      </w:r>
      <w:r>
        <w:rPr>
          <w:rFonts w:hint="eastAsia"/>
        </w:rPr>
        <w:t>应尽量减少施工现场的湿作业和噪声，不应破坏结构主体构件。</w:t>
      </w:r>
    </w:p>
    <w:p w14:paraId="305FFCDF">
      <w:pPr>
        <w:pStyle w:val="6"/>
        <w:numPr>
          <w:ilvl w:val="2"/>
          <w:numId w:val="0"/>
        </w:numPr>
        <w:rPr>
          <w:rFonts w:hint="eastAsia"/>
          <w:color w:val="0070C0"/>
        </w:rPr>
      </w:pPr>
      <w:r>
        <w:rPr>
          <w:rFonts w:hint="eastAsia"/>
          <w:color w:val="0070C0"/>
        </w:rPr>
        <w:t>【条文说明】5.4.2~5.4.3传统建筑行业的工作模式都是先进行建筑、结构、水暖电专业设计，最后再进行内装设计。这种模式使得后期的内装设计经常要对建筑各专业的图纸进行修改或调整，造成施工时拆改和浪费。装配式建筑的预制构件不能进行修改或调整，因此装配式建筑推荐内装设计与建筑各专业进行一体化协同设计，事先统一进行预制构件上的孔洞预留和装修面层固定件的预埋，避免在装修施工阶段对预制构件打凿、穿孔和拆改。土建和装修一体化设计既保证了结构的安全性，又减少了噪声、能耗和建筑垃圾，还可减少材料消耗，降低装修成本。</w:t>
      </w:r>
    </w:p>
    <w:p w14:paraId="12BD43CC">
      <w:pPr>
        <w:pStyle w:val="6"/>
        <w:numPr>
          <w:ilvl w:val="2"/>
          <w:numId w:val="0"/>
        </w:numPr>
        <w:ind w:firstLine="420" w:firstLineChars="200"/>
        <w:rPr>
          <w:rFonts w:hint="eastAsia"/>
          <w:color w:val="0070C0"/>
        </w:rPr>
      </w:pPr>
      <w:r>
        <w:rPr>
          <w:rFonts w:hint="eastAsia"/>
          <w:color w:val="0070C0"/>
        </w:rPr>
        <w:t>从实现建筑长寿化和可持续发展理念出发，采用装配式装修，减少现场湿作业和噪声，有利于实现内装与主体结构、设备管线分离，避免短寿命的设备管线和内装的更换维修对长寿命的主体结构造成破坏，影响结构的安全性和耐久性。</w:t>
      </w:r>
    </w:p>
    <w:p w14:paraId="220D64C6">
      <w:pPr>
        <w:pStyle w:val="6"/>
        <w:numPr>
          <w:ilvl w:val="2"/>
          <w:numId w:val="0"/>
        </w:numPr>
        <w:ind w:firstLine="420" w:firstLineChars="200"/>
      </w:pPr>
      <w:r>
        <w:rPr>
          <w:rFonts w:hint="eastAsia"/>
          <w:color w:val="0070C0"/>
        </w:rPr>
        <w:t>装配式内装设计，部品部件定位宜采用界面定位法，应与建筑设计相协调。</w:t>
      </w:r>
    </w:p>
    <w:p w14:paraId="12B5BD08">
      <w:pPr>
        <w:pStyle w:val="6"/>
      </w:pPr>
      <w:r>
        <w:rPr>
          <w:rFonts w:hint="eastAsia"/>
        </w:rPr>
        <w:t>固模剪力墙建筑的室内</w:t>
      </w:r>
      <w:r>
        <w:t>装修应结合</w:t>
      </w:r>
      <w:r>
        <w:rPr>
          <w:rFonts w:hint="eastAsia"/>
        </w:rPr>
        <w:t>广东省</w:t>
      </w:r>
      <w:r>
        <w:t>当地条件</w:t>
      </w:r>
      <w:r>
        <w:rPr>
          <w:rFonts w:hint="eastAsia"/>
        </w:rPr>
        <w:t>，部品与材料选型应符合抗震、防火、防水、防潮与隔声等规定，应满足生产、运输和安装等要求。室内装修</w:t>
      </w:r>
      <w:r>
        <w:t>应符合现行</w:t>
      </w:r>
      <w:r>
        <w:rPr>
          <w:rFonts w:hint="eastAsia"/>
        </w:rPr>
        <w:t>广东省标准《建筑室内装配式装修技术规程》DBJ/T 15-246及《民用建筑隔声设计规范》</w:t>
      </w:r>
      <w:r>
        <w:t>GB 50118</w:t>
      </w:r>
      <w:r>
        <w:rPr>
          <w:rFonts w:hint="eastAsia"/>
        </w:rPr>
        <w:t>等</w:t>
      </w:r>
      <w:r>
        <w:t>的有关规定。</w:t>
      </w:r>
    </w:p>
    <w:p w14:paraId="2FCEED7D">
      <w:pPr>
        <w:pStyle w:val="6"/>
        <w:numPr>
          <w:ilvl w:val="0"/>
          <w:numId w:val="0"/>
        </w:numPr>
        <w:tabs>
          <w:tab w:val="clear" w:pos="907"/>
        </w:tabs>
      </w:pPr>
      <w:r>
        <w:rPr>
          <w:rFonts w:hint="eastAsia"/>
          <w:color w:val="0070C0"/>
        </w:rPr>
        <w:t>【条文说明】内装修所采用的构配件、饰面材料，应结合本地条件及房间使用功能要求采用经济适用的类型、材料和做法。</w:t>
      </w:r>
    </w:p>
    <w:p w14:paraId="6A106F21">
      <w:pPr>
        <w:pStyle w:val="6"/>
      </w:pPr>
      <w:r>
        <w:t>非承重内隔墙</w:t>
      </w:r>
      <w:r>
        <w:rPr>
          <w:rFonts w:hint="eastAsia"/>
        </w:rPr>
        <w:t>应</w:t>
      </w:r>
      <w:r>
        <w:t>采用</w:t>
      </w:r>
      <w:r>
        <w:rPr>
          <w:rFonts w:hint="eastAsia"/>
        </w:rPr>
        <w:t>工业化方式生产的轻质隔墙板，墙板间的接缝应根据板材端部形式采用合适的连接方法和</w:t>
      </w:r>
      <w:r>
        <w:t>防裂措施</w:t>
      </w:r>
      <w:r>
        <w:rPr>
          <w:rFonts w:hint="eastAsia"/>
        </w:rPr>
        <w:t>，应满足防火、隔声等要求；隔墙板端部、顶部与主体结构应有可靠连接，应符合现行地方标准</w:t>
      </w:r>
      <w:r>
        <w:rPr>
          <w:rFonts w:hint="eastAsia"/>
          <w:color w:val="FF0000"/>
        </w:rPr>
        <w:t>《建筑室内装配式轻质隔墙技术规程》</w:t>
      </w:r>
      <w:r>
        <w:rPr>
          <w:rFonts w:hint="eastAsia"/>
        </w:rPr>
        <w:t>DBJ/T 15-208的有关规定。</w:t>
      </w:r>
    </w:p>
    <w:p w14:paraId="28B47FD0">
      <w:pPr>
        <w:pStyle w:val="6"/>
        <w:numPr>
          <w:ilvl w:val="2"/>
          <w:numId w:val="0"/>
        </w:numPr>
      </w:pPr>
      <w:r>
        <w:rPr>
          <w:rFonts w:hint="eastAsia"/>
          <w:color w:val="0070C0"/>
        </w:rPr>
        <w:t>【条文说明】轻质隔墙板的安装应符合现行行业标准《建筑轻质条板隔墙技术规程》JGJ/T 157的有关规定。墙板间的接缝宜采用干式连接方法。</w:t>
      </w:r>
    </w:p>
    <w:p w14:paraId="6EA4F12B">
      <w:pPr>
        <w:pStyle w:val="6"/>
      </w:pPr>
      <w:r>
        <w:rPr>
          <w:rFonts w:hint="eastAsia"/>
        </w:rPr>
        <w:t>用于厨房及卫生间等潮湿房间的填充墙板及固模混凝土板应采取措施满足防潮及防水要求。</w:t>
      </w:r>
    </w:p>
    <w:p w14:paraId="4DBCD882">
      <w:pPr>
        <w:pStyle w:val="6"/>
        <w:numPr>
          <w:ilvl w:val="2"/>
          <w:numId w:val="0"/>
        </w:numPr>
      </w:pPr>
      <w:r>
        <w:rPr>
          <w:rFonts w:hint="eastAsia"/>
          <w:color w:val="0070C0"/>
        </w:rPr>
        <w:t>【条文说明】卫生间和厨房的隔墙应满足防潮要求，其与相邻房间隔墙应采取有效的防水措施，室内防水应满足行业标准《住宅室内防水工程技术规范》JGJ 298的相关要求。</w:t>
      </w:r>
    </w:p>
    <w:p w14:paraId="7C0B51FE">
      <w:pPr>
        <w:pStyle w:val="6"/>
      </w:pPr>
      <w:r>
        <w:rPr>
          <w:rFonts w:hint="eastAsia"/>
        </w:rPr>
        <w:t>未采用管线分离设计时，固模剪力墙中的电气管线可预先设置在空心墙模的竖向及水平孔洞内，应避免横向开槽；电气管线布置应保持安全间距，墙两侧的线盒应避开一个孔洞的距离以免贯通墙面。对竖向管线集中布置的部位，宜设置管道井，管道井应预留检修门或检修口，满足维修和更换的要求。</w:t>
      </w:r>
    </w:p>
    <w:p w14:paraId="7EEABAD7">
      <w:pPr>
        <w:pStyle w:val="6"/>
        <w:numPr>
          <w:ilvl w:val="2"/>
          <w:numId w:val="0"/>
        </w:numPr>
      </w:pPr>
      <w:r>
        <w:rPr>
          <w:rFonts w:hint="eastAsia"/>
          <w:color w:val="0070C0"/>
        </w:rPr>
        <w:t>【条文说明】装配式固模剪力墙建筑应避免在固模剪力墙及围护结构安装后凿剔沟、槽、孔、洞，相关工作应于安装前在工厂或现场预先完成后再进行吊装就位。</w:t>
      </w:r>
    </w:p>
    <w:p w14:paraId="5513B8C5">
      <w:pPr>
        <w:pStyle w:val="6"/>
      </w:pPr>
      <w:r>
        <w:rPr>
          <w:rFonts w:hint="eastAsia"/>
        </w:rPr>
        <w:t>楼面</w:t>
      </w:r>
      <w:r>
        <w:t>设备管线应进行综合设计</w:t>
      </w:r>
      <w:r>
        <w:rPr>
          <w:rFonts w:hint="eastAsia"/>
        </w:rPr>
        <w:t>，</w:t>
      </w:r>
      <w:r>
        <w:t>减少平面交叉</w:t>
      </w:r>
      <w:r>
        <w:rPr>
          <w:rFonts w:hint="eastAsia"/>
        </w:rPr>
        <w:t>；预留预埋应满足结构专业相关要求，固模楼承板宜在工厂预先进行打孔开洞，应避免在固模楼承板浇筑混凝土后进行开槽，穿透楼承板的设备管线应尽量避开楼承板的钢筋骨架，应采取防水、防火、隔声等措施。需要降板的位置应结合结构的板跨、设备管线等因素确定合理的降板范围。</w:t>
      </w:r>
    </w:p>
    <w:p w14:paraId="11FA8707">
      <w:pPr>
        <w:pStyle w:val="6"/>
        <w:numPr>
          <w:ilvl w:val="2"/>
          <w:numId w:val="0"/>
        </w:numPr>
        <w:rPr>
          <w:rFonts w:hint="eastAsia"/>
          <w:color w:val="0070C0"/>
        </w:rPr>
      </w:pPr>
      <w:r>
        <w:rPr>
          <w:rFonts w:hint="eastAsia"/>
          <w:color w:val="0070C0"/>
        </w:rPr>
        <w:t>【条文说明】居住建筑设备管线的综合设计应特别注意套内管线的综合设计，每套的设备管线应做到户界分明。</w:t>
      </w:r>
    </w:p>
    <w:p w14:paraId="14D051FA">
      <w:pPr>
        <w:pStyle w:val="6"/>
        <w:numPr>
          <w:ilvl w:val="2"/>
          <w:numId w:val="0"/>
        </w:numPr>
        <w:ind w:firstLine="420" w:firstLineChars="200"/>
      </w:pPr>
      <w:r>
        <w:rPr>
          <w:rFonts w:hint="eastAsia"/>
          <w:color w:val="0070C0"/>
        </w:rPr>
        <w:t>固模混凝土板现浇混凝土层较厚，容易布设设备管线，但也要尽量减少平面交叉。固模底板可在工厂或现场浇筑混凝土前进行开槽安装电气管线及线盒，应尽量避免在TC板浇筑混凝土后进行开槽。底板开槽时应防止破坏连接件或形成无连接件的底板区格，严防使用过程中底板脱落。</w:t>
      </w:r>
    </w:p>
    <w:p w14:paraId="51E9973F">
      <w:pPr>
        <w:pStyle w:val="6"/>
      </w:pPr>
      <w:r>
        <w:rPr>
          <w:rFonts w:hint="eastAsia"/>
        </w:rPr>
        <w:t>楼板底面有吊挂物时，吊挂件应穿透固模楼承板的底板伸入楼板混凝土层内，应确保吊挂件锚固安全、可靠。</w:t>
      </w:r>
    </w:p>
    <w:p w14:paraId="6DC25945">
      <w:pPr>
        <w:pStyle w:val="6"/>
        <w:numPr>
          <w:ilvl w:val="2"/>
          <w:numId w:val="0"/>
        </w:numPr>
      </w:pPr>
      <w:r>
        <w:rPr>
          <w:rFonts w:hint="eastAsia"/>
          <w:color w:val="0070C0"/>
        </w:rPr>
        <w:t>【条文说明】内装修所采用的构配件、饰面材料，应结合本地条件及房间使用功能要求采用经济适用的类型、材料和做法。</w:t>
      </w:r>
    </w:p>
    <w:p w14:paraId="2E0F6512">
      <w:pPr>
        <w:pStyle w:val="7"/>
        <w:numPr>
          <w:ilvl w:val="0"/>
          <w:numId w:val="0"/>
        </w:numPr>
        <w:rPr>
          <w:rFonts w:hint="eastAsia"/>
        </w:rPr>
      </w:pPr>
    </w:p>
    <w:p w14:paraId="0FC05751">
      <w:pPr>
        <w:pStyle w:val="4"/>
        <w:spacing w:before="156" w:after="156"/>
      </w:pPr>
      <w:r>
        <w:br w:type="page"/>
      </w:r>
      <w:bookmarkEnd w:id="120"/>
      <w:bookmarkEnd w:id="121"/>
      <w:bookmarkStart w:id="149" w:name="_Toc129374373"/>
      <w:bookmarkStart w:id="150" w:name="_Toc61254030"/>
      <w:bookmarkStart w:id="151" w:name="_Toc61254073"/>
      <w:bookmarkStart w:id="152" w:name="_Toc31683"/>
      <w:bookmarkStart w:id="153" w:name="_Toc475644643"/>
      <w:bookmarkStart w:id="154" w:name="_Toc475644058"/>
      <w:bookmarkStart w:id="155" w:name="_Toc247967501"/>
      <w:bookmarkStart w:id="156" w:name="_Toc475644451"/>
      <w:bookmarkStart w:id="157" w:name="_Toc475644174"/>
      <w:bookmarkStart w:id="158" w:name="_Toc252452577"/>
      <w:r>
        <w:t>结构设计</w:t>
      </w:r>
      <w:bookmarkEnd w:id="149"/>
      <w:bookmarkEnd w:id="150"/>
      <w:bookmarkEnd w:id="151"/>
      <w:bookmarkEnd w:id="152"/>
    </w:p>
    <w:p w14:paraId="31D81640">
      <w:pPr>
        <w:pStyle w:val="5"/>
        <w:numPr>
          <w:ilvl w:val="1"/>
          <w:numId w:val="13"/>
        </w:numPr>
        <w:spacing w:before="156" w:beforeLines="50" w:after="156"/>
      </w:pPr>
      <w:bookmarkStart w:id="159" w:name="_Toc61254074"/>
      <w:bookmarkStart w:id="160" w:name="_Toc129374374"/>
      <w:bookmarkStart w:id="161" w:name="_Toc10114"/>
      <w:bookmarkStart w:id="162" w:name="_Toc61254031"/>
      <w:r>
        <w:t>一般规定</w:t>
      </w:r>
      <w:bookmarkEnd w:id="153"/>
      <w:bookmarkEnd w:id="154"/>
      <w:bookmarkEnd w:id="155"/>
      <w:bookmarkEnd w:id="156"/>
      <w:bookmarkEnd w:id="157"/>
      <w:bookmarkEnd w:id="158"/>
      <w:bookmarkEnd w:id="159"/>
      <w:bookmarkEnd w:id="160"/>
      <w:bookmarkEnd w:id="161"/>
      <w:bookmarkEnd w:id="162"/>
    </w:p>
    <w:p w14:paraId="5D942C39">
      <w:pPr>
        <w:pStyle w:val="6"/>
      </w:pPr>
      <w:r>
        <w:t>固模剪力墙结构最大适用高度应符合</w:t>
      </w:r>
      <w:r>
        <w:fldChar w:fldCharType="begin"/>
      </w:r>
      <w:r>
        <w:instrText xml:space="preserve"> REF _Ref54029058 \h  \* MERGEFORMAT </w:instrText>
      </w:r>
      <w:r>
        <w:fldChar w:fldCharType="separate"/>
      </w:r>
      <w:r>
        <w:rPr>
          <w:rFonts w:hint="eastAsia"/>
        </w:rPr>
        <w:t>表</w:t>
      </w:r>
      <w:r>
        <w:t>6.1.1</w:t>
      </w:r>
      <w:r>
        <w:fldChar w:fldCharType="end"/>
      </w:r>
      <w:r>
        <w:t>的要求。</w:t>
      </w:r>
    </w:p>
    <w:p w14:paraId="3C073402">
      <w:pPr>
        <w:pStyle w:val="64"/>
        <w:spacing w:before="78" w:after="78"/>
      </w:pPr>
      <w:bookmarkStart w:id="163" w:name="_Ref54029058"/>
      <w:r>
        <w:rPr>
          <w:rFonts w:hint="eastAsia"/>
        </w:rPr>
        <w:t>表</w:t>
      </w:r>
      <w:r>
        <w:fldChar w:fldCharType="begin"/>
      </w:r>
      <w:r>
        <w:rPr>
          <w:rFonts w:hint="eastAsia"/>
        </w:rPr>
        <w:instrText xml:space="preserve">STYLEREF 3 \s</w:instrText>
      </w:r>
      <w:r>
        <w:fldChar w:fldCharType="separate"/>
      </w:r>
      <w:r>
        <w:t>6.1.1</w:t>
      </w:r>
      <w:r>
        <w:fldChar w:fldCharType="end"/>
      </w:r>
      <w:bookmarkEnd w:id="163"/>
      <w:r>
        <w:t>固模剪力墙结构最大适用</w:t>
      </w:r>
      <w:r>
        <w:rPr>
          <w:rFonts w:hint="eastAsia"/>
        </w:rPr>
        <w:t>高度（单位：m）</w:t>
      </w:r>
    </w:p>
    <w:tbl>
      <w:tblPr>
        <w:tblStyle w:val="34"/>
        <w:tblW w:w="491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91"/>
        <w:gridCol w:w="1085"/>
        <w:gridCol w:w="1085"/>
        <w:gridCol w:w="2174"/>
      </w:tblGrid>
      <w:tr w14:paraId="36C41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1" w:type="pct"/>
            <w:vMerge w:val="restart"/>
            <w:noWrap w:val="0"/>
            <w:vAlign w:val="center"/>
          </w:tcPr>
          <w:p w14:paraId="22E3EB45">
            <w:pPr>
              <w:pStyle w:val="95"/>
              <w:spacing w:before="78" w:after="78"/>
            </w:pPr>
            <w:r>
              <w:t>结构类型</w:t>
            </w:r>
          </w:p>
        </w:tc>
        <w:tc>
          <w:tcPr>
            <w:tcW w:w="3598" w:type="pct"/>
            <w:gridSpan w:val="3"/>
            <w:noWrap w:val="0"/>
            <w:vAlign w:val="center"/>
          </w:tcPr>
          <w:p w14:paraId="7EDAC0CA">
            <w:pPr>
              <w:pStyle w:val="95"/>
              <w:spacing w:before="78" w:after="78"/>
            </w:pPr>
            <w:r>
              <w:t>抗震设防烈度</w:t>
            </w:r>
          </w:p>
        </w:tc>
      </w:tr>
      <w:tr w14:paraId="3CB36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88" w:hRule="atLeast"/>
          <w:jc w:val="center"/>
        </w:trPr>
        <w:tc>
          <w:tcPr>
            <w:tcW w:w="1401" w:type="pct"/>
            <w:vMerge w:val="continue"/>
            <w:noWrap w:val="0"/>
            <w:vAlign w:val="center"/>
          </w:tcPr>
          <w:p w14:paraId="0DD1DE6A">
            <w:pPr>
              <w:pStyle w:val="95"/>
              <w:spacing w:before="78" w:after="78"/>
            </w:pPr>
          </w:p>
        </w:tc>
        <w:tc>
          <w:tcPr>
            <w:tcW w:w="899" w:type="pct"/>
            <w:noWrap w:val="0"/>
            <w:vAlign w:val="center"/>
          </w:tcPr>
          <w:p w14:paraId="7E646B76">
            <w:pPr>
              <w:pStyle w:val="95"/>
              <w:spacing w:before="78" w:after="78"/>
            </w:pPr>
            <w:r>
              <w:t>6</w:t>
            </w:r>
            <w:r>
              <w:rPr>
                <w:rFonts w:hint="eastAsia"/>
              </w:rPr>
              <w:t>度</w:t>
            </w:r>
          </w:p>
        </w:tc>
        <w:tc>
          <w:tcPr>
            <w:tcW w:w="899" w:type="pct"/>
            <w:noWrap w:val="0"/>
            <w:vAlign w:val="center"/>
          </w:tcPr>
          <w:p w14:paraId="17B01969">
            <w:pPr>
              <w:pStyle w:val="95"/>
              <w:spacing w:before="78" w:after="78"/>
            </w:pPr>
            <w:r>
              <w:t>7</w:t>
            </w:r>
            <w:r>
              <w:rPr>
                <w:rFonts w:hint="eastAsia"/>
              </w:rPr>
              <w:t>度</w:t>
            </w:r>
          </w:p>
        </w:tc>
        <w:tc>
          <w:tcPr>
            <w:tcW w:w="1800" w:type="pct"/>
            <w:noWrap w:val="0"/>
            <w:vAlign w:val="center"/>
          </w:tcPr>
          <w:p w14:paraId="585FE520">
            <w:pPr>
              <w:pStyle w:val="95"/>
              <w:spacing w:before="78" w:after="78"/>
              <w:rPr>
                <w:rFonts w:hint="eastAsia"/>
              </w:rPr>
            </w:pPr>
            <w:r>
              <w:rPr>
                <w:rFonts w:hint="eastAsia"/>
              </w:rPr>
              <w:t>8度 （0.20g）</w:t>
            </w:r>
          </w:p>
        </w:tc>
      </w:tr>
      <w:tr w14:paraId="254F6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01" w:type="pct"/>
            <w:noWrap w:val="0"/>
            <w:vAlign w:val="center"/>
          </w:tcPr>
          <w:p w14:paraId="39C4A3AA">
            <w:pPr>
              <w:pStyle w:val="95"/>
              <w:spacing w:before="78" w:after="78"/>
            </w:pPr>
            <w:r>
              <w:rPr>
                <w:rFonts w:hint="eastAsia"/>
              </w:rPr>
              <w:t>固模</w:t>
            </w:r>
            <w:r>
              <w:t>剪力墙结构</w:t>
            </w:r>
          </w:p>
        </w:tc>
        <w:tc>
          <w:tcPr>
            <w:tcW w:w="899" w:type="pct"/>
            <w:noWrap w:val="0"/>
            <w:vAlign w:val="center"/>
          </w:tcPr>
          <w:p w14:paraId="07451779">
            <w:pPr>
              <w:pStyle w:val="95"/>
              <w:spacing w:before="78" w:after="78"/>
            </w:pPr>
            <w:r>
              <w:rPr>
                <w:rFonts w:hint="eastAsia"/>
              </w:rPr>
              <w:t>110</w:t>
            </w:r>
          </w:p>
        </w:tc>
        <w:tc>
          <w:tcPr>
            <w:tcW w:w="899" w:type="pct"/>
            <w:noWrap w:val="0"/>
            <w:vAlign w:val="center"/>
          </w:tcPr>
          <w:p w14:paraId="088DA7E6">
            <w:pPr>
              <w:pStyle w:val="95"/>
              <w:spacing w:before="78" w:after="78"/>
            </w:pPr>
            <w:r>
              <w:rPr>
                <w:rFonts w:hint="eastAsia"/>
              </w:rPr>
              <w:t>90</w:t>
            </w:r>
          </w:p>
        </w:tc>
        <w:tc>
          <w:tcPr>
            <w:tcW w:w="1800" w:type="pct"/>
            <w:noWrap w:val="0"/>
            <w:vAlign w:val="center"/>
          </w:tcPr>
          <w:p w14:paraId="4372DA74">
            <w:pPr>
              <w:pStyle w:val="95"/>
              <w:spacing w:before="78" w:after="78"/>
              <w:rPr>
                <w:rFonts w:hint="eastAsia"/>
              </w:rPr>
            </w:pPr>
            <w:r>
              <w:t>60</w:t>
            </w:r>
          </w:p>
        </w:tc>
      </w:tr>
    </w:tbl>
    <w:p w14:paraId="3A2E17F8">
      <w:pPr>
        <w:pStyle w:val="80"/>
        <w:spacing w:before="78" w:after="78"/>
        <w:ind w:firstLine="320" w:firstLineChars="200"/>
        <w:jc w:val="left"/>
        <w:rPr>
          <w:rFonts w:hint="eastAsia"/>
        </w:rPr>
      </w:pPr>
      <w:r>
        <w:t>注：</w:t>
      </w:r>
      <w:r>
        <w:rPr>
          <w:rFonts w:hint="eastAsia"/>
        </w:rPr>
        <w:t>1.</w:t>
      </w:r>
      <w:r>
        <w:t xml:space="preserve"> 房屋高度指室外地面到主要屋面的高度，不包括局部突出屋顶部分</w:t>
      </w:r>
      <w:r>
        <w:rPr>
          <w:rFonts w:hint="eastAsia"/>
        </w:rPr>
        <w:t>；</w:t>
      </w:r>
    </w:p>
    <w:p w14:paraId="4749D8E6">
      <w:pPr>
        <w:pStyle w:val="80"/>
        <w:spacing w:before="78" w:after="78"/>
        <w:ind w:firstLine="320" w:firstLineChars="200"/>
        <w:jc w:val="left"/>
        <w:rPr>
          <w:rFonts w:hint="eastAsia"/>
        </w:rPr>
      </w:pPr>
      <w:r>
        <w:rPr>
          <w:rFonts w:hint="eastAsia"/>
        </w:rPr>
        <w:t xml:space="preserve"> </w:t>
      </w:r>
      <w:r>
        <w:t xml:space="preserve">       2</w:t>
      </w:r>
      <w:r>
        <w:rPr>
          <w:rFonts w:hint="eastAsia"/>
        </w:rPr>
        <w:t>. 固模楼承板（TC板）的适用高度不受此表限制。</w:t>
      </w:r>
    </w:p>
    <w:p w14:paraId="7AC367D7">
      <w:pPr>
        <w:pStyle w:val="6"/>
      </w:pPr>
      <w:r>
        <w:t>固模剪力墙结构的高宽比</w:t>
      </w:r>
      <w:r>
        <w:rPr>
          <w:rFonts w:hint="eastAsia"/>
        </w:rPr>
        <w:t>不宜超过</w:t>
      </w:r>
      <w:r>
        <w:fldChar w:fldCharType="begin"/>
      </w:r>
      <w:r>
        <w:instrText xml:space="preserve"> REF _Ref54029258 \h  \* MERGEFORMAT </w:instrText>
      </w:r>
      <w:r>
        <w:fldChar w:fldCharType="separate"/>
      </w:r>
      <w:r>
        <w:rPr>
          <w:rFonts w:hint="eastAsia"/>
        </w:rPr>
        <w:t>表</w:t>
      </w:r>
      <w:r>
        <w:t>6.1.2</w:t>
      </w:r>
      <w:r>
        <w:fldChar w:fldCharType="end"/>
      </w:r>
      <w:r>
        <w:rPr>
          <w:rFonts w:hint="eastAsia"/>
        </w:rPr>
        <w:t>的规定</w:t>
      </w:r>
      <w:r>
        <w:t>。</w:t>
      </w:r>
    </w:p>
    <w:p w14:paraId="17329448">
      <w:pPr>
        <w:pStyle w:val="64"/>
        <w:spacing w:before="78" w:after="78"/>
      </w:pPr>
      <w:bookmarkStart w:id="164" w:name="_Ref54029258"/>
      <w:r>
        <w:rPr>
          <w:rFonts w:hint="eastAsia"/>
        </w:rPr>
        <w:t>表</w:t>
      </w:r>
      <w:r>
        <w:fldChar w:fldCharType="begin"/>
      </w:r>
      <w:r>
        <w:rPr>
          <w:rFonts w:hint="eastAsia"/>
        </w:rPr>
        <w:instrText xml:space="preserve">STYLEREF 3 \s</w:instrText>
      </w:r>
      <w:r>
        <w:fldChar w:fldCharType="separate"/>
      </w:r>
      <w:r>
        <w:t>6.1.2</w:t>
      </w:r>
      <w:r>
        <w:fldChar w:fldCharType="end"/>
      </w:r>
      <w:bookmarkEnd w:id="164"/>
      <w:r>
        <w:t>固模剪力墙结构适用的最大高宽比</w:t>
      </w:r>
    </w:p>
    <w:tbl>
      <w:tblPr>
        <w:tblStyle w:val="34"/>
        <w:tblW w:w="4793" w:type="pct"/>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69"/>
        <w:gridCol w:w="2942"/>
        <w:gridCol w:w="1471"/>
      </w:tblGrid>
      <w:tr w14:paraId="02DE6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noWrap w:val="0"/>
            <w:vAlign w:val="top"/>
          </w:tcPr>
          <w:p w14:paraId="691F9FE0">
            <w:pPr>
              <w:pStyle w:val="95"/>
              <w:spacing w:before="78" w:after="78"/>
            </w:pPr>
            <w:r>
              <w:t>抗震设防烈度</w:t>
            </w:r>
          </w:p>
        </w:tc>
        <w:tc>
          <w:tcPr>
            <w:tcW w:w="2500" w:type="pct"/>
            <w:noWrap w:val="0"/>
            <w:vAlign w:val="top"/>
          </w:tcPr>
          <w:p w14:paraId="5517CEBD">
            <w:pPr>
              <w:pStyle w:val="95"/>
              <w:spacing w:before="78" w:after="78"/>
            </w:pPr>
            <w:r>
              <w:t>6</w:t>
            </w:r>
            <w:r>
              <w:rPr>
                <w:rFonts w:ascii="宋体" w:hAnsi="宋体"/>
              </w:rPr>
              <w:t>度</w:t>
            </w:r>
            <w:r>
              <w:rPr>
                <w:rFonts w:hint="eastAsia" w:ascii="宋体" w:hAnsi="宋体"/>
              </w:rPr>
              <w:t>、</w:t>
            </w:r>
            <w:r>
              <w:rPr>
                <w:rFonts w:hint="eastAsia"/>
              </w:rPr>
              <w:t>7</w:t>
            </w:r>
            <w:r>
              <w:t>度</w:t>
            </w:r>
          </w:p>
        </w:tc>
        <w:tc>
          <w:tcPr>
            <w:tcW w:w="1250" w:type="pct"/>
            <w:noWrap w:val="0"/>
            <w:vAlign w:val="top"/>
          </w:tcPr>
          <w:p w14:paraId="06784A8C">
            <w:pPr>
              <w:pStyle w:val="95"/>
              <w:spacing w:before="78" w:after="78"/>
            </w:pPr>
            <w:r>
              <w:rPr>
                <w:rFonts w:hint="eastAsia"/>
              </w:rPr>
              <w:t>8</w:t>
            </w:r>
            <w:r>
              <w:t>度</w:t>
            </w:r>
            <w:r>
              <w:rPr>
                <w:rFonts w:hint="eastAsia"/>
              </w:rPr>
              <w:t xml:space="preserve"> （0.20g）</w:t>
            </w:r>
          </w:p>
        </w:tc>
      </w:tr>
      <w:tr w14:paraId="1BDE0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9" w:type="pct"/>
            <w:noWrap w:val="0"/>
            <w:vAlign w:val="top"/>
          </w:tcPr>
          <w:p w14:paraId="2814D335">
            <w:pPr>
              <w:pStyle w:val="95"/>
              <w:spacing w:before="78" w:after="78"/>
              <w:rPr>
                <w:rFonts w:hint="eastAsia"/>
              </w:rPr>
            </w:pPr>
            <w:r>
              <w:rPr>
                <w:rFonts w:hint="eastAsia"/>
              </w:rPr>
              <w:t>高宽比限值</w:t>
            </w:r>
          </w:p>
        </w:tc>
        <w:tc>
          <w:tcPr>
            <w:tcW w:w="2500" w:type="pct"/>
            <w:noWrap w:val="0"/>
            <w:vAlign w:val="top"/>
          </w:tcPr>
          <w:p w14:paraId="4126120D">
            <w:pPr>
              <w:pStyle w:val="64"/>
              <w:spacing w:before="78" w:after="78" w:line="240" w:lineRule="exact"/>
            </w:pPr>
            <w:r>
              <w:rPr>
                <w:rFonts w:hint="eastAsia"/>
              </w:rPr>
              <w:t>6</w:t>
            </w:r>
          </w:p>
        </w:tc>
        <w:tc>
          <w:tcPr>
            <w:tcW w:w="1250" w:type="pct"/>
            <w:noWrap w:val="0"/>
            <w:vAlign w:val="top"/>
          </w:tcPr>
          <w:p w14:paraId="1FDA8169">
            <w:pPr>
              <w:pStyle w:val="95"/>
              <w:spacing w:before="78" w:after="78"/>
            </w:pPr>
            <w:r>
              <w:rPr>
                <w:rFonts w:hint="eastAsia"/>
              </w:rPr>
              <w:t>5</w:t>
            </w:r>
          </w:p>
        </w:tc>
      </w:tr>
    </w:tbl>
    <w:p w14:paraId="6BDBC800">
      <w:pPr>
        <w:pStyle w:val="6"/>
        <w:spacing w:before="78" w:beforeLines="25" w:after="936" w:afterLines="300"/>
      </w:pPr>
      <w:r>
        <w:rPr>
          <w:rFonts w:hint="eastAsia"/>
          <w:color w:val="FF0000"/>
        </w:rPr>
        <w:t>标准设防类</w:t>
      </w:r>
      <w:r>
        <w:rPr>
          <w:rFonts w:hint="eastAsia"/>
        </w:rPr>
        <w:t>建筑</w:t>
      </w:r>
      <w:r>
        <w:t>固模剪力墙结构构件的抗震设计，应根据设防烈度和房屋高度按</w:t>
      </w:r>
      <w:r>
        <w:fldChar w:fldCharType="begin"/>
      </w:r>
      <w:r>
        <w:instrText xml:space="preserve"> REF _Ref54093841 \h  \* MERGEFORMAT </w:instrText>
      </w:r>
      <w:r>
        <w:fldChar w:fldCharType="separate"/>
      </w:r>
      <w:r>
        <w:rPr>
          <w:rFonts w:hint="eastAsia"/>
        </w:rPr>
        <w:t>表</w:t>
      </w:r>
      <w:r>
        <w:t>6.1.3</w:t>
      </w:r>
      <w:r>
        <w:fldChar w:fldCharType="end"/>
      </w:r>
      <w:r>
        <w:t>采用不同的抗震等级。各抗震等级相应的计算和构造措施除应符合本标准的有关规定外，</w:t>
      </w:r>
      <w:r>
        <w:rPr>
          <w:rFonts w:hint="eastAsia"/>
        </w:rPr>
        <w:t>尚</w:t>
      </w:r>
      <w:r>
        <w:t>应符合</w:t>
      </w:r>
      <w:r>
        <w:rPr>
          <w:rFonts w:hint="eastAsia"/>
        </w:rPr>
        <w:t>国家及广东省地方标准的有关规定。</w:t>
      </w:r>
    </w:p>
    <w:p w14:paraId="2F8A4996">
      <w:pPr>
        <w:pStyle w:val="64"/>
        <w:keepNext/>
        <w:widowControl/>
        <w:spacing w:before="78" w:after="78"/>
      </w:pPr>
      <w:bookmarkStart w:id="165" w:name="_Ref54093841"/>
      <w:r>
        <w:rPr>
          <w:rFonts w:hint="eastAsia"/>
        </w:rPr>
        <w:t>表</w:t>
      </w:r>
      <w:r>
        <w:fldChar w:fldCharType="begin"/>
      </w:r>
      <w:r>
        <w:rPr>
          <w:rFonts w:hint="eastAsia"/>
        </w:rPr>
        <w:instrText xml:space="preserve">STYLEREF 3 \s</w:instrText>
      </w:r>
      <w:r>
        <w:fldChar w:fldCharType="separate"/>
      </w:r>
      <w:r>
        <w:t>6.1.3</w:t>
      </w:r>
      <w:r>
        <w:fldChar w:fldCharType="end"/>
      </w:r>
      <w:bookmarkEnd w:id="165"/>
      <w:r>
        <w:rPr>
          <w:rFonts w:hint="eastAsia"/>
          <w:lang w:val="en-US" w:eastAsia="zh-CN"/>
        </w:rPr>
        <w:t xml:space="preserve"> </w:t>
      </w:r>
      <w:r>
        <w:rPr>
          <w:rFonts w:hint="eastAsia"/>
          <w:color w:val="FF0000"/>
        </w:rPr>
        <w:t>标准设防类</w:t>
      </w:r>
      <w:r>
        <w:rPr>
          <w:rFonts w:hint="eastAsia"/>
        </w:rPr>
        <w:t>建筑</w:t>
      </w:r>
      <w:r>
        <w:t>固模剪力墙结构的抗震等级</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78"/>
        <w:gridCol w:w="655"/>
        <w:gridCol w:w="464"/>
        <w:gridCol w:w="467"/>
        <w:gridCol w:w="464"/>
        <w:gridCol w:w="658"/>
        <w:gridCol w:w="467"/>
        <w:gridCol w:w="842"/>
        <w:gridCol w:w="941"/>
      </w:tblGrid>
      <w:tr w14:paraId="3E55F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vMerge w:val="restart"/>
            <w:noWrap w:val="0"/>
            <w:vAlign w:val="center"/>
          </w:tcPr>
          <w:p w14:paraId="6AB8F89C">
            <w:pPr>
              <w:pStyle w:val="95"/>
              <w:spacing w:before="78" w:after="78"/>
              <w:rPr>
                <w:rFonts w:hint="eastAsia"/>
              </w:rPr>
            </w:pPr>
            <w:r>
              <w:rPr>
                <w:rFonts w:hint="eastAsia"/>
              </w:rPr>
              <w:t>结构体系</w:t>
            </w:r>
          </w:p>
        </w:tc>
        <w:tc>
          <w:tcPr>
            <w:tcW w:w="0" w:type="auto"/>
            <w:gridSpan w:val="7"/>
            <w:noWrap w:val="0"/>
            <w:vAlign w:val="center"/>
          </w:tcPr>
          <w:p w14:paraId="6271F58A">
            <w:pPr>
              <w:pStyle w:val="95"/>
              <w:widowControl/>
              <w:spacing w:before="78" w:after="78"/>
            </w:pPr>
            <w:r>
              <w:rPr>
                <w:rFonts w:hint="eastAsia"/>
              </w:rPr>
              <w:t>抗震设防烈度</w:t>
            </w:r>
          </w:p>
        </w:tc>
      </w:tr>
      <w:tr w14:paraId="63002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2"/>
            <w:vMerge w:val="continue"/>
            <w:noWrap w:val="0"/>
            <w:vAlign w:val="center"/>
          </w:tcPr>
          <w:p w14:paraId="67ADDE47">
            <w:pPr>
              <w:pStyle w:val="95"/>
              <w:spacing w:before="78" w:after="78"/>
            </w:pPr>
          </w:p>
        </w:tc>
        <w:tc>
          <w:tcPr>
            <w:tcW w:w="0" w:type="auto"/>
            <w:gridSpan w:val="2"/>
            <w:noWrap w:val="0"/>
            <w:vAlign w:val="center"/>
          </w:tcPr>
          <w:p w14:paraId="3DE85C02">
            <w:pPr>
              <w:pStyle w:val="95"/>
              <w:spacing w:before="78" w:after="78"/>
            </w:pPr>
            <w:r>
              <w:t>6度</w:t>
            </w:r>
          </w:p>
        </w:tc>
        <w:tc>
          <w:tcPr>
            <w:tcW w:w="1392" w:type="dxa"/>
            <w:gridSpan w:val="3"/>
            <w:noWrap w:val="0"/>
            <w:vAlign w:val="center"/>
          </w:tcPr>
          <w:p w14:paraId="157DDAF1">
            <w:pPr>
              <w:pStyle w:val="95"/>
              <w:spacing w:before="78" w:after="78"/>
            </w:pPr>
            <w:r>
              <w:t>7度</w:t>
            </w:r>
          </w:p>
        </w:tc>
        <w:tc>
          <w:tcPr>
            <w:tcW w:w="1782" w:type="dxa"/>
            <w:gridSpan w:val="2"/>
            <w:noWrap w:val="0"/>
            <w:vAlign w:val="top"/>
          </w:tcPr>
          <w:p w14:paraId="079BCC9B">
            <w:pPr>
              <w:pStyle w:val="95"/>
              <w:spacing w:before="78" w:after="78"/>
            </w:pPr>
            <w:r>
              <w:rPr>
                <w:rFonts w:hint="eastAsia"/>
              </w:rPr>
              <w:t>8</w:t>
            </w:r>
            <w:r>
              <w:t>度</w:t>
            </w:r>
            <w:r>
              <w:rPr>
                <w:rFonts w:hint="eastAsia"/>
              </w:rPr>
              <w:t>（0.20g）</w:t>
            </w:r>
          </w:p>
        </w:tc>
      </w:tr>
      <w:tr w14:paraId="401EB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noWrap w:val="0"/>
            <w:vAlign w:val="center"/>
          </w:tcPr>
          <w:p w14:paraId="1C68BBE7">
            <w:pPr>
              <w:pStyle w:val="95"/>
              <w:spacing w:before="78" w:after="78"/>
            </w:pPr>
            <w:r>
              <w:rPr>
                <w:rFonts w:hint="eastAsia"/>
              </w:rPr>
              <w:t>固模</w:t>
            </w:r>
            <w:r>
              <w:t>剪力墙结构</w:t>
            </w:r>
          </w:p>
        </w:tc>
        <w:tc>
          <w:tcPr>
            <w:tcW w:w="0" w:type="auto"/>
            <w:noWrap w:val="0"/>
            <w:vAlign w:val="center"/>
          </w:tcPr>
          <w:p w14:paraId="5E577F40">
            <w:pPr>
              <w:pStyle w:val="95"/>
              <w:spacing w:before="78" w:after="78"/>
            </w:pPr>
            <w:r>
              <w:t>高度</w:t>
            </w:r>
          </w:p>
          <w:p w14:paraId="4A591BAC">
            <w:pPr>
              <w:pStyle w:val="95"/>
              <w:spacing w:before="78" w:after="78"/>
            </w:pPr>
            <w:r>
              <w:t>(m)</w:t>
            </w:r>
          </w:p>
        </w:tc>
        <w:tc>
          <w:tcPr>
            <w:tcW w:w="0" w:type="auto"/>
            <w:noWrap w:val="0"/>
            <w:vAlign w:val="center"/>
          </w:tcPr>
          <w:p w14:paraId="00D8F370">
            <w:pPr>
              <w:pStyle w:val="95"/>
              <w:spacing w:before="78" w:after="78"/>
            </w:pPr>
            <w:r>
              <w:t>≤70</w:t>
            </w:r>
          </w:p>
        </w:tc>
        <w:tc>
          <w:tcPr>
            <w:tcW w:w="0" w:type="auto"/>
            <w:noWrap w:val="0"/>
            <w:vAlign w:val="center"/>
          </w:tcPr>
          <w:p w14:paraId="3C6BFB1A">
            <w:pPr>
              <w:pStyle w:val="95"/>
              <w:spacing w:before="78" w:after="78"/>
            </w:pPr>
            <w:r>
              <w:t>&gt;70</w:t>
            </w:r>
          </w:p>
        </w:tc>
        <w:tc>
          <w:tcPr>
            <w:tcW w:w="0" w:type="auto"/>
            <w:noWrap w:val="0"/>
            <w:vAlign w:val="center"/>
          </w:tcPr>
          <w:p w14:paraId="4F923FC7">
            <w:pPr>
              <w:pStyle w:val="95"/>
              <w:spacing w:before="78" w:after="78"/>
              <w:rPr>
                <w:rFonts w:hint="eastAsia"/>
              </w:rPr>
            </w:pPr>
            <w:r>
              <w:t>≤24</w:t>
            </w:r>
          </w:p>
        </w:tc>
        <w:tc>
          <w:tcPr>
            <w:tcW w:w="0" w:type="auto"/>
            <w:noWrap w:val="0"/>
            <w:vAlign w:val="center"/>
          </w:tcPr>
          <w:p w14:paraId="25F124A5">
            <w:pPr>
              <w:pStyle w:val="95"/>
              <w:spacing w:before="78" w:after="78"/>
              <w:rPr>
                <w:rFonts w:hint="eastAsia"/>
              </w:rPr>
            </w:pPr>
            <w:r>
              <w:t xml:space="preserve">&gt;24 </w:t>
            </w:r>
          </w:p>
          <w:p w14:paraId="6D4882E3">
            <w:pPr>
              <w:pStyle w:val="95"/>
              <w:spacing w:before="78" w:after="78"/>
            </w:pPr>
            <w:r>
              <w:rPr>
                <w:rFonts w:hint="eastAsia"/>
              </w:rPr>
              <w:t>且≤70</w:t>
            </w:r>
          </w:p>
        </w:tc>
        <w:tc>
          <w:tcPr>
            <w:tcW w:w="236" w:type="dxa"/>
            <w:noWrap w:val="0"/>
            <w:vAlign w:val="center"/>
          </w:tcPr>
          <w:p w14:paraId="36716DE0">
            <w:pPr>
              <w:pStyle w:val="95"/>
              <w:spacing w:before="78" w:after="78"/>
            </w:pPr>
            <w:r>
              <w:t>&gt;70</w:t>
            </w:r>
          </w:p>
        </w:tc>
        <w:tc>
          <w:tcPr>
            <w:tcW w:w="842" w:type="dxa"/>
            <w:noWrap w:val="0"/>
            <w:vAlign w:val="center"/>
          </w:tcPr>
          <w:p w14:paraId="4E81F449">
            <w:pPr>
              <w:pStyle w:val="95"/>
              <w:spacing w:before="78" w:after="78"/>
            </w:pPr>
            <w:r>
              <w:t>≤24</w:t>
            </w:r>
          </w:p>
        </w:tc>
        <w:tc>
          <w:tcPr>
            <w:tcW w:w="0" w:type="auto"/>
            <w:noWrap w:val="0"/>
            <w:vAlign w:val="center"/>
          </w:tcPr>
          <w:p w14:paraId="1BE33386">
            <w:pPr>
              <w:pStyle w:val="95"/>
              <w:spacing w:before="78" w:after="78"/>
            </w:pPr>
            <w:r>
              <w:rPr>
                <w:sz w:val="18"/>
              </w:rPr>
              <w:t>&gt;</w:t>
            </w:r>
            <w:r>
              <w:t>24</w:t>
            </w:r>
          </w:p>
        </w:tc>
      </w:tr>
      <w:tr w14:paraId="2DCD1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noWrap w:val="0"/>
            <w:vAlign w:val="center"/>
          </w:tcPr>
          <w:p w14:paraId="5BEBCC99">
            <w:pPr>
              <w:pStyle w:val="95"/>
              <w:spacing w:before="78" w:after="78"/>
            </w:pPr>
          </w:p>
        </w:tc>
        <w:tc>
          <w:tcPr>
            <w:tcW w:w="0" w:type="auto"/>
            <w:noWrap w:val="0"/>
            <w:vAlign w:val="center"/>
          </w:tcPr>
          <w:p w14:paraId="537DD806">
            <w:pPr>
              <w:pStyle w:val="95"/>
              <w:spacing w:before="78" w:after="78"/>
            </w:pPr>
            <w:r>
              <w:t>剪力墙</w:t>
            </w:r>
          </w:p>
        </w:tc>
        <w:tc>
          <w:tcPr>
            <w:tcW w:w="0" w:type="auto"/>
            <w:noWrap w:val="0"/>
            <w:vAlign w:val="center"/>
          </w:tcPr>
          <w:p w14:paraId="21FDF026">
            <w:pPr>
              <w:pStyle w:val="95"/>
              <w:spacing w:before="78" w:after="78"/>
            </w:pPr>
            <w:r>
              <w:t>四</w:t>
            </w:r>
          </w:p>
        </w:tc>
        <w:tc>
          <w:tcPr>
            <w:tcW w:w="0" w:type="auto"/>
            <w:noWrap w:val="0"/>
            <w:vAlign w:val="center"/>
          </w:tcPr>
          <w:p w14:paraId="0C11DEAE">
            <w:pPr>
              <w:pStyle w:val="95"/>
              <w:spacing w:before="78" w:after="78"/>
            </w:pPr>
            <w:r>
              <w:t>三</w:t>
            </w:r>
          </w:p>
        </w:tc>
        <w:tc>
          <w:tcPr>
            <w:tcW w:w="0" w:type="auto"/>
            <w:noWrap w:val="0"/>
            <w:vAlign w:val="center"/>
          </w:tcPr>
          <w:p w14:paraId="17C3BE50">
            <w:pPr>
              <w:pStyle w:val="95"/>
              <w:spacing w:before="78" w:after="78"/>
            </w:pPr>
            <w:r>
              <w:t>四</w:t>
            </w:r>
          </w:p>
        </w:tc>
        <w:tc>
          <w:tcPr>
            <w:tcW w:w="0" w:type="auto"/>
            <w:noWrap w:val="0"/>
            <w:vAlign w:val="center"/>
          </w:tcPr>
          <w:p w14:paraId="46A799EB">
            <w:pPr>
              <w:pStyle w:val="95"/>
              <w:spacing w:before="78" w:after="78"/>
            </w:pPr>
            <w:r>
              <w:t>三</w:t>
            </w:r>
          </w:p>
        </w:tc>
        <w:tc>
          <w:tcPr>
            <w:tcW w:w="236" w:type="dxa"/>
            <w:noWrap w:val="0"/>
            <w:vAlign w:val="center"/>
          </w:tcPr>
          <w:p w14:paraId="3F71DEE1">
            <w:pPr>
              <w:pStyle w:val="95"/>
              <w:spacing w:before="78" w:after="78"/>
            </w:pPr>
            <w:r>
              <w:rPr>
                <w:rFonts w:hint="eastAsia"/>
              </w:rPr>
              <w:t>二</w:t>
            </w:r>
          </w:p>
        </w:tc>
        <w:tc>
          <w:tcPr>
            <w:tcW w:w="842" w:type="dxa"/>
            <w:noWrap w:val="0"/>
            <w:vAlign w:val="center"/>
          </w:tcPr>
          <w:p w14:paraId="3DBDC414">
            <w:pPr>
              <w:pStyle w:val="95"/>
              <w:spacing w:before="78" w:after="78"/>
            </w:pPr>
            <w:r>
              <w:t>三</w:t>
            </w:r>
          </w:p>
        </w:tc>
        <w:tc>
          <w:tcPr>
            <w:tcW w:w="0" w:type="auto"/>
            <w:noWrap w:val="0"/>
            <w:vAlign w:val="center"/>
          </w:tcPr>
          <w:p w14:paraId="2E368F71">
            <w:pPr>
              <w:pStyle w:val="95"/>
              <w:spacing w:before="78" w:after="78"/>
            </w:pPr>
            <w:r>
              <w:rPr>
                <w:sz w:val="18"/>
              </w:rPr>
              <w:t>二</w:t>
            </w:r>
          </w:p>
        </w:tc>
      </w:tr>
    </w:tbl>
    <w:p w14:paraId="5DC48AB6">
      <w:pPr>
        <w:pStyle w:val="80"/>
        <w:spacing w:before="78" w:after="78"/>
        <w:jc w:val="both"/>
        <w:rPr>
          <w:rFonts w:hint="eastAsia"/>
        </w:rPr>
      </w:pPr>
      <w:r>
        <w:rPr>
          <w:rFonts w:hint="eastAsia"/>
        </w:rPr>
        <w:t>注：1 接近或等于高度分界时，可结合房屋不规则程度及场地条件确定其抗震等级。</w:t>
      </w:r>
    </w:p>
    <w:p w14:paraId="7449F5B1">
      <w:pPr>
        <w:pStyle w:val="80"/>
        <w:spacing w:before="78" w:after="78"/>
        <w:ind w:firstLine="320" w:firstLineChars="200"/>
        <w:jc w:val="both"/>
        <w:rPr>
          <w:rFonts w:hint="eastAsia"/>
        </w:rPr>
      </w:pPr>
      <w:r>
        <w:rPr>
          <w:rFonts w:hint="eastAsia"/>
        </w:rPr>
        <w:t xml:space="preserve">2 </w:t>
      </w:r>
      <w:r>
        <w:rPr>
          <w:rFonts w:hint="eastAsia"/>
          <w:color w:val="FF0000"/>
        </w:rPr>
        <w:t>6、7度</w:t>
      </w:r>
      <w:r>
        <w:rPr>
          <w:rFonts w:hint="eastAsia"/>
        </w:rPr>
        <w:t>地区重点设防类固模剪力墙结构的抗震等级应分别按表中</w:t>
      </w:r>
      <w:r>
        <w:rPr>
          <w:rFonts w:hint="eastAsia"/>
          <w:color w:val="FF0000"/>
        </w:rPr>
        <w:t>7、8度</w:t>
      </w:r>
      <w:r>
        <w:rPr>
          <w:rFonts w:hint="eastAsia"/>
        </w:rPr>
        <w:t>的要求加强其抗震措施；当建筑场地为I类时，可仍分别按表中</w:t>
      </w:r>
      <w:r>
        <w:rPr>
          <w:rFonts w:hint="eastAsia"/>
          <w:color w:val="FF0000"/>
        </w:rPr>
        <w:t>6、7度</w:t>
      </w:r>
      <w:r>
        <w:rPr>
          <w:rFonts w:hint="eastAsia"/>
        </w:rPr>
        <w:t>的要求采取抗震构造措施。</w:t>
      </w:r>
    </w:p>
    <w:p w14:paraId="3378B989">
      <w:pPr>
        <w:pStyle w:val="6"/>
        <w:numPr>
          <w:ilvl w:val="2"/>
          <w:numId w:val="0"/>
        </w:numPr>
        <w:rPr>
          <w:rFonts w:hint="eastAsia"/>
          <w:color w:val="0070C0"/>
        </w:rPr>
      </w:pPr>
      <w:r>
        <w:rPr>
          <w:rFonts w:hint="eastAsia"/>
          <w:color w:val="0070C0"/>
        </w:rPr>
        <w:t>【条文说明】6.1.1~6.1.3本标准编制组对固模剪力墙（包括不带竖向接缝和带竖向接缝的多种形式的固模剪力墙）进行了大量的研究工作，往复水平加载试验结果表明：弹性阶段固模剪力墙的抗震性能基本等同现浇钢筋混凝土剪力墙。</w:t>
      </w:r>
    </w:p>
    <w:p w14:paraId="40D0D097">
      <w:pPr>
        <w:pStyle w:val="6"/>
        <w:numPr>
          <w:ilvl w:val="2"/>
          <w:numId w:val="0"/>
        </w:numPr>
        <w:ind w:firstLine="420" w:firstLineChars="200"/>
        <w:rPr>
          <w:rFonts w:hint="eastAsia"/>
          <w:color w:val="0070C0"/>
        </w:rPr>
      </w:pPr>
      <w:r>
        <w:rPr>
          <w:rFonts w:hint="eastAsia"/>
          <w:color w:val="0070C0"/>
        </w:rPr>
        <w:t>在弹性阶段，固模剪力墙的受力性能与现浇钢筋混凝土剪力墙相似，空心墙模与现浇混凝土之间的结合面变形协调，不影响剪力墙弹性阶段的受力性能。在位移角达到1/1000时，剪力墙表面未发现裂缝。随着变形的增加，空心墙模与现浇混凝土之间的结合面开始出现相对变形，剪力墙刚度开始降低。达到峰值荷载后直至试件破坏，剪力墙裂缝逐步发展为沿空心墙模与现浇混凝土之间的竖向结合面的多道均匀的竖向裂缝。进入塑性阶段后，竖向裂缝两侧的混凝土出现相对变形，整片剪力墙破坏为整体有拉结的带多道均匀竖向裂缝的形态。</w:t>
      </w:r>
    </w:p>
    <w:p w14:paraId="0BD6F7D1">
      <w:pPr>
        <w:pStyle w:val="6"/>
        <w:numPr>
          <w:ilvl w:val="2"/>
          <w:numId w:val="0"/>
        </w:numPr>
        <w:ind w:firstLine="420" w:firstLineChars="200"/>
        <w:rPr>
          <w:rFonts w:hint="eastAsia"/>
          <w:color w:val="0070C0"/>
        </w:rPr>
      </w:pPr>
      <w:r>
        <w:rPr>
          <w:rFonts w:hint="eastAsia"/>
          <w:color w:val="0070C0"/>
        </w:rPr>
        <w:t>由于竖向裂缝的发展，使得固模剪力墙具有很好的抗震性能。即使在强弯弱剪的试验中，固模剪力墙的极限层间位移角也能达到1/100~1/50，对应位移延性系数均接近或大于4。</w:t>
      </w:r>
    </w:p>
    <w:p w14:paraId="3AFEA02E">
      <w:pPr>
        <w:pStyle w:val="6"/>
        <w:numPr>
          <w:ilvl w:val="2"/>
          <w:numId w:val="0"/>
        </w:numPr>
        <w:ind w:firstLine="420" w:firstLineChars="200"/>
        <w:rPr>
          <w:rFonts w:hint="eastAsia"/>
          <w:color w:val="0070C0"/>
        </w:rPr>
      </w:pPr>
      <w:r>
        <w:rPr>
          <w:rFonts w:hint="eastAsia"/>
          <w:color w:val="0070C0"/>
        </w:rPr>
        <w:t>虽然固模剪力墙的抗震性能基本等同现浇钢筋混凝土剪力墙，但由于工程实践的数量仍然偏少，本标准对固模剪力墙结构从严要求，相比现浇剪力墙结构及现行行业标准《装配式混凝土结构技术规程》JGJ 1规定的装配式混凝土剪力墙结构，本标准最大适用高度做了大幅降低并参考了现行国家标准《装配式混凝土建筑技术标准》GB/T 51231，与表A.0.1双面叠合剪力墙房屋的最大适用高度保持一致。</w:t>
      </w:r>
    </w:p>
    <w:p w14:paraId="7412B087">
      <w:pPr>
        <w:pStyle w:val="6"/>
        <w:numPr>
          <w:ilvl w:val="2"/>
          <w:numId w:val="0"/>
        </w:numPr>
        <w:ind w:firstLine="420" w:firstLineChars="200"/>
        <w:rPr>
          <w:rFonts w:hint="eastAsia"/>
          <w:color w:val="0070C0"/>
        </w:rPr>
      </w:pPr>
      <w:r>
        <w:rPr>
          <w:rFonts w:hint="eastAsia"/>
          <w:color w:val="0070C0"/>
        </w:rPr>
        <w:t>广东省地区不含8度0.3g的区域，故表6.1.1给出了6度、7度、8度0.2g的最大适用高度并仅对竖向构件使用固模剪力墙时做出规定；TC板为水平构件固模混凝土板的免拆模板，其适用高度不受表6.1.1的限制。</w:t>
      </w:r>
    </w:p>
    <w:p w14:paraId="0EDCB882">
      <w:pPr>
        <w:pStyle w:val="6"/>
        <w:numPr>
          <w:ilvl w:val="2"/>
          <w:numId w:val="0"/>
        </w:numPr>
        <w:ind w:firstLine="420" w:firstLineChars="200"/>
        <w:rPr>
          <w:rFonts w:hint="eastAsia"/>
          <w:color w:val="0070C0"/>
        </w:rPr>
      </w:pPr>
      <w:r>
        <w:rPr>
          <w:rFonts w:hint="eastAsia"/>
          <w:color w:val="0070C0"/>
        </w:rPr>
        <w:t>固模剪力墙结构的最大高宽比和抗震等级均参照现行行业标准《装配式混凝土结构技术规程》JGJ 1的有关规定确定。</w:t>
      </w:r>
    </w:p>
    <w:p w14:paraId="4AC837F3">
      <w:pPr>
        <w:pStyle w:val="6"/>
        <w:numPr>
          <w:ilvl w:val="2"/>
          <w:numId w:val="0"/>
        </w:numPr>
        <w:ind w:firstLine="420" w:firstLineChars="200"/>
        <w:rPr>
          <w:rFonts w:hint="eastAsia"/>
        </w:rPr>
      </w:pPr>
      <w:r>
        <w:rPr>
          <w:rFonts w:hint="eastAsia"/>
          <w:color w:val="0070C0"/>
        </w:rPr>
        <w:t>由于对固模剪力墙结构的最大适用高度从严控制，当固模剪力墙数量较多时，即固模剪力墙承担的底部总剪力较大时，对其最大适用高度不再另行调整。</w:t>
      </w:r>
    </w:p>
    <w:p w14:paraId="7E8B1463">
      <w:pPr>
        <w:pStyle w:val="6"/>
      </w:pPr>
      <w:r>
        <w:rPr>
          <w:rFonts w:hint="eastAsia"/>
        </w:rPr>
        <w:t>当建筑场地为I类时，除6度外可按本地区抗震设防烈度降低一度的要求采取抗震构造措施。</w:t>
      </w:r>
    </w:p>
    <w:p w14:paraId="7A0DA8C5">
      <w:pPr>
        <w:pStyle w:val="6"/>
      </w:pPr>
      <w:r>
        <w:rPr>
          <w:rFonts w:hint="eastAsia"/>
        </w:rPr>
        <w:t>当建筑场地为Ⅲ、Ⅳ类时，对设计基本地震加速度为0.15g的地区宜按抗震设防烈度8度（0.20g）的要求采取抗震构造措施。</w:t>
      </w:r>
    </w:p>
    <w:p w14:paraId="7DDF2E08">
      <w:pPr>
        <w:pStyle w:val="6"/>
      </w:pPr>
      <w:r>
        <w:t>固模剪力墙结构</w:t>
      </w:r>
      <w:r>
        <w:rPr>
          <w:rFonts w:hint="eastAsia"/>
        </w:rPr>
        <w:t>应注重概念设计，其</w:t>
      </w:r>
      <w:r>
        <w:t>结构布置应符合下列要求：</w:t>
      </w:r>
    </w:p>
    <w:p w14:paraId="2B961014">
      <w:pPr>
        <w:pStyle w:val="7"/>
        <w:numPr>
          <w:ilvl w:val="0"/>
          <w:numId w:val="14"/>
        </w:numPr>
        <w:rPr>
          <w:color w:val="FF0000"/>
        </w:rPr>
      </w:pPr>
      <w:r>
        <w:rPr>
          <w:rFonts w:hint="eastAsia"/>
          <w:color w:val="FF0000"/>
        </w:rPr>
        <w:t>平面布置宜简单、规则，宜沿两个主轴方向或其他方向双向布置，两个方向的侧向刚度不宜相差过大。不应采用仅单向有墙的结构布置</w:t>
      </w:r>
      <w:r>
        <w:rPr>
          <w:color w:val="FF0000"/>
        </w:rPr>
        <w:t>；</w:t>
      </w:r>
    </w:p>
    <w:p w14:paraId="3E4DE540">
      <w:pPr>
        <w:pStyle w:val="7"/>
        <w:numPr>
          <w:ilvl w:val="0"/>
          <w:numId w:val="12"/>
        </w:numPr>
      </w:pPr>
      <w:r>
        <w:rPr>
          <w:rFonts w:hint="eastAsia"/>
        </w:rPr>
        <w:t>部分墙肢采用固模剪力墙时，固模剪力墙的布置宜均匀、对称，减小偏心；</w:t>
      </w:r>
    </w:p>
    <w:p w14:paraId="7BCBD8C3">
      <w:pPr>
        <w:pStyle w:val="7"/>
        <w:numPr>
          <w:ilvl w:val="0"/>
          <w:numId w:val="12"/>
        </w:numPr>
      </w:pPr>
      <w:r>
        <w:t>竖向体型宜规则、均匀，避免侧向刚度和承载力突变；</w:t>
      </w:r>
    </w:p>
    <w:p w14:paraId="1A4E4FEB">
      <w:pPr>
        <w:pStyle w:val="7"/>
        <w:numPr>
          <w:ilvl w:val="0"/>
          <w:numId w:val="12"/>
        </w:numPr>
      </w:pPr>
      <w:r>
        <w:rPr>
          <w:rFonts w:hint="eastAsia"/>
        </w:rPr>
        <w:t>固模</w:t>
      </w:r>
      <w:r>
        <w:t>剪力墙宜上下连续，剪力墙开洞宜上下对齐</w:t>
      </w:r>
      <w:r>
        <w:rPr>
          <w:rFonts w:hint="eastAsia"/>
        </w:rPr>
        <w:t>；</w:t>
      </w:r>
    </w:p>
    <w:p w14:paraId="3C474F13">
      <w:pPr>
        <w:pStyle w:val="7"/>
        <w:numPr>
          <w:ilvl w:val="0"/>
          <w:numId w:val="12"/>
        </w:numPr>
      </w:pPr>
      <w:r>
        <w:rPr>
          <w:rFonts w:hint="eastAsia"/>
        </w:rPr>
        <w:t>空心墙模竖向孔宜上下对齐、当错位时应不影响层间竖向连接钢筋的穿设</w:t>
      </w:r>
      <w:r>
        <w:t>。</w:t>
      </w:r>
    </w:p>
    <w:p w14:paraId="5B6C9346">
      <w:pPr>
        <w:pStyle w:val="7"/>
        <w:numPr>
          <w:ilvl w:val="0"/>
          <w:numId w:val="0"/>
        </w:numPr>
        <w:rPr>
          <w:rFonts w:hint="eastAsia"/>
          <w:bCs/>
          <w:color w:val="0070C0"/>
          <w:kern w:val="2"/>
        </w:rPr>
      </w:pPr>
      <w:r>
        <w:rPr>
          <w:rFonts w:hint="eastAsia"/>
          <w:bCs/>
          <w:color w:val="0070C0"/>
          <w:kern w:val="2"/>
        </w:rPr>
        <w:t>【条文说明】固模剪力墙结构的平面及竖向布置要求，应严于现浇混凝土结构。平面及竖向规则布置，不仅有利于墙板的拆分及减少预制构件的种类，也有利于结构受力均匀合理。为避免扭转效应加剧结构破坏，要求固模剪力墙的布置宜均匀、对称，减小偏心。</w:t>
      </w:r>
    </w:p>
    <w:p w14:paraId="711A4178">
      <w:pPr>
        <w:pStyle w:val="7"/>
        <w:numPr>
          <w:ilvl w:val="0"/>
          <w:numId w:val="0"/>
        </w:numPr>
        <w:ind w:firstLine="420" w:firstLineChars="200"/>
        <w:rPr>
          <w:rFonts w:hint="eastAsia"/>
          <w:bCs/>
          <w:color w:val="0070C0"/>
          <w:kern w:val="2"/>
        </w:rPr>
      </w:pPr>
      <w:r>
        <w:rPr>
          <w:rFonts w:hint="eastAsia"/>
          <w:bCs/>
          <w:color w:val="0070C0"/>
          <w:kern w:val="2"/>
        </w:rPr>
        <w:t>固模剪力墙上下层通过竖向连接钢筋进行连接，因此要求上下层空心墙模的竖向孔对齐布置，便于连接钢筋的穿设。当局部上下层空心墙模的竖向孔不对齐、或错位影响层间竖向连接钢筋的穿设要求时，应采用有效措施实现上下层剪力墙力的传递</w:t>
      </w:r>
    </w:p>
    <w:p w14:paraId="5103555A">
      <w:pPr>
        <w:pStyle w:val="6"/>
      </w:pPr>
      <w:r>
        <w:rPr>
          <w:rFonts w:hint="eastAsia"/>
        </w:rPr>
        <w:t>固模剪力墙结构中剪力墙两端和洞口两侧边缘构件的设置应</w:t>
      </w:r>
      <w:r>
        <w:t>符合国家现行标准《建筑抗震设计</w:t>
      </w:r>
      <w:r>
        <w:rPr>
          <w:rFonts w:hint="eastAsia"/>
        </w:rPr>
        <w:t>标准</w:t>
      </w:r>
      <w:r>
        <w:t>》GB</w:t>
      </w:r>
      <w:r>
        <w:rPr>
          <w:rFonts w:hint="eastAsia"/>
        </w:rPr>
        <w:t>/T</w:t>
      </w:r>
      <w:r>
        <w:t xml:space="preserve"> 5001</w:t>
      </w:r>
      <w:r>
        <w:rPr>
          <w:rFonts w:hint="eastAsia"/>
        </w:rPr>
        <w:t>1、《高层建筑混凝土结构技术规程》JGJ 3</w:t>
      </w:r>
      <w:r>
        <w:t>的有关规定</w:t>
      </w:r>
      <w:r>
        <w:rPr>
          <w:rFonts w:hint="eastAsia"/>
        </w:rPr>
        <w:t>。但对可设置构造边缘构件的固模剪力墙的</w:t>
      </w:r>
      <w:r>
        <w:t>底层墙肢底截面的</w:t>
      </w:r>
      <w:r>
        <w:rPr>
          <w:rFonts w:hint="eastAsia"/>
        </w:rPr>
        <w:t>最大</w:t>
      </w:r>
      <w:r>
        <w:t>轴压比</w:t>
      </w:r>
      <w:r>
        <w:rPr>
          <w:rFonts w:hint="eastAsia"/>
        </w:rPr>
        <w:t>应符合</w:t>
      </w:r>
      <w:r>
        <w:fldChar w:fldCharType="begin"/>
      </w:r>
      <w:r>
        <w:instrText xml:space="preserve"> REF _Ref34494940 \h  \* MERGEFORMAT </w:instrText>
      </w:r>
      <w:r>
        <w:fldChar w:fldCharType="separate"/>
      </w:r>
      <w:r>
        <w:rPr>
          <w:rFonts w:hint="eastAsia"/>
        </w:rPr>
        <w:t>表</w:t>
      </w:r>
      <w:r>
        <w:t>6.1.7</w:t>
      </w:r>
      <w:r>
        <w:fldChar w:fldCharType="end"/>
      </w:r>
      <w:r>
        <w:rPr>
          <w:rFonts w:hint="eastAsia"/>
        </w:rPr>
        <w:t>的</w:t>
      </w:r>
      <w:r>
        <w:t>规定</w:t>
      </w:r>
      <w:r>
        <w:rPr>
          <w:rFonts w:hint="eastAsia"/>
        </w:rPr>
        <w:t>。</w:t>
      </w:r>
    </w:p>
    <w:p w14:paraId="1AC2DA45">
      <w:pPr>
        <w:pStyle w:val="64"/>
        <w:spacing w:before="78" w:after="78"/>
      </w:pPr>
      <w:bookmarkStart w:id="166" w:name="_Ref34494940"/>
      <w:r>
        <w:rPr>
          <w:rFonts w:hint="eastAsia"/>
        </w:rPr>
        <w:t>表</w:t>
      </w:r>
      <w:r>
        <w:fldChar w:fldCharType="begin"/>
      </w:r>
      <w:r>
        <w:rPr>
          <w:rFonts w:hint="eastAsia"/>
        </w:rPr>
        <w:instrText xml:space="preserve">STYLEREF 3 \s</w:instrText>
      </w:r>
      <w:r>
        <w:fldChar w:fldCharType="separate"/>
      </w:r>
      <w:r>
        <w:t>6.1.7</w:t>
      </w:r>
      <w:r>
        <w:fldChar w:fldCharType="end"/>
      </w:r>
      <w:bookmarkEnd w:id="166"/>
      <w:r>
        <w:t xml:space="preserve">  </w:t>
      </w:r>
      <w:r>
        <w:rPr>
          <w:rFonts w:hint="eastAsia"/>
        </w:rPr>
        <w:t>固模剪力墙</w:t>
      </w:r>
      <w:r>
        <w:t>设置构造边缘构件的最大轴压比</w:t>
      </w:r>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8"/>
        <w:gridCol w:w="2050"/>
        <w:gridCol w:w="2058"/>
      </w:tblGrid>
      <w:tr w14:paraId="7DDE3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2" w:type="pct"/>
            <w:noWrap w:val="0"/>
            <w:vAlign w:val="center"/>
          </w:tcPr>
          <w:p w14:paraId="601737D7">
            <w:pPr>
              <w:pStyle w:val="95"/>
              <w:spacing w:before="78" w:after="78"/>
            </w:pPr>
            <w:r>
              <w:t>抗震等级</w:t>
            </w:r>
          </w:p>
        </w:tc>
        <w:tc>
          <w:tcPr>
            <w:tcW w:w="1670" w:type="pct"/>
            <w:noWrap w:val="0"/>
            <w:vAlign w:val="center"/>
          </w:tcPr>
          <w:p w14:paraId="4898B388">
            <w:pPr>
              <w:pStyle w:val="95"/>
              <w:spacing w:before="78" w:after="78"/>
            </w:pPr>
            <w:r>
              <w:t>一级</w:t>
            </w:r>
          </w:p>
        </w:tc>
        <w:tc>
          <w:tcPr>
            <w:tcW w:w="1677" w:type="pct"/>
            <w:noWrap w:val="0"/>
            <w:vAlign w:val="center"/>
          </w:tcPr>
          <w:p w14:paraId="745584F9">
            <w:pPr>
              <w:pStyle w:val="95"/>
              <w:spacing w:before="78" w:after="78"/>
            </w:pPr>
            <w:r>
              <w:t>二、三级</w:t>
            </w:r>
          </w:p>
        </w:tc>
      </w:tr>
      <w:tr w14:paraId="285B5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52" w:type="pct"/>
            <w:noWrap w:val="0"/>
            <w:vAlign w:val="center"/>
          </w:tcPr>
          <w:p w14:paraId="331C2FA8">
            <w:pPr>
              <w:pStyle w:val="95"/>
              <w:spacing w:before="78" w:after="78"/>
            </w:pPr>
            <w:r>
              <w:t>轴压比</w:t>
            </w:r>
          </w:p>
        </w:tc>
        <w:tc>
          <w:tcPr>
            <w:tcW w:w="1670" w:type="pct"/>
            <w:noWrap w:val="0"/>
            <w:vAlign w:val="center"/>
          </w:tcPr>
          <w:p w14:paraId="560876C1">
            <w:pPr>
              <w:pStyle w:val="95"/>
              <w:spacing w:before="78" w:after="78"/>
            </w:pPr>
            <w:r>
              <w:t>0.</w:t>
            </w:r>
            <w:r>
              <w:rPr>
                <w:rFonts w:hint="eastAsia"/>
              </w:rPr>
              <w:t>15</w:t>
            </w:r>
          </w:p>
        </w:tc>
        <w:tc>
          <w:tcPr>
            <w:tcW w:w="1677" w:type="pct"/>
            <w:noWrap w:val="0"/>
            <w:vAlign w:val="center"/>
          </w:tcPr>
          <w:p w14:paraId="001582DC">
            <w:pPr>
              <w:pStyle w:val="95"/>
              <w:spacing w:before="78" w:after="78"/>
            </w:pPr>
            <w:r>
              <w:t>0.</w:t>
            </w:r>
            <w:r>
              <w:rPr>
                <w:rFonts w:hint="eastAsia"/>
              </w:rPr>
              <w:t>25</w:t>
            </w:r>
          </w:p>
        </w:tc>
      </w:tr>
    </w:tbl>
    <w:p w14:paraId="1C7A6E8A">
      <w:pPr>
        <w:pStyle w:val="6"/>
      </w:pPr>
      <w:r>
        <w:rPr>
          <w:rFonts w:hint="eastAsia"/>
        </w:rPr>
        <w:t>固模剪力墙在重力荷载代表值作用下的最大</w:t>
      </w:r>
      <w:r>
        <w:t>轴压比，一级时不应大于0.4；二、三级时不应大于0.5</w:t>
      </w:r>
      <w:r>
        <w:rPr>
          <w:rFonts w:hint="eastAsia"/>
        </w:rPr>
        <w:t>。</w:t>
      </w:r>
    </w:p>
    <w:p w14:paraId="755A908F">
      <w:pPr>
        <w:pStyle w:val="7"/>
        <w:numPr>
          <w:ilvl w:val="0"/>
          <w:numId w:val="0"/>
        </w:numPr>
      </w:pPr>
      <w:r>
        <w:rPr>
          <w:rFonts w:hint="eastAsia"/>
          <w:bCs/>
          <w:color w:val="0070C0"/>
          <w:kern w:val="2"/>
        </w:rPr>
        <w:t>【条文说明】轴压比是影响剪力墙在地震作用下塑性变形能力的重要因素。固模剪力墙为预制与现浇相结合的叠合墙体，高轴压比下其抗震性能不能完全等效于全现浇混凝土剪力墙，因此对固模剪力墙所适用的最大轴压比从严控制。根据试验结果，固模剪力墙的受压承载能力与普通混凝土剪力墙相当，受剪承载能力取普通混凝土剪力墙的0.8倍，因此这里固模剪力墙的轴压比限值约取普通现浇混凝土墙限值的80%，墙肢端部可设置构造边缘构件的最大轴压比约取普通现浇混凝土墙最大轴压比容许值的80%。</w:t>
      </w:r>
    </w:p>
    <w:p w14:paraId="6EDC8153">
      <w:pPr>
        <w:pStyle w:val="6"/>
      </w:pPr>
      <w:r>
        <w:rPr>
          <w:rFonts w:hint="eastAsia"/>
        </w:rPr>
        <w:t>固模剪力墙结构应符合下列规定：</w:t>
      </w:r>
    </w:p>
    <w:p w14:paraId="4BB07B89">
      <w:pPr>
        <w:pStyle w:val="7"/>
        <w:numPr>
          <w:ilvl w:val="0"/>
          <w:numId w:val="15"/>
        </w:numPr>
      </w:pPr>
      <w:r>
        <w:rPr>
          <w:rFonts w:hint="eastAsia"/>
        </w:rPr>
        <w:t>约束边缘构件（含非阴影区）应采用现浇混凝土，构造边缘构件宜采用现浇混凝土。边缘构件的纵向钢筋连接应符合国家现行有关标准的规定；</w:t>
      </w:r>
    </w:p>
    <w:p w14:paraId="26D7AEBB">
      <w:pPr>
        <w:pStyle w:val="7"/>
        <w:numPr>
          <w:ilvl w:val="0"/>
          <w:numId w:val="12"/>
        </w:numPr>
      </w:pPr>
      <w:r>
        <w:rPr>
          <w:rFonts w:hint="eastAsia"/>
        </w:rPr>
        <w:t>风荷载组合及多遇地震作用组合下，</w:t>
      </w:r>
      <w:r>
        <w:t>偏心受拉的墙肢宜采用</w:t>
      </w:r>
      <w:r>
        <w:rPr>
          <w:rFonts w:hint="eastAsia"/>
        </w:rPr>
        <w:t>现浇混凝土</w:t>
      </w:r>
      <w:r>
        <w:t>；</w:t>
      </w:r>
    </w:p>
    <w:p w14:paraId="43362E6A">
      <w:pPr>
        <w:pStyle w:val="7"/>
        <w:numPr>
          <w:ilvl w:val="0"/>
          <w:numId w:val="12"/>
        </w:numPr>
      </w:pPr>
      <w:r>
        <w:t>固模剪力墙结构不应采用</w:t>
      </w:r>
      <w:r>
        <w:rPr>
          <w:rFonts w:hint="eastAsia"/>
        </w:rPr>
        <w:t>较多</w:t>
      </w:r>
      <w:r>
        <w:t>短肢剪力墙</w:t>
      </w:r>
      <w:r>
        <w:rPr>
          <w:rFonts w:hint="eastAsia"/>
        </w:rPr>
        <w:t>。</w:t>
      </w:r>
    </w:p>
    <w:p w14:paraId="19683819">
      <w:pPr>
        <w:pStyle w:val="7"/>
        <w:numPr>
          <w:ilvl w:val="0"/>
          <w:numId w:val="0"/>
        </w:numPr>
        <w:rPr>
          <w:rFonts w:hint="eastAsia"/>
          <w:bCs/>
          <w:color w:val="0070C0"/>
          <w:kern w:val="2"/>
        </w:rPr>
      </w:pPr>
      <w:r>
        <w:rPr>
          <w:rFonts w:hint="eastAsia"/>
          <w:bCs/>
          <w:color w:val="0070C0"/>
          <w:kern w:val="2"/>
        </w:rPr>
        <w:t>【条文说明】本条对固模剪力墙结构的使用作出一些限制性规定，约束边缘构件应采用现浇混凝土，构造边缘构件宜采用现浇混凝土（有条件时，6层及以下结构构造边缘构件可采用预制形式），由于固模剪力墙层间钢筋采用100%搭接连接，因此边缘构件（含预制构造边缘构构件）内竖向钢筋连接尤为重要，应确保符合现行国家标准的相关规定，宜采取更严格的措施。对受拉的墙肢，当采用固模剪力墙时，层间竖向连接钢筋搭接长度应满足受拉锚固长度的相关要求。短肢剪力墙的抗震性能较差，在固模剪力墙结构中应避免过多采用，具有较多短肢剪力墙的结构中墙肢都比较短，基本都是现浇边缘构件，故固模剪力墙不应用于具有较多短肢剪力墙的结构。</w:t>
      </w:r>
    </w:p>
    <w:p w14:paraId="2DC0B396">
      <w:pPr>
        <w:pStyle w:val="7"/>
        <w:numPr>
          <w:ilvl w:val="0"/>
          <w:numId w:val="0"/>
        </w:numPr>
        <w:ind w:firstLine="420" w:firstLineChars="200"/>
      </w:pPr>
      <w:r>
        <w:rPr>
          <w:rFonts w:hint="eastAsia"/>
          <w:bCs/>
          <w:color w:val="0070C0"/>
          <w:kern w:val="2"/>
        </w:rPr>
        <w:t>根据现行行业标准《高层建筑混凝土结构技术规程》JGJ 3规定：短肢剪力墙是指截面厚度不大于300mm、各肢截面高度与厚度之比的最大值大于4但不大于8的剪力墙；采用较多短肢剪力墙的结构是指，在规定的水平地震作用下，短肢剪力墙承担的底部倾覆力矩不小于结构底部总地震倾覆力矩的30%的剪力墙结构。</w:t>
      </w:r>
    </w:p>
    <w:p w14:paraId="23D9C085">
      <w:pPr>
        <w:pStyle w:val="6"/>
      </w:pPr>
      <w:r>
        <w:rPr>
          <w:rFonts w:hint="eastAsia"/>
        </w:rPr>
        <w:t>高层固模剪力墙结构尚应符合下列规定：</w:t>
      </w:r>
    </w:p>
    <w:p w14:paraId="5F33A823">
      <w:pPr>
        <w:pStyle w:val="7"/>
        <w:numPr>
          <w:ilvl w:val="0"/>
          <w:numId w:val="16"/>
        </w:numPr>
      </w:pPr>
      <w:r>
        <w:t>高层固模剪力墙结构宜设置地下室，地下室宜采用</w:t>
      </w:r>
      <w:r>
        <w:rPr>
          <w:rFonts w:hint="eastAsia"/>
        </w:rPr>
        <w:t>现浇混凝土结构，地下室外墙不应采用固模剪力墙；</w:t>
      </w:r>
    </w:p>
    <w:p w14:paraId="3052D377">
      <w:pPr>
        <w:pStyle w:val="7"/>
        <w:numPr>
          <w:ilvl w:val="0"/>
          <w:numId w:val="12"/>
        </w:numPr>
      </w:pPr>
      <w:r>
        <w:t>高层固模剪力墙结构</w:t>
      </w:r>
      <w:r>
        <w:rPr>
          <w:rFonts w:hint="eastAsia"/>
        </w:rPr>
        <w:t>底部加强部位剪力墙宜采用现浇混凝土，底部加强部位外墙不应采用固模剪力墙；</w:t>
      </w:r>
    </w:p>
    <w:p w14:paraId="1F1B7BEC">
      <w:pPr>
        <w:pStyle w:val="7"/>
        <w:numPr>
          <w:ilvl w:val="0"/>
          <w:numId w:val="12"/>
        </w:numPr>
      </w:pPr>
      <w:r>
        <w:rPr>
          <w:rFonts w:hint="eastAsia"/>
        </w:rPr>
        <w:t>抗震设防烈度为8度时，高层</w:t>
      </w:r>
      <w:r>
        <w:t>固模剪力墙结构</w:t>
      </w:r>
      <w:r>
        <w:rPr>
          <w:rFonts w:hint="eastAsia"/>
        </w:rPr>
        <w:t>中的电梯井筒、围合的楼梯间等结构受力关键部位应采用现浇混凝土墙。</w:t>
      </w:r>
    </w:p>
    <w:p w14:paraId="2F56ED43">
      <w:pPr>
        <w:pStyle w:val="7"/>
        <w:numPr>
          <w:ilvl w:val="0"/>
          <w:numId w:val="0"/>
        </w:numPr>
        <w:rPr>
          <w:rFonts w:hint="eastAsia"/>
          <w:bCs/>
          <w:color w:val="0070C0"/>
          <w:kern w:val="2"/>
        </w:rPr>
      </w:pPr>
      <w:r>
        <w:rPr>
          <w:rFonts w:hint="eastAsia"/>
          <w:bCs/>
          <w:color w:val="0070C0"/>
          <w:kern w:val="2"/>
        </w:rPr>
        <w:t>【条文说明】本条对高层固模剪力墙结构的使用作出一些限制性规定，高层固模剪力墙结构宜设置地下室，以满足建筑功能要求，有利于提高地基承载力，也有利于地震时减轻震害。</w:t>
      </w:r>
    </w:p>
    <w:p w14:paraId="1B9D5461">
      <w:pPr>
        <w:pStyle w:val="7"/>
        <w:numPr>
          <w:ilvl w:val="0"/>
          <w:numId w:val="0"/>
        </w:numPr>
        <w:ind w:firstLine="420" w:firstLineChars="200"/>
        <w:rPr>
          <w:rFonts w:hint="eastAsia"/>
          <w:bCs/>
          <w:color w:val="0070C0"/>
          <w:kern w:val="2"/>
        </w:rPr>
      </w:pPr>
      <w:r>
        <w:rPr>
          <w:rFonts w:hint="eastAsia"/>
          <w:bCs/>
          <w:color w:val="0070C0"/>
          <w:kern w:val="2"/>
        </w:rPr>
        <w:t>底部加强部位（尤其在高烈度区）建议采用现浇结构，因为底部加强区对结构整体抗震性能很重要。6、7度区高层固模剪力墙结构底部加强部位的内墙可允许使用固模剪力墙，但外墙宜采用现浇剪力墙，以保证结构的外围整体性及结构抗扭性能。</w:t>
      </w:r>
    </w:p>
    <w:p w14:paraId="195A3394">
      <w:pPr>
        <w:pStyle w:val="7"/>
        <w:numPr>
          <w:ilvl w:val="0"/>
          <w:numId w:val="0"/>
        </w:numPr>
        <w:rPr>
          <w:rFonts w:hint="eastAsia"/>
          <w:bCs/>
          <w:color w:val="0070C0"/>
          <w:kern w:val="2"/>
        </w:rPr>
      </w:pPr>
      <w:r>
        <w:rPr>
          <w:rFonts w:hint="eastAsia"/>
          <w:bCs/>
          <w:color w:val="0070C0"/>
          <w:kern w:val="2"/>
        </w:rPr>
        <w:t>另外，本标准第7.1.3条及第7.2.7条对一、二级剪力墙的底部加强部位竖向连接钢筋做了更严格的规定，确保连接可靠。</w:t>
      </w:r>
    </w:p>
    <w:p w14:paraId="1B15BA1D">
      <w:pPr>
        <w:pStyle w:val="7"/>
        <w:numPr>
          <w:ilvl w:val="0"/>
          <w:numId w:val="0"/>
        </w:numPr>
        <w:ind w:firstLine="420" w:firstLineChars="200"/>
      </w:pPr>
      <w:r>
        <w:rPr>
          <w:rFonts w:hint="eastAsia"/>
          <w:bCs/>
          <w:color w:val="0070C0"/>
          <w:kern w:val="2"/>
        </w:rPr>
        <w:t>高层建筑中的电梯井筒、围合楼梯间等结构受力关键部位往往承受很大的地震剪力及倾覆力矩，采用现浇结构有利于保证结构的抗震性能。</w:t>
      </w:r>
    </w:p>
    <w:p w14:paraId="10E8D7B1">
      <w:pPr>
        <w:pStyle w:val="6"/>
      </w:pPr>
      <w:r>
        <w:t>固模剪力墙结构的楼盖宜采用</w:t>
      </w:r>
      <w:r>
        <w:rPr>
          <w:rFonts w:hint="eastAsia"/>
        </w:rPr>
        <w:t>固模混凝土板，也可采用桁架钢筋混凝土叠合板或其他免支模钢筋混凝土楼板</w:t>
      </w:r>
      <w:r>
        <w:t>。平面复杂或开洞较大的楼层、作为上部结构嵌固部位的地下室楼层</w:t>
      </w:r>
      <w:r>
        <w:rPr>
          <w:rFonts w:hint="eastAsia"/>
        </w:rPr>
        <w:t>宜采用普通现浇混凝土板</w:t>
      </w:r>
      <w:r>
        <w:t>。</w:t>
      </w:r>
    </w:p>
    <w:p w14:paraId="570CC827">
      <w:pPr>
        <w:pStyle w:val="7"/>
        <w:numPr>
          <w:ilvl w:val="0"/>
          <w:numId w:val="0"/>
        </w:numPr>
      </w:pPr>
      <w:r>
        <w:rPr>
          <w:rFonts w:hint="eastAsia"/>
          <w:bCs/>
          <w:color w:val="0070C0"/>
          <w:kern w:val="2"/>
        </w:rPr>
        <w:t>【条文说明】固模剪力墙结构的楼盖采用固模混凝土板，是为了尽量减少现场模板支设及拆除工作，提高装配率，加快施工速度。平面复杂或开洞较大的楼层、作为上部结构嵌固部位的地下室楼层采用普通现浇混凝土板是为了充分保证结构的整体性，保证结构抗震性能；当采用钢筋桁架固模混凝土板时，TC板之间不应采用钢筋网片搭接连接，而应在施工时现场通长穿设TC板横向钢筋，确保楼板的整体性要求。</w:t>
      </w:r>
    </w:p>
    <w:p w14:paraId="0A9C9DB1">
      <w:pPr>
        <w:pStyle w:val="6"/>
        <w:numPr>
          <w:ilvl w:val="0"/>
          <w:numId w:val="0"/>
        </w:numPr>
        <w:tabs>
          <w:tab w:val="clear" w:pos="907"/>
        </w:tabs>
      </w:pPr>
    </w:p>
    <w:p w14:paraId="20498706">
      <w:pPr>
        <w:pStyle w:val="6"/>
        <w:numPr>
          <w:ilvl w:val="0"/>
          <w:numId w:val="0"/>
        </w:numPr>
        <w:tabs>
          <w:tab w:val="clear" w:pos="907"/>
        </w:tabs>
      </w:pPr>
    </w:p>
    <w:p w14:paraId="173A9341">
      <w:pPr>
        <w:pStyle w:val="5"/>
        <w:numPr>
          <w:ilvl w:val="1"/>
          <w:numId w:val="13"/>
        </w:numPr>
        <w:spacing w:before="156" w:beforeLines="50" w:after="156"/>
      </w:pPr>
      <w:bookmarkStart w:id="167" w:name="_Toc252452578"/>
      <w:bookmarkStart w:id="168" w:name="_Toc129374375"/>
      <w:bookmarkStart w:id="169" w:name="_Toc61254032"/>
      <w:bookmarkStart w:id="170" w:name="_Toc475644175"/>
      <w:bookmarkStart w:id="171" w:name="_Toc475644059"/>
      <w:bookmarkStart w:id="172" w:name="_Toc61254075"/>
      <w:bookmarkStart w:id="173" w:name="_Toc25389"/>
      <w:bookmarkStart w:id="174" w:name="_Toc475644452"/>
      <w:bookmarkStart w:id="175" w:name="_Toc475644644"/>
      <w:r>
        <w:t>结构</w:t>
      </w:r>
      <w:bookmarkEnd w:id="167"/>
      <w:r>
        <w:t>分析</w:t>
      </w:r>
      <w:bookmarkEnd w:id="168"/>
      <w:bookmarkEnd w:id="169"/>
      <w:bookmarkEnd w:id="170"/>
      <w:bookmarkEnd w:id="171"/>
      <w:bookmarkEnd w:id="172"/>
      <w:bookmarkEnd w:id="173"/>
      <w:bookmarkEnd w:id="174"/>
      <w:bookmarkEnd w:id="175"/>
    </w:p>
    <w:p w14:paraId="2A5276AE">
      <w:pPr>
        <w:pStyle w:val="6"/>
      </w:pPr>
      <w:r>
        <w:t>固模剪力墙结构的</w:t>
      </w:r>
      <w:r>
        <w:rPr>
          <w:rFonts w:hint="eastAsia"/>
        </w:rPr>
        <w:t>荷载、地震</w:t>
      </w:r>
      <w:r>
        <w:t>作用及</w:t>
      </w:r>
      <w:r>
        <w:rPr>
          <w:rFonts w:hint="eastAsia"/>
        </w:rPr>
        <w:t>其</w:t>
      </w:r>
      <w:r>
        <w:t>组合应根据国家现行标准</w:t>
      </w:r>
      <w:r>
        <w:rPr>
          <w:rFonts w:hint="eastAsia"/>
        </w:rPr>
        <w:t>《工程结构通用规范》GB 55001、</w:t>
      </w:r>
      <w:r>
        <w:t>《建筑结构荷载规范》GB 50009、《建筑抗震设计</w:t>
      </w:r>
      <w:r>
        <w:rPr>
          <w:rFonts w:hint="eastAsia"/>
        </w:rPr>
        <w:t>标准</w:t>
      </w:r>
      <w:r>
        <w:t>》GB</w:t>
      </w:r>
      <w:r>
        <w:rPr>
          <w:rFonts w:hint="eastAsia"/>
        </w:rPr>
        <w:t>/T</w:t>
      </w:r>
      <w:r>
        <w:t xml:space="preserve"> 5001</w:t>
      </w:r>
      <w:r>
        <w:rPr>
          <w:rFonts w:hint="eastAsia"/>
        </w:rPr>
        <w:t>1、《高层建筑混凝土结构技术规程》JGJ 3和广东省地方标准有关规定</w:t>
      </w:r>
      <w:r>
        <w:t>确定</w:t>
      </w:r>
      <w:r>
        <w:rPr>
          <w:rFonts w:hint="eastAsia"/>
        </w:rPr>
        <w:t>。</w:t>
      </w:r>
    </w:p>
    <w:p w14:paraId="673791B2">
      <w:pPr>
        <w:pStyle w:val="6"/>
        <w:numPr>
          <w:ilvl w:val="2"/>
          <w:numId w:val="0"/>
        </w:numPr>
        <w:rPr>
          <w:rFonts w:hint="eastAsia"/>
          <w:color w:val="0070C0"/>
        </w:rPr>
      </w:pPr>
      <w:r>
        <w:rPr>
          <w:rFonts w:hint="eastAsia"/>
          <w:color w:val="0070C0"/>
        </w:rPr>
        <w:t>【条文说明】对固模剪力墙结构进行承载能力极限状态和正常使用极限状态验算时，荷载和地震作用的取值及其组合均应按现行国家及广东省地方有关标准执行。</w:t>
      </w:r>
    </w:p>
    <w:p w14:paraId="4F71D8C4">
      <w:pPr>
        <w:pStyle w:val="6"/>
      </w:pPr>
      <w:bookmarkStart w:id="176" w:name="_Ref34494770"/>
      <w:r>
        <w:t>除本标准特别规定外，在各种设计状况下，固模剪力墙结构可采用与现浇剪力墙结构相同的方法进行结构分析。当同一层内</w:t>
      </w:r>
      <w:r>
        <w:rPr>
          <w:rFonts w:hint="eastAsia"/>
        </w:rPr>
        <w:t>既有现浇</w:t>
      </w:r>
      <w:r>
        <w:t>剪力墙</w:t>
      </w:r>
      <w:r>
        <w:rPr>
          <w:rFonts w:hint="eastAsia"/>
        </w:rPr>
        <w:t>也有</w:t>
      </w:r>
      <w:r>
        <w:t>固模剪力墙</w:t>
      </w:r>
      <w:r>
        <w:rPr>
          <w:rFonts w:hint="eastAsia"/>
        </w:rPr>
        <w:t>、地震设计状况下固模剪力墙底部承担总剪力占该层总剪力的比值大于</w:t>
      </w:r>
      <w:r>
        <w:t>25</w:t>
      </w:r>
      <w:r>
        <w:rPr>
          <w:rFonts w:hint="eastAsia"/>
        </w:rPr>
        <w:t>%时，</w:t>
      </w:r>
      <w:r>
        <w:t>地震设计状况下宜对</w:t>
      </w:r>
      <w:r>
        <w:rPr>
          <w:rFonts w:hint="eastAsia"/>
        </w:rPr>
        <w:t>现浇</w:t>
      </w:r>
      <w:r>
        <w:t>剪力墙在水平地震作用下的弯矩和剪力乘以不小于</w:t>
      </w:r>
      <w:r>
        <w:rPr>
          <w:rFonts w:hint="eastAsia"/>
        </w:rPr>
        <w:t>1.1</w:t>
      </w:r>
      <w:r>
        <w:t>的增大系数。</w:t>
      </w:r>
      <w:bookmarkEnd w:id="176"/>
    </w:p>
    <w:p w14:paraId="327DA5B0">
      <w:pPr>
        <w:pStyle w:val="6"/>
        <w:numPr>
          <w:ilvl w:val="2"/>
          <w:numId w:val="0"/>
        </w:numPr>
        <w:rPr>
          <w:rFonts w:hint="eastAsia"/>
          <w:color w:val="0070C0"/>
        </w:rPr>
      </w:pPr>
      <w:r>
        <w:rPr>
          <w:rFonts w:hint="eastAsia"/>
          <w:color w:val="0070C0"/>
        </w:rPr>
        <w:t>【条文说明】固模剪力墙的抗震试验表明：由于空心墙模与现浇混凝土之间的结合面相对薄弱，试件破坏时预制混凝土与现浇混凝土分离，预制混凝土突然压溃，固模剪力墙的刚度退化相对普通现浇剪力墙较为明显。因此，适当放大现浇剪力墙在水平地震作用下的弯矩和剪力。固模剪力墙的弯矩和剪力不减小，以偏于安全。</w:t>
      </w:r>
    </w:p>
    <w:p w14:paraId="463372DF">
      <w:pPr>
        <w:pStyle w:val="6"/>
        <w:numPr>
          <w:ilvl w:val="2"/>
          <w:numId w:val="0"/>
        </w:numPr>
        <w:ind w:firstLine="420" w:firstLineChars="200"/>
      </w:pPr>
      <w:r>
        <w:rPr>
          <w:rFonts w:hint="eastAsia"/>
          <w:color w:val="0070C0"/>
        </w:rPr>
        <w:t>当同一层内部分墙肢采用固模剪力墙部分墙肢采用现浇墙，固模剪力墙占比较大（其底部承担总剪力占该层总剪力的比值大于25%）时，地震设计状况下宜对现浇剪力墙在水平地震作用下的弯矩和剪力乘以不小于1.1的增大系数，放大系数宜根据现浇墙肢与预制墙体承担剪力的比例确定，轴力可不调整。固模剪力墙承担总剪力占比较小时，也可根据占比适当放大现浇剪力墙在水平地震作用下的弯矩和剪力。</w:t>
      </w:r>
    </w:p>
    <w:p w14:paraId="57FAD0EA">
      <w:pPr>
        <w:pStyle w:val="6"/>
      </w:pPr>
      <w:r>
        <w:t>固模剪力墙结构承载能力极限状态及正常使用极限状态作用效应分析可采用弹性方法。按弹性方法计算的风荷载</w:t>
      </w:r>
      <w:r>
        <w:rPr>
          <w:rFonts w:hint="eastAsia"/>
        </w:rPr>
        <w:t>或</w:t>
      </w:r>
      <w:r>
        <w:t>多遇地震标准值作用下的楼层层间最大位移与层高之比的限值宜取1/1000。</w:t>
      </w:r>
      <w:r>
        <w:rPr>
          <w:rFonts w:hint="eastAsia"/>
        </w:rPr>
        <w:t>对6层及以下、房屋高度不大于2</w:t>
      </w:r>
      <w:r>
        <w:t>1</w:t>
      </w:r>
      <w:r>
        <w:rPr>
          <w:rFonts w:hint="eastAsia"/>
        </w:rPr>
        <w:t>m的固模剪力墙结构，当</w:t>
      </w:r>
      <w:r>
        <w:t>采用</w:t>
      </w:r>
      <w:r>
        <w:rPr>
          <w:rFonts w:hint="eastAsia"/>
        </w:rPr>
        <w:t>本标准第7.</w:t>
      </w:r>
      <w:r>
        <w:t>2</w:t>
      </w:r>
      <w:r>
        <w:rPr>
          <w:rFonts w:hint="eastAsia"/>
        </w:rPr>
        <w:t>.</w:t>
      </w:r>
      <w:r>
        <w:t>8</w:t>
      </w:r>
      <w:r>
        <w:rPr>
          <w:rFonts w:hint="eastAsia"/>
        </w:rPr>
        <w:t>条及7.</w:t>
      </w:r>
      <w:r>
        <w:t>2</w:t>
      </w:r>
      <w:r>
        <w:rPr>
          <w:rFonts w:hint="eastAsia"/>
        </w:rPr>
        <w:t>.</w:t>
      </w:r>
      <w:r>
        <w:t>13</w:t>
      </w:r>
      <w:r>
        <w:rPr>
          <w:rFonts w:hint="eastAsia"/>
        </w:rPr>
        <w:t>条规定的简化构造</w:t>
      </w:r>
      <w:r>
        <w:t>时，</w:t>
      </w:r>
      <w:r>
        <w:rPr>
          <w:rFonts w:hint="eastAsia"/>
        </w:rPr>
        <w:t>上述</w:t>
      </w:r>
      <w:r>
        <w:t>限值宜取1/1200。</w:t>
      </w:r>
    </w:p>
    <w:p w14:paraId="30F15DE0">
      <w:pPr>
        <w:pStyle w:val="6"/>
        <w:numPr>
          <w:ilvl w:val="0"/>
          <w:numId w:val="0"/>
        </w:numPr>
        <w:tabs>
          <w:tab w:val="clear" w:pos="907"/>
        </w:tabs>
      </w:pPr>
      <w:r>
        <w:rPr>
          <w:rFonts w:hint="eastAsia"/>
          <w:color w:val="0070C0"/>
        </w:rPr>
        <w:t>【条文说明】固模剪力墙结构的层间位移角限值采用现行广东省地方标准《装配式混凝土建筑结构技术规程》DBJ 15-107的相关要求。6层及以下、房屋高度不大于21m的固模剪力墙结构，当采用本标准第7.2.8条及7.2.13条规定的简化构造时，对层间位移角限值适当从严要求。</w:t>
      </w:r>
    </w:p>
    <w:p w14:paraId="3B2E66F6">
      <w:pPr>
        <w:pStyle w:val="5"/>
        <w:numPr>
          <w:ilvl w:val="1"/>
          <w:numId w:val="13"/>
        </w:numPr>
        <w:spacing w:before="156" w:beforeLines="50" w:after="156"/>
      </w:pPr>
      <w:bookmarkStart w:id="177" w:name="_Toc475644176"/>
      <w:bookmarkStart w:id="178" w:name="_Toc61254076"/>
      <w:bookmarkStart w:id="179" w:name="_Toc475644645"/>
      <w:bookmarkStart w:id="180" w:name="_Toc475644060"/>
      <w:bookmarkStart w:id="181" w:name="_Toc129374376"/>
      <w:bookmarkStart w:id="182" w:name="_Toc475644453"/>
      <w:bookmarkStart w:id="183" w:name="_Toc29033"/>
      <w:bookmarkStart w:id="184" w:name="_Toc61254033"/>
      <w:r>
        <w:t>构件设计</w:t>
      </w:r>
      <w:bookmarkEnd w:id="177"/>
      <w:bookmarkEnd w:id="178"/>
      <w:bookmarkEnd w:id="179"/>
      <w:bookmarkEnd w:id="180"/>
      <w:bookmarkEnd w:id="181"/>
      <w:bookmarkEnd w:id="182"/>
      <w:bookmarkEnd w:id="183"/>
      <w:bookmarkEnd w:id="184"/>
    </w:p>
    <w:p w14:paraId="491396F6">
      <w:pPr>
        <w:pStyle w:val="6"/>
      </w:pPr>
      <w:r>
        <w:rPr>
          <w:rFonts w:hint="eastAsia"/>
        </w:rPr>
        <w:t>固模混凝土板</w:t>
      </w:r>
      <w:r>
        <w:t>正截面受弯承载力</w:t>
      </w:r>
      <w:r>
        <w:rPr>
          <w:rFonts w:hint="eastAsia"/>
        </w:rPr>
        <w:t>计算的</w:t>
      </w:r>
      <w:r>
        <w:t>基本假定</w:t>
      </w:r>
      <w:r>
        <w:rPr>
          <w:rFonts w:hint="eastAsia"/>
        </w:rPr>
        <w:t>、</w:t>
      </w:r>
      <w:r>
        <w:t>正截面受弯承载力计算方法应符合</w:t>
      </w:r>
      <w:r>
        <w:rPr>
          <w:rFonts w:hint="eastAsia"/>
        </w:rPr>
        <w:t>现行国家标准</w:t>
      </w:r>
      <w:r>
        <w:t>《混凝土结构设计</w:t>
      </w:r>
      <w:r>
        <w:rPr>
          <w:rFonts w:hint="eastAsia"/>
        </w:rPr>
        <w:t>标准</w:t>
      </w:r>
      <w:r>
        <w:t>》GB</w:t>
      </w:r>
      <w:r>
        <w:rPr>
          <w:rFonts w:hint="eastAsia"/>
        </w:rPr>
        <w:t>/T</w:t>
      </w:r>
      <w:r>
        <w:t xml:space="preserve"> 50010的有关规定。</w:t>
      </w:r>
      <w:r>
        <w:rPr>
          <w:rFonts w:hint="eastAsia"/>
        </w:rPr>
        <w:t>固模楼承板的底板不参与楼板承载力计算，但楼板永久荷载计算时应计入固模底板的自重。</w:t>
      </w:r>
    </w:p>
    <w:p w14:paraId="526A1785">
      <w:pPr>
        <w:pStyle w:val="6"/>
      </w:pPr>
      <w:r>
        <w:rPr>
          <w:rFonts w:hint="eastAsia"/>
        </w:rPr>
        <w:t>固模混凝土板设计时，固模楼承板之间宜用钢筋焊接网片进行搭接连接，固模楼承板钢筋桁架的下弦筋和固模楼承板间搭接网片的纵筋宜计入楼板下部受力钢筋面积，固模楼承板钢筋桁架的上弦筋可不计入楼板上部受力钢筋面积。</w:t>
      </w:r>
    </w:p>
    <w:p w14:paraId="76B5B7C7">
      <w:pPr>
        <w:pStyle w:val="6"/>
        <w:numPr>
          <w:ilvl w:val="0"/>
          <w:numId w:val="0"/>
        </w:numPr>
        <w:tabs>
          <w:tab w:val="clear" w:pos="907"/>
        </w:tabs>
        <w:rPr>
          <w:rFonts w:hint="eastAsia" w:ascii="Times New Roman" w:hAnsi="Times New Roman" w:eastAsia="宋体" w:cs="Times New Roman"/>
          <w:bCs/>
          <w:color w:val="0070C0"/>
        </w:rPr>
      </w:pPr>
      <w:r>
        <w:rPr>
          <w:rFonts w:hint="eastAsia" w:ascii="Times New Roman" w:hAnsi="Times New Roman" w:eastAsia="宋体" w:cs="Times New Roman"/>
          <w:bCs/>
          <w:color w:val="0070C0"/>
        </w:rPr>
        <w:t>【条文说明】当固模楼承板钢筋桁架的下弦筋和固模楼承板间搭接网片的纵筋计入楼板下部受力钢筋面积时，搭接网片的搭接连接长度及钢筋深入支座的长度应满足国家现行标准《混凝土结构设计标准》GB/T 50010及《钢筋焊接网混凝土结构技术规程》JGJ 114的有关规定。固模楼承板钢筋桁架的下弦筋可不伸入支座，当工程要求桁架下弦筋必须伸入支座时，</w:t>
      </w:r>
      <w:r>
        <w:rPr>
          <w:rFonts w:hint="eastAsia" w:ascii="Times New Roman" w:hAnsi="Times New Roman" w:eastAsia="宋体" w:cs="Times New Roman"/>
          <w:bCs/>
          <w:color w:val="FF0000"/>
        </w:rPr>
        <w:t>可采用附加连接钢筋</w:t>
      </w:r>
      <w:r>
        <w:rPr>
          <w:rFonts w:hint="eastAsia" w:ascii="Times New Roman" w:hAnsi="Times New Roman" w:eastAsia="宋体" w:cs="Times New Roman"/>
          <w:bCs/>
          <w:color w:val="0070C0"/>
        </w:rPr>
        <w:t>，一端与桁架下弦筋进行搭接连接，另一端伸入支座。</w:t>
      </w:r>
    </w:p>
    <w:p w14:paraId="3B63851E">
      <w:pPr>
        <w:pStyle w:val="6"/>
      </w:pPr>
      <w:r>
        <w:rPr>
          <w:rFonts w:hint="eastAsia"/>
        </w:rPr>
        <w:t>固模混凝土板设计时，单向板或双向板的选用原则应按现行国家标准《混凝土结构设计标准</w:t>
      </w:r>
      <w:r>
        <w:t>》GB</w:t>
      </w:r>
      <w:r>
        <w:rPr>
          <w:rFonts w:hint="eastAsia"/>
        </w:rPr>
        <w:t>/T</w:t>
      </w:r>
      <w:r>
        <w:t xml:space="preserve"> 50010</w:t>
      </w:r>
      <w:r>
        <w:rPr>
          <w:rFonts w:hint="eastAsia"/>
        </w:rPr>
        <w:t>的有关规定执行，</w:t>
      </w:r>
      <w:r>
        <w:rPr>
          <w:rFonts w:hint="eastAsia"/>
          <w:color w:val="FF0000"/>
        </w:rPr>
        <w:t>固模楼承板的钢筋桁架宜沿楼板短边方向布置</w:t>
      </w:r>
      <w:r>
        <w:rPr>
          <w:rFonts w:hint="eastAsia"/>
        </w:rPr>
        <w:t>。当长边与短边长度之比大于2.0但小于3.0时，可按单向板设计，此时沿长边方向分布筋配筋量应适当加大。</w:t>
      </w:r>
    </w:p>
    <w:p w14:paraId="445497FA">
      <w:pPr>
        <w:pStyle w:val="6"/>
        <w:numPr>
          <w:ilvl w:val="0"/>
          <w:numId w:val="0"/>
        </w:numPr>
        <w:tabs>
          <w:tab w:val="clear" w:pos="907"/>
        </w:tabs>
      </w:pPr>
      <w:r>
        <w:rPr>
          <w:rFonts w:hint="eastAsia"/>
          <w:color w:val="0070C0"/>
        </w:rPr>
        <w:t>【条文说明】当板块长边与短边长度之比大于2.0但小于3.0时，按单向板设计便于TC板之间用钢筋焊接网进行搭接，简化施工。根据《混凝土结构设计</w:t>
      </w:r>
      <w:r>
        <w:rPr>
          <w:rFonts w:hint="eastAsia"/>
        </w:rPr>
        <w:t>标准</w:t>
      </w:r>
      <w:r>
        <w:t>》GB</w:t>
      </w:r>
      <w:r>
        <w:rPr>
          <w:rFonts w:hint="eastAsia"/>
        </w:rPr>
        <w:t>/T</w:t>
      </w:r>
      <w:r>
        <w:t xml:space="preserve"> 50010</w:t>
      </w:r>
      <w:r>
        <w:rPr>
          <w:rFonts w:hint="eastAsia"/>
          <w:color w:val="0070C0"/>
        </w:rPr>
        <w:t>（2024年版）第9.1.1条条文说明，当长短边长度比在2~3之间时，板虽可按沿短边方向受力的单向板计算，但沿长边方向按分布筋配筋尚不足以承担该方向弯矩，应适当增大配筋量。根据土木工程学报第39卷第3期《混凝土结构单向板与双向板区分界限的研究》的记载，当长短边长度比在2~3而按单向板设计时，长跨方向仍然存在相对于短跨方向21.2%（四边简支时）~35.5%（四边固支时）的弯矩。考虑到一般板块并非完全四边固支，因此本推荐沿长边方向分布筋配筋量不宜低于短边方向受力筋计算值的30%。</w:t>
      </w:r>
    </w:p>
    <w:p w14:paraId="45048056">
      <w:pPr>
        <w:pStyle w:val="6"/>
      </w:pPr>
      <w:r>
        <w:t>固模楼承板纵筋</w:t>
      </w:r>
      <w:r>
        <w:rPr>
          <w:rFonts w:hint="eastAsia"/>
        </w:rPr>
        <w:t>及楼板</w:t>
      </w:r>
      <w:r>
        <w:t>上部</w:t>
      </w:r>
      <w:r>
        <w:rPr>
          <w:rFonts w:hint="eastAsia"/>
        </w:rPr>
        <w:t>钢筋设计计算时应根据实际情况确定各自的钢筋保护层厚度</w:t>
      </w:r>
      <w:r>
        <w:t>。</w:t>
      </w:r>
    </w:p>
    <w:p w14:paraId="79597819">
      <w:pPr>
        <w:pStyle w:val="6"/>
        <w:numPr>
          <w:ilvl w:val="2"/>
          <w:numId w:val="0"/>
        </w:numPr>
      </w:pPr>
      <w:r>
        <w:rPr>
          <w:rFonts w:hint="eastAsia"/>
          <w:color w:val="0070C0"/>
        </w:rPr>
        <w:t>【条文说明】在进行楼板配筋计算中，“板底保护层厚度”及“板顶保护层厚度”两个参数分别决定了正弯矩和负弯矩配筋计算时的有效截面高度。固模楼承板的生产经验表明，固模楼承板中作为主方向受力钢筋的底部纵筋，宜放在次方向横筋的上层，因此楼板底部纵筋设计计算时宜将“板底保护层厚度”适当加大。楼板上部钢筋主受力方向与次受力方向的关系由楼板混凝土厚度与桁架高度的关系决定，可参考本标准图7.3.6。当楼板上部主受力方向钢筋位于次受力方向钢筋的下层时，宜将上筋计算的“板顶保护层厚度”适当加大。</w:t>
      </w:r>
    </w:p>
    <w:p w14:paraId="35D1658E">
      <w:pPr>
        <w:pStyle w:val="6"/>
      </w:pPr>
      <w:r>
        <w:rPr>
          <w:rFonts w:hint="eastAsia"/>
        </w:rPr>
        <w:t>偏心受压固模剪力墙的正截面受压承载力</w:t>
      </w:r>
      <w:r>
        <w:t>，可按普通现浇混凝土剪力墙计算</w:t>
      </w:r>
      <w:r>
        <w:rPr>
          <w:rFonts w:hint="eastAsia"/>
        </w:rPr>
        <w:t>，应</w:t>
      </w:r>
      <w:r>
        <w:rPr>
          <w:rFonts w:hint="eastAsia" w:hAnsi="宋体"/>
        </w:rPr>
        <w:t>符合国家现行有关标准的规定。</w:t>
      </w:r>
    </w:p>
    <w:p w14:paraId="288D54A5">
      <w:pPr>
        <w:pStyle w:val="6"/>
        <w:numPr>
          <w:ilvl w:val="2"/>
          <w:numId w:val="0"/>
        </w:numPr>
        <w:rPr>
          <w:rFonts w:hint="eastAsia"/>
          <w:color w:val="0070C0"/>
        </w:rPr>
      </w:pPr>
      <w:r>
        <w:rPr>
          <w:rFonts w:hint="eastAsia"/>
          <w:color w:val="0070C0"/>
        </w:rPr>
        <w:t>【条文说明】本标准编制组通过12片固模剪力墙在恒定轴力下的拟静力试验，明晰了固模剪力墙的破坏过程及相关参数对墙体压弯性能的影响。</w:t>
      </w:r>
    </w:p>
    <w:p w14:paraId="4E9196F4">
      <w:pPr>
        <w:pStyle w:val="6"/>
        <w:numPr>
          <w:ilvl w:val="2"/>
          <w:numId w:val="0"/>
        </w:numPr>
        <w:ind w:firstLine="420" w:firstLineChars="200"/>
      </w:pPr>
      <w:r>
        <w:rPr>
          <w:rFonts w:hint="eastAsia"/>
          <w:color w:val="0070C0"/>
        </w:rPr>
        <w:t>试验表明，固模剪力墙试件的压弯破坏形态和破坏模式与现浇钢筋混凝土剪力墙试件相似，荷载作用下受拉侧钢筋屈服，受压侧根部混凝土压溃。固模剪力墙试件破坏时预制混凝土与现浇混凝土分离，预制混凝土突然压溃，墙体的压溃区域增大。峰值荷载前内部结合面未发生破坏，保证固模剪力墙的整体性，墙体的刚度和压弯承载力与现浇钢筋混凝土剪力墙试件基本相当，无需对固模剪力墙试件的刚度进行折减。固模剪力墙破坏时，内部结合面对墙体的抗压承载能力影响较为显著。峰值荷载前竖向接缝处出现竖向裂缝，两侧空心墙模的相对变形可以忽略，竖向接缝构造合理，可保证剪力墙的整体性，对墙体的承载力、刚度、变形和耗能能力影响较小，在进行设计计算时，无需考虑其对墙体的影响。墙体水平接缝能够保证固模剪力墙的有效连接。根据固模剪力墙的受弯试验结果，国家现行标准《混凝土结构设计</w:t>
      </w:r>
      <w:r>
        <w:rPr>
          <w:rFonts w:hint="eastAsia"/>
        </w:rPr>
        <w:t>标准</w:t>
      </w:r>
      <w:r>
        <w:t>》GB</w:t>
      </w:r>
      <w:r>
        <w:rPr>
          <w:rFonts w:hint="eastAsia"/>
        </w:rPr>
        <w:t>/T</w:t>
      </w:r>
      <w:r>
        <w:t xml:space="preserve"> 50010</w:t>
      </w:r>
      <w:r>
        <w:rPr>
          <w:rFonts w:hint="eastAsia"/>
          <w:color w:val="0070C0"/>
        </w:rPr>
        <w:t>和《高层建筑混凝土结构技术规程》JGJ 3中的正截面受弯承载力计算公式可用于计算固模剪力墙的压弯承载力，计算结果较为保守。</w:t>
      </w:r>
    </w:p>
    <w:p w14:paraId="17C3969E">
      <w:pPr>
        <w:pStyle w:val="6"/>
      </w:pPr>
      <w:bookmarkStart w:id="185" w:name="_Ref32931333"/>
      <w:r>
        <w:t>固模剪力墙</w:t>
      </w:r>
      <w:r>
        <w:rPr>
          <w:rFonts w:hint="eastAsia"/>
        </w:rPr>
        <w:t>的受剪截面应符合下列规定：</w:t>
      </w:r>
      <w:bookmarkEnd w:id="185"/>
    </w:p>
    <w:p w14:paraId="3B7EA742">
      <w:pPr>
        <w:pStyle w:val="7"/>
        <w:numPr>
          <w:ilvl w:val="0"/>
          <w:numId w:val="17"/>
        </w:numPr>
      </w:pPr>
      <w:bookmarkStart w:id="186" w:name="_Ref32931329"/>
      <w:r>
        <w:rPr>
          <w:rFonts w:hint="eastAsia"/>
        </w:rPr>
        <w:t>持久</w:t>
      </w:r>
      <w:r>
        <w:t>、短暂设计状况</w:t>
      </w:r>
      <w:r>
        <w:rPr>
          <w:rFonts w:hint="eastAsia"/>
        </w:rPr>
        <w:t>：</w:t>
      </w:r>
      <w:bookmarkEnd w:id="186"/>
    </w:p>
    <w:p w14:paraId="3D00B969">
      <w:pPr>
        <w:pStyle w:val="84"/>
        <w:spacing w:before="78" w:beforeLines="25" w:after="78" w:afterLines="25" w:line="240" w:lineRule="auto"/>
        <w:ind w:firstLine="630" w:firstLineChars="300"/>
      </w:pPr>
      <w:r>
        <w:rPr>
          <w:position w:val="-12"/>
        </w:rPr>
        <w:drawing>
          <wp:inline distT="0" distB="0" distL="114300" distR="114300">
            <wp:extent cx="1165860" cy="227965"/>
            <wp:effectExtent l="0" t="0" r="15240" b="635"/>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4"/>
                    <a:stretch>
                      <a:fillRect/>
                    </a:stretch>
                  </pic:blipFill>
                  <pic:spPr>
                    <a:xfrm>
                      <a:off x="0" y="0"/>
                      <a:ext cx="1165860" cy="227965"/>
                    </a:xfrm>
                    <a:prstGeom prst="rect">
                      <a:avLst/>
                    </a:prstGeom>
                    <a:noFill/>
                    <a:ln>
                      <a:noFill/>
                    </a:ln>
                  </pic:spPr>
                </pic:pic>
              </a:graphicData>
            </a:graphic>
          </wp:inline>
        </w:drawing>
      </w:r>
      <w:r>
        <w:rPr>
          <w:position w:val="-12"/>
        </w:rPr>
        <w:t xml:space="preserve">                                             </w:t>
      </w:r>
      <w:r>
        <w:t>（</w:t>
      </w:r>
      <w:r>
        <w:fldChar w:fldCharType="begin"/>
      </w:r>
      <w:r>
        <w:instrText xml:space="preserve"> REF _Ref32931333 \r \h  \* MERGEFORMAT </w:instrText>
      </w:r>
      <w:r>
        <w:fldChar w:fldCharType="separate"/>
      </w:r>
      <w:r>
        <w:t>6.3.6</w:t>
      </w:r>
      <w:r>
        <w:fldChar w:fldCharType="end"/>
      </w:r>
      <w:r>
        <w:t>-1）</w:t>
      </w:r>
    </w:p>
    <w:p w14:paraId="2E5F9702">
      <w:pPr>
        <w:pStyle w:val="7"/>
        <w:numPr>
          <w:ilvl w:val="0"/>
          <w:numId w:val="18"/>
        </w:numPr>
      </w:pPr>
      <w:r>
        <w:t>地震设计状况</w:t>
      </w:r>
      <w:r>
        <w:rPr>
          <w:rFonts w:hint="eastAsia"/>
        </w:rPr>
        <w:t>：</w:t>
      </w:r>
    </w:p>
    <w:p w14:paraId="7442057C">
      <w:pPr>
        <w:pStyle w:val="84"/>
        <w:ind w:firstLine="420"/>
      </w:pPr>
      <w:r>
        <w:rPr>
          <w:rFonts w:hint="eastAsia"/>
        </w:rPr>
        <w:t>当剪跨比大于2.5时，</w:t>
      </w:r>
    </w:p>
    <w:p w14:paraId="022F2752">
      <w:pPr>
        <w:pStyle w:val="84"/>
        <w:spacing w:before="78" w:beforeLines="25" w:after="78" w:afterLines="25" w:line="240" w:lineRule="auto"/>
        <w:ind w:firstLine="630" w:firstLineChars="300"/>
      </w:pPr>
      <w:r>
        <w:rPr>
          <w:position w:val="-30"/>
        </w:rPr>
        <w:drawing>
          <wp:inline distT="0" distB="0" distL="114300" distR="114300">
            <wp:extent cx="1536065" cy="433705"/>
            <wp:effectExtent l="0" t="0" r="6985" b="381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35"/>
                    <a:stretch>
                      <a:fillRect/>
                    </a:stretch>
                  </pic:blipFill>
                  <pic:spPr>
                    <a:xfrm>
                      <a:off x="0" y="0"/>
                      <a:ext cx="1536065" cy="433705"/>
                    </a:xfrm>
                    <a:prstGeom prst="rect">
                      <a:avLst/>
                    </a:prstGeom>
                    <a:noFill/>
                    <a:ln>
                      <a:noFill/>
                    </a:ln>
                  </pic:spPr>
                </pic:pic>
              </a:graphicData>
            </a:graphic>
          </wp:inline>
        </w:drawing>
      </w:r>
      <w:r>
        <w:rPr>
          <w:position w:val="-30"/>
        </w:rPr>
        <w:t xml:space="preserve">                                  </w:t>
      </w:r>
      <w:r>
        <w:t>（</w:t>
      </w:r>
      <w:r>
        <w:fldChar w:fldCharType="begin"/>
      </w:r>
      <w:r>
        <w:instrText xml:space="preserve"> REF _Ref32931333 \r \h  \* MERGEFORMAT </w:instrText>
      </w:r>
      <w:r>
        <w:fldChar w:fldCharType="separate"/>
      </w:r>
      <w:r>
        <w:t>6.3.6</w:t>
      </w:r>
      <w:r>
        <w:fldChar w:fldCharType="end"/>
      </w:r>
      <w:r>
        <w:t>-</w:t>
      </w:r>
      <w:r>
        <w:rPr>
          <w:rFonts w:hint="eastAsia"/>
        </w:rPr>
        <w:t>2</w:t>
      </w:r>
      <w:r>
        <w:t>）</w:t>
      </w:r>
    </w:p>
    <w:p w14:paraId="1DD0B06B">
      <w:pPr>
        <w:pStyle w:val="84"/>
        <w:ind w:firstLine="420"/>
      </w:pPr>
      <w:r>
        <w:rPr>
          <w:rFonts w:hint="eastAsia"/>
        </w:rPr>
        <w:t>当剪跨比不大于2.5时。</w:t>
      </w:r>
    </w:p>
    <w:p w14:paraId="498A8505">
      <w:pPr>
        <w:pStyle w:val="84"/>
        <w:spacing w:before="78" w:beforeLines="25" w:after="78" w:afterLines="25" w:line="240" w:lineRule="auto"/>
        <w:ind w:firstLine="630" w:firstLineChars="300"/>
      </w:pPr>
      <w:r>
        <w:rPr>
          <w:position w:val="-30"/>
        </w:rPr>
        <w:drawing>
          <wp:inline distT="0" distB="0" distL="114300" distR="114300">
            <wp:extent cx="1536065" cy="433705"/>
            <wp:effectExtent l="0" t="0" r="6985" b="381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36"/>
                    <a:stretch>
                      <a:fillRect/>
                    </a:stretch>
                  </pic:blipFill>
                  <pic:spPr>
                    <a:xfrm>
                      <a:off x="0" y="0"/>
                      <a:ext cx="1536065" cy="433705"/>
                    </a:xfrm>
                    <a:prstGeom prst="rect">
                      <a:avLst/>
                    </a:prstGeom>
                    <a:noFill/>
                    <a:ln>
                      <a:noFill/>
                    </a:ln>
                  </pic:spPr>
                </pic:pic>
              </a:graphicData>
            </a:graphic>
          </wp:inline>
        </w:drawing>
      </w:r>
      <w:r>
        <w:rPr>
          <w:position w:val="-30"/>
        </w:rPr>
        <w:t xml:space="preserve">                                  </w:t>
      </w:r>
      <w:r>
        <w:t>（</w:t>
      </w:r>
      <w:r>
        <w:fldChar w:fldCharType="begin"/>
      </w:r>
      <w:r>
        <w:instrText xml:space="preserve"> REF _Ref32931333 \r \h  \* MERGEFORMAT </w:instrText>
      </w:r>
      <w:r>
        <w:fldChar w:fldCharType="separate"/>
      </w:r>
      <w:r>
        <w:t>6.3.6</w:t>
      </w:r>
      <w:r>
        <w:fldChar w:fldCharType="end"/>
      </w:r>
      <w:r>
        <w:t>-</w:t>
      </w:r>
      <w:r>
        <w:rPr>
          <w:rFonts w:hint="eastAsia"/>
        </w:rPr>
        <w:t>3</w:t>
      </w:r>
      <w:r>
        <w:t>）</w:t>
      </w:r>
    </w:p>
    <w:p w14:paraId="5A6B46DC">
      <w:pPr>
        <w:pStyle w:val="84"/>
        <w:ind w:firstLine="420"/>
      </w:pPr>
      <w:r>
        <w:t>式中：</w:t>
      </w:r>
      <w:r>
        <w:rPr>
          <w:i/>
        </w:rPr>
        <w:t>V ——</w:t>
      </w:r>
      <w:r>
        <w:t>剪力</w:t>
      </w:r>
      <w:r>
        <w:rPr>
          <w:rFonts w:hint="eastAsia"/>
        </w:rPr>
        <w:t>墙的剪力</w:t>
      </w:r>
      <w:r>
        <w:t>设计值；</w:t>
      </w:r>
    </w:p>
    <w:p w14:paraId="70D5B799">
      <w:pPr>
        <w:pStyle w:val="84"/>
        <w:ind w:left="1680" w:leftChars="500" w:hanging="630" w:hangingChars="300"/>
      </w:pPr>
      <w:r>
        <w:rPr>
          <w:position w:val="-12"/>
        </w:rPr>
        <w:drawing>
          <wp:inline distT="0" distB="0" distL="114300" distR="114300">
            <wp:extent cx="175260" cy="227965"/>
            <wp:effectExtent l="0" t="0" r="15240" b="63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30"/>
                    <a:stretch>
                      <a:fillRect/>
                    </a:stretch>
                  </pic:blipFill>
                  <pic:spPr>
                    <a:xfrm>
                      <a:off x="0" y="0"/>
                      <a:ext cx="175260" cy="227965"/>
                    </a:xfrm>
                    <a:prstGeom prst="rect">
                      <a:avLst/>
                    </a:prstGeom>
                    <a:noFill/>
                    <a:ln>
                      <a:noFill/>
                    </a:ln>
                  </pic:spPr>
                </pic:pic>
              </a:graphicData>
            </a:graphic>
          </wp:inline>
        </w:drawing>
      </w:r>
      <w:r>
        <w:t>——混凝土强度</w:t>
      </w:r>
      <w:r>
        <w:rPr>
          <w:rFonts w:hint="eastAsia"/>
        </w:rPr>
        <w:t>影响系数，依据现行国家标准《混凝土结构设计标准</w:t>
      </w:r>
      <w:r>
        <w:t>》GB</w:t>
      </w:r>
      <w:r>
        <w:rPr>
          <w:rFonts w:hint="eastAsia"/>
        </w:rPr>
        <w:t>/T</w:t>
      </w:r>
      <w:r>
        <w:t xml:space="preserve"> 50010</w:t>
      </w:r>
      <w:r>
        <w:rPr>
          <w:rFonts w:hint="eastAsia"/>
        </w:rPr>
        <w:t>，混凝土强度等级按空心墙模混凝土强度等级取值</w:t>
      </w:r>
      <w:r>
        <w:t>；</w:t>
      </w:r>
    </w:p>
    <w:p w14:paraId="7D199C1D">
      <w:pPr>
        <w:pStyle w:val="84"/>
        <w:ind w:left="1680" w:leftChars="500" w:hanging="630" w:hangingChars="300"/>
      </w:pPr>
      <w:r>
        <w:rPr>
          <w:position w:val="-12"/>
        </w:rPr>
        <w:drawing>
          <wp:inline distT="0" distB="0" distL="114300" distR="114300">
            <wp:extent cx="164465" cy="227965"/>
            <wp:effectExtent l="0" t="0" r="6985" b="63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37"/>
                    <a:stretch>
                      <a:fillRect/>
                    </a:stretch>
                  </pic:blipFill>
                  <pic:spPr>
                    <a:xfrm>
                      <a:off x="0" y="0"/>
                      <a:ext cx="164465" cy="227965"/>
                    </a:xfrm>
                    <a:prstGeom prst="rect">
                      <a:avLst/>
                    </a:prstGeom>
                    <a:noFill/>
                    <a:ln>
                      <a:noFill/>
                    </a:ln>
                  </pic:spPr>
                </pic:pic>
              </a:graphicData>
            </a:graphic>
          </wp:inline>
        </w:drawing>
      </w:r>
      <w:r>
        <w:t>——混凝土轴心抗</w:t>
      </w:r>
      <w:r>
        <w:rPr>
          <w:rFonts w:hint="eastAsia"/>
        </w:rPr>
        <w:t>压</w:t>
      </w:r>
      <w:r>
        <w:t>强度设计值</w:t>
      </w:r>
      <w:r>
        <w:rPr>
          <w:rFonts w:hint="eastAsia"/>
        </w:rPr>
        <w:t>，应按空心墙模及现浇混凝土二者较小强度等级取值</w:t>
      </w:r>
      <w:r>
        <w:t>；</w:t>
      </w:r>
    </w:p>
    <w:p w14:paraId="68877905">
      <w:pPr>
        <w:pStyle w:val="84"/>
        <w:ind w:firstLine="1050" w:firstLineChars="500"/>
      </w:pPr>
      <w:r>
        <w:rPr>
          <w:position w:val="-12"/>
        </w:rPr>
        <w:drawing>
          <wp:inline distT="0" distB="0" distL="114300" distR="114300">
            <wp:extent cx="197485" cy="227965"/>
            <wp:effectExtent l="0" t="0" r="12065" b="635"/>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38"/>
                    <a:stretch>
                      <a:fillRect/>
                    </a:stretch>
                  </pic:blipFill>
                  <pic:spPr>
                    <a:xfrm>
                      <a:off x="0" y="0"/>
                      <a:ext cx="197485" cy="227965"/>
                    </a:xfrm>
                    <a:prstGeom prst="rect">
                      <a:avLst/>
                    </a:prstGeom>
                    <a:noFill/>
                    <a:ln>
                      <a:noFill/>
                    </a:ln>
                  </pic:spPr>
                </pic:pic>
              </a:graphicData>
            </a:graphic>
          </wp:inline>
        </w:drawing>
      </w:r>
      <w:r>
        <w:t>——剪力墙截面宽度；</w:t>
      </w:r>
    </w:p>
    <w:p w14:paraId="3CD56FAC">
      <w:pPr>
        <w:pStyle w:val="84"/>
        <w:ind w:firstLine="1050" w:firstLineChars="500"/>
      </w:pPr>
      <w:r>
        <w:rPr>
          <w:position w:val="-12"/>
        </w:rPr>
        <w:drawing>
          <wp:inline distT="0" distB="0" distL="114300" distR="114300">
            <wp:extent cx="227965" cy="227965"/>
            <wp:effectExtent l="0" t="0" r="635" b="63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9"/>
                    <a:stretch>
                      <a:fillRect/>
                    </a:stretch>
                  </pic:blipFill>
                  <pic:spPr>
                    <a:xfrm>
                      <a:off x="0" y="0"/>
                      <a:ext cx="227965" cy="227965"/>
                    </a:xfrm>
                    <a:prstGeom prst="rect">
                      <a:avLst/>
                    </a:prstGeom>
                    <a:noFill/>
                    <a:ln>
                      <a:noFill/>
                    </a:ln>
                  </pic:spPr>
                </pic:pic>
              </a:graphicData>
            </a:graphic>
          </wp:inline>
        </w:drawing>
      </w:r>
      <w:r>
        <w:t>——剪力墙截面有效高度；</w:t>
      </w:r>
    </w:p>
    <w:p w14:paraId="71373EDF">
      <w:pPr>
        <w:pStyle w:val="84"/>
        <w:ind w:firstLine="1050" w:firstLineChars="500"/>
      </w:pPr>
      <w:r>
        <w:rPr>
          <w:position w:val="-12"/>
        </w:rPr>
        <w:drawing>
          <wp:inline distT="0" distB="0" distL="114300" distR="114300">
            <wp:extent cx="241300" cy="227965"/>
            <wp:effectExtent l="0" t="0" r="6350" b="63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40"/>
                    <a:stretch>
                      <a:fillRect/>
                    </a:stretch>
                  </pic:blipFill>
                  <pic:spPr>
                    <a:xfrm>
                      <a:off x="0" y="0"/>
                      <a:ext cx="241300" cy="227965"/>
                    </a:xfrm>
                    <a:prstGeom prst="rect">
                      <a:avLst/>
                    </a:prstGeom>
                    <a:noFill/>
                    <a:ln>
                      <a:noFill/>
                    </a:ln>
                  </pic:spPr>
                </pic:pic>
              </a:graphicData>
            </a:graphic>
          </wp:inline>
        </w:drawing>
      </w:r>
      <w:r>
        <w:t>——剪力墙承载力抗震调整系数，取</w:t>
      </w:r>
      <w:r>
        <w:rPr>
          <w:position w:val="-12"/>
        </w:rPr>
        <w:drawing>
          <wp:inline distT="0" distB="0" distL="114300" distR="114300">
            <wp:extent cx="241300" cy="227965"/>
            <wp:effectExtent l="0" t="0" r="6350" b="635"/>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41"/>
                    <a:stretch>
                      <a:fillRect/>
                    </a:stretch>
                  </pic:blipFill>
                  <pic:spPr>
                    <a:xfrm>
                      <a:off x="0" y="0"/>
                      <a:ext cx="241300" cy="227965"/>
                    </a:xfrm>
                    <a:prstGeom prst="rect">
                      <a:avLst/>
                    </a:prstGeom>
                    <a:noFill/>
                    <a:ln>
                      <a:noFill/>
                    </a:ln>
                  </pic:spPr>
                </pic:pic>
              </a:graphicData>
            </a:graphic>
          </wp:inline>
        </w:drawing>
      </w:r>
      <w:r>
        <w:t>=0.85。</w:t>
      </w:r>
    </w:p>
    <w:p w14:paraId="05B9962B">
      <w:pPr>
        <w:pStyle w:val="6"/>
        <w:numPr>
          <w:ilvl w:val="2"/>
          <w:numId w:val="0"/>
        </w:numPr>
      </w:pPr>
      <w:r>
        <w:rPr>
          <w:rFonts w:hint="eastAsia"/>
          <w:color w:val="0070C0"/>
        </w:rPr>
        <w:t>【条文说明】虽然固模剪力墙受剪时的延性基本等同甚至优于现浇钢筋混凝土剪力墙，但其受剪承承载力与普通混凝土剪力墙相比有一定程度的削弱，因此本标准对固模剪力墙的截面限值条件（剪压比）取普通混凝土剪力墙的80%。固模剪力墙的截面限值条件（剪压比）计算中的剪跨比取理论剪跨比，即</w:t>
      </w:r>
      <w:r>
        <w:rPr>
          <w:position w:val="-12"/>
        </w:rPr>
        <w:object>
          <v:shape id="_x0000_i1025" o:spt="75" type="#_x0000_t75" style="height:18pt;width:73pt;" o:ole="t" filled="f" stroked="f" coordsize="21600,21600">
            <v:path/>
            <v:fill on="f" focussize="0,0"/>
            <v:stroke on="f"/>
            <v:imagedata r:id="rId43" o:title=""/>
            <o:lock v:ext="edit" aspectratio="t"/>
            <w10:wrap type="none"/>
            <w10:anchorlock/>
          </v:shape>
          <o:OLEObject Type="Embed" ProgID="Equation.DSMT4" ShapeID="_x0000_i1025" DrawAspect="Content" ObjectID="_1468075725" r:id="rId42">
            <o:LockedField>false</o:LockedField>
          </o:OLEObject>
        </w:object>
      </w:r>
      <w:r>
        <w:rPr>
          <w:rFonts w:hint="eastAsia"/>
          <w:color w:val="0070C0"/>
        </w:rPr>
        <w:t>。</w:t>
      </w:r>
    </w:p>
    <w:p w14:paraId="6657B057">
      <w:pPr>
        <w:pStyle w:val="6"/>
      </w:pPr>
      <w:bookmarkStart w:id="187" w:name="_Ref32931741"/>
      <w:bookmarkStart w:id="188" w:name="_Ref54970839"/>
      <w:bookmarkStart w:id="189" w:name="OLE_LINK5"/>
      <w:bookmarkStart w:id="190" w:name="OLE_LINK6"/>
      <w:r>
        <w:t>偏心受压固模剪力墙的斜截面受剪承载力</w:t>
      </w:r>
      <w:r>
        <w:rPr>
          <w:rFonts w:hint="eastAsia"/>
        </w:rPr>
        <w:t>应符合下列规定：</w:t>
      </w:r>
      <w:bookmarkEnd w:id="187"/>
      <w:bookmarkEnd w:id="188"/>
    </w:p>
    <w:p w14:paraId="6471DC6B">
      <w:pPr>
        <w:pStyle w:val="7"/>
        <w:numPr>
          <w:ilvl w:val="0"/>
          <w:numId w:val="19"/>
        </w:numPr>
      </w:pPr>
      <w:r>
        <w:rPr>
          <w:rFonts w:hint="eastAsia"/>
        </w:rPr>
        <w:t>持久</w:t>
      </w:r>
      <w:r>
        <w:t>、短暂设计状况</w:t>
      </w:r>
      <w:r>
        <w:rPr>
          <w:rFonts w:hint="eastAsia"/>
        </w:rPr>
        <w:t>：</w:t>
      </w:r>
    </w:p>
    <w:p w14:paraId="37D468AC">
      <w:pPr>
        <w:tabs>
          <w:tab w:val="left" w:pos="5460"/>
        </w:tabs>
        <w:spacing w:before="78" w:beforeLines="25" w:after="78" w:afterLines="25" w:line="240" w:lineRule="auto"/>
        <w:ind w:firstLine="630" w:firstLineChars="300"/>
      </w:pPr>
      <w:r>
        <w:rPr>
          <w:position w:val="-32"/>
        </w:rPr>
        <w:drawing>
          <wp:inline distT="0" distB="0" distL="114300" distR="114300">
            <wp:extent cx="3048000" cy="480060"/>
            <wp:effectExtent l="0" t="0" r="0" b="1524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44"/>
                    <a:stretch>
                      <a:fillRect/>
                    </a:stretch>
                  </pic:blipFill>
                  <pic:spPr>
                    <a:xfrm>
                      <a:off x="0" y="0"/>
                      <a:ext cx="3048000" cy="480060"/>
                    </a:xfrm>
                    <a:prstGeom prst="rect">
                      <a:avLst/>
                    </a:prstGeom>
                    <a:noFill/>
                    <a:ln>
                      <a:noFill/>
                    </a:ln>
                  </pic:spPr>
                </pic:pic>
              </a:graphicData>
            </a:graphic>
          </wp:inline>
        </w:drawing>
      </w:r>
    </w:p>
    <w:p w14:paraId="324F9AD6">
      <w:pPr>
        <w:tabs>
          <w:tab w:val="left" w:pos="5460"/>
        </w:tabs>
        <w:spacing w:before="78" w:beforeLines="25" w:after="78" w:afterLines="25" w:line="240" w:lineRule="auto"/>
        <w:ind w:firstLine="970" w:firstLineChars="462"/>
        <w:jc w:val="right"/>
      </w:pPr>
      <w:r>
        <w:t>（</w:t>
      </w:r>
      <w:r>
        <w:rPr>
          <w:rFonts w:hint="eastAsia"/>
        </w:rPr>
        <w:t>6.</w:t>
      </w:r>
      <w:r>
        <w:t>3</w:t>
      </w:r>
      <w:r>
        <w:rPr>
          <w:rFonts w:hint="eastAsia"/>
        </w:rPr>
        <w:t>.</w:t>
      </w:r>
      <w:r>
        <w:t>7-1）</w:t>
      </w:r>
    </w:p>
    <w:p w14:paraId="4F5FB4E2">
      <w:pPr>
        <w:pStyle w:val="7"/>
        <w:numPr>
          <w:ilvl w:val="0"/>
          <w:numId w:val="20"/>
        </w:numPr>
      </w:pPr>
      <w:r>
        <w:t>地震设计状况</w:t>
      </w:r>
      <w:r>
        <w:rPr>
          <w:rFonts w:hint="eastAsia"/>
        </w:rPr>
        <w:t>：</w:t>
      </w:r>
    </w:p>
    <w:p w14:paraId="1F0CAD1A">
      <w:pPr>
        <w:tabs>
          <w:tab w:val="left" w:pos="5460"/>
        </w:tabs>
        <w:spacing w:before="78" w:beforeLines="25" w:after="78" w:afterLines="25" w:line="240" w:lineRule="auto"/>
        <w:ind w:firstLine="420" w:firstLineChars="200"/>
      </w:pPr>
      <w:r>
        <w:rPr>
          <w:position w:val="-34"/>
        </w:rPr>
        <w:drawing>
          <wp:inline distT="0" distB="0" distL="114300" distR="114300">
            <wp:extent cx="3451225" cy="490855"/>
            <wp:effectExtent l="0" t="0" r="15875" b="381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45"/>
                    <a:stretch>
                      <a:fillRect/>
                    </a:stretch>
                  </pic:blipFill>
                  <pic:spPr>
                    <a:xfrm>
                      <a:off x="0" y="0"/>
                      <a:ext cx="3451225" cy="490855"/>
                    </a:xfrm>
                    <a:prstGeom prst="rect">
                      <a:avLst/>
                    </a:prstGeom>
                    <a:noFill/>
                    <a:ln>
                      <a:noFill/>
                    </a:ln>
                  </pic:spPr>
                </pic:pic>
              </a:graphicData>
            </a:graphic>
          </wp:inline>
        </w:drawing>
      </w:r>
    </w:p>
    <w:p w14:paraId="2D0E4BC2">
      <w:pPr>
        <w:tabs>
          <w:tab w:val="left" w:pos="5460"/>
        </w:tabs>
        <w:spacing w:before="78" w:beforeLines="25" w:after="78" w:afterLines="25" w:line="240" w:lineRule="auto"/>
        <w:ind w:firstLine="970" w:firstLineChars="462"/>
        <w:jc w:val="right"/>
      </w:pPr>
      <w:r>
        <w:t>（6</w:t>
      </w:r>
      <w:r>
        <w:rPr>
          <w:rFonts w:hint="eastAsia"/>
        </w:rPr>
        <w:t>.</w:t>
      </w:r>
      <w:r>
        <w:t>3</w:t>
      </w:r>
      <w:r>
        <w:rPr>
          <w:rFonts w:hint="eastAsia"/>
        </w:rPr>
        <w:t>.</w:t>
      </w:r>
      <w:r>
        <w:t>7-2）</w:t>
      </w:r>
    </w:p>
    <w:p w14:paraId="583F29F7">
      <w:pPr>
        <w:pStyle w:val="84"/>
        <w:ind w:left="1785" w:leftChars="200" w:hanging="1365" w:hangingChars="650"/>
      </w:pPr>
      <w:r>
        <w:t>式中：</w:t>
      </w:r>
      <w:r>
        <w:rPr>
          <w:position w:val="-6"/>
        </w:rPr>
        <w:drawing>
          <wp:inline distT="0" distB="0" distL="114300" distR="114300">
            <wp:extent cx="175260" cy="175260"/>
            <wp:effectExtent l="0" t="0" r="15240" b="15875"/>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46"/>
                    <a:stretch>
                      <a:fillRect/>
                    </a:stretch>
                  </pic:blipFill>
                  <pic:spPr>
                    <a:xfrm>
                      <a:off x="0" y="0"/>
                      <a:ext cx="175260" cy="175260"/>
                    </a:xfrm>
                    <a:prstGeom prst="rect">
                      <a:avLst/>
                    </a:prstGeom>
                    <a:noFill/>
                    <a:ln>
                      <a:noFill/>
                    </a:ln>
                  </pic:spPr>
                </pic:pic>
              </a:graphicData>
            </a:graphic>
          </wp:inline>
        </w:drawing>
      </w:r>
      <w:r>
        <w:rPr>
          <w:i/>
        </w:rPr>
        <w:t>——</w:t>
      </w:r>
      <w:r>
        <w:t>剪力墙截面轴向压力设计值，当</w:t>
      </w:r>
      <w:r>
        <w:rPr>
          <w:position w:val="-6"/>
        </w:rPr>
        <w:drawing>
          <wp:inline distT="0" distB="0" distL="114300" distR="114300">
            <wp:extent cx="175260" cy="175260"/>
            <wp:effectExtent l="0" t="0" r="15240" b="15875"/>
            <wp:docPr id="3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pic:cNvPicPr>
                      <a:picLocks noChangeAspect="1"/>
                    </pic:cNvPicPr>
                  </pic:nvPicPr>
                  <pic:blipFill>
                    <a:blip r:embed="rId47"/>
                    <a:stretch>
                      <a:fillRect/>
                    </a:stretch>
                  </pic:blipFill>
                  <pic:spPr>
                    <a:xfrm>
                      <a:off x="0" y="0"/>
                      <a:ext cx="175260" cy="175260"/>
                    </a:xfrm>
                    <a:prstGeom prst="rect">
                      <a:avLst/>
                    </a:prstGeom>
                    <a:noFill/>
                    <a:ln>
                      <a:noFill/>
                    </a:ln>
                  </pic:spPr>
                </pic:pic>
              </a:graphicData>
            </a:graphic>
          </wp:inline>
        </w:drawing>
      </w:r>
      <w:r>
        <w:t>大于</w:t>
      </w:r>
      <w:r>
        <w:rPr>
          <w:position w:val="-12"/>
        </w:rPr>
        <w:drawing>
          <wp:inline distT="0" distB="0" distL="114300" distR="114300">
            <wp:extent cx="655320" cy="227965"/>
            <wp:effectExtent l="0" t="0" r="11430" b="63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pic:cNvPicPr>
                  </pic:nvPicPr>
                  <pic:blipFill>
                    <a:blip r:embed="rId48"/>
                    <a:stretch>
                      <a:fillRect/>
                    </a:stretch>
                  </pic:blipFill>
                  <pic:spPr>
                    <a:xfrm>
                      <a:off x="0" y="0"/>
                      <a:ext cx="655320" cy="227965"/>
                    </a:xfrm>
                    <a:prstGeom prst="rect">
                      <a:avLst/>
                    </a:prstGeom>
                    <a:noFill/>
                    <a:ln>
                      <a:noFill/>
                    </a:ln>
                  </pic:spPr>
                </pic:pic>
              </a:graphicData>
            </a:graphic>
          </wp:inline>
        </w:drawing>
      </w:r>
      <w:r>
        <w:t>时，应取</w:t>
      </w:r>
      <w:r>
        <w:rPr>
          <w:position w:val="-12"/>
        </w:rPr>
        <w:drawing>
          <wp:inline distT="0" distB="0" distL="114300" distR="114300">
            <wp:extent cx="655320" cy="227965"/>
            <wp:effectExtent l="0" t="0" r="11430" b="635"/>
            <wp:docPr id="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pic:cNvPicPr>
                      <a:picLocks noChangeAspect="1"/>
                    </pic:cNvPicPr>
                  </pic:nvPicPr>
                  <pic:blipFill>
                    <a:blip r:embed="rId49"/>
                    <a:stretch>
                      <a:fillRect/>
                    </a:stretch>
                  </pic:blipFill>
                  <pic:spPr>
                    <a:xfrm>
                      <a:off x="0" y="0"/>
                      <a:ext cx="655320" cy="227965"/>
                    </a:xfrm>
                    <a:prstGeom prst="rect">
                      <a:avLst/>
                    </a:prstGeom>
                    <a:noFill/>
                    <a:ln>
                      <a:noFill/>
                    </a:ln>
                  </pic:spPr>
                </pic:pic>
              </a:graphicData>
            </a:graphic>
          </wp:inline>
        </w:drawing>
      </w:r>
      <w:r>
        <w:t>；</w:t>
      </w:r>
    </w:p>
    <w:p w14:paraId="6FBC473A">
      <w:pPr>
        <w:pStyle w:val="84"/>
        <w:spacing w:before="78" w:beforeLines="25"/>
        <w:ind w:firstLine="1039" w:firstLineChars="495"/>
      </w:pPr>
      <w:r>
        <w:rPr>
          <w:position w:val="-4"/>
        </w:rPr>
        <w:drawing>
          <wp:inline distT="0" distB="0" distL="114300" distR="114300">
            <wp:extent cx="153670" cy="164465"/>
            <wp:effectExtent l="0" t="0" r="17780" b="4445"/>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7"/>
                    <pic:cNvPicPr>
                      <a:picLocks noChangeAspect="1"/>
                    </pic:cNvPicPr>
                  </pic:nvPicPr>
                  <pic:blipFill>
                    <a:blip r:embed="rId28"/>
                    <a:stretch>
                      <a:fillRect/>
                    </a:stretch>
                  </pic:blipFill>
                  <pic:spPr>
                    <a:xfrm>
                      <a:off x="0" y="0"/>
                      <a:ext cx="153670" cy="164465"/>
                    </a:xfrm>
                    <a:prstGeom prst="rect">
                      <a:avLst/>
                    </a:prstGeom>
                    <a:noFill/>
                    <a:ln>
                      <a:noFill/>
                    </a:ln>
                  </pic:spPr>
                </pic:pic>
              </a:graphicData>
            </a:graphic>
          </wp:inline>
        </w:drawing>
      </w:r>
      <w:r>
        <w:t>——剪力墙全截面面积；</w:t>
      </w:r>
    </w:p>
    <w:p w14:paraId="331F9A85">
      <w:pPr>
        <w:pStyle w:val="84"/>
        <w:ind w:left="1785" w:leftChars="500" w:hanging="735" w:hangingChars="350"/>
      </w:pPr>
      <w:r>
        <w:rPr>
          <w:position w:val="-14"/>
        </w:rPr>
        <w:drawing>
          <wp:inline distT="0" distB="0" distL="114300" distR="114300">
            <wp:extent cx="216535" cy="241300"/>
            <wp:effectExtent l="0" t="0" r="0" b="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pic:cNvPicPr>
                  </pic:nvPicPr>
                  <pic:blipFill>
                    <a:blip r:embed="rId29"/>
                    <a:stretch>
                      <a:fillRect/>
                    </a:stretch>
                  </pic:blipFill>
                  <pic:spPr>
                    <a:xfrm>
                      <a:off x="0" y="0"/>
                      <a:ext cx="216535" cy="241300"/>
                    </a:xfrm>
                    <a:prstGeom prst="rect">
                      <a:avLst/>
                    </a:prstGeom>
                    <a:noFill/>
                    <a:ln>
                      <a:noFill/>
                    </a:ln>
                  </pic:spPr>
                </pic:pic>
              </a:graphicData>
            </a:graphic>
          </wp:inline>
        </w:drawing>
      </w:r>
      <w:r>
        <w:t>——T形或I形截面剪力墙腹板的面积，矩形截面时应取</w:t>
      </w:r>
      <w:r>
        <w:rPr>
          <w:position w:val="-4"/>
        </w:rPr>
        <w:drawing>
          <wp:inline distT="0" distB="0" distL="114300" distR="114300">
            <wp:extent cx="153670" cy="164465"/>
            <wp:effectExtent l="0" t="0" r="17780" b="444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28"/>
                    <a:stretch>
                      <a:fillRect/>
                    </a:stretch>
                  </pic:blipFill>
                  <pic:spPr>
                    <a:xfrm>
                      <a:off x="0" y="0"/>
                      <a:ext cx="153670" cy="164465"/>
                    </a:xfrm>
                    <a:prstGeom prst="rect">
                      <a:avLst/>
                    </a:prstGeom>
                    <a:noFill/>
                    <a:ln>
                      <a:noFill/>
                    </a:ln>
                  </pic:spPr>
                </pic:pic>
              </a:graphicData>
            </a:graphic>
          </wp:inline>
        </w:drawing>
      </w:r>
      <w:r>
        <w:t>；</w:t>
      </w:r>
    </w:p>
    <w:p w14:paraId="2D65FAD3">
      <w:pPr>
        <w:pStyle w:val="84"/>
        <w:ind w:left="1785" w:leftChars="500" w:hanging="735" w:hangingChars="350"/>
        <w:rPr>
          <w:i/>
        </w:rPr>
      </w:pPr>
      <w:r>
        <w:rPr>
          <w:position w:val="-6"/>
        </w:rPr>
        <w:drawing>
          <wp:inline distT="0" distB="0" distL="114300" distR="114300">
            <wp:extent cx="139700" cy="175260"/>
            <wp:effectExtent l="0" t="0" r="12700" b="15875"/>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0"/>
                    <pic:cNvPicPr>
                      <a:picLocks noChangeAspect="1"/>
                    </pic:cNvPicPr>
                  </pic:nvPicPr>
                  <pic:blipFill>
                    <a:blip r:embed="rId32"/>
                    <a:stretch>
                      <a:fillRect/>
                    </a:stretch>
                  </pic:blipFill>
                  <pic:spPr>
                    <a:xfrm>
                      <a:off x="0" y="0"/>
                      <a:ext cx="139700" cy="175260"/>
                    </a:xfrm>
                    <a:prstGeom prst="rect">
                      <a:avLst/>
                    </a:prstGeom>
                    <a:noFill/>
                    <a:ln>
                      <a:noFill/>
                    </a:ln>
                  </pic:spPr>
                </pic:pic>
              </a:graphicData>
            </a:graphic>
          </wp:inline>
        </w:drawing>
      </w:r>
      <w:r>
        <w:t>——截面的计算剪跨比。带竖向接缝的固模剪力墙体的</w:t>
      </w:r>
      <w:r>
        <w:rPr>
          <w:position w:val="-6"/>
        </w:rPr>
        <w:drawing>
          <wp:inline distT="0" distB="0" distL="114300" distR="114300">
            <wp:extent cx="139700" cy="175260"/>
            <wp:effectExtent l="0" t="0" r="12700" b="15875"/>
            <wp:docPr id="4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1"/>
                    <pic:cNvPicPr>
                      <a:picLocks noChangeAspect="1"/>
                    </pic:cNvPicPr>
                  </pic:nvPicPr>
                  <pic:blipFill>
                    <a:blip r:embed="rId32"/>
                    <a:stretch>
                      <a:fillRect/>
                    </a:stretch>
                  </pic:blipFill>
                  <pic:spPr>
                    <a:xfrm>
                      <a:off x="0" y="0"/>
                      <a:ext cx="139700" cy="175260"/>
                    </a:xfrm>
                    <a:prstGeom prst="rect">
                      <a:avLst/>
                    </a:prstGeom>
                    <a:noFill/>
                    <a:ln>
                      <a:noFill/>
                    </a:ln>
                  </pic:spPr>
                </pic:pic>
              </a:graphicData>
            </a:graphic>
          </wp:inline>
        </w:drawing>
      </w:r>
      <w:r>
        <w:t>取为理论剪跨比的1.5倍；当</w:t>
      </w:r>
      <w:r>
        <w:rPr>
          <w:position w:val="-6"/>
        </w:rPr>
        <w:drawing>
          <wp:inline distT="0" distB="0" distL="114300" distR="114300">
            <wp:extent cx="139700" cy="175260"/>
            <wp:effectExtent l="0" t="0" r="12700" b="15875"/>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pic:cNvPicPr>
                  </pic:nvPicPr>
                  <pic:blipFill>
                    <a:blip r:embed="rId32"/>
                    <a:stretch>
                      <a:fillRect/>
                    </a:stretch>
                  </pic:blipFill>
                  <pic:spPr>
                    <a:xfrm>
                      <a:off x="0" y="0"/>
                      <a:ext cx="139700" cy="175260"/>
                    </a:xfrm>
                    <a:prstGeom prst="rect">
                      <a:avLst/>
                    </a:prstGeom>
                    <a:noFill/>
                    <a:ln>
                      <a:noFill/>
                    </a:ln>
                  </pic:spPr>
                </pic:pic>
              </a:graphicData>
            </a:graphic>
          </wp:inline>
        </w:drawing>
      </w:r>
      <w:r>
        <w:t>小于1.5时应取1.5，当</w:t>
      </w:r>
      <w:r>
        <w:rPr>
          <w:position w:val="-6"/>
        </w:rPr>
        <w:drawing>
          <wp:inline distT="0" distB="0" distL="114300" distR="114300">
            <wp:extent cx="139700" cy="175260"/>
            <wp:effectExtent l="0" t="0" r="12700" b="15875"/>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32"/>
                    <a:stretch>
                      <a:fillRect/>
                    </a:stretch>
                  </pic:blipFill>
                  <pic:spPr>
                    <a:xfrm>
                      <a:off x="0" y="0"/>
                      <a:ext cx="139700" cy="175260"/>
                    </a:xfrm>
                    <a:prstGeom prst="rect">
                      <a:avLst/>
                    </a:prstGeom>
                    <a:noFill/>
                    <a:ln>
                      <a:noFill/>
                    </a:ln>
                  </pic:spPr>
                </pic:pic>
              </a:graphicData>
            </a:graphic>
          </wp:inline>
        </w:drawing>
      </w:r>
      <w:r>
        <w:t>大于2.2时应取2.2；当计算截面与墙底之间的距离小于0.5</w:t>
      </w:r>
      <w:r>
        <w:rPr>
          <w:position w:val="-12"/>
        </w:rPr>
        <w:drawing>
          <wp:inline distT="0" distB="0" distL="114300" distR="114300">
            <wp:extent cx="227965" cy="227965"/>
            <wp:effectExtent l="0" t="0" r="635" b="635"/>
            <wp:docPr id="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pic:cNvPicPr>
                      <a:picLocks noChangeAspect="1"/>
                    </pic:cNvPicPr>
                  </pic:nvPicPr>
                  <pic:blipFill>
                    <a:blip r:embed="rId50"/>
                    <a:stretch>
                      <a:fillRect/>
                    </a:stretch>
                  </pic:blipFill>
                  <pic:spPr>
                    <a:xfrm>
                      <a:off x="0" y="0"/>
                      <a:ext cx="227965" cy="227965"/>
                    </a:xfrm>
                    <a:prstGeom prst="rect">
                      <a:avLst/>
                    </a:prstGeom>
                    <a:noFill/>
                    <a:ln>
                      <a:noFill/>
                    </a:ln>
                  </pic:spPr>
                </pic:pic>
              </a:graphicData>
            </a:graphic>
          </wp:inline>
        </w:drawing>
      </w:r>
      <w:r>
        <w:t>时，</w:t>
      </w:r>
      <w:r>
        <w:rPr>
          <w:position w:val="-6"/>
        </w:rPr>
        <w:drawing>
          <wp:inline distT="0" distB="0" distL="114300" distR="114300">
            <wp:extent cx="139700" cy="175260"/>
            <wp:effectExtent l="0" t="0" r="12700" b="15875"/>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32"/>
                    <a:stretch>
                      <a:fillRect/>
                    </a:stretch>
                  </pic:blipFill>
                  <pic:spPr>
                    <a:xfrm>
                      <a:off x="0" y="0"/>
                      <a:ext cx="139700" cy="175260"/>
                    </a:xfrm>
                    <a:prstGeom prst="rect">
                      <a:avLst/>
                    </a:prstGeom>
                    <a:noFill/>
                    <a:ln>
                      <a:noFill/>
                    </a:ln>
                  </pic:spPr>
                </pic:pic>
              </a:graphicData>
            </a:graphic>
          </wp:inline>
        </w:drawing>
      </w:r>
      <w:r>
        <w:t>应按距墙底0.5</w:t>
      </w:r>
      <w:r>
        <w:rPr>
          <w:position w:val="-12"/>
        </w:rPr>
        <w:drawing>
          <wp:inline distT="0" distB="0" distL="114300" distR="114300">
            <wp:extent cx="227965" cy="227965"/>
            <wp:effectExtent l="0" t="0" r="635" b="63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39"/>
                    <a:stretch>
                      <a:fillRect/>
                    </a:stretch>
                  </pic:blipFill>
                  <pic:spPr>
                    <a:xfrm>
                      <a:off x="0" y="0"/>
                      <a:ext cx="227965" cy="227965"/>
                    </a:xfrm>
                    <a:prstGeom prst="rect">
                      <a:avLst/>
                    </a:prstGeom>
                    <a:noFill/>
                    <a:ln>
                      <a:noFill/>
                    </a:ln>
                  </pic:spPr>
                </pic:pic>
              </a:graphicData>
            </a:graphic>
          </wp:inline>
        </w:drawing>
      </w:r>
      <w:r>
        <w:t>处的弯矩值与剪力值计算；</w:t>
      </w:r>
    </w:p>
    <w:p w14:paraId="21C833F2">
      <w:pPr>
        <w:pStyle w:val="84"/>
        <w:ind w:left="1785" w:leftChars="550" w:hanging="630" w:hangingChars="300"/>
      </w:pPr>
      <w:r>
        <w:rPr>
          <w:position w:val="-12"/>
        </w:rPr>
        <w:drawing>
          <wp:inline distT="0" distB="0" distL="114300" distR="114300">
            <wp:extent cx="153670" cy="227965"/>
            <wp:effectExtent l="0" t="0" r="17780" b="635"/>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24"/>
                    <a:stretch>
                      <a:fillRect/>
                    </a:stretch>
                  </pic:blipFill>
                  <pic:spPr>
                    <a:xfrm>
                      <a:off x="0" y="0"/>
                      <a:ext cx="153670" cy="227965"/>
                    </a:xfrm>
                    <a:prstGeom prst="rect">
                      <a:avLst/>
                    </a:prstGeom>
                    <a:noFill/>
                    <a:ln>
                      <a:noFill/>
                    </a:ln>
                  </pic:spPr>
                </pic:pic>
              </a:graphicData>
            </a:graphic>
          </wp:inline>
        </w:drawing>
      </w:r>
      <w:r>
        <w:t>——混凝土轴心抗拉强度设计值</w:t>
      </w:r>
      <w:r>
        <w:rPr>
          <w:rFonts w:hint="eastAsia"/>
        </w:rPr>
        <w:t>，应按空心墙模及现浇混凝土二者较小强度等级取值</w:t>
      </w:r>
      <w:r>
        <w:t>；</w:t>
      </w:r>
    </w:p>
    <w:p w14:paraId="13C744B7">
      <w:pPr>
        <w:pStyle w:val="84"/>
        <w:spacing w:line="240" w:lineRule="auto"/>
        <w:ind w:left="1785" w:leftChars="550" w:hanging="630" w:hangingChars="300"/>
      </w:pPr>
      <w:r>
        <w:rPr>
          <w:position w:val="-14"/>
          <w:vertAlign w:val="subscript"/>
        </w:rPr>
        <w:drawing>
          <wp:inline distT="0" distB="0" distL="114300" distR="114300">
            <wp:extent cx="216535" cy="241300"/>
            <wp:effectExtent l="0" t="0" r="0" b="5080"/>
            <wp:docPr id="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pic:cNvPicPr>
                      <a:picLocks noChangeAspect="1"/>
                    </pic:cNvPicPr>
                  </pic:nvPicPr>
                  <pic:blipFill>
                    <a:blip r:embed="rId51"/>
                    <a:stretch>
                      <a:fillRect/>
                    </a:stretch>
                  </pic:blipFill>
                  <pic:spPr>
                    <a:xfrm>
                      <a:off x="0" y="0"/>
                      <a:ext cx="216535" cy="241300"/>
                    </a:xfrm>
                    <a:prstGeom prst="rect">
                      <a:avLst/>
                    </a:prstGeom>
                    <a:noFill/>
                    <a:ln>
                      <a:noFill/>
                    </a:ln>
                  </pic:spPr>
                </pic:pic>
              </a:graphicData>
            </a:graphic>
          </wp:inline>
        </w:drawing>
      </w:r>
      <w:r>
        <w:rPr>
          <w:sz w:val="16"/>
        </w:rPr>
        <w:t>——</w:t>
      </w:r>
      <w:r>
        <w:t>固模剪力墙水平分布钢筋的抗拉强度设计值；</w:t>
      </w:r>
    </w:p>
    <w:p w14:paraId="704570BD">
      <w:pPr>
        <w:pStyle w:val="84"/>
        <w:spacing w:before="80" w:line="240" w:lineRule="auto"/>
        <w:ind w:left="1785" w:leftChars="550" w:hanging="630" w:hangingChars="300"/>
      </w:pPr>
      <w:r>
        <w:rPr>
          <w:position w:val="-12"/>
          <w:vertAlign w:val="subscript"/>
        </w:rPr>
        <w:drawing>
          <wp:inline distT="0" distB="0" distL="114300" distR="114300">
            <wp:extent cx="227965" cy="227965"/>
            <wp:effectExtent l="0" t="0" r="635" b="635"/>
            <wp:docPr id="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pic:cNvPicPr>
                      <a:picLocks noChangeAspect="1"/>
                    </pic:cNvPicPr>
                  </pic:nvPicPr>
                  <pic:blipFill>
                    <a:blip r:embed="rId52"/>
                    <a:stretch>
                      <a:fillRect/>
                    </a:stretch>
                  </pic:blipFill>
                  <pic:spPr>
                    <a:xfrm>
                      <a:off x="0" y="0"/>
                      <a:ext cx="227965" cy="227965"/>
                    </a:xfrm>
                    <a:prstGeom prst="rect">
                      <a:avLst/>
                    </a:prstGeom>
                    <a:noFill/>
                    <a:ln>
                      <a:noFill/>
                    </a:ln>
                  </pic:spPr>
                </pic:pic>
              </a:graphicData>
            </a:graphic>
          </wp:inline>
        </w:drawing>
      </w:r>
      <w:r>
        <w:rPr>
          <w:sz w:val="16"/>
        </w:rPr>
        <w:t>——</w:t>
      </w:r>
      <w:r>
        <w:t>固模剪力墙水平孔的间距</w:t>
      </w:r>
      <w:r>
        <w:rPr>
          <w:rFonts w:hint="eastAsia"/>
        </w:rPr>
        <w:t>范围内</w:t>
      </w:r>
      <w:r>
        <w:t>水平分布钢筋的全部截面面积；</w:t>
      </w:r>
    </w:p>
    <w:p w14:paraId="374F00DD">
      <w:pPr>
        <w:pStyle w:val="84"/>
        <w:ind w:left="1785" w:leftChars="550" w:hanging="630" w:hangingChars="300"/>
        <w:rPr>
          <w:rFonts w:hint="eastAsia"/>
        </w:rPr>
      </w:pPr>
      <w:r>
        <w:rPr>
          <w:position w:val="-6"/>
          <w:vertAlign w:val="subscript"/>
        </w:rPr>
        <w:drawing>
          <wp:inline distT="0" distB="0" distL="114300" distR="114300">
            <wp:extent cx="120650" cy="139700"/>
            <wp:effectExtent l="0" t="0" r="0" b="13335"/>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53"/>
                    <a:stretch>
                      <a:fillRect/>
                    </a:stretch>
                  </pic:blipFill>
                  <pic:spPr>
                    <a:xfrm>
                      <a:off x="0" y="0"/>
                      <a:ext cx="120650" cy="139700"/>
                    </a:xfrm>
                    <a:prstGeom prst="rect">
                      <a:avLst/>
                    </a:prstGeom>
                    <a:noFill/>
                    <a:ln>
                      <a:noFill/>
                    </a:ln>
                  </pic:spPr>
                </pic:pic>
              </a:graphicData>
            </a:graphic>
          </wp:inline>
        </w:drawing>
      </w:r>
      <w:r>
        <w:t>——</w:t>
      </w:r>
      <w:r>
        <w:rPr>
          <w:rFonts w:hint="eastAsia"/>
        </w:rPr>
        <w:t>固模剪力墙水平分布钢筋间距，一般取</w:t>
      </w:r>
      <w:r>
        <w:t>空心墙模水平孔的间距</w:t>
      </w:r>
      <w:r>
        <w:rPr>
          <w:rFonts w:hint="eastAsia"/>
        </w:rPr>
        <w:t>。</w:t>
      </w:r>
    </w:p>
    <w:p w14:paraId="3CE17F74">
      <w:pPr>
        <w:pStyle w:val="106"/>
        <w:ind w:firstLine="0" w:firstLineChars="0"/>
        <w:rPr>
          <w:rFonts w:hint="eastAsia"/>
          <w:bCs/>
          <w:color w:val="0070C0"/>
          <w:kern w:val="2"/>
          <w:sz w:val="21"/>
          <w:szCs w:val="24"/>
        </w:rPr>
      </w:pPr>
      <w:r>
        <w:rPr>
          <w:rFonts w:hint="eastAsia"/>
          <w:bCs/>
          <w:color w:val="0070C0"/>
          <w:kern w:val="2"/>
          <w:sz w:val="21"/>
          <w:szCs w:val="24"/>
        </w:rPr>
        <w:t>【条文说明】固模剪力墙水平分布钢筋可预置在空心墙模内，也可在空心墙模水平孔内现场穿设。</w:t>
      </w:r>
    </w:p>
    <w:p w14:paraId="5B5F47A8">
      <w:pPr>
        <w:pStyle w:val="106"/>
        <w:ind w:firstLine="420"/>
        <w:rPr>
          <w:rFonts w:hint="eastAsia"/>
          <w:bCs/>
          <w:color w:val="0070C0"/>
          <w:kern w:val="2"/>
          <w:sz w:val="21"/>
          <w:szCs w:val="24"/>
        </w:rPr>
      </w:pPr>
      <w:r>
        <w:rPr>
          <w:rFonts w:hint="eastAsia"/>
          <w:bCs/>
          <w:color w:val="0070C0"/>
          <w:kern w:val="2"/>
          <w:sz w:val="21"/>
          <w:szCs w:val="24"/>
        </w:rPr>
        <w:t>本标准通过大量的试验，研究了强弯弱剪试件在往复水平荷载作用下的破坏过程、破坏形态、承载力和变形能力等；明确了内部结合面和竖向接缝对墙体受力性能的影响；研究了水平接缝对墙体受力性能的影响、固模剪力墙的刚度特征等，从而得出了固模剪力墙受剪承载力计算方法。</w:t>
      </w:r>
    </w:p>
    <w:p w14:paraId="1E56B1CF">
      <w:pPr>
        <w:pStyle w:val="106"/>
        <w:ind w:firstLine="420"/>
        <w:rPr>
          <w:rFonts w:hint="eastAsia"/>
          <w:bCs/>
          <w:color w:val="0070C0"/>
          <w:kern w:val="2"/>
          <w:sz w:val="21"/>
          <w:szCs w:val="24"/>
        </w:rPr>
      </w:pPr>
      <w:r>
        <w:rPr>
          <w:rFonts w:hint="eastAsia"/>
          <w:bCs/>
          <w:color w:val="0070C0"/>
          <w:kern w:val="2"/>
          <w:sz w:val="21"/>
          <w:szCs w:val="24"/>
        </w:rPr>
        <w:t>固模剪力墙试件的试验结果表明，空心墙模内配有</w:t>
      </w:r>
      <w:r>
        <w:t>φ</w:t>
      </w:r>
      <w:r>
        <w:rPr>
          <w:vertAlign w:val="superscript"/>
        </w:rPr>
        <w:t>b</w:t>
      </w:r>
      <w:r>
        <w:t>4@600</w:t>
      </w:r>
      <w:r>
        <w:rPr>
          <w:rFonts w:hint="eastAsia"/>
          <w:bCs/>
          <w:color w:val="0070C0"/>
          <w:kern w:val="2"/>
          <w:sz w:val="21"/>
          <w:szCs w:val="24"/>
        </w:rPr>
        <w:t>的水平钢丝，在试验中仅起到构造的作用，其对受剪承载力的贡献可以忽略，因此在受剪承载力计算中仅考虑空心墙模水平孔内的水平钢筋对墙体受剪承载力的贡献。结果表明采用本条公式计算的固模剪力墙的受剪承载力，结果较为保守。</w:t>
      </w:r>
    </w:p>
    <w:p w14:paraId="70C8169F">
      <w:pPr>
        <w:pStyle w:val="6"/>
        <w:numPr>
          <w:ilvl w:val="2"/>
          <w:numId w:val="0"/>
        </w:numPr>
        <w:ind w:firstLine="420" w:firstLineChars="200"/>
        <w:rPr>
          <w:rFonts w:hint="eastAsia"/>
          <w:color w:val="0070C0"/>
        </w:rPr>
      </w:pPr>
      <w:r>
        <w:rPr>
          <w:rFonts w:hint="eastAsia"/>
          <w:color w:val="0070C0"/>
        </w:rPr>
        <w:t>试验结果还表明，当空心墙模内预设水平钢筋作为部分墙体水平分布钢筋时，</w:t>
      </w:r>
      <w:r>
        <w:rPr>
          <w:position w:val="-14"/>
        </w:rPr>
        <w:object>
          <v:shape id="_x0000_i1026" o:spt="75" type="#_x0000_t75" style="height:19pt;width:38pt;" o:ole="t" filled="f" stroked="f" coordsize="21600,21600">
            <v:path/>
            <v:fill on="f" focussize="0,0"/>
            <v:stroke on="f"/>
            <v:imagedata r:id="rId55" o:title=""/>
            <o:lock v:ext="edit" aspectratio="t"/>
            <w10:wrap type="none"/>
            <w10:anchorlock/>
          </v:shape>
          <o:OLEObject Type="Embed" ProgID="Equation.DSMT4" ShapeID="_x0000_i1026" DrawAspect="Content" ObjectID="_1468075726" r:id="rId54">
            <o:LockedField>false</o:LockedField>
          </o:OLEObject>
        </w:object>
      </w:r>
      <w:r>
        <w:rPr>
          <w:rFonts w:hint="eastAsia"/>
          <w:color w:val="0070C0"/>
        </w:rPr>
        <w:t>可计入空心墙模内预设水平分布钢筋的贡献。</w:t>
      </w:r>
    </w:p>
    <w:bookmarkEnd w:id="189"/>
    <w:bookmarkEnd w:id="190"/>
    <w:p w14:paraId="16D44552">
      <w:pPr>
        <w:pStyle w:val="6"/>
        <w:widowControl/>
      </w:pPr>
      <w:bookmarkStart w:id="191" w:name="_Ref32932242"/>
      <w:r>
        <w:t>在地震设计状况下，</w:t>
      </w:r>
      <w:r>
        <w:rPr>
          <w:rFonts w:hint="eastAsia"/>
        </w:rPr>
        <w:t>抗震等级为一级的</w:t>
      </w:r>
      <w:r>
        <w:t>固模剪力墙水平</w:t>
      </w:r>
      <w:r>
        <w:rPr>
          <w:rFonts w:hint="eastAsia"/>
        </w:rPr>
        <w:t>接缝的受剪承载设计值</w:t>
      </w:r>
      <w:r>
        <w:t>应符合下式要求：</w:t>
      </w:r>
      <w:bookmarkEnd w:id="191"/>
    </w:p>
    <w:p w14:paraId="1F6FB0F9">
      <w:pPr>
        <w:pStyle w:val="84"/>
        <w:spacing w:before="78" w:beforeLines="25" w:after="78" w:afterLines="25" w:line="240" w:lineRule="auto"/>
        <w:ind w:firstLine="840" w:firstLineChars="400"/>
      </w:pPr>
      <w:r>
        <w:rPr>
          <w:position w:val="-30"/>
        </w:rPr>
        <w:drawing>
          <wp:inline distT="0" distB="0" distL="114300" distR="114300">
            <wp:extent cx="1654175" cy="433705"/>
            <wp:effectExtent l="0" t="0" r="3175" b="3810"/>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56"/>
                    <a:stretch>
                      <a:fillRect/>
                    </a:stretch>
                  </pic:blipFill>
                  <pic:spPr>
                    <a:xfrm>
                      <a:off x="0" y="0"/>
                      <a:ext cx="1654175" cy="433705"/>
                    </a:xfrm>
                    <a:prstGeom prst="rect">
                      <a:avLst/>
                    </a:prstGeom>
                    <a:noFill/>
                    <a:ln>
                      <a:noFill/>
                    </a:ln>
                  </pic:spPr>
                </pic:pic>
              </a:graphicData>
            </a:graphic>
          </wp:inline>
        </w:drawing>
      </w:r>
      <w:r>
        <w:t xml:space="preserve">                                     (6</w:t>
      </w:r>
      <w:r>
        <w:rPr>
          <w:rFonts w:hint="eastAsia"/>
        </w:rPr>
        <w:t>.</w:t>
      </w:r>
      <w:r>
        <w:t>3</w:t>
      </w:r>
      <w:r>
        <w:rPr>
          <w:rFonts w:hint="eastAsia"/>
        </w:rPr>
        <w:t>.</w:t>
      </w:r>
      <w:r>
        <w:t>8)</w:t>
      </w:r>
    </w:p>
    <w:p w14:paraId="0D2F3F4F">
      <w:pPr>
        <w:pStyle w:val="84"/>
        <w:spacing w:line="240" w:lineRule="auto"/>
        <w:ind w:firstLine="420"/>
      </w:pPr>
      <w:r>
        <w:t>式中：</w:t>
      </w:r>
      <w:r>
        <w:rPr>
          <w:position w:val="-14"/>
        </w:rPr>
        <w:drawing>
          <wp:inline distT="0" distB="0" distL="114300" distR="114300">
            <wp:extent cx="205740" cy="241300"/>
            <wp:effectExtent l="0" t="0" r="3810" b="5080"/>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57"/>
                    <a:stretch>
                      <a:fillRect/>
                    </a:stretch>
                  </pic:blipFill>
                  <pic:spPr>
                    <a:xfrm>
                      <a:off x="0" y="0"/>
                      <a:ext cx="205740" cy="241300"/>
                    </a:xfrm>
                    <a:prstGeom prst="rect">
                      <a:avLst/>
                    </a:prstGeom>
                    <a:noFill/>
                    <a:ln>
                      <a:noFill/>
                    </a:ln>
                  </pic:spPr>
                </pic:pic>
              </a:graphicData>
            </a:graphic>
          </wp:inline>
        </w:drawing>
      </w:r>
      <w:r>
        <w:rPr>
          <w:sz w:val="15"/>
        </w:rPr>
        <w:t>——</w:t>
      </w:r>
      <w:r>
        <w:t>剪力墙水平</w:t>
      </w:r>
      <w:r>
        <w:rPr>
          <w:rFonts w:hint="eastAsia"/>
        </w:rPr>
        <w:t>接缝的受剪承载设计值</w:t>
      </w:r>
      <w:r>
        <w:t>；</w:t>
      </w:r>
    </w:p>
    <w:p w14:paraId="5C0E30BF">
      <w:pPr>
        <w:ind w:left="1612" w:leftChars="473" w:hanging="619" w:hangingChars="295"/>
      </w:pPr>
      <w:r>
        <w:rPr>
          <w:position w:val="-12"/>
        </w:rPr>
        <w:drawing>
          <wp:inline distT="0" distB="0" distL="114300" distR="114300">
            <wp:extent cx="175260" cy="227965"/>
            <wp:effectExtent l="0" t="0" r="15875" b="635"/>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pic:cNvPicPr>
                      <a:picLocks noChangeAspect="1"/>
                    </pic:cNvPicPr>
                  </pic:nvPicPr>
                  <pic:blipFill>
                    <a:blip r:embed="rId58"/>
                    <a:stretch>
                      <a:fillRect/>
                    </a:stretch>
                  </pic:blipFill>
                  <pic:spPr>
                    <a:xfrm>
                      <a:off x="0" y="0"/>
                      <a:ext cx="175260" cy="227965"/>
                    </a:xfrm>
                    <a:prstGeom prst="rect">
                      <a:avLst/>
                    </a:prstGeom>
                    <a:noFill/>
                    <a:ln>
                      <a:noFill/>
                    </a:ln>
                  </pic:spPr>
                </pic:pic>
              </a:graphicData>
            </a:graphic>
          </wp:inline>
        </w:drawing>
      </w:r>
      <w:r>
        <w:rPr>
          <w:sz w:val="18"/>
        </w:rPr>
        <w:t>——</w:t>
      </w:r>
      <w:r>
        <w:rPr>
          <w:rFonts w:hint="eastAsia"/>
        </w:rPr>
        <w:t>垂直穿过结合面的竖向钢筋面积，包括剪力墙水平接缝处竖向连接钢筋</w:t>
      </w:r>
      <w:r>
        <w:t>和边缘构件中的竖向钢筋总面积（不包括两侧翼缘）；</w:t>
      </w:r>
    </w:p>
    <w:p w14:paraId="2397F69A">
      <w:pPr>
        <w:spacing w:before="78" w:beforeLines="25" w:line="240" w:lineRule="auto"/>
        <w:ind w:firstLine="972" w:firstLineChars="463"/>
      </w:pPr>
      <w:r>
        <w:rPr>
          <w:position w:val="-14"/>
        </w:rPr>
        <w:drawing>
          <wp:inline distT="0" distB="0" distL="114300" distR="114300">
            <wp:extent cx="175260" cy="241300"/>
            <wp:effectExtent l="0" t="0" r="0" b="5080"/>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59"/>
                    <a:stretch>
                      <a:fillRect/>
                    </a:stretch>
                  </pic:blipFill>
                  <pic:spPr>
                    <a:xfrm>
                      <a:off x="0" y="0"/>
                      <a:ext cx="175260" cy="241300"/>
                    </a:xfrm>
                    <a:prstGeom prst="rect">
                      <a:avLst/>
                    </a:prstGeom>
                    <a:noFill/>
                    <a:ln>
                      <a:noFill/>
                    </a:ln>
                  </pic:spPr>
                </pic:pic>
              </a:graphicData>
            </a:graphic>
          </wp:inline>
        </w:drawing>
      </w:r>
      <w:r>
        <w:rPr>
          <w:sz w:val="20"/>
        </w:rPr>
        <w:t>——</w:t>
      </w:r>
      <w:r>
        <w:t>竖向钢筋抗拉强度设计值；</w:t>
      </w:r>
    </w:p>
    <w:p w14:paraId="05E7508A">
      <w:pPr>
        <w:ind w:left="1702" w:leftChars="473" w:hanging="709"/>
        <w:rPr>
          <w:rFonts w:hint="eastAsia"/>
        </w:rPr>
      </w:pPr>
      <w:bookmarkStart w:id="192" w:name="_Hlt263753652"/>
      <w:bookmarkEnd w:id="192"/>
      <w:bookmarkStart w:id="193" w:name="_Hlt263753658"/>
      <w:bookmarkEnd w:id="193"/>
      <w:bookmarkStart w:id="194" w:name="_Hlt263753650"/>
      <w:bookmarkEnd w:id="194"/>
      <w:r>
        <w:rPr>
          <w:position w:val="-6"/>
        </w:rPr>
        <w:drawing>
          <wp:inline distT="0" distB="0" distL="114300" distR="114300">
            <wp:extent cx="175260" cy="175260"/>
            <wp:effectExtent l="0" t="0" r="15240" b="15875"/>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60"/>
                    <a:stretch>
                      <a:fillRect/>
                    </a:stretch>
                  </pic:blipFill>
                  <pic:spPr>
                    <a:xfrm>
                      <a:off x="0" y="0"/>
                      <a:ext cx="175260" cy="175260"/>
                    </a:xfrm>
                    <a:prstGeom prst="rect">
                      <a:avLst/>
                    </a:prstGeom>
                    <a:noFill/>
                    <a:ln>
                      <a:noFill/>
                    </a:ln>
                  </pic:spPr>
                </pic:pic>
              </a:graphicData>
            </a:graphic>
          </wp:inline>
        </w:drawing>
      </w:r>
      <w:r>
        <w:rPr>
          <w:sz w:val="18"/>
        </w:rPr>
        <w:t>——</w:t>
      </w:r>
      <w:r>
        <w:rPr>
          <w:rFonts w:hint="eastAsia"/>
        </w:rPr>
        <w:t>与剪力设计值</w:t>
      </w:r>
      <w:r>
        <w:rPr>
          <w:rFonts w:hint="eastAsia"/>
          <w:i/>
          <w:iCs/>
        </w:rPr>
        <w:t>V</w:t>
      </w:r>
      <w:r>
        <w:rPr>
          <w:rFonts w:hint="eastAsia"/>
        </w:rPr>
        <w:t>相应的垂直于结合面的轴向力设计值</w:t>
      </w:r>
      <w:r>
        <w:t>，压力取正值，拉力取负值</w:t>
      </w:r>
      <w:r>
        <w:rPr>
          <w:rFonts w:hint="eastAsia"/>
        </w:rPr>
        <w:t>；当大于0.6</w:t>
      </w:r>
      <w:r>
        <w:rPr>
          <w:rFonts w:hint="eastAsia"/>
          <w:i/>
          <w:iCs/>
        </w:rPr>
        <w:t>f</w:t>
      </w:r>
      <w:r>
        <w:rPr>
          <w:rFonts w:hint="eastAsia"/>
          <w:vertAlign w:val="subscript"/>
        </w:rPr>
        <w:t>c</w:t>
      </w:r>
      <w:r>
        <w:rPr>
          <w:rFonts w:hint="eastAsia"/>
          <w:i/>
          <w:iCs/>
        </w:rPr>
        <w:t>b</w:t>
      </w:r>
      <w:r>
        <w:rPr>
          <w:rFonts w:hint="eastAsia"/>
          <w:iCs/>
          <w:vertAlign w:val="subscript"/>
        </w:rPr>
        <w:t>w</w:t>
      </w:r>
      <w:r>
        <w:rPr>
          <w:rFonts w:hint="eastAsia"/>
          <w:i/>
          <w:iCs/>
        </w:rPr>
        <w:t>h</w:t>
      </w:r>
      <w:r>
        <w:rPr>
          <w:rFonts w:hint="eastAsia"/>
          <w:iCs/>
          <w:vertAlign w:val="subscript"/>
        </w:rPr>
        <w:t>w</w:t>
      </w:r>
      <w:r>
        <w:rPr>
          <w:rFonts w:hint="eastAsia"/>
          <w:vertAlign w:val="subscript"/>
        </w:rPr>
        <w:t>0</w:t>
      </w:r>
      <w:r>
        <w:rPr>
          <w:rFonts w:hint="eastAsia"/>
        </w:rPr>
        <w:t>时，取为0.6</w:t>
      </w:r>
      <w:r>
        <w:rPr>
          <w:rFonts w:hint="eastAsia"/>
          <w:i/>
          <w:iCs/>
        </w:rPr>
        <w:t>f</w:t>
      </w:r>
      <w:r>
        <w:rPr>
          <w:rFonts w:hint="eastAsia"/>
          <w:vertAlign w:val="subscript"/>
        </w:rPr>
        <w:t>c</w:t>
      </w:r>
      <w:r>
        <w:rPr>
          <w:rFonts w:hint="eastAsia"/>
          <w:i/>
          <w:iCs/>
        </w:rPr>
        <w:t>b</w:t>
      </w:r>
      <w:r>
        <w:rPr>
          <w:rFonts w:hint="eastAsia"/>
          <w:iCs/>
          <w:vertAlign w:val="subscript"/>
        </w:rPr>
        <w:t>w</w:t>
      </w:r>
      <w:r>
        <w:rPr>
          <w:rFonts w:hint="eastAsia"/>
          <w:i/>
          <w:iCs/>
        </w:rPr>
        <w:t>h</w:t>
      </w:r>
      <w:r>
        <w:rPr>
          <w:rFonts w:hint="eastAsia"/>
          <w:iCs/>
          <w:vertAlign w:val="subscript"/>
        </w:rPr>
        <w:t>w</w:t>
      </w:r>
      <w:r>
        <w:rPr>
          <w:rFonts w:hint="eastAsia"/>
          <w:vertAlign w:val="subscript"/>
        </w:rPr>
        <w:t>0</w:t>
      </w:r>
      <w:r>
        <w:rPr>
          <w:rFonts w:hint="eastAsia"/>
        </w:rPr>
        <w:t>。</w:t>
      </w:r>
    </w:p>
    <w:p w14:paraId="59E30A08">
      <w:pPr>
        <w:pStyle w:val="106"/>
        <w:ind w:firstLine="0" w:firstLineChars="0"/>
        <w:rPr>
          <w:rFonts w:hint="eastAsia"/>
          <w:bCs/>
          <w:color w:val="0070C0"/>
          <w:kern w:val="2"/>
          <w:sz w:val="21"/>
          <w:szCs w:val="24"/>
        </w:rPr>
      </w:pPr>
      <w:r>
        <w:rPr>
          <w:rFonts w:hint="eastAsia"/>
          <w:bCs/>
          <w:color w:val="0070C0"/>
          <w:kern w:val="2"/>
          <w:sz w:val="21"/>
          <w:szCs w:val="24"/>
        </w:rPr>
        <w:t>【条文说明】一级固模剪力墙水平接缝受剪承载力设计值计算公式与现行行业标准《高层建筑混凝土结构技术规程》JGJ 3中的抗剪验算公式相同，主要采用剪摩擦的原理，考虑钢筋和轴力的共同作用。进行剪力墙底部水平接缝受剪承载力计算时，计算单元的选取分以下三种情况：</w:t>
      </w:r>
    </w:p>
    <w:p w14:paraId="6973BAD5">
      <w:pPr>
        <w:pStyle w:val="106"/>
        <w:ind w:firstLine="420"/>
        <w:rPr>
          <w:rFonts w:hint="eastAsia"/>
          <w:bCs/>
          <w:color w:val="0070C0"/>
          <w:kern w:val="2"/>
          <w:sz w:val="21"/>
          <w:szCs w:val="24"/>
        </w:rPr>
      </w:pPr>
      <w:r>
        <w:rPr>
          <w:rFonts w:hint="eastAsia"/>
          <w:bCs/>
          <w:color w:val="0070C0"/>
          <w:kern w:val="2"/>
          <w:sz w:val="21"/>
          <w:szCs w:val="24"/>
        </w:rPr>
        <w:t>1 不开洞或者小开洞整体墙，作为一个计算单元；</w:t>
      </w:r>
    </w:p>
    <w:p w14:paraId="3B9D0FE4">
      <w:pPr>
        <w:pStyle w:val="106"/>
        <w:ind w:firstLine="420"/>
        <w:rPr>
          <w:rFonts w:hint="eastAsia"/>
          <w:bCs/>
          <w:color w:val="0070C0"/>
          <w:kern w:val="2"/>
          <w:sz w:val="21"/>
          <w:szCs w:val="24"/>
        </w:rPr>
      </w:pPr>
      <w:r>
        <w:rPr>
          <w:rFonts w:hint="eastAsia"/>
          <w:bCs/>
          <w:color w:val="0070C0"/>
          <w:kern w:val="2"/>
          <w:sz w:val="21"/>
          <w:szCs w:val="24"/>
        </w:rPr>
        <w:t>2 小开口整体墙可作为一个计算单元，各墙肢联合抗剪；</w:t>
      </w:r>
    </w:p>
    <w:p w14:paraId="0358C31E">
      <w:pPr>
        <w:pStyle w:val="106"/>
        <w:ind w:firstLine="420"/>
        <w:rPr>
          <w:rFonts w:hint="eastAsia"/>
        </w:rPr>
      </w:pPr>
      <w:r>
        <w:rPr>
          <w:rFonts w:hint="eastAsia"/>
          <w:bCs/>
          <w:color w:val="0070C0"/>
          <w:kern w:val="2"/>
          <w:sz w:val="21"/>
          <w:szCs w:val="24"/>
        </w:rPr>
        <w:t>3 开口较大的双肢及多肢墙，各墙肢作为单独的计算单元。</w:t>
      </w:r>
    </w:p>
    <w:p w14:paraId="48AF5842">
      <w:pPr>
        <w:pStyle w:val="6"/>
      </w:pPr>
      <w:r>
        <w:rPr>
          <w:rFonts w:hint="eastAsia"/>
        </w:rPr>
        <w:t>固模剪力墙结构的连梁受弯和受剪承载力验算</w:t>
      </w:r>
      <w:r>
        <w:rPr>
          <w:rFonts w:hint="eastAsia" w:hAnsi="宋体"/>
        </w:rPr>
        <w:t>应符合现行国家标准《混凝土结构设计</w:t>
      </w:r>
      <w:r>
        <w:rPr>
          <w:rFonts w:hint="eastAsia"/>
        </w:rPr>
        <w:t>标准</w:t>
      </w:r>
      <w:r>
        <w:t>》GB</w:t>
      </w:r>
      <w:r>
        <w:rPr>
          <w:rFonts w:hint="eastAsia"/>
        </w:rPr>
        <w:t>/T</w:t>
      </w:r>
      <w:r>
        <w:t xml:space="preserve"> 50010</w:t>
      </w:r>
      <w:r>
        <w:rPr>
          <w:rFonts w:hint="eastAsia" w:hAnsi="宋体"/>
        </w:rPr>
        <w:t>的有关规定。预制叠合连梁的端部受剪承载力验算尚应符合现行广东省地方标准《装配式混凝土建筑结构技术规程》DBJ 15-107的有关规定。</w:t>
      </w:r>
    </w:p>
    <w:p w14:paraId="72588786">
      <w:pPr>
        <w:pStyle w:val="6"/>
        <w:numPr>
          <w:ilvl w:val="0"/>
          <w:numId w:val="0"/>
        </w:numPr>
        <w:tabs>
          <w:tab w:val="clear" w:pos="907"/>
        </w:tabs>
        <w:rPr>
          <w:rFonts w:hint="eastAsia"/>
          <w:color w:val="0070C0"/>
        </w:rPr>
      </w:pPr>
      <w:r>
        <w:rPr>
          <w:rFonts w:hint="eastAsia"/>
          <w:color w:val="0070C0"/>
        </w:rPr>
        <w:t>【条文说明】固模剪力墙结构中的连梁可现浇也可预制，采用预制叠合连梁时应验算端部连接处的受剪承载力。</w:t>
      </w:r>
    </w:p>
    <w:p w14:paraId="26BA3B9C">
      <w:pPr>
        <w:pStyle w:val="4"/>
        <w:spacing w:before="156" w:after="156"/>
      </w:pPr>
      <w:r>
        <w:br w:type="page"/>
      </w:r>
      <w:bookmarkEnd w:id="122"/>
      <w:bookmarkStart w:id="195" w:name="_Toc475644454"/>
      <w:bookmarkStart w:id="196" w:name="_Toc475644061"/>
      <w:bookmarkStart w:id="197" w:name="_Toc475644646"/>
      <w:bookmarkStart w:id="198" w:name="_Toc475644177"/>
      <w:bookmarkStart w:id="199" w:name="_Toc129374377"/>
      <w:bookmarkStart w:id="200" w:name="_Toc61254034"/>
      <w:bookmarkStart w:id="201" w:name="_Toc18738"/>
      <w:bookmarkStart w:id="202" w:name="_Toc61254077"/>
      <w:bookmarkStart w:id="203" w:name="_Toc247967509"/>
      <w:bookmarkStart w:id="204" w:name="_Toc252452586"/>
      <w:r>
        <w:t>构造</w:t>
      </w:r>
      <w:bookmarkEnd w:id="195"/>
      <w:bookmarkEnd w:id="196"/>
      <w:bookmarkEnd w:id="197"/>
      <w:bookmarkEnd w:id="198"/>
      <w:r>
        <w:rPr>
          <w:rFonts w:hint="eastAsia"/>
        </w:rPr>
        <w:t>措施</w:t>
      </w:r>
      <w:bookmarkEnd w:id="199"/>
      <w:bookmarkEnd w:id="200"/>
      <w:bookmarkEnd w:id="201"/>
      <w:bookmarkEnd w:id="202"/>
    </w:p>
    <w:bookmarkEnd w:id="203"/>
    <w:bookmarkEnd w:id="204"/>
    <w:p w14:paraId="33E6EBE1">
      <w:pPr>
        <w:pStyle w:val="5"/>
        <w:numPr>
          <w:ilvl w:val="1"/>
          <w:numId w:val="21"/>
        </w:numPr>
        <w:spacing w:before="156" w:beforeLines="50" w:after="156"/>
      </w:pPr>
      <w:bookmarkStart w:id="205" w:name="_Toc224054455"/>
      <w:bookmarkStart w:id="206" w:name="_Toc475644178"/>
      <w:bookmarkStart w:id="207" w:name="_Toc475644062"/>
      <w:bookmarkStart w:id="208" w:name="_Toc129374378"/>
      <w:bookmarkStart w:id="209" w:name="_Toc475644455"/>
      <w:bookmarkStart w:id="210" w:name="_Toc10193"/>
      <w:bookmarkStart w:id="211" w:name="_Toc61254078"/>
      <w:bookmarkStart w:id="212" w:name="_Toc475644647"/>
      <w:bookmarkStart w:id="213" w:name="_Toc61254035"/>
      <w:r>
        <w:t>一般</w:t>
      </w:r>
      <w:bookmarkEnd w:id="205"/>
      <w:r>
        <w:t>规定</w:t>
      </w:r>
      <w:bookmarkEnd w:id="206"/>
      <w:bookmarkEnd w:id="207"/>
      <w:bookmarkEnd w:id="208"/>
      <w:bookmarkEnd w:id="209"/>
      <w:bookmarkEnd w:id="210"/>
      <w:bookmarkEnd w:id="211"/>
      <w:bookmarkEnd w:id="212"/>
      <w:bookmarkEnd w:id="213"/>
    </w:p>
    <w:p w14:paraId="4AD68DAE">
      <w:pPr>
        <w:pStyle w:val="6"/>
      </w:pPr>
      <w:r>
        <w:rPr>
          <w:rFonts w:hint="eastAsia"/>
        </w:rPr>
        <w:t>最外层钢筋</w:t>
      </w:r>
      <w:r>
        <w:t>混凝土保护层厚度应符合现行国家标准《混凝土结构设计</w:t>
      </w:r>
      <w:r>
        <w:rPr>
          <w:rFonts w:hint="eastAsia"/>
        </w:rPr>
        <w:t>标准</w:t>
      </w:r>
      <w:r>
        <w:t>》GB</w:t>
      </w:r>
      <w:r>
        <w:rPr>
          <w:rFonts w:hint="eastAsia"/>
        </w:rPr>
        <w:t>/T</w:t>
      </w:r>
      <w:r>
        <w:t xml:space="preserve"> 50010的</w:t>
      </w:r>
      <w:r>
        <w:rPr>
          <w:rFonts w:hint="eastAsia"/>
        </w:rPr>
        <w:t>有关</w:t>
      </w:r>
      <w:r>
        <w:t>规定</w:t>
      </w:r>
      <w:r>
        <w:rPr>
          <w:rFonts w:hint="eastAsia"/>
        </w:rPr>
        <w:t>。对固模混凝土板的底面，</w:t>
      </w:r>
      <w:r>
        <w:t>混凝土</w:t>
      </w:r>
      <w:r>
        <w:rPr>
          <w:rFonts w:hint="eastAsia"/>
        </w:rPr>
        <w:t>保护层厚度可比普通现浇板适当减小，但受力钢筋保护层厚度减小幅度不应超过5mm，混凝土保护层厚度不应小于受力钢筋直径与15 mm两者中的最大值。</w:t>
      </w:r>
    </w:p>
    <w:p w14:paraId="3E37D511">
      <w:pPr>
        <w:pStyle w:val="6"/>
        <w:numPr>
          <w:ilvl w:val="2"/>
          <w:numId w:val="0"/>
        </w:numPr>
        <w:rPr>
          <w:rFonts w:hint="eastAsia"/>
          <w:color w:val="0070C0"/>
        </w:rPr>
      </w:pPr>
      <w:r>
        <w:rPr>
          <w:rFonts w:hint="eastAsia"/>
          <w:color w:val="0070C0"/>
        </w:rPr>
        <w:t>【条文说明】对TC板及采用固模的现浇混凝土连梁、边缘构件的混凝土保护层厚度可适当减小。TC板连接件兼具混凝土保护层垫块的作用，应保证最外层受力钢筋保护层厚度不小于15mm。当用于二a类环境时，现行国家标准《混凝土结构设计</w:t>
      </w:r>
      <w:r>
        <w:rPr>
          <w:rFonts w:hint="eastAsia"/>
        </w:rPr>
        <w:t>标准</w:t>
      </w:r>
      <w:r>
        <w:t>》GB</w:t>
      </w:r>
      <w:r>
        <w:rPr>
          <w:rFonts w:hint="eastAsia"/>
        </w:rPr>
        <w:t>/T</w:t>
      </w:r>
      <w:r>
        <w:t xml:space="preserve"> 50010</w:t>
      </w:r>
      <w:r>
        <w:rPr>
          <w:rFonts w:hint="eastAsia"/>
          <w:color w:val="0070C0"/>
        </w:rPr>
        <w:t>规定保护层厚度不宜小于20mm；考虑到固模底板对混凝土也起一定保护作用，可允许TC板最外层受力钢筋保护层厚度为15mm。</w:t>
      </w:r>
    </w:p>
    <w:p w14:paraId="4EF37A88">
      <w:pPr>
        <w:pStyle w:val="6"/>
        <w:numPr>
          <w:ilvl w:val="2"/>
          <w:numId w:val="0"/>
        </w:numPr>
        <w:ind w:firstLine="420" w:firstLineChars="200"/>
      </w:pPr>
      <w:r>
        <w:rPr>
          <w:rFonts w:hint="eastAsia"/>
          <w:color w:val="0070C0"/>
        </w:rPr>
        <w:t>空心墙模外表受力钢筋混凝土保护层厚度不应小于15mm，孔洞内表受力钢筋混凝土保护层厚度不应小于5mm。</w:t>
      </w:r>
    </w:p>
    <w:p w14:paraId="6019B1CA">
      <w:pPr>
        <w:pStyle w:val="6"/>
      </w:pPr>
      <w:bookmarkStart w:id="214" w:name="_Ref32998165"/>
      <w:r>
        <w:rPr>
          <w:rFonts w:hint="eastAsia"/>
        </w:rPr>
        <w:t>当固模楼承板用</w:t>
      </w:r>
      <w:r>
        <w:t>钢筋</w:t>
      </w:r>
      <w:r>
        <w:rPr>
          <w:rFonts w:hint="eastAsia"/>
        </w:rPr>
        <w:t>焊接网</w:t>
      </w:r>
      <w:r>
        <w:t>的技术性能指标符合现行国家标准《钢筋混凝土用钢第3部分：钢筋焊接网》GB/T 1499.3的有关规定时，钢筋</w:t>
      </w:r>
      <w:r>
        <w:rPr>
          <w:rFonts w:hint="eastAsia"/>
        </w:rPr>
        <w:t>焊接网的搭接</w:t>
      </w:r>
      <w:r>
        <w:t>长度可按现行行业标准《钢筋焊接网混凝土结构技术规程》JGJ 114的有关规定取值。</w:t>
      </w:r>
      <w:bookmarkEnd w:id="214"/>
    </w:p>
    <w:p w14:paraId="3682A3CA">
      <w:pPr>
        <w:pStyle w:val="6"/>
        <w:numPr>
          <w:ilvl w:val="2"/>
          <w:numId w:val="0"/>
        </w:numPr>
      </w:pPr>
      <w:r>
        <w:rPr>
          <w:rFonts w:hint="eastAsia"/>
          <w:color w:val="0070C0"/>
        </w:rPr>
        <w:t>【条文说明】现行国家标准《钢筋混凝土用钢 第3部分：钢筋焊接网》GB/T 1499.3规定“钢筋焊接网焊点的抗剪力应不小于试样受拉钢筋规定屈服力值的0.3倍”。当TC板中纵向受拉钢筋与横向钢筋之间焊点的抗剪力以及搭接网片纵向受拉钢筋与横向钢筋之间焊点的抗剪力均不小于受拉钢筋规定屈服力值的0.3倍时，钢筋锚固及搭接长度可按《钢筋焊接网混凝土结构技术规程》JGJ 114的有关规定取值。</w:t>
      </w:r>
    </w:p>
    <w:p w14:paraId="261D5A4C">
      <w:pPr>
        <w:pStyle w:val="6"/>
      </w:pPr>
      <w:bookmarkStart w:id="215" w:name="_Ref33001913"/>
      <w:r>
        <w:rPr>
          <w:rFonts w:hint="eastAsia"/>
        </w:rPr>
        <w:t>固模剪力墙结构中，上下层剪力墙之间竖向</w:t>
      </w:r>
      <w:r>
        <w:t>连接钢筋、基础预留</w:t>
      </w:r>
      <w:r>
        <w:rPr>
          <w:rFonts w:hint="eastAsia"/>
        </w:rPr>
        <w:t>剪力墙</w:t>
      </w:r>
      <w:r>
        <w:t>连接钢筋</w:t>
      </w:r>
      <w:r>
        <w:rPr>
          <w:rFonts w:hint="eastAsia"/>
        </w:rPr>
        <w:t>应符合下列规定：</w:t>
      </w:r>
      <w:bookmarkEnd w:id="215"/>
    </w:p>
    <w:p w14:paraId="2BE28FCB">
      <w:pPr>
        <w:pStyle w:val="7"/>
        <w:numPr>
          <w:ilvl w:val="0"/>
          <w:numId w:val="22"/>
        </w:numPr>
      </w:pPr>
      <w:r>
        <w:t>直径不应小于被连接钢筋的直径</w:t>
      </w:r>
      <w:r>
        <w:rPr>
          <w:rFonts w:hint="eastAsia"/>
        </w:rPr>
        <w:t>；</w:t>
      </w:r>
    </w:p>
    <w:p w14:paraId="5FA794F8">
      <w:pPr>
        <w:pStyle w:val="7"/>
        <w:numPr>
          <w:ilvl w:val="0"/>
          <w:numId w:val="12"/>
        </w:numPr>
      </w:pPr>
      <w:r>
        <w:t>锚固长度、末端弯钩构造等应符合现行国家标准《混凝土结构设计</w:t>
      </w:r>
      <w:r>
        <w:rPr>
          <w:rFonts w:hint="eastAsia"/>
        </w:rPr>
        <w:t>标准</w:t>
      </w:r>
      <w:r>
        <w:t>》GB</w:t>
      </w:r>
      <w:r>
        <w:rPr>
          <w:rFonts w:hint="eastAsia"/>
        </w:rPr>
        <w:t>/T</w:t>
      </w:r>
      <w:r>
        <w:t xml:space="preserve"> 50010</w:t>
      </w:r>
      <w:r>
        <w:rPr>
          <w:rFonts w:hint="eastAsia"/>
        </w:rPr>
        <w:t>及《建筑抗震设计标准</w:t>
      </w:r>
      <w:r>
        <w:t>》GB</w:t>
      </w:r>
      <w:r>
        <w:rPr>
          <w:rFonts w:hint="eastAsia"/>
        </w:rPr>
        <w:t>/T</w:t>
      </w:r>
      <w:r>
        <w:t xml:space="preserve"> 5001</w:t>
      </w:r>
      <w:r>
        <w:rPr>
          <w:rFonts w:hint="eastAsia"/>
        </w:rPr>
        <w:t>1</w:t>
      </w:r>
      <w:r>
        <w:t>的有关规定，但计算锚固长度时不应计入</w:t>
      </w:r>
      <w:r>
        <w:rPr>
          <w:rFonts w:hint="eastAsia"/>
        </w:rPr>
        <w:t>“</w:t>
      </w:r>
      <w:r>
        <w:t>锚固区保护层厚度</w:t>
      </w:r>
      <w:r>
        <w:rPr>
          <w:rFonts w:hint="eastAsia"/>
        </w:rPr>
        <w:t>”</w:t>
      </w:r>
      <w:r>
        <w:t>和</w:t>
      </w:r>
      <w:r>
        <w:rPr>
          <w:rFonts w:hint="eastAsia"/>
        </w:rPr>
        <w:t>“</w:t>
      </w:r>
      <w:r>
        <w:t>实际配筋面积大于设计计算面积</w:t>
      </w:r>
      <w:r>
        <w:rPr>
          <w:rFonts w:hint="eastAsia"/>
        </w:rPr>
        <w:t>”</w:t>
      </w:r>
      <w:r>
        <w:t>两项修正系数</w:t>
      </w:r>
      <w:r>
        <w:rPr>
          <w:rFonts w:hint="eastAsia"/>
        </w:rPr>
        <w:t>；</w:t>
      </w:r>
    </w:p>
    <w:p w14:paraId="31A96D0E">
      <w:pPr>
        <w:pStyle w:val="7"/>
        <w:numPr>
          <w:ilvl w:val="0"/>
          <w:numId w:val="12"/>
        </w:numPr>
      </w:pPr>
      <w:r>
        <w:rPr>
          <w:rFonts w:hint="eastAsia"/>
        </w:rPr>
        <w:t>与剪力墙竖向分布钢筋搭接的长度</w:t>
      </w:r>
      <w:r>
        <w:rPr>
          <w:rFonts w:hint="eastAsia"/>
          <w:i/>
        </w:rPr>
        <w:t>l</w:t>
      </w:r>
      <w:r>
        <w:rPr>
          <w:rFonts w:hint="eastAsia"/>
          <w:i/>
          <w:vertAlign w:val="subscript"/>
        </w:rPr>
        <w:t>l</w:t>
      </w:r>
      <w:r>
        <w:rPr>
          <w:rFonts w:hint="eastAsia"/>
          <w:vertAlign w:val="subscript"/>
        </w:rPr>
        <w:t>E</w:t>
      </w:r>
      <w:r>
        <w:rPr>
          <w:rFonts w:hint="eastAsia"/>
        </w:rPr>
        <w:t>应由竖向连接钢筋、基础预留连接钢筋的锚固长度</w:t>
      </w:r>
      <w:r>
        <w:rPr>
          <w:rFonts w:hint="eastAsia"/>
          <w:i/>
        </w:rPr>
        <w:t>l</w:t>
      </w:r>
      <w:r>
        <w:rPr>
          <w:rFonts w:hint="eastAsia"/>
          <w:vertAlign w:val="subscript"/>
        </w:rPr>
        <w:t>aE</w:t>
      </w:r>
      <w:r>
        <w:rPr>
          <w:rFonts w:hint="eastAsia"/>
        </w:rPr>
        <w:t>乘以系数计算确定；</w:t>
      </w:r>
    </w:p>
    <w:p w14:paraId="45675123">
      <w:pPr>
        <w:pStyle w:val="7"/>
        <w:numPr>
          <w:ilvl w:val="0"/>
          <w:numId w:val="12"/>
        </w:numPr>
      </w:pPr>
      <w:r>
        <w:rPr>
          <w:rFonts w:hint="eastAsia"/>
        </w:rPr>
        <w:t>竖向连接钢筋的</w:t>
      </w:r>
      <w:r>
        <w:t>受拉承载力不应小于被连接钢筋的受拉承载力</w:t>
      </w:r>
      <w:r>
        <w:rPr>
          <w:rFonts w:hint="eastAsia"/>
        </w:rPr>
        <w:t>。对一、二级剪力墙的底部加强部位，竖向连接钢筋的受拉承载力尚不应小于被连接钢筋受拉承载力的1.15倍。</w:t>
      </w:r>
    </w:p>
    <w:p w14:paraId="38257E42">
      <w:pPr>
        <w:pStyle w:val="6"/>
        <w:numPr>
          <w:ilvl w:val="2"/>
          <w:numId w:val="0"/>
        </w:numPr>
      </w:pPr>
      <w:r>
        <w:rPr>
          <w:rFonts w:hint="eastAsia"/>
          <w:color w:val="0070C0"/>
        </w:rPr>
        <w:t>【条文说明】本条规定了固模剪力墙结构中连接钢筋的一般要求。由于搭接长度已考虑了钢筋末端设弯钩的有利影响，因此为确保连接可靠及方便设计，相关连接钢筋的锚固长度均不应考虑“锚固区保护层厚度”和“实际配筋面积大于设计计算面积”的有利影响。</w:t>
      </w:r>
    </w:p>
    <w:p w14:paraId="41E18A49">
      <w:pPr>
        <w:pStyle w:val="6"/>
      </w:pPr>
      <w:r>
        <w:rPr>
          <w:rFonts w:hint="eastAsia"/>
        </w:rPr>
        <w:t>固模剪力墙结构中</w:t>
      </w:r>
      <w:r>
        <w:t>钢筋的锚固、连接</w:t>
      </w:r>
      <w:r>
        <w:rPr>
          <w:rFonts w:hint="eastAsia"/>
        </w:rPr>
        <w:t>及</w:t>
      </w:r>
      <w:r>
        <w:t>受力钢筋的最小配筋率等构造</w:t>
      </w:r>
      <w:r>
        <w:rPr>
          <w:rFonts w:hint="eastAsia"/>
        </w:rPr>
        <w:t>要求</w:t>
      </w:r>
      <w:r>
        <w:t>，除应符合本标准的有关规定外，尚应符合国家</w:t>
      </w:r>
      <w:r>
        <w:rPr>
          <w:rFonts w:hint="eastAsia"/>
        </w:rPr>
        <w:t>及广东省地方</w:t>
      </w:r>
      <w:r>
        <w:t>现行标准</w:t>
      </w:r>
      <w:r>
        <w:rPr>
          <w:rFonts w:hint="eastAsia"/>
        </w:rPr>
        <w:t>的有关</w:t>
      </w:r>
      <w:r>
        <w:t>规定。</w:t>
      </w:r>
    </w:p>
    <w:p w14:paraId="54AEF763">
      <w:pPr>
        <w:pStyle w:val="5"/>
        <w:numPr>
          <w:ilvl w:val="1"/>
          <w:numId w:val="21"/>
        </w:numPr>
        <w:spacing w:before="156" w:beforeLines="50" w:after="156"/>
      </w:pPr>
      <w:bookmarkStart w:id="216" w:name="_Toc20917"/>
      <w:bookmarkStart w:id="217" w:name="_Toc61254079"/>
      <w:bookmarkStart w:id="218" w:name="_Toc475644649"/>
      <w:bookmarkStart w:id="219" w:name="_Toc475644064"/>
      <w:bookmarkStart w:id="220" w:name="_Toc475644457"/>
      <w:bookmarkStart w:id="221" w:name="_Toc475644180"/>
      <w:bookmarkStart w:id="222" w:name="_Toc129374379"/>
      <w:bookmarkStart w:id="223" w:name="_Toc61254036"/>
      <w:r>
        <w:rPr>
          <w:rFonts w:hint="eastAsia"/>
        </w:rPr>
        <w:t>固模剪力墙</w:t>
      </w:r>
      <w:bookmarkEnd w:id="216"/>
      <w:bookmarkEnd w:id="217"/>
      <w:bookmarkEnd w:id="218"/>
      <w:bookmarkEnd w:id="219"/>
      <w:bookmarkEnd w:id="220"/>
      <w:bookmarkEnd w:id="221"/>
      <w:bookmarkEnd w:id="222"/>
      <w:bookmarkEnd w:id="223"/>
    </w:p>
    <w:p w14:paraId="441A3CB6">
      <w:pPr>
        <w:pStyle w:val="6"/>
      </w:pPr>
      <w:r>
        <w:t>空心墙模</w:t>
      </w:r>
      <w:r>
        <w:rPr>
          <w:rFonts w:hint="eastAsia"/>
        </w:rPr>
        <w:t>规格</w:t>
      </w:r>
      <w:r>
        <w:t>应符合下列规定</w:t>
      </w:r>
      <w:r>
        <w:rPr>
          <w:rFonts w:hint="eastAsia"/>
        </w:rPr>
        <w:t>（</w:t>
      </w:r>
      <w:r>
        <w:fldChar w:fldCharType="begin"/>
      </w:r>
      <w:r>
        <w:instrText xml:space="preserve"> REF _Ref58600556 \h  \* MERGEFORMAT </w:instrText>
      </w:r>
      <w:r>
        <w:fldChar w:fldCharType="separate"/>
      </w:r>
      <w:r>
        <w:rPr>
          <w:rFonts w:hint="eastAsia"/>
        </w:rPr>
        <w:t>图</w:t>
      </w:r>
      <w:r>
        <w:t>7.2.1</w:t>
      </w:r>
      <w:r>
        <w:fldChar w:fldCharType="end"/>
      </w:r>
      <w:r>
        <w:rPr>
          <w:rFonts w:hint="eastAsia"/>
        </w:rPr>
        <w:t>）</w:t>
      </w:r>
      <w:r>
        <w:t>：</w:t>
      </w:r>
    </w:p>
    <w:p w14:paraId="7E9CBB03">
      <w:pPr>
        <w:pStyle w:val="7"/>
        <w:numPr>
          <w:ilvl w:val="0"/>
          <w:numId w:val="23"/>
        </w:numPr>
      </w:pPr>
      <w:r>
        <w:rPr>
          <w:rFonts w:hint="eastAsia"/>
        </w:rPr>
        <w:t>空心墙模标准板的高度</w:t>
      </w:r>
      <w:r>
        <w:rPr>
          <w:rFonts w:hint="eastAsia"/>
          <w:i/>
        </w:rPr>
        <w:t>H</w:t>
      </w:r>
      <w:r>
        <w:rPr>
          <w:rFonts w:hint="eastAsia"/>
        </w:rPr>
        <w:t>为结构层高减去楼板厚度，不宜大于3</w:t>
      </w:r>
      <w:r>
        <w:t>600</w:t>
      </w:r>
      <w:r>
        <w:rPr>
          <w:rFonts w:hint="eastAsia"/>
        </w:rPr>
        <w:t>mm。空心墙模标准板的标志宽度</w:t>
      </w:r>
      <w:r>
        <w:rPr>
          <w:rFonts w:hint="eastAsia"/>
          <w:i/>
        </w:rPr>
        <w:t>L</w:t>
      </w:r>
      <w:r>
        <w:rPr>
          <w:rFonts w:hint="eastAsia"/>
        </w:rPr>
        <w:t>=1</w:t>
      </w:r>
      <w:r>
        <w:t>200</w:t>
      </w:r>
      <w:r>
        <w:rPr>
          <w:rFonts w:hint="eastAsia"/>
        </w:rPr>
        <w:t>mm；非标板通过标准板裁切形成，非标板标志宽度不宜小于4</w:t>
      </w:r>
      <w:r>
        <w:t>00</w:t>
      </w:r>
      <w:r>
        <w:rPr>
          <w:rFonts w:hint="eastAsia"/>
        </w:rPr>
        <w:t>mm；实际宽度宜为标志宽度减去2</w:t>
      </w:r>
      <w:r>
        <w:t>0</w:t>
      </w:r>
      <w:r>
        <w:rPr>
          <w:rFonts w:hint="eastAsia"/>
        </w:rPr>
        <w:t>mm；</w:t>
      </w:r>
    </w:p>
    <w:p w14:paraId="25C65793">
      <w:pPr>
        <w:pStyle w:val="7"/>
        <w:numPr>
          <w:ilvl w:val="0"/>
          <w:numId w:val="23"/>
        </w:numPr>
      </w:pPr>
      <w:r>
        <w:rPr>
          <w:rFonts w:hint="eastAsia"/>
        </w:rPr>
        <w:t>空心墙模的厚度</w:t>
      </w:r>
      <w:r>
        <w:rPr>
          <w:rFonts w:hint="eastAsia"/>
          <w:i/>
        </w:rPr>
        <w:t>B</w:t>
      </w:r>
      <w:r>
        <w:rPr>
          <w:rFonts w:hint="eastAsia"/>
        </w:rPr>
        <w:t>不宜小于200mm，最小壁厚</w:t>
      </w:r>
      <w:r>
        <w:rPr>
          <w:rFonts w:hint="eastAsia"/>
          <w:i/>
        </w:rPr>
        <w:t>b</w:t>
      </w:r>
      <w:r>
        <w:rPr>
          <w:vertAlign w:val="subscript"/>
        </w:rPr>
        <w:t>1</w:t>
      </w:r>
      <w:r>
        <w:rPr>
          <w:rFonts w:hint="eastAsia"/>
        </w:rPr>
        <w:t>不宜小于40mm，双向布置的孔洞间混凝土宽度</w:t>
      </w:r>
      <w:r>
        <w:rPr>
          <w:rFonts w:hint="eastAsia"/>
          <w:i/>
        </w:rPr>
        <w:t>h</w:t>
      </w:r>
      <w:r>
        <w:rPr>
          <w:vertAlign w:val="subscript"/>
        </w:rPr>
        <w:t>1</w:t>
      </w:r>
      <w:r>
        <w:rPr>
          <w:rFonts w:hint="eastAsia"/>
        </w:rPr>
        <w:t>、</w:t>
      </w:r>
      <w:r>
        <w:rPr>
          <w:rFonts w:hint="eastAsia"/>
          <w:i/>
        </w:rPr>
        <w:t>l</w:t>
      </w:r>
      <w:r>
        <w:rPr>
          <w:vertAlign w:val="subscript"/>
        </w:rPr>
        <w:t>1</w:t>
      </w:r>
      <w:r>
        <w:rPr>
          <w:rFonts w:hint="eastAsia"/>
        </w:rPr>
        <w:t>不应小于8</w:t>
      </w:r>
      <w:r>
        <w:t>0</w:t>
      </w:r>
      <w:r>
        <w:rPr>
          <w:rFonts w:hint="eastAsia"/>
        </w:rPr>
        <w:t>mm、并不宜大于1</w:t>
      </w:r>
      <w:r>
        <w:t>00</w:t>
      </w:r>
      <w:r>
        <w:rPr>
          <w:rFonts w:hint="eastAsia"/>
        </w:rPr>
        <w:t>mm，孔洞边长或直径</w:t>
      </w:r>
      <w:r>
        <w:rPr>
          <w:rFonts w:hint="eastAsia"/>
          <w:i/>
        </w:rPr>
        <w:t>h</w:t>
      </w:r>
      <w:r>
        <w:rPr>
          <w:vertAlign w:val="subscript"/>
        </w:rPr>
        <w:t>2</w:t>
      </w:r>
      <w:r>
        <w:rPr>
          <w:rFonts w:hint="eastAsia"/>
        </w:rPr>
        <w:t>、</w:t>
      </w:r>
      <w:r>
        <w:rPr>
          <w:rFonts w:hint="eastAsia"/>
          <w:i/>
        </w:rPr>
        <w:t>l</w:t>
      </w:r>
      <w:r>
        <w:rPr>
          <w:vertAlign w:val="subscript"/>
        </w:rPr>
        <w:t>2</w:t>
      </w:r>
      <w:r>
        <w:rPr>
          <w:rFonts w:hint="eastAsia"/>
        </w:rPr>
        <w:t>不宜小于100mm；</w:t>
      </w:r>
    </w:p>
    <w:p w14:paraId="0499253D">
      <w:pPr>
        <w:pStyle w:val="7"/>
        <w:numPr>
          <w:ilvl w:val="0"/>
          <w:numId w:val="12"/>
        </w:numPr>
      </w:pPr>
      <w:r>
        <w:rPr>
          <w:rFonts w:hint="eastAsia"/>
        </w:rPr>
        <w:t>空心墙模四周应设计为凹槽，顶部和两侧凹槽深度</w:t>
      </w:r>
      <w:r>
        <w:rPr>
          <w:rFonts w:hint="eastAsia"/>
          <w:i/>
        </w:rPr>
        <w:t>a</w:t>
      </w:r>
      <w:r>
        <w:rPr>
          <w:vertAlign w:val="subscript"/>
        </w:rPr>
        <w:t>1</w:t>
      </w:r>
      <w:r>
        <w:rPr>
          <w:rFonts w:hint="eastAsia"/>
          <w:vertAlign w:val="subscript"/>
        </w:rPr>
        <w:t>、</w:t>
      </w:r>
      <w:r>
        <w:rPr>
          <w:rFonts w:hint="eastAsia"/>
          <w:i/>
        </w:rPr>
        <w:t>a</w:t>
      </w:r>
      <w:r>
        <w:rPr>
          <w:vertAlign w:val="subscript"/>
        </w:rPr>
        <w:t>2</w:t>
      </w:r>
      <w:r>
        <w:rPr>
          <w:rFonts w:hint="eastAsia"/>
        </w:rPr>
        <w:t>不宜小于20mm，底部凹槽深度</w:t>
      </w:r>
      <w:r>
        <w:rPr>
          <w:rFonts w:hint="eastAsia"/>
          <w:i/>
        </w:rPr>
        <w:t>a</w:t>
      </w:r>
      <w:r>
        <w:rPr>
          <w:vertAlign w:val="subscript"/>
        </w:rPr>
        <w:t>3</w:t>
      </w:r>
      <w:r>
        <w:rPr>
          <w:rFonts w:hint="eastAsia"/>
        </w:rPr>
        <w:t>不宜小于</w:t>
      </w:r>
      <w:r>
        <w:t>5</w:t>
      </w:r>
      <w:r>
        <w:rPr>
          <w:rFonts w:hint="eastAsia"/>
        </w:rPr>
        <w:t>0mm。凹槽开口宽度</w:t>
      </w:r>
      <w:r>
        <w:rPr>
          <w:rFonts w:hint="eastAsia"/>
          <w:i/>
        </w:rPr>
        <w:t>b</w:t>
      </w:r>
      <w:r>
        <w:rPr>
          <w:vertAlign w:val="subscript"/>
        </w:rPr>
        <w:t>2</w:t>
      </w:r>
      <w:r>
        <w:rPr>
          <w:rFonts w:hint="eastAsia"/>
        </w:rPr>
        <w:t>不宜小于100mm；</w:t>
      </w:r>
    </w:p>
    <w:p w14:paraId="40B8938E">
      <w:pPr>
        <w:pStyle w:val="7"/>
        <w:numPr>
          <w:ilvl w:val="0"/>
          <w:numId w:val="12"/>
        </w:numPr>
      </w:pPr>
      <w:r>
        <w:rPr>
          <w:rFonts w:hint="eastAsia"/>
        </w:rPr>
        <w:t>空心墙模底部凹槽侧壁宜设置齿脚，齿脚高度</w:t>
      </w:r>
      <w:r>
        <w:rPr>
          <w:rFonts w:hint="eastAsia"/>
          <w:i/>
        </w:rPr>
        <w:t>a</w:t>
      </w:r>
      <w:r>
        <w:rPr>
          <w:vertAlign w:val="subscript"/>
        </w:rPr>
        <w:t>4</w:t>
      </w:r>
      <w:r>
        <w:rPr>
          <w:rFonts w:hint="eastAsia"/>
        </w:rPr>
        <w:t>不宜小于25mm；</w:t>
      </w:r>
    </w:p>
    <w:p w14:paraId="3B2269B0">
      <w:pPr>
        <w:pStyle w:val="7"/>
        <w:numPr>
          <w:ilvl w:val="0"/>
          <w:numId w:val="12"/>
        </w:numPr>
      </w:pPr>
      <w:r>
        <w:rPr>
          <w:rFonts w:hint="eastAsia"/>
        </w:rPr>
        <w:t>空心墙模两侧及顶面凹槽侧壁应设置粗糙面或键槽，粗糙面凸凹深度不宜小于4mm，键槽深度不宜小于</w:t>
      </w:r>
      <w:r>
        <w:t>6</w:t>
      </w:r>
      <w:r>
        <w:rPr>
          <w:rFonts w:hint="eastAsia"/>
        </w:rPr>
        <w:t>mm；</w:t>
      </w:r>
    </w:p>
    <w:p w14:paraId="155304F5">
      <w:pPr>
        <w:pStyle w:val="7"/>
        <w:numPr>
          <w:ilvl w:val="0"/>
          <w:numId w:val="12"/>
        </w:numPr>
      </w:pPr>
      <w:r>
        <w:rPr>
          <w:rFonts w:hint="eastAsia"/>
        </w:rPr>
        <w:t>空心墙模外壁受力钢筋的混凝土保护层厚度不应小于1</w:t>
      </w:r>
      <w:r>
        <w:t>5</w:t>
      </w:r>
      <w:r>
        <w:rPr>
          <w:rFonts w:hint="eastAsia"/>
        </w:rPr>
        <w:t>mm，内壁混凝土保护层厚度不应小于</w:t>
      </w:r>
      <w:r>
        <w:t>5</w:t>
      </w:r>
      <w:r>
        <w:rPr>
          <w:rFonts w:hint="eastAsia"/>
        </w:rPr>
        <w:t>mm，不应大于2</w:t>
      </w:r>
      <w:r>
        <w:t>0</w:t>
      </w:r>
      <w:r>
        <w:rPr>
          <w:rFonts w:hint="eastAsia"/>
        </w:rPr>
        <w:t>mm。</w:t>
      </w:r>
    </w:p>
    <w:p w14:paraId="56E11C87">
      <w:pPr>
        <w:pStyle w:val="86"/>
        <w:spacing w:before="156"/>
      </w:pPr>
      <w:r>
        <w:rPr>
          <w:lang w:val="en-US" w:eastAsia="zh-CN"/>
        </w:rPr>
        <w:drawing>
          <wp:inline distT="0" distB="0" distL="114300" distR="114300">
            <wp:extent cx="3740150" cy="2922905"/>
            <wp:effectExtent l="0" t="0" r="12700" b="1079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61"/>
                    <a:stretch>
                      <a:fillRect/>
                    </a:stretch>
                  </pic:blipFill>
                  <pic:spPr>
                    <a:xfrm>
                      <a:off x="0" y="0"/>
                      <a:ext cx="3740150" cy="2922905"/>
                    </a:xfrm>
                    <a:prstGeom prst="rect">
                      <a:avLst/>
                    </a:prstGeom>
                    <a:noFill/>
                    <a:ln>
                      <a:noFill/>
                    </a:ln>
                  </pic:spPr>
                </pic:pic>
              </a:graphicData>
            </a:graphic>
          </wp:inline>
        </w:drawing>
      </w:r>
    </w:p>
    <w:p w14:paraId="15770FBE">
      <w:pPr>
        <w:pStyle w:val="71"/>
        <w:spacing w:before="78" w:after="78"/>
        <w:rPr>
          <w:rFonts w:hint="eastAsia"/>
        </w:rPr>
      </w:pPr>
      <w:bookmarkStart w:id="224" w:name="_Ref58600556"/>
      <w:bookmarkStart w:id="225" w:name="_Ref58600549"/>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7.2.1</w:t>
      </w:r>
      <w:r>
        <w:fldChar w:fldCharType="end"/>
      </w:r>
      <w:bookmarkEnd w:id="224"/>
      <w:r>
        <w:rPr>
          <w:rFonts w:hint="eastAsia"/>
        </w:rPr>
        <w:t xml:space="preserve"> </w:t>
      </w:r>
      <w:r>
        <w:t xml:space="preserve"> 空心墙模</w:t>
      </w:r>
      <w:r>
        <w:rPr>
          <w:rFonts w:hint="eastAsia"/>
        </w:rPr>
        <w:t>规格</w:t>
      </w:r>
      <w:bookmarkEnd w:id="225"/>
    </w:p>
    <w:p w14:paraId="610D11E3">
      <w:pPr>
        <w:pStyle w:val="6"/>
        <w:numPr>
          <w:ilvl w:val="2"/>
          <w:numId w:val="0"/>
        </w:numPr>
        <w:rPr>
          <w:rFonts w:hint="eastAsia"/>
          <w:color w:val="0070C0"/>
        </w:rPr>
      </w:pPr>
      <w:r>
        <w:rPr>
          <w:rFonts w:hint="eastAsia"/>
          <w:color w:val="0070C0"/>
        </w:rPr>
        <w:t>【条文说明】空心墙模水平方向和竖直方向通长孔洞的形状和尺寸可根据工程需要进行设计，本条对其构造的基本要求做了规定。空心墙模一般设计为条板以利于标准化生产，本条主要针对这种标准化条板进行构造规定。空心墙模也可以根据工程需要做成大板，大板空心墙模规格及尺寸要求需另行设计。</w:t>
      </w:r>
    </w:p>
    <w:p w14:paraId="41A4D5E9">
      <w:pPr>
        <w:pStyle w:val="6"/>
        <w:numPr>
          <w:ilvl w:val="2"/>
          <w:numId w:val="0"/>
        </w:numPr>
        <w:ind w:firstLine="420" w:firstLineChars="200"/>
        <w:rPr>
          <w:rFonts w:hint="eastAsia"/>
        </w:rPr>
      </w:pPr>
      <w:r>
        <w:rPr>
          <w:rFonts w:hint="eastAsia"/>
          <w:color w:val="0070C0"/>
        </w:rPr>
        <w:t>空心墙模沿竖向和横向均可以裁切，裁切宜沿有孔洞位置进行。</w:t>
      </w:r>
    </w:p>
    <w:p w14:paraId="67D28687">
      <w:pPr>
        <w:pStyle w:val="6"/>
      </w:pPr>
      <w:r>
        <w:t>空心墙模内</w:t>
      </w:r>
      <w:r>
        <w:rPr>
          <w:rFonts w:hint="eastAsia"/>
        </w:rPr>
        <w:t>预置的</w:t>
      </w:r>
      <w:r>
        <w:t>竖向钢筋</w:t>
      </w:r>
      <w:r>
        <w:rPr>
          <w:rFonts w:hint="eastAsia"/>
        </w:rPr>
        <w:t>应</w:t>
      </w:r>
      <w:r>
        <w:t>作为墙体竖向分布钢筋</w:t>
      </w:r>
      <w:r>
        <w:rPr>
          <w:rFonts w:hint="eastAsia"/>
        </w:rPr>
        <w:t>，竖向钢筋直径及间距应满足国家现行标准对</w:t>
      </w:r>
      <w:r>
        <w:t>墙体竖向分布钢筋</w:t>
      </w:r>
      <w:r>
        <w:rPr>
          <w:rFonts w:hint="eastAsia"/>
        </w:rPr>
        <w:t>的相关要求；墙体水平分布钢筋直径、间距及其</w:t>
      </w:r>
      <w:r>
        <w:t>锚固和连接应符合</w:t>
      </w:r>
      <w:r>
        <w:rPr>
          <w:rFonts w:hint="eastAsia"/>
        </w:rPr>
        <w:t>国家现行有关标准的规定。空心墙模内现场穿设的墙体水平分布钢筋应可靠定位，钢筋与空心墙模内壁的距离不应小于5mm，不应大于1</w:t>
      </w:r>
      <w:r>
        <w:t>5</w:t>
      </w:r>
      <w:r>
        <w:rPr>
          <w:rFonts w:hint="eastAsia"/>
        </w:rPr>
        <w:t>mm。空心墙模内两侧钢筋网片之间应设置拉筋，拉筋直径不应小于6mm，双向间距不应小于400mm，拉筋应同时勾住竖向钢筋和水平钢筋（或钢丝）。</w:t>
      </w:r>
    </w:p>
    <w:p w14:paraId="0FEB3668">
      <w:pPr>
        <w:pStyle w:val="6"/>
        <w:numPr>
          <w:ilvl w:val="2"/>
          <w:numId w:val="0"/>
        </w:numPr>
      </w:pPr>
      <w:r>
        <w:rPr>
          <w:rFonts w:hint="eastAsia"/>
          <w:color w:val="0070C0"/>
        </w:rPr>
        <w:t>【条文说明】本条对固模剪力墙的分布钢筋进行了规定。当空心墙模采用标准条板形式时，空心墙模内水平钢筋或钢丝一般仅起构造作用，墙体水平分布钢筋需现场穿设于空心墙模水平孔内。当空心墙模采用大板形式时，其内部预置水平钢筋也可作为墙体水平分布钢筋（配筋量不足时在空心墙模水平孔内另行穿设），空心墙模之间、空心墙模与现浇边缘构件之间应在水平方向有可靠连接。</w:t>
      </w:r>
    </w:p>
    <w:p w14:paraId="0B9397F5">
      <w:pPr>
        <w:pStyle w:val="6"/>
      </w:pPr>
      <w:r>
        <w:rPr>
          <w:rFonts w:hint="eastAsia"/>
        </w:rPr>
        <w:t>同一</w:t>
      </w:r>
      <w:r>
        <w:t>墙</w:t>
      </w:r>
      <w:r>
        <w:rPr>
          <w:rFonts w:hint="eastAsia"/>
        </w:rPr>
        <w:t>肢中连续排布的空心墙模长度不宜超过3.</w:t>
      </w:r>
      <w:r>
        <w:t>6</w:t>
      </w:r>
      <w:r>
        <w:rPr>
          <w:rFonts w:hint="eastAsia"/>
        </w:rPr>
        <w:t>m，超过时应加设现浇暗柱，暗柱宽度不应小于墙厚且不小于200mm，暗柱内应设置不少于4根竖向钢筋，钢筋直径不应小于空心墙模内竖向分布钢筋直径；箍筋直径不应小于空心墙模内穿设的横向分布钢筋直径，箍筋间距不应大于横向分布钢筋间距。不设暗柱的相邻空心墙模间的</w:t>
      </w:r>
      <w:r>
        <w:t>竖向接缝宽度不应小于20mm</w:t>
      </w:r>
      <w:r>
        <w:rPr>
          <w:rFonts w:hint="eastAsia"/>
        </w:rPr>
        <w:t>，空心墙模水平孔内贯通配置的墙体水平钢筋应在接缝处进行固定，确保钢筋位置正确。</w:t>
      </w:r>
    </w:p>
    <w:p w14:paraId="4703445C">
      <w:pPr>
        <w:pStyle w:val="6"/>
        <w:numPr>
          <w:ilvl w:val="2"/>
          <w:numId w:val="0"/>
        </w:numPr>
      </w:pPr>
      <w:r>
        <w:rPr>
          <w:rFonts w:hint="eastAsia"/>
          <w:color w:val="0070C0"/>
        </w:rPr>
        <w:t>【条文说明】针对竖向接缝构造，本标准编制组进行的带竖向接缝固模剪力墙受力性能试验结果证明其能够满足受力要求，便于施工。</w:t>
      </w:r>
    </w:p>
    <w:p w14:paraId="717D43AF">
      <w:pPr>
        <w:pStyle w:val="6"/>
      </w:pPr>
      <w:r>
        <w:rPr>
          <w:rFonts w:hint="eastAsia"/>
        </w:rPr>
        <w:t>当</w:t>
      </w:r>
      <w:r>
        <w:t>固模剪力墙</w:t>
      </w:r>
      <w:r>
        <w:rPr>
          <w:rFonts w:hint="eastAsia"/>
        </w:rPr>
        <w:t>非边缘部位设有现浇混凝土扶壁柱或暗柱时，固模剪力墙与现浇柱应有可靠连接，应符合下列规定：</w:t>
      </w:r>
    </w:p>
    <w:p w14:paraId="1D72110F">
      <w:pPr>
        <w:pStyle w:val="7"/>
        <w:numPr>
          <w:ilvl w:val="0"/>
          <w:numId w:val="24"/>
        </w:numPr>
      </w:pPr>
      <w:r>
        <w:rPr>
          <w:rFonts w:hint="eastAsia"/>
        </w:rPr>
        <w:t>扶壁柱或暗柱中与墙体水平钢筋对应位置宜设置封闭箍筋；</w:t>
      </w:r>
    </w:p>
    <w:p w14:paraId="428B4497">
      <w:pPr>
        <w:pStyle w:val="7"/>
        <w:numPr>
          <w:ilvl w:val="0"/>
          <w:numId w:val="24"/>
        </w:numPr>
      </w:pPr>
      <w:r>
        <w:rPr>
          <w:rFonts w:hint="eastAsia"/>
        </w:rPr>
        <w:t>空心墙模水平孔内的墙体水平钢筋宜穿过现浇柱贯通配置（</w:t>
      </w:r>
      <w:r>
        <w:fldChar w:fldCharType="begin"/>
      </w:r>
      <w:r>
        <w:rPr>
          <w:rFonts w:hint="eastAsia"/>
        </w:rPr>
        <w:instrText xml:space="preserve">REF _Ref34389351 \h</w:instrText>
      </w:r>
      <w:r>
        <w:instrText xml:space="preserve"> \* MERGEFORMAT </w:instrText>
      </w:r>
      <w:r>
        <w:fldChar w:fldCharType="separate"/>
      </w:r>
      <w:r>
        <w:rPr>
          <w:rFonts w:hint="eastAsia"/>
        </w:rPr>
        <w:t>图</w:t>
      </w:r>
      <w:r>
        <w:t>7.2.4</w:t>
      </w:r>
      <w:r>
        <w:noBreakHyphen/>
      </w:r>
      <w:r>
        <w:t>1</w:t>
      </w:r>
      <w:r>
        <w:fldChar w:fldCharType="end"/>
      </w:r>
      <w:r>
        <w:rPr>
          <w:rFonts w:hint="eastAsia"/>
        </w:rPr>
        <w:t>）；</w:t>
      </w:r>
      <w:r>
        <w:rPr>
          <w:rFonts w:hint="eastAsia"/>
          <w:spacing w:val="-4"/>
        </w:rPr>
        <w:t>当现浇柱宽</w:t>
      </w:r>
      <w:r>
        <w:rPr>
          <w:rFonts w:hint="eastAsia"/>
          <w:i/>
          <w:spacing w:val="-4"/>
        </w:rPr>
        <w:t>L</w:t>
      </w:r>
      <w:r>
        <w:rPr>
          <w:rFonts w:hint="eastAsia"/>
          <w:spacing w:val="-4"/>
          <w:vertAlign w:val="subscript"/>
        </w:rPr>
        <w:t>z</w:t>
      </w:r>
      <w:r>
        <w:rPr>
          <w:rFonts w:hint="eastAsia"/>
          <w:spacing w:val="-4"/>
        </w:rPr>
        <w:t>大于4</w:t>
      </w:r>
      <w:r>
        <w:rPr>
          <w:spacing w:val="-4"/>
        </w:rPr>
        <w:t>00</w:t>
      </w:r>
      <w:r>
        <w:rPr>
          <w:rFonts w:hint="eastAsia"/>
          <w:spacing w:val="-4"/>
        </w:rPr>
        <w:t>mm时，可不贯通设置，墙体水平钢筋伸入现浇柱核心区内长度不应小于</w:t>
      </w:r>
      <w:r>
        <w:rPr>
          <w:rFonts w:hint="eastAsia"/>
          <w:i/>
          <w:spacing w:val="-4"/>
        </w:rPr>
        <w:t>l</w:t>
      </w:r>
      <w:r>
        <w:rPr>
          <w:rFonts w:hint="eastAsia"/>
          <w:spacing w:val="-4"/>
          <w:vertAlign w:val="subscript"/>
        </w:rPr>
        <w:t>aE</w:t>
      </w:r>
      <w:r>
        <w:rPr>
          <w:rFonts w:hint="eastAsia"/>
          <w:spacing w:val="-4"/>
        </w:rPr>
        <w:t>（</w:t>
      </w:r>
      <w:r>
        <w:rPr>
          <w:spacing w:val="-4"/>
        </w:rPr>
        <w:fldChar w:fldCharType="begin"/>
      </w:r>
      <w:r>
        <w:rPr>
          <w:rFonts w:hint="eastAsia"/>
          <w:spacing w:val="-4"/>
        </w:rPr>
        <w:instrText xml:space="preserve">REF _Ref34389369 \h</w:instrText>
      </w:r>
      <w:r>
        <w:rPr>
          <w:spacing w:val="-4"/>
        </w:rPr>
        <w:instrText xml:space="preserve"> \* MERGEFORMAT </w:instrText>
      </w:r>
      <w:r>
        <w:rPr>
          <w:spacing w:val="-4"/>
        </w:rPr>
        <w:fldChar w:fldCharType="separate"/>
      </w:r>
      <w:r>
        <w:rPr>
          <w:rFonts w:hint="eastAsia"/>
          <w:spacing w:val="-4"/>
        </w:rPr>
        <w:t>图</w:t>
      </w:r>
      <w:r>
        <w:rPr>
          <w:spacing w:val="-4"/>
        </w:rPr>
        <w:t>7.2.4</w:t>
      </w:r>
      <w:r>
        <w:rPr>
          <w:spacing w:val="-4"/>
        </w:rPr>
        <w:noBreakHyphen/>
      </w:r>
      <w:r>
        <w:rPr>
          <w:spacing w:val="-4"/>
        </w:rPr>
        <w:t>2</w:t>
      </w:r>
      <w:r>
        <w:rPr>
          <w:spacing w:val="-4"/>
        </w:rPr>
        <w:fldChar w:fldCharType="end"/>
      </w:r>
      <w:r>
        <w:rPr>
          <w:rFonts w:hint="eastAsia"/>
          <w:spacing w:val="-4"/>
        </w:rPr>
        <w:t>）。</w:t>
      </w:r>
    </w:p>
    <w:p w14:paraId="1E935C38">
      <w:pPr>
        <w:pStyle w:val="86"/>
        <w:spacing w:beforeLines="0"/>
      </w:pPr>
      <w:r>
        <w:rPr>
          <w:lang w:val="en-US" w:eastAsia="zh-CN"/>
        </w:rPr>
        <w:drawing>
          <wp:inline distT="0" distB="0" distL="114300" distR="114300">
            <wp:extent cx="2623820" cy="951230"/>
            <wp:effectExtent l="0" t="0" r="5080" b="127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62"/>
                    <a:stretch>
                      <a:fillRect/>
                    </a:stretch>
                  </pic:blipFill>
                  <pic:spPr>
                    <a:xfrm>
                      <a:off x="0" y="0"/>
                      <a:ext cx="2623820" cy="951230"/>
                    </a:xfrm>
                    <a:prstGeom prst="rect">
                      <a:avLst/>
                    </a:prstGeom>
                    <a:noFill/>
                    <a:ln>
                      <a:noFill/>
                    </a:ln>
                  </pic:spPr>
                </pic:pic>
              </a:graphicData>
            </a:graphic>
          </wp:inline>
        </w:drawing>
      </w:r>
    </w:p>
    <w:p w14:paraId="4DC09A71">
      <w:pPr>
        <w:pStyle w:val="123"/>
        <w:spacing w:before="78" w:after="78"/>
        <w:ind w:firstLine="2520" w:firstLineChars="1400"/>
      </w:pPr>
      <w:r>
        <w:t xml:space="preserve">(a) </w:t>
      </w:r>
      <w:r>
        <w:rPr>
          <w:rFonts w:hint="eastAsia"/>
        </w:rPr>
        <w:t>暗柱</w:t>
      </w:r>
    </w:p>
    <w:p w14:paraId="21A7EBBA">
      <w:pPr>
        <w:pStyle w:val="86"/>
        <w:spacing w:before="156"/>
      </w:pPr>
      <w:r>
        <w:rPr>
          <w:lang w:val="en-US" w:eastAsia="zh-CN"/>
        </w:rPr>
        <w:drawing>
          <wp:inline distT="0" distB="0" distL="114300" distR="114300">
            <wp:extent cx="2675255" cy="1346835"/>
            <wp:effectExtent l="0" t="0" r="10795" b="571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63"/>
                    <a:stretch>
                      <a:fillRect/>
                    </a:stretch>
                  </pic:blipFill>
                  <pic:spPr>
                    <a:xfrm>
                      <a:off x="0" y="0"/>
                      <a:ext cx="2675255" cy="1346835"/>
                    </a:xfrm>
                    <a:prstGeom prst="rect">
                      <a:avLst/>
                    </a:prstGeom>
                    <a:noFill/>
                    <a:ln>
                      <a:noFill/>
                    </a:ln>
                  </pic:spPr>
                </pic:pic>
              </a:graphicData>
            </a:graphic>
          </wp:inline>
        </w:drawing>
      </w:r>
    </w:p>
    <w:p w14:paraId="7B80F58D">
      <w:pPr>
        <w:pStyle w:val="123"/>
        <w:spacing w:beforeLines="0" w:after="78"/>
        <w:ind w:firstLine="2520" w:firstLineChars="1400"/>
      </w:pPr>
      <w:r>
        <w:t>(</w:t>
      </w:r>
      <w:r>
        <w:rPr>
          <w:rFonts w:hint="eastAsia"/>
        </w:rPr>
        <w:t>b</w:t>
      </w:r>
      <w:r>
        <w:t xml:space="preserve">) </w:t>
      </w:r>
      <w:r>
        <w:rPr>
          <w:rFonts w:hint="eastAsia"/>
        </w:rPr>
        <w:t>扶壁柱</w:t>
      </w:r>
    </w:p>
    <w:p w14:paraId="52019624">
      <w:pPr>
        <w:pStyle w:val="71"/>
        <w:spacing w:before="78" w:after="78"/>
      </w:pPr>
      <w:bookmarkStart w:id="226" w:name="_Ref34389351"/>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7.2.4</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bookmarkEnd w:id="226"/>
      <w:r>
        <w:rPr>
          <w:rFonts w:hint="eastAsia"/>
        </w:rPr>
        <w:t>墙体水平筋贯通配置</w:t>
      </w:r>
    </w:p>
    <w:p w14:paraId="6FCF0F1F">
      <w:pPr>
        <w:pStyle w:val="80"/>
        <w:spacing w:before="78" w:after="78"/>
        <w:rPr>
          <w:rFonts w:hint="eastAsia"/>
        </w:rPr>
      </w:pPr>
      <w:r>
        <w:rPr>
          <w:rFonts w:hint="eastAsia"/>
        </w:rPr>
        <w:t>注：图中尺寸单位为mm。</w:t>
      </w:r>
    </w:p>
    <w:p w14:paraId="72952223">
      <w:pPr>
        <w:pStyle w:val="80"/>
        <w:spacing w:before="78" w:after="78"/>
      </w:pPr>
      <w:r>
        <w:t>1—</w:t>
      </w:r>
      <w:r>
        <w:rPr>
          <w:rFonts w:hint="eastAsia"/>
        </w:rPr>
        <w:t>空心墙模</w:t>
      </w:r>
      <w:r>
        <w:t>；</w:t>
      </w:r>
      <w:r>
        <w:rPr>
          <w:rFonts w:hint="eastAsia"/>
        </w:rPr>
        <w:t>2</w:t>
      </w:r>
      <w:r>
        <w:t>—</w:t>
      </w:r>
      <w:r>
        <w:rPr>
          <w:rFonts w:hint="eastAsia"/>
        </w:rPr>
        <w:t>暗柱或扶壁柱</w:t>
      </w:r>
      <w:r>
        <w:t>；</w:t>
      </w:r>
      <w:r>
        <w:rPr>
          <w:rFonts w:hint="eastAsia"/>
        </w:rPr>
        <w:t>3</w:t>
      </w:r>
      <w:r>
        <w:t>—</w:t>
      </w:r>
      <w:r>
        <w:rPr>
          <w:rFonts w:hint="eastAsia"/>
        </w:rPr>
        <w:t>柱封闭箍筋；4</w:t>
      </w:r>
      <w:r>
        <w:t>—</w:t>
      </w:r>
      <w:r>
        <w:rPr>
          <w:rFonts w:hint="eastAsia"/>
        </w:rPr>
        <w:t>墙体水平钢筋</w:t>
      </w:r>
    </w:p>
    <w:p w14:paraId="0D07B8AD">
      <w:pPr>
        <w:pStyle w:val="86"/>
        <w:spacing w:before="156"/>
      </w:pPr>
      <w:r>
        <w:rPr>
          <w:lang w:val="en-US" w:eastAsia="zh-CN"/>
        </w:rPr>
        <w:drawing>
          <wp:inline distT="0" distB="0" distL="114300" distR="114300">
            <wp:extent cx="2675255" cy="1212850"/>
            <wp:effectExtent l="0" t="0" r="10795" b="635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64"/>
                    <a:stretch>
                      <a:fillRect/>
                    </a:stretch>
                  </pic:blipFill>
                  <pic:spPr>
                    <a:xfrm>
                      <a:off x="0" y="0"/>
                      <a:ext cx="2675255" cy="1212850"/>
                    </a:xfrm>
                    <a:prstGeom prst="rect">
                      <a:avLst/>
                    </a:prstGeom>
                    <a:noFill/>
                    <a:ln>
                      <a:noFill/>
                    </a:ln>
                  </pic:spPr>
                </pic:pic>
              </a:graphicData>
            </a:graphic>
          </wp:inline>
        </w:drawing>
      </w:r>
    </w:p>
    <w:p w14:paraId="3B8C3748">
      <w:pPr>
        <w:pStyle w:val="123"/>
        <w:spacing w:beforeLines="0" w:after="78"/>
        <w:ind w:firstLine="2700" w:firstLineChars="1500"/>
      </w:pPr>
      <w:r>
        <w:t xml:space="preserve">(a) </w:t>
      </w:r>
      <w:r>
        <w:rPr>
          <w:rFonts w:hint="eastAsia"/>
        </w:rPr>
        <w:t>暗柱</w:t>
      </w:r>
    </w:p>
    <w:p w14:paraId="29998493">
      <w:pPr>
        <w:pStyle w:val="86"/>
        <w:spacing w:before="156"/>
      </w:pPr>
      <w:r>
        <w:rPr>
          <w:lang w:val="en-US" w:eastAsia="zh-CN"/>
        </w:rPr>
        <w:drawing>
          <wp:inline distT="0" distB="0" distL="114300" distR="114300">
            <wp:extent cx="2677160" cy="1439545"/>
            <wp:effectExtent l="0" t="0" r="8890" b="8255"/>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65"/>
                    <a:stretch>
                      <a:fillRect/>
                    </a:stretch>
                  </pic:blipFill>
                  <pic:spPr>
                    <a:xfrm>
                      <a:off x="0" y="0"/>
                      <a:ext cx="2677160" cy="1439545"/>
                    </a:xfrm>
                    <a:prstGeom prst="rect">
                      <a:avLst/>
                    </a:prstGeom>
                    <a:noFill/>
                    <a:ln>
                      <a:noFill/>
                    </a:ln>
                  </pic:spPr>
                </pic:pic>
              </a:graphicData>
            </a:graphic>
          </wp:inline>
        </w:drawing>
      </w:r>
    </w:p>
    <w:p w14:paraId="63B01E22">
      <w:pPr>
        <w:pStyle w:val="123"/>
        <w:spacing w:beforeLines="0" w:after="78"/>
        <w:ind w:firstLine="2700" w:firstLineChars="1500"/>
      </w:pPr>
      <w:r>
        <w:t>(</w:t>
      </w:r>
      <w:r>
        <w:rPr>
          <w:rFonts w:hint="eastAsia"/>
        </w:rPr>
        <w:t>b</w:t>
      </w:r>
      <w:r>
        <w:t xml:space="preserve">) </w:t>
      </w:r>
      <w:r>
        <w:rPr>
          <w:rFonts w:hint="eastAsia"/>
        </w:rPr>
        <w:t>扶壁柱</w:t>
      </w:r>
    </w:p>
    <w:p w14:paraId="3E2863A8">
      <w:pPr>
        <w:pStyle w:val="71"/>
        <w:spacing w:before="78" w:after="78"/>
      </w:pPr>
      <w:bookmarkStart w:id="227" w:name="_Ref34389369"/>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7.2.4</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2</w:t>
      </w:r>
      <w:r>
        <w:fldChar w:fldCharType="end"/>
      </w:r>
      <w:bookmarkEnd w:id="227"/>
      <w:r>
        <w:rPr>
          <w:rFonts w:hint="eastAsia"/>
        </w:rPr>
        <w:t>墙体水平筋非贯通配置</w:t>
      </w:r>
    </w:p>
    <w:p w14:paraId="20D75CC3">
      <w:pPr>
        <w:pStyle w:val="80"/>
        <w:spacing w:before="78" w:after="78"/>
        <w:rPr>
          <w:rFonts w:hint="eastAsia"/>
        </w:rPr>
      </w:pPr>
      <w:r>
        <w:rPr>
          <w:rFonts w:hint="eastAsia"/>
        </w:rPr>
        <w:t>注：图中尺寸单位为mm。</w:t>
      </w:r>
    </w:p>
    <w:p w14:paraId="224052C2">
      <w:pPr>
        <w:pStyle w:val="80"/>
        <w:spacing w:before="78" w:after="78"/>
      </w:pPr>
      <w:r>
        <w:t>1—</w:t>
      </w:r>
      <w:r>
        <w:rPr>
          <w:rFonts w:hint="eastAsia"/>
        </w:rPr>
        <w:t>空心墙模</w:t>
      </w:r>
      <w:r>
        <w:t>；</w:t>
      </w:r>
      <w:r>
        <w:rPr>
          <w:rFonts w:hint="eastAsia"/>
        </w:rPr>
        <w:t>2</w:t>
      </w:r>
      <w:r>
        <w:t>—</w:t>
      </w:r>
      <w:r>
        <w:rPr>
          <w:rFonts w:hint="eastAsia"/>
        </w:rPr>
        <w:t>暗柱或扶壁柱</w:t>
      </w:r>
      <w:r>
        <w:t>；</w:t>
      </w:r>
      <w:r>
        <w:rPr>
          <w:rFonts w:hint="eastAsia"/>
        </w:rPr>
        <w:t>3</w:t>
      </w:r>
      <w:r>
        <w:t>—</w:t>
      </w:r>
      <w:r>
        <w:rPr>
          <w:rFonts w:hint="eastAsia"/>
        </w:rPr>
        <w:t>柱封闭箍筋；4</w:t>
      </w:r>
      <w:r>
        <w:t>—</w:t>
      </w:r>
      <w:r>
        <w:rPr>
          <w:rFonts w:hint="eastAsia"/>
        </w:rPr>
        <w:t>墙体水平钢筋</w:t>
      </w:r>
    </w:p>
    <w:p w14:paraId="56CC18D0">
      <w:pPr>
        <w:pStyle w:val="6"/>
      </w:pPr>
      <w:bookmarkStart w:id="228" w:name="_Ref33003384"/>
      <w:r>
        <w:rPr>
          <w:rFonts w:hint="eastAsia"/>
        </w:rPr>
        <w:t>固模剪力墙与普通现浇墙（包括端部约束边缘构件</w:t>
      </w:r>
      <w:r>
        <w:rPr>
          <w:rFonts w:hint="eastAsia"/>
          <w:i/>
        </w:rPr>
        <w:t>l</w:t>
      </w:r>
      <w:r>
        <w:rPr>
          <w:rFonts w:hint="eastAsia"/>
          <w:vertAlign w:val="subscript"/>
        </w:rPr>
        <w:t>c</w:t>
      </w:r>
      <w:r>
        <w:rPr>
          <w:rFonts w:hint="eastAsia"/>
        </w:rPr>
        <w:t>范围内的现浇墙）相接时应有可靠连接（</w:t>
      </w:r>
      <w:r>
        <w:fldChar w:fldCharType="begin"/>
      </w:r>
      <w:r>
        <w:rPr>
          <w:rFonts w:hint="eastAsia"/>
        </w:rPr>
        <w:instrText xml:space="preserve">REF _Ref34495213 \h</w:instrText>
      </w:r>
      <w:r>
        <w:instrText xml:space="preserve"> \* MERGEFORMAT </w:instrText>
      </w:r>
      <w:r>
        <w:fldChar w:fldCharType="separate"/>
      </w:r>
      <w:r>
        <w:rPr>
          <w:rFonts w:hint="eastAsia"/>
        </w:rPr>
        <w:t>图</w:t>
      </w:r>
      <w:r>
        <w:t>7.2.5</w:t>
      </w:r>
      <w:r>
        <w:fldChar w:fldCharType="end"/>
      </w:r>
      <w:r>
        <w:rPr>
          <w:rFonts w:hint="eastAsia"/>
        </w:rPr>
        <w:t>），应符合下列规定：</w:t>
      </w:r>
    </w:p>
    <w:p w14:paraId="0A786CB7">
      <w:pPr>
        <w:pStyle w:val="7"/>
        <w:numPr>
          <w:ilvl w:val="0"/>
          <w:numId w:val="25"/>
        </w:numPr>
      </w:pPr>
      <w:r>
        <w:rPr>
          <w:rFonts w:hint="eastAsia"/>
        </w:rPr>
        <w:t>现浇墙中墙体水平钢筋应设置为U形筋；</w:t>
      </w:r>
    </w:p>
    <w:p w14:paraId="55FDA18E">
      <w:pPr>
        <w:pStyle w:val="7"/>
        <w:numPr>
          <w:ilvl w:val="0"/>
          <w:numId w:val="26"/>
        </w:numPr>
      </w:pPr>
      <w:r>
        <w:rPr>
          <w:rFonts w:hint="eastAsia"/>
        </w:rPr>
        <w:t>空心墙模中穿设墙体</w:t>
      </w:r>
      <w:r>
        <w:t>水平</w:t>
      </w:r>
      <w:r>
        <w:rPr>
          <w:rFonts w:hint="eastAsia"/>
        </w:rPr>
        <w:t>分布</w:t>
      </w:r>
      <w:r>
        <w:t>钢筋末端</w:t>
      </w:r>
      <w:r>
        <w:rPr>
          <w:rFonts w:hint="eastAsia"/>
        </w:rPr>
        <w:t>不设弯钩时，其</w:t>
      </w:r>
      <w:r>
        <w:t>伸入</w:t>
      </w:r>
      <w:r>
        <w:rPr>
          <w:rFonts w:hint="eastAsia"/>
        </w:rPr>
        <w:t>现浇墙</w:t>
      </w:r>
      <w:r>
        <w:t>长度不应小于</w:t>
      </w:r>
      <w:r>
        <w:rPr>
          <w:rFonts w:hint="eastAsia"/>
        </w:rPr>
        <w:t>1.</w:t>
      </w:r>
      <w:r>
        <w:t>2</w:t>
      </w:r>
      <w:r>
        <w:rPr>
          <w:i/>
        </w:rPr>
        <w:t>l</w:t>
      </w:r>
      <w:r>
        <w:rPr>
          <w:vertAlign w:val="subscript"/>
        </w:rPr>
        <w:t>aE</w:t>
      </w:r>
      <w:r>
        <w:t>；当</w:t>
      </w:r>
      <w:r>
        <w:rPr>
          <w:rFonts w:hint="eastAsia"/>
        </w:rPr>
        <w:t>穿设的</w:t>
      </w:r>
      <w:r>
        <w:t>水平钢筋末端</w:t>
      </w:r>
      <w:r>
        <w:rPr>
          <w:rFonts w:hint="eastAsia"/>
        </w:rPr>
        <w:t>设有1</w:t>
      </w:r>
      <w:r>
        <w:t>35</w:t>
      </w:r>
      <w:r>
        <w:rPr>
          <w:rFonts w:hint="eastAsia"/>
        </w:rPr>
        <w:t>°弯钩时，其</w:t>
      </w:r>
      <w:r>
        <w:t>伸入边缘构件</w:t>
      </w:r>
      <w:r>
        <w:rPr>
          <w:rFonts w:hint="eastAsia"/>
        </w:rPr>
        <w:t>核心区</w:t>
      </w:r>
      <w:r>
        <w:t>长度不应小于</w:t>
      </w:r>
      <w:r>
        <w:rPr>
          <w:rFonts w:hint="eastAsia"/>
        </w:rPr>
        <w:t>0.8</w:t>
      </w:r>
      <w:r>
        <w:rPr>
          <w:i/>
        </w:rPr>
        <w:t>l</w:t>
      </w:r>
      <w:r>
        <w:rPr>
          <w:vertAlign w:val="subscript"/>
        </w:rPr>
        <w:t>aE</w:t>
      </w:r>
      <w:r>
        <w:rPr>
          <w:rFonts w:hint="eastAsia"/>
        </w:rPr>
        <w:t>。</w:t>
      </w:r>
    </w:p>
    <w:p w14:paraId="3FAFE983">
      <w:pPr>
        <w:pStyle w:val="86"/>
        <w:spacing w:before="156"/>
        <w:rPr>
          <w:lang w:eastAsia="zh-CN"/>
        </w:rPr>
      </w:pPr>
      <w:r>
        <w:rPr>
          <w:lang w:val="en-US" w:eastAsia="zh-CN"/>
        </w:rPr>
        <w:drawing>
          <wp:inline distT="0" distB="0" distL="114300" distR="114300">
            <wp:extent cx="2029460" cy="1031240"/>
            <wp:effectExtent l="0" t="0" r="8890" b="1651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66"/>
                    <a:stretch>
                      <a:fillRect/>
                    </a:stretch>
                  </pic:blipFill>
                  <pic:spPr>
                    <a:xfrm>
                      <a:off x="0" y="0"/>
                      <a:ext cx="2029460" cy="1031240"/>
                    </a:xfrm>
                    <a:prstGeom prst="rect">
                      <a:avLst/>
                    </a:prstGeom>
                    <a:noFill/>
                    <a:ln>
                      <a:noFill/>
                    </a:ln>
                  </pic:spPr>
                </pic:pic>
              </a:graphicData>
            </a:graphic>
          </wp:inline>
        </w:drawing>
      </w:r>
    </w:p>
    <w:p w14:paraId="49F17502">
      <w:pPr>
        <w:pStyle w:val="123"/>
        <w:spacing w:before="78" w:after="78"/>
        <w:ind w:firstLine="2359" w:firstLineChars="1311"/>
      </w:pPr>
      <w:r>
        <w:rPr>
          <w:rFonts w:hint="eastAsia"/>
        </w:rPr>
        <w:t>(a</w:t>
      </w:r>
      <w:r>
        <w:t xml:space="preserve">)  </w:t>
      </w:r>
      <w:r>
        <w:rPr>
          <w:rFonts w:hint="eastAsia"/>
        </w:rPr>
        <w:t>穿筋不设弯钩</w:t>
      </w:r>
    </w:p>
    <w:p w14:paraId="2E160940">
      <w:pPr>
        <w:pStyle w:val="86"/>
        <w:spacing w:before="156"/>
      </w:pPr>
      <w:r>
        <w:rPr>
          <w:lang w:val="en-US" w:eastAsia="zh-CN"/>
        </w:rPr>
        <w:drawing>
          <wp:inline distT="0" distB="0" distL="114300" distR="114300">
            <wp:extent cx="2025015" cy="1052830"/>
            <wp:effectExtent l="0" t="0" r="13335" b="1397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67"/>
                    <a:stretch>
                      <a:fillRect/>
                    </a:stretch>
                  </pic:blipFill>
                  <pic:spPr>
                    <a:xfrm>
                      <a:off x="0" y="0"/>
                      <a:ext cx="2025015" cy="1052830"/>
                    </a:xfrm>
                    <a:prstGeom prst="rect">
                      <a:avLst/>
                    </a:prstGeom>
                    <a:noFill/>
                    <a:ln>
                      <a:noFill/>
                    </a:ln>
                  </pic:spPr>
                </pic:pic>
              </a:graphicData>
            </a:graphic>
          </wp:inline>
        </w:drawing>
      </w:r>
    </w:p>
    <w:p w14:paraId="0D9BA8DD">
      <w:pPr>
        <w:pStyle w:val="123"/>
        <w:spacing w:before="78" w:after="78"/>
        <w:ind w:firstLine="2359" w:firstLineChars="1311"/>
      </w:pPr>
      <w:r>
        <w:t xml:space="preserve">(b)  </w:t>
      </w:r>
      <w:r>
        <w:rPr>
          <w:rFonts w:hint="eastAsia"/>
        </w:rPr>
        <w:t>穿筋设弯钩</w:t>
      </w:r>
    </w:p>
    <w:p w14:paraId="13257C03">
      <w:pPr>
        <w:pStyle w:val="71"/>
        <w:spacing w:before="78" w:after="78"/>
      </w:pPr>
      <w:bookmarkStart w:id="229" w:name="_Ref34495213"/>
      <w:r>
        <w:rPr>
          <w:rFonts w:hint="eastAsia"/>
        </w:rPr>
        <w:t>图</w:t>
      </w:r>
      <w:r>
        <w:fldChar w:fldCharType="begin"/>
      </w:r>
      <w:r>
        <w:rPr>
          <w:rFonts w:hint="eastAsia"/>
        </w:rPr>
        <w:instrText xml:space="preserve">STYLEREF 3 \s</w:instrText>
      </w:r>
      <w:r>
        <w:fldChar w:fldCharType="separate"/>
      </w:r>
      <w:r>
        <w:t>7.2.5</w:t>
      </w:r>
      <w:r>
        <w:fldChar w:fldCharType="end"/>
      </w:r>
      <w:bookmarkEnd w:id="229"/>
      <w:r>
        <w:rPr>
          <w:rFonts w:hint="eastAsia"/>
        </w:rPr>
        <w:t>固模剪力墙与现浇墙的连接构造</w:t>
      </w:r>
    </w:p>
    <w:p w14:paraId="1114FA58">
      <w:pPr>
        <w:pStyle w:val="80"/>
        <w:spacing w:before="78" w:after="78"/>
        <w:rPr>
          <w:rFonts w:hint="eastAsia"/>
        </w:rPr>
      </w:pPr>
      <w:r>
        <w:rPr>
          <w:rFonts w:hint="eastAsia"/>
        </w:rPr>
        <w:t>注：图中尺寸单位为mm。</w:t>
      </w:r>
    </w:p>
    <w:p w14:paraId="37681FD7">
      <w:pPr>
        <w:pStyle w:val="80"/>
        <w:spacing w:before="78" w:after="78"/>
        <w:rPr>
          <w:rFonts w:hint="eastAsia"/>
        </w:rPr>
      </w:pPr>
      <w:r>
        <w:t>1—</w:t>
      </w:r>
      <w:r>
        <w:rPr>
          <w:rFonts w:hint="eastAsia"/>
        </w:rPr>
        <w:t>空心墙模</w:t>
      </w:r>
      <w:r>
        <w:t>；</w:t>
      </w:r>
      <w:r>
        <w:rPr>
          <w:rFonts w:hint="eastAsia"/>
        </w:rPr>
        <w:t>2</w:t>
      </w:r>
      <w:r>
        <w:t>—</w:t>
      </w:r>
      <w:r>
        <w:rPr>
          <w:rFonts w:hint="eastAsia"/>
        </w:rPr>
        <w:t>现浇墙</w:t>
      </w:r>
      <w:r>
        <w:t>；</w:t>
      </w:r>
      <w:r>
        <w:rPr>
          <w:rFonts w:hint="eastAsia"/>
        </w:rPr>
        <w:t>3</w:t>
      </w:r>
      <w:r>
        <w:t>—</w:t>
      </w:r>
      <w:r>
        <w:rPr>
          <w:rFonts w:hint="eastAsia"/>
        </w:rPr>
        <w:t>墙体水平钢筋；4</w:t>
      </w:r>
      <w:r>
        <w:t>—</w:t>
      </w:r>
      <w:r>
        <w:rPr>
          <w:rFonts w:hint="eastAsia"/>
        </w:rPr>
        <w:t>现浇墙U形水平钢筋</w:t>
      </w:r>
    </w:p>
    <w:p w14:paraId="03452FB9">
      <w:pPr>
        <w:pStyle w:val="6"/>
        <w:numPr>
          <w:ilvl w:val="2"/>
          <w:numId w:val="0"/>
        </w:numPr>
      </w:pPr>
      <w:r>
        <w:rPr>
          <w:rFonts w:hint="eastAsia"/>
          <w:color w:val="0070C0"/>
        </w:rPr>
        <w:t>【条文说明】本条参考现行国家建筑标准设计图集《装配式混凝土结构连接节点构造（剪力墙）》15G310-2，Q2-1节点直线钢筋搭接取</w:t>
      </w:r>
      <w:r>
        <w:rPr>
          <w:rFonts w:hint="eastAsia"/>
        </w:rPr>
        <w:t>1.</w:t>
      </w:r>
      <w:r>
        <w:t>2</w:t>
      </w:r>
      <w:r>
        <w:rPr>
          <w:rFonts w:hint="eastAsia"/>
          <w:i/>
        </w:rPr>
        <w:t>l</w:t>
      </w:r>
      <w:r>
        <w:rPr>
          <w:rFonts w:hint="eastAsia"/>
          <w:vertAlign w:val="subscript"/>
        </w:rPr>
        <w:t>aE</w:t>
      </w:r>
      <w:r>
        <w:rPr>
          <w:rFonts w:hint="eastAsia"/>
        </w:rPr>
        <w:t>；</w:t>
      </w:r>
      <w:r>
        <w:rPr>
          <w:rFonts w:hint="eastAsia"/>
          <w:color w:val="0070C0"/>
        </w:rPr>
        <w:t>Q2-3节点U型钢筋与弯钩钢筋搭接取</w:t>
      </w:r>
      <w:r>
        <w:rPr>
          <w:rFonts w:hint="eastAsia"/>
        </w:rPr>
        <w:t>0.</w:t>
      </w:r>
      <w:r>
        <w:t>8</w:t>
      </w:r>
      <w:r>
        <w:rPr>
          <w:rFonts w:hint="eastAsia"/>
          <w:i/>
        </w:rPr>
        <w:t>l</w:t>
      </w:r>
      <w:r>
        <w:rPr>
          <w:rFonts w:hint="eastAsia"/>
          <w:vertAlign w:val="subscript"/>
        </w:rPr>
        <w:t>aE</w:t>
      </w:r>
      <w:r>
        <w:rPr>
          <w:rFonts w:hint="eastAsia"/>
        </w:rPr>
        <w:t>；</w:t>
      </w:r>
      <w:r>
        <w:rPr>
          <w:rFonts w:hint="eastAsia"/>
          <w:color w:val="0070C0"/>
        </w:rPr>
        <w:t>此处U型钢筋与直线钢筋搭接也取</w:t>
      </w:r>
      <w:r>
        <w:rPr>
          <w:rFonts w:hint="eastAsia"/>
        </w:rPr>
        <w:t>1.</w:t>
      </w:r>
      <w:r>
        <w:t>2</w:t>
      </w:r>
      <w:r>
        <w:rPr>
          <w:rFonts w:hint="eastAsia"/>
          <w:i/>
        </w:rPr>
        <w:t>l</w:t>
      </w:r>
      <w:r>
        <w:rPr>
          <w:rFonts w:hint="eastAsia"/>
          <w:vertAlign w:val="subscript"/>
        </w:rPr>
        <w:t>aE</w:t>
      </w:r>
      <w:r>
        <w:rPr>
          <w:rFonts w:hint="eastAsia"/>
          <w:color w:val="0070C0"/>
        </w:rPr>
        <w:t>，偏于安全。</w:t>
      </w:r>
    </w:p>
    <w:p w14:paraId="705DCD8E">
      <w:pPr>
        <w:pStyle w:val="6"/>
      </w:pPr>
      <w:r>
        <w:t>固模剪力墙</w:t>
      </w:r>
      <w:r>
        <w:rPr>
          <w:rFonts w:hint="eastAsia"/>
        </w:rPr>
        <w:t>底部水平接缝宜</w:t>
      </w:r>
      <w:r>
        <w:t>设置在楼</w:t>
      </w:r>
      <w:r>
        <w:rPr>
          <w:rFonts w:hint="eastAsia"/>
        </w:rPr>
        <w:t>面标高</w:t>
      </w:r>
      <w:r>
        <w:t>处</w:t>
      </w:r>
      <w:r>
        <w:rPr>
          <w:rFonts w:hint="eastAsia"/>
        </w:rPr>
        <w:t>，接缝处楼板混凝土上表面应设置凸凹深度不小于6mm的粗糙面，应设有墙板高度调节装置，固模剪力墙标高应准确。</w:t>
      </w:r>
    </w:p>
    <w:p w14:paraId="7DD0CFE2">
      <w:pPr>
        <w:pStyle w:val="6"/>
        <w:numPr>
          <w:ilvl w:val="2"/>
          <w:numId w:val="0"/>
        </w:numPr>
      </w:pPr>
      <w:r>
        <w:rPr>
          <w:rFonts w:hint="eastAsia"/>
          <w:color w:val="0070C0"/>
        </w:rPr>
        <w:t>【条文说明】对楼梯间部位的固模剪力墙，墙底水平接缝一般设置在楼梯休息平台标高处，设计时要特别注意此处空心墙模的高度问题。固模剪力墙底部的水平施工缝，应采取措施加强新旧混凝土的结合性能。对一级固模剪力墙，尚应按本标准第6.3.8条进行地震设计状况下水平施工缝的抗滑移验算。</w:t>
      </w:r>
    </w:p>
    <w:p w14:paraId="6F98B132">
      <w:pPr>
        <w:pStyle w:val="6"/>
      </w:pPr>
      <w:bookmarkStart w:id="230" w:name="_Ref62035704"/>
      <w:r>
        <w:t>固模剪力墙的墙体</w:t>
      </w:r>
      <w:r>
        <w:rPr>
          <w:rFonts w:hint="eastAsia"/>
        </w:rPr>
        <w:t>竖向分布钢筋应</w:t>
      </w:r>
      <w:r>
        <w:t>采用连接钢筋搭接连接，</w:t>
      </w:r>
      <w:r>
        <w:rPr>
          <w:rFonts w:hint="eastAsia"/>
        </w:rPr>
        <w:t>上下层竖向</w:t>
      </w:r>
      <w:r>
        <w:t>连接钢筋、基础预留连接钢筋</w:t>
      </w:r>
      <w:r>
        <w:rPr>
          <w:rFonts w:hint="eastAsia"/>
        </w:rPr>
        <w:t>除应满足本标准第</w:t>
      </w:r>
      <w:r>
        <w:fldChar w:fldCharType="begin"/>
      </w:r>
      <w:r>
        <w:instrText xml:space="preserve"> REF _Ref33001913 \r \h  \* MERGEFORMAT </w:instrText>
      </w:r>
      <w:r>
        <w:fldChar w:fldCharType="separate"/>
      </w:r>
      <w:r>
        <w:t>7.1.3</w:t>
      </w:r>
      <w:r>
        <w:fldChar w:fldCharType="end"/>
      </w:r>
      <w:r>
        <w:rPr>
          <w:rFonts w:hint="eastAsia"/>
        </w:rPr>
        <w:t>条外，尚应符合下列规定：</w:t>
      </w:r>
      <w:bookmarkEnd w:id="228"/>
      <w:bookmarkEnd w:id="230"/>
    </w:p>
    <w:p w14:paraId="405A7CE8">
      <w:pPr>
        <w:pStyle w:val="7"/>
        <w:numPr>
          <w:ilvl w:val="0"/>
          <w:numId w:val="27"/>
        </w:numPr>
      </w:pPr>
      <w:r>
        <w:rPr>
          <w:rFonts w:hint="eastAsia"/>
        </w:rPr>
        <w:t>竖向</w:t>
      </w:r>
      <w:r>
        <w:t>连接钢筋</w:t>
      </w:r>
      <w:r>
        <w:rPr>
          <w:rFonts w:hint="eastAsia"/>
        </w:rPr>
        <w:t>宜</w:t>
      </w:r>
      <w:r>
        <w:t>按双排布置</w:t>
      </w:r>
      <w:r>
        <w:rPr>
          <w:rFonts w:hint="eastAsia"/>
        </w:rPr>
        <w:t>，</w:t>
      </w:r>
      <w:r>
        <w:t>搭接长度不应小于1.3</w:t>
      </w:r>
      <w:r>
        <w:rPr>
          <w:i/>
        </w:rPr>
        <w:t>l</w:t>
      </w:r>
      <w:r>
        <w:rPr>
          <w:vertAlign w:val="subscript"/>
        </w:rPr>
        <w:t>aE</w:t>
      </w:r>
      <w:r>
        <w:rPr>
          <w:rFonts w:hint="eastAsia"/>
        </w:rPr>
        <w:t>；</w:t>
      </w:r>
    </w:p>
    <w:p w14:paraId="68F325DD">
      <w:pPr>
        <w:pStyle w:val="7"/>
        <w:numPr>
          <w:ilvl w:val="0"/>
          <w:numId w:val="28"/>
        </w:numPr>
      </w:pPr>
      <w:r>
        <w:rPr>
          <w:rFonts w:hint="eastAsia"/>
        </w:rPr>
        <w:t>对</w:t>
      </w:r>
      <w:r>
        <w:t>一、二级剪力墙的底部加强部位</w:t>
      </w:r>
      <w:r>
        <w:rPr>
          <w:rFonts w:hint="eastAsia"/>
        </w:rPr>
        <w:t>，竖向</w:t>
      </w:r>
      <w:r>
        <w:t>连接钢筋末端应设弯钩</w:t>
      </w:r>
      <w:r>
        <w:rPr>
          <w:rFonts w:hint="eastAsia"/>
        </w:rPr>
        <w:t>，搭接区域及向上下各延伸300mm范围内，剪力墙水平分布钢筋的间距不应大于100mm</w:t>
      </w:r>
      <w:r>
        <w:rPr>
          <w:rFonts w:ascii="宋体" w:hAnsi="宋体"/>
        </w:rPr>
        <w:t>[</w:t>
      </w:r>
      <w:r>
        <w:fldChar w:fldCharType="begin"/>
      </w:r>
      <w:r>
        <w:rPr>
          <w:rFonts w:ascii="宋体" w:hAnsi="宋体"/>
        </w:rPr>
        <w:instrText xml:space="preserve"> REF _Ref33001403 \h </w:instrText>
      </w:r>
      <w:r>
        <w:instrText xml:space="preserve"> \* MERGEFORMAT </w:instrText>
      </w:r>
      <w:r>
        <w:fldChar w:fldCharType="separate"/>
      </w:r>
      <w:r>
        <w:rPr>
          <w:rFonts w:hint="eastAsia"/>
        </w:rPr>
        <w:t>图</w:t>
      </w:r>
      <w:r>
        <w:t>7.2.7</w:t>
      </w:r>
      <w:r>
        <w:fldChar w:fldCharType="end"/>
      </w:r>
      <w:r>
        <w:rPr>
          <w:rFonts w:hint="eastAsia"/>
        </w:rPr>
        <w:t>（</w:t>
      </w:r>
      <w:r>
        <w:t>a</w:t>
      </w:r>
      <w:r>
        <w:rPr>
          <w:rFonts w:hint="eastAsia"/>
        </w:rPr>
        <w:t>）</w:t>
      </w:r>
      <w:r>
        <w:rPr>
          <w:rFonts w:hint="eastAsia" w:ascii="宋体" w:hAnsi="宋体"/>
        </w:rPr>
        <w:t>]</w:t>
      </w:r>
      <w:r>
        <w:rPr>
          <w:rFonts w:hint="eastAsia"/>
        </w:rPr>
        <w:t>；对其他情况</w:t>
      </w:r>
      <w:r>
        <w:t>，</w:t>
      </w:r>
      <w:r>
        <w:rPr>
          <w:rFonts w:hint="eastAsia"/>
        </w:rPr>
        <w:t>竖向</w:t>
      </w:r>
      <w:r>
        <w:t>连接钢筋末端可不设弯钩</w:t>
      </w:r>
      <w:r>
        <w:rPr>
          <w:rFonts w:hint="eastAsia" w:ascii="宋体" w:hAnsi="宋体"/>
        </w:rPr>
        <w:t>[</w:t>
      </w:r>
      <w:r>
        <w:rPr>
          <w:rFonts w:ascii="宋体" w:hAnsi="宋体"/>
        </w:rPr>
        <w:fldChar w:fldCharType="begin"/>
      </w:r>
      <w:r>
        <w:rPr>
          <w:rFonts w:hint="eastAsia" w:ascii="宋体" w:hAnsi="宋体"/>
        </w:rPr>
        <w:instrText xml:space="preserve">REF _Ref33001403 \h</w:instrText>
      </w:r>
      <w:r>
        <w:rPr>
          <w:rFonts w:ascii="宋体" w:hAnsi="宋体"/>
        </w:rPr>
        <w:instrText xml:space="preserve"> \* MERGEFORMAT </w:instrText>
      </w:r>
      <w:r>
        <w:rPr>
          <w:rFonts w:ascii="宋体" w:hAnsi="宋体"/>
        </w:rPr>
        <w:fldChar w:fldCharType="separate"/>
      </w:r>
      <w:r>
        <w:rPr>
          <w:rFonts w:hint="eastAsia"/>
        </w:rPr>
        <w:t>图</w:t>
      </w:r>
      <w:r>
        <w:t>7.2.7</w:t>
      </w:r>
      <w:r>
        <w:rPr>
          <w:rFonts w:ascii="宋体" w:hAnsi="宋体"/>
        </w:rPr>
        <w:fldChar w:fldCharType="end"/>
      </w:r>
      <w:r>
        <w:rPr>
          <w:rFonts w:hint="eastAsia" w:ascii="宋体" w:hAnsi="宋体"/>
        </w:rPr>
        <w:t>（</w:t>
      </w:r>
      <w:r>
        <w:t>b</w:t>
      </w:r>
      <w:r>
        <w:rPr>
          <w:rFonts w:ascii="宋体" w:hAnsi="宋体"/>
        </w:rPr>
        <w:t>）</w:t>
      </w:r>
      <w:r>
        <w:rPr>
          <w:rFonts w:hint="eastAsia" w:ascii="宋体" w:hAnsi="宋体"/>
        </w:rPr>
        <w:t>]</w:t>
      </w:r>
      <w:r>
        <w:t>。</w:t>
      </w:r>
    </w:p>
    <w:tbl>
      <w:tblPr>
        <w:tblStyle w:val="34"/>
        <w:tblW w:w="6122" w:type="dxa"/>
        <w:jc w:val="center"/>
        <w:tblLayout w:type="fixed"/>
        <w:tblCellMar>
          <w:top w:w="0" w:type="dxa"/>
          <w:left w:w="108" w:type="dxa"/>
          <w:bottom w:w="0" w:type="dxa"/>
          <w:right w:w="108" w:type="dxa"/>
        </w:tblCellMar>
      </w:tblPr>
      <w:tblGrid>
        <w:gridCol w:w="4036"/>
        <w:gridCol w:w="2086"/>
      </w:tblGrid>
      <w:tr w14:paraId="06477F9E">
        <w:tblPrEx>
          <w:tblCellMar>
            <w:top w:w="0" w:type="dxa"/>
            <w:left w:w="108" w:type="dxa"/>
            <w:bottom w:w="0" w:type="dxa"/>
            <w:right w:w="108" w:type="dxa"/>
          </w:tblCellMar>
        </w:tblPrEx>
        <w:trPr>
          <w:jc w:val="center"/>
        </w:trPr>
        <w:tc>
          <w:tcPr>
            <w:tcW w:w="4036" w:type="dxa"/>
            <w:noWrap w:val="0"/>
            <w:vAlign w:val="center"/>
          </w:tcPr>
          <w:p w14:paraId="0F60BB51">
            <w:pPr>
              <w:pStyle w:val="86"/>
              <w:spacing w:before="156"/>
              <w:ind w:firstLine="720" w:firstLineChars="400"/>
              <w:jc w:val="both"/>
              <w:rPr>
                <w:lang w:val="en-US" w:eastAsia="zh-CN"/>
              </w:rPr>
            </w:pPr>
            <w:r>
              <w:rPr>
                <w:lang w:val="en-US" w:eastAsia="zh-CN"/>
              </w:rPr>
              <w:drawing>
                <wp:inline distT="0" distB="0" distL="114300" distR="114300">
                  <wp:extent cx="1466850" cy="3331210"/>
                  <wp:effectExtent l="0" t="0" r="0" b="254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68"/>
                          <a:stretch>
                            <a:fillRect/>
                          </a:stretch>
                        </pic:blipFill>
                        <pic:spPr>
                          <a:xfrm>
                            <a:off x="0" y="0"/>
                            <a:ext cx="1466850" cy="3331210"/>
                          </a:xfrm>
                          <a:prstGeom prst="rect">
                            <a:avLst/>
                          </a:prstGeom>
                          <a:noFill/>
                          <a:ln>
                            <a:noFill/>
                          </a:ln>
                        </pic:spPr>
                      </pic:pic>
                    </a:graphicData>
                  </a:graphic>
                </wp:inline>
              </w:drawing>
            </w:r>
          </w:p>
        </w:tc>
        <w:tc>
          <w:tcPr>
            <w:tcW w:w="2086" w:type="dxa"/>
            <w:noWrap w:val="0"/>
            <w:vAlign w:val="center"/>
          </w:tcPr>
          <w:p w14:paraId="78DE6438">
            <w:pPr>
              <w:pStyle w:val="86"/>
              <w:spacing w:before="156"/>
              <w:rPr>
                <w:lang w:val="en-US" w:eastAsia="zh-CN"/>
              </w:rPr>
            </w:pPr>
            <w:r>
              <w:rPr>
                <w:lang w:val="en-US" w:eastAsia="zh-CN"/>
              </w:rPr>
              <w:drawing>
                <wp:inline distT="0" distB="0" distL="114300" distR="114300">
                  <wp:extent cx="1221740" cy="2796540"/>
                  <wp:effectExtent l="0" t="0" r="16510" b="381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69"/>
                          <a:stretch>
                            <a:fillRect/>
                          </a:stretch>
                        </pic:blipFill>
                        <pic:spPr>
                          <a:xfrm>
                            <a:off x="0" y="0"/>
                            <a:ext cx="1221740" cy="2796540"/>
                          </a:xfrm>
                          <a:prstGeom prst="rect">
                            <a:avLst/>
                          </a:prstGeom>
                          <a:noFill/>
                          <a:ln>
                            <a:noFill/>
                          </a:ln>
                        </pic:spPr>
                      </pic:pic>
                    </a:graphicData>
                  </a:graphic>
                </wp:inline>
              </w:drawing>
            </w:r>
          </w:p>
        </w:tc>
      </w:tr>
      <w:tr w14:paraId="5B71C813">
        <w:tblPrEx>
          <w:tblCellMar>
            <w:top w:w="0" w:type="dxa"/>
            <w:left w:w="108" w:type="dxa"/>
            <w:bottom w:w="0" w:type="dxa"/>
            <w:right w:w="108" w:type="dxa"/>
          </w:tblCellMar>
        </w:tblPrEx>
        <w:trPr>
          <w:jc w:val="center"/>
        </w:trPr>
        <w:tc>
          <w:tcPr>
            <w:tcW w:w="4036" w:type="dxa"/>
            <w:noWrap w:val="0"/>
            <w:vAlign w:val="center"/>
          </w:tcPr>
          <w:p w14:paraId="53834030">
            <w:pPr>
              <w:pStyle w:val="123"/>
              <w:spacing w:before="78" w:after="78"/>
              <w:ind w:firstLine="360" w:firstLineChars="200"/>
              <w:rPr>
                <w:b/>
                <w:szCs w:val="21"/>
              </w:rPr>
            </w:pPr>
            <w:r>
              <w:t>（a）一、二级剪力墙的底部加强部位</w:t>
            </w:r>
          </w:p>
        </w:tc>
        <w:tc>
          <w:tcPr>
            <w:tcW w:w="2086" w:type="dxa"/>
            <w:noWrap w:val="0"/>
            <w:vAlign w:val="top"/>
          </w:tcPr>
          <w:p w14:paraId="2366ACCF">
            <w:pPr>
              <w:pStyle w:val="123"/>
              <w:spacing w:before="78" w:after="78"/>
              <w:ind w:firstLine="0" w:firstLineChars="0"/>
              <w:jc w:val="center"/>
            </w:pPr>
            <w:r>
              <w:t>（b）其他情况</w:t>
            </w:r>
          </w:p>
        </w:tc>
      </w:tr>
    </w:tbl>
    <w:p w14:paraId="1DFDC02D">
      <w:pPr>
        <w:pStyle w:val="71"/>
        <w:spacing w:before="78" w:after="78"/>
      </w:pPr>
      <w:bookmarkStart w:id="231" w:name="_Ref33001403"/>
      <w:r>
        <w:rPr>
          <w:rFonts w:hint="eastAsia"/>
        </w:rPr>
        <w:t>图</w:t>
      </w:r>
      <w:r>
        <w:fldChar w:fldCharType="begin"/>
      </w:r>
      <w:r>
        <w:rPr>
          <w:rFonts w:hint="eastAsia"/>
        </w:rPr>
        <w:instrText xml:space="preserve">STYLEREF 3 \s</w:instrText>
      </w:r>
      <w:r>
        <w:fldChar w:fldCharType="separate"/>
      </w:r>
      <w:r>
        <w:t>7.2.7</w:t>
      </w:r>
      <w:r>
        <w:fldChar w:fldCharType="end"/>
      </w:r>
      <w:bookmarkEnd w:id="231"/>
      <w:r>
        <w:t>固模剪力墙上下层连接构造示意</w:t>
      </w:r>
    </w:p>
    <w:p w14:paraId="36704265">
      <w:pPr>
        <w:pStyle w:val="80"/>
        <w:spacing w:before="78" w:after="78"/>
        <w:rPr>
          <w:rFonts w:hint="eastAsia"/>
        </w:rPr>
      </w:pPr>
      <w:r>
        <w:rPr>
          <w:rFonts w:hint="eastAsia"/>
        </w:rPr>
        <w:t>注：图中尺寸单位为mm。</w:t>
      </w:r>
    </w:p>
    <w:p w14:paraId="32D51FDF">
      <w:pPr>
        <w:pStyle w:val="80"/>
        <w:spacing w:before="78" w:after="78"/>
        <w:ind w:left="360"/>
        <w:jc w:val="both"/>
      </w:pPr>
      <w:r>
        <w:rPr>
          <w:rFonts w:hint="eastAsia"/>
        </w:rPr>
        <w:t>1</w:t>
      </w:r>
      <w:r>
        <w:t>—楼板；</w:t>
      </w:r>
      <w:r>
        <w:rPr>
          <w:rFonts w:hint="eastAsia"/>
        </w:rPr>
        <w:t>2</w:t>
      </w:r>
      <w:r>
        <w:t>—</w:t>
      </w:r>
      <w:r>
        <w:rPr>
          <w:rFonts w:hint="eastAsia"/>
        </w:rPr>
        <w:t>空心</w:t>
      </w:r>
      <w:r>
        <w:t>墙</w:t>
      </w:r>
      <w:r>
        <w:rPr>
          <w:rFonts w:hint="eastAsia"/>
        </w:rPr>
        <w:t>模</w:t>
      </w:r>
      <w:r>
        <w:t>；</w:t>
      </w:r>
      <w:r>
        <w:rPr>
          <w:rFonts w:hint="eastAsia"/>
        </w:rPr>
        <w:t>3</w:t>
      </w:r>
      <w:r>
        <w:t>—</w:t>
      </w:r>
      <w:r>
        <w:rPr>
          <w:rFonts w:hint="eastAsia"/>
        </w:rPr>
        <w:t>水平钢筋；4</w:t>
      </w:r>
      <w:r>
        <w:t>—竖向钢筋；</w:t>
      </w:r>
      <w:r>
        <w:rPr>
          <w:rFonts w:hint="eastAsia"/>
        </w:rPr>
        <w:t>5</w:t>
      </w:r>
      <w:r>
        <w:t>—</w:t>
      </w:r>
      <w:r>
        <w:rPr>
          <w:rFonts w:hint="eastAsia"/>
        </w:rPr>
        <w:t>竖向</w:t>
      </w:r>
      <w:r>
        <w:t>连接钢筋</w:t>
      </w:r>
    </w:p>
    <w:p w14:paraId="07AFD309">
      <w:pPr>
        <w:pStyle w:val="106"/>
        <w:ind w:firstLine="0" w:firstLineChars="0"/>
        <w:rPr>
          <w:rFonts w:hint="eastAsia"/>
          <w:bCs/>
          <w:color w:val="0070C0"/>
          <w:kern w:val="2"/>
          <w:sz w:val="21"/>
          <w:szCs w:val="24"/>
        </w:rPr>
      </w:pPr>
      <w:r>
        <w:rPr>
          <w:rFonts w:hint="eastAsia"/>
          <w:bCs/>
          <w:color w:val="0070C0"/>
          <w:kern w:val="2"/>
          <w:sz w:val="21"/>
          <w:szCs w:val="24"/>
        </w:rPr>
        <w:t>【条文说明】对固模剪力墙，本标准编制组进行了6片采用竖向连接钢筋搭接连接并按强剪弱弯设计的固模剪力墙的受力性能试验。试验中设计轴压比为0.3的试件搭接长度为1.2l</w:t>
      </w:r>
      <w:r>
        <w:rPr>
          <w:rFonts w:hint="eastAsia"/>
          <w:bCs/>
          <w:color w:val="0070C0"/>
          <w:kern w:val="2"/>
          <w:sz w:val="21"/>
          <w:szCs w:val="24"/>
          <w:vertAlign w:val="subscript"/>
        </w:rPr>
        <w:t>aE</w:t>
      </w:r>
      <w:r>
        <w:rPr>
          <w:rFonts w:hint="eastAsia"/>
          <w:bCs/>
          <w:color w:val="0070C0"/>
          <w:kern w:val="2"/>
          <w:sz w:val="21"/>
          <w:szCs w:val="24"/>
        </w:rPr>
        <w:t>，设计轴压比为0.4的试件搭接长度为1.5l</w:t>
      </w:r>
      <w:r>
        <w:rPr>
          <w:rFonts w:hint="eastAsia"/>
          <w:bCs/>
          <w:color w:val="0070C0"/>
          <w:kern w:val="2"/>
          <w:sz w:val="21"/>
          <w:szCs w:val="24"/>
          <w:vertAlign w:val="subscript"/>
        </w:rPr>
        <w:t>aE</w:t>
      </w:r>
      <w:r>
        <w:rPr>
          <w:rFonts w:hint="eastAsia"/>
          <w:bCs/>
          <w:color w:val="0070C0"/>
          <w:kern w:val="2"/>
          <w:sz w:val="21"/>
          <w:szCs w:val="24"/>
        </w:rPr>
        <w:t>。试验及有限元分析结果表明：</w:t>
      </w:r>
    </w:p>
    <w:p w14:paraId="1959C617">
      <w:pPr>
        <w:pStyle w:val="106"/>
        <w:ind w:firstLine="420"/>
        <w:rPr>
          <w:rFonts w:hint="eastAsia"/>
          <w:bCs/>
          <w:color w:val="0070C0"/>
          <w:kern w:val="2"/>
          <w:sz w:val="21"/>
          <w:szCs w:val="24"/>
        </w:rPr>
      </w:pPr>
      <w:r>
        <w:rPr>
          <w:rFonts w:hint="eastAsia"/>
          <w:bCs/>
          <w:color w:val="0070C0"/>
          <w:kern w:val="2"/>
          <w:sz w:val="21"/>
          <w:szCs w:val="24"/>
        </w:rPr>
        <w:t>从搭接自身来看，通过分析连接钢筋及竖向分布钢筋应变可知，绝大部分连接钢筋和墙体竖向分布钢筋均能受拉屈服，屈服前搭接区域底截面连接钢筋和顶截面竖向分布钢筋的应变变化规律一致，沿搭接区域从下往上，连接钢筋应变逐渐减小，竖向分布钢筋应变逐渐增大。另外，试验中搭接区域在试件破坏前未出现异常的横向裂缝和纵向劈裂裂缝，试件根部裂缝能够得到有效控制，没有出现影响试件整体破坏形态的特征，试件破坏形态与普通现浇剪力墙基本一致，实现了强连接弱构件。因此，竖向连接钢筋搭接连接可以有效传递应力。</w:t>
      </w:r>
    </w:p>
    <w:p w14:paraId="71A09AF9">
      <w:pPr>
        <w:pStyle w:val="106"/>
        <w:ind w:firstLine="420"/>
        <w:rPr>
          <w:rFonts w:hint="eastAsia"/>
          <w:bCs/>
          <w:color w:val="0070C0"/>
          <w:kern w:val="2"/>
          <w:sz w:val="21"/>
          <w:szCs w:val="24"/>
        </w:rPr>
      </w:pPr>
      <w:r>
        <w:rPr>
          <w:rFonts w:hint="eastAsia"/>
          <w:bCs/>
          <w:color w:val="0070C0"/>
          <w:kern w:val="2"/>
          <w:sz w:val="21"/>
          <w:szCs w:val="24"/>
        </w:rPr>
        <w:t>从试件整体来看，试件的试验承载力与规范计算值比值平均为1.31，该比值与现浇剪力墙试验一致，试件的峰值位移角为1/110~1/91，极限位移角为1/85~1/55，变形能力满足抗震需求。因此，所采用的连接方式和搭接长度（最小为1.2l</w:t>
      </w:r>
      <w:r>
        <w:rPr>
          <w:rFonts w:hint="eastAsia"/>
          <w:bCs/>
          <w:color w:val="0070C0"/>
          <w:kern w:val="2"/>
          <w:sz w:val="21"/>
          <w:szCs w:val="24"/>
          <w:vertAlign w:val="subscript"/>
        </w:rPr>
        <w:t>aE</w:t>
      </w:r>
      <w:r>
        <w:rPr>
          <w:rFonts w:hint="eastAsia"/>
          <w:bCs/>
          <w:color w:val="0070C0"/>
          <w:kern w:val="2"/>
          <w:sz w:val="21"/>
          <w:szCs w:val="24"/>
        </w:rPr>
        <w:t>）能够保证墙体的抗震性能，满足抗震要求。</w:t>
      </w:r>
    </w:p>
    <w:p w14:paraId="7DC9C053">
      <w:pPr>
        <w:pStyle w:val="106"/>
        <w:ind w:firstLine="420"/>
        <w:rPr>
          <w:rFonts w:hint="eastAsia"/>
          <w:bCs/>
          <w:color w:val="0070C0"/>
          <w:kern w:val="2"/>
          <w:sz w:val="21"/>
          <w:szCs w:val="24"/>
        </w:rPr>
      </w:pPr>
      <w:r>
        <w:rPr>
          <w:rFonts w:hint="eastAsia"/>
          <w:bCs/>
          <w:color w:val="0070C0"/>
          <w:kern w:val="2"/>
          <w:sz w:val="21"/>
          <w:szCs w:val="24"/>
        </w:rPr>
        <w:t>根据上述分析并考虑搭接区域内缺乏横向钢筋约束、搭接接头未错开等不利因素，本标准取搭接长度为1.3l</w:t>
      </w:r>
      <w:r>
        <w:rPr>
          <w:rFonts w:hint="eastAsia"/>
          <w:bCs/>
          <w:color w:val="0070C0"/>
          <w:kern w:val="2"/>
          <w:sz w:val="21"/>
          <w:szCs w:val="24"/>
          <w:vertAlign w:val="subscript"/>
        </w:rPr>
        <w:t>aE</w:t>
      </w:r>
      <w:r>
        <w:rPr>
          <w:rFonts w:hint="eastAsia"/>
          <w:bCs/>
          <w:color w:val="0070C0"/>
          <w:kern w:val="2"/>
          <w:sz w:val="21"/>
          <w:szCs w:val="24"/>
        </w:rPr>
        <w:t>，加大搭接长度，从严要求。</w:t>
      </w:r>
    </w:p>
    <w:p w14:paraId="78D47498">
      <w:pPr>
        <w:pStyle w:val="106"/>
        <w:ind w:firstLine="420"/>
        <w:rPr>
          <w:rFonts w:hint="eastAsia"/>
          <w:bCs/>
          <w:color w:val="0070C0"/>
          <w:kern w:val="2"/>
          <w:sz w:val="21"/>
          <w:szCs w:val="24"/>
        </w:rPr>
      </w:pPr>
      <w:r>
        <w:rPr>
          <w:rFonts w:hint="eastAsia"/>
          <w:bCs/>
          <w:color w:val="0070C0"/>
          <w:kern w:val="2"/>
          <w:sz w:val="21"/>
          <w:szCs w:val="24"/>
        </w:rPr>
        <w:t>对一、二级固模剪力墙的底部加强部位，采取在竖向连接钢筋末端设弯钩、对竖向连接钢筋受拉承载力提出更高要求、对搭接区域剪力墙水平分布钢筋进行加密的加强措施，确保连接可靠。</w:t>
      </w:r>
    </w:p>
    <w:p w14:paraId="2B2ABA2E">
      <w:pPr>
        <w:pStyle w:val="6"/>
      </w:pPr>
      <w:bookmarkStart w:id="232" w:name="_Ref32930646"/>
      <w:bookmarkStart w:id="233" w:name="_Ref54970475"/>
      <w:r>
        <w:rPr>
          <w:rFonts w:hint="eastAsia"/>
        </w:rPr>
        <w:t>6层及以下、房屋高度不大于2</w:t>
      </w:r>
      <w:r>
        <w:t>1</w:t>
      </w:r>
      <w:r>
        <w:rPr>
          <w:rFonts w:hint="eastAsia"/>
        </w:rPr>
        <w:t>m的固模剪力墙结构标准设防类建筑，当墙体厚度不大于2</w:t>
      </w:r>
      <w:r>
        <w:t>00</w:t>
      </w:r>
      <w:r>
        <w:rPr>
          <w:rFonts w:hint="eastAsia"/>
        </w:rPr>
        <w:t>mm时，</w:t>
      </w:r>
      <w:r>
        <w:t>上下层</w:t>
      </w:r>
      <w:r>
        <w:rPr>
          <w:rFonts w:hint="eastAsia"/>
        </w:rPr>
        <w:t>固模剪力墙竖向</w:t>
      </w:r>
      <w:r>
        <w:t>连接钢筋可按单排布置。</w:t>
      </w:r>
      <w:r>
        <w:rPr>
          <w:rFonts w:hint="eastAsia"/>
        </w:rPr>
        <w:t>竖向</w:t>
      </w:r>
      <w:r>
        <w:t>连接钢筋的受拉承载力不应小于上下层被连接钢筋的受拉承载力</w:t>
      </w:r>
      <w:r>
        <w:rPr>
          <w:rFonts w:hint="eastAsia"/>
        </w:rPr>
        <w:t>较大值的1.1倍</w:t>
      </w:r>
      <w:r>
        <w:t>，搭接长度不应小于1.</w:t>
      </w:r>
      <w:r>
        <w:rPr>
          <w:rFonts w:hint="eastAsia"/>
        </w:rPr>
        <w:t>3</w:t>
      </w:r>
      <w:r>
        <w:rPr>
          <w:i/>
        </w:rPr>
        <w:t>l</w:t>
      </w:r>
      <w:r>
        <w:rPr>
          <w:vertAlign w:val="subscript"/>
        </w:rPr>
        <w:t>aE</w:t>
      </w:r>
      <w:r>
        <w:rPr>
          <w:rFonts w:hint="eastAsia"/>
        </w:rPr>
        <w:t>，</w:t>
      </w:r>
      <w:r>
        <w:t>末端可不设弯钩（</w:t>
      </w:r>
      <w:r>
        <w:fldChar w:fldCharType="begin"/>
      </w:r>
      <w:r>
        <w:instrText xml:space="preserve"> REF _Ref33003115 \h  \* MERGEFORMAT </w:instrText>
      </w:r>
      <w:r>
        <w:fldChar w:fldCharType="separate"/>
      </w:r>
      <w:r>
        <w:rPr>
          <w:rFonts w:hint="eastAsia"/>
        </w:rPr>
        <w:t>图</w:t>
      </w:r>
      <w:r>
        <w:t>7.2.8</w:t>
      </w:r>
      <w:r>
        <w:fldChar w:fldCharType="end"/>
      </w:r>
      <w:r>
        <w:t>）。</w:t>
      </w:r>
      <w:bookmarkEnd w:id="232"/>
      <w:bookmarkEnd w:id="233"/>
    </w:p>
    <w:tbl>
      <w:tblPr>
        <w:tblStyle w:val="34"/>
        <w:tblW w:w="0" w:type="auto"/>
        <w:jc w:val="center"/>
        <w:tblLayout w:type="fixed"/>
        <w:tblCellMar>
          <w:top w:w="0" w:type="dxa"/>
          <w:left w:w="108" w:type="dxa"/>
          <w:bottom w:w="0" w:type="dxa"/>
          <w:right w:w="108" w:type="dxa"/>
        </w:tblCellMar>
      </w:tblPr>
      <w:tblGrid>
        <w:gridCol w:w="8890"/>
      </w:tblGrid>
      <w:tr w14:paraId="01E89B39">
        <w:tblPrEx>
          <w:tblCellMar>
            <w:top w:w="0" w:type="dxa"/>
            <w:left w:w="108" w:type="dxa"/>
            <w:bottom w:w="0" w:type="dxa"/>
            <w:right w:w="108" w:type="dxa"/>
          </w:tblCellMar>
        </w:tblPrEx>
        <w:trPr>
          <w:jc w:val="center"/>
        </w:trPr>
        <w:tc>
          <w:tcPr>
            <w:tcW w:w="8890" w:type="dxa"/>
            <w:noWrap w:val="0"/>
            <w:vAlign w:val="center"/>
          </w:tcPr>
          <w:p w14:paraId="2BCBE630">
            <w:pPr>
              <w:pStyle w:val="86"/>
              <w:spacing w:before="156"/>
              <w:rPr>
                <w:lang w:val="en-US" w:eastAsia="zh-CN"/>
              </w:rPr>
            </w:pPr>
            <w:r>
              <w:rPr>
                <w:lang w:val="en-US" w:eastAsia="zh-CN"/>
              </w:rPr>
              <w:drawing>
                <wp:inline distT="0" distB="0" distL="114300" distR="114300">
                  <wp:extent cx="1202055" cy="2794635"/>
                  <wp:effectExtent l="0" t="0" r="17145" b="5715"/>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70"/>
                          <a:stretch>
                            <a:fillRect/>
                          </a:stretch>
                        </pic:blipFill>
                        <pic:spPr>
                          <a:xfrm>
                            <a:off x="0" y="0"/>
                            <a:ext cx="1202055" cy="2794635"/>
                          </a:xfrm>
                          <a:prstGeom prst="rect">
                            <a:avLst/>
                          </a:prstGeom>
                          <a:noFill/>
                          <a:ln>
                            <a:noFill/>
                          </a:ln>
                        </pic:spPr>
                      </pic:pic>
                    </a:graphicData>
                  </a:graphic>
                </wp:inline>
              </w:drawing>
            </w:r>
          </w:p>
        </w:tc>
      </w:tr>
    </w:tbl>
    <w:p w14:paraId="6D78D194">
      <w:pPr>
        <w:pStyle w:val="71"/>
        <w:spacing w:before="78" w:after="78"/>
      </w:pPr>
      <w:bookmarkStart w:id="234" w:name="_Ref33003115"/>
      <w:r>
        <w:rPr>
          <w:rFonts w:hint="eastAsia"/>
        </w:rPr>
        <w:t>图</w:t>
      </w:r>
      <w:r>
        <w:fldChar w:fldCharType="begin"/>
      </w:r>
      <w:r>
        <w:rPr>
          <w:rFonts w:hint="eastAsia"/>
        </w:rPr>
        <w:instrText xml:space="preserve">STYLEREF 3 \s</w:instrText>
      </w:r>
      <w:r>
        <w:fldChar w:fldCharType="separate"/>
      </w:r>
      <w:r>
        <w:t>7.2.8</w:t>
      </w:r>
      <w:r>
        <w:fldChar w:fldCharType="end"/>
      </w:r>
      <w:bookmarkEnd w:id="234"/>
      <w:r>
        <w:t>固模剪力墙上下层单排附加钢筋搭接连接构造示意</w:t>
      </w:r>
    </w:p>
    <w:p w14:paraId="1B2C7850">
      <w:pPr>
        <w:pStyle w:val="80"/>
        <w:spacing w:before="78" w:after="78"/>
      </w:pPr>
      <w:r>
        <w:t>1—楼板；2—</w:t>
      </w:r>
      <w:r>
        <w:rPr>
          <w:rFonts w:hint="eastAsia"/>
        </w:rPr>
        <w:t>空心墙模</w:t>
      </w:r>
      <w:r>
        <w:t>；</w:t>
      </w:r>
      <w:r>
        <w:rPr>
          <w:rFonts w:hint="eastAsia"/>
        </w:rPr>
        <w:t>3</w:t>
      </w:r>
      <w:r>
        <w:t>—</w:t>
      </w:r>
      <w:r>
        <w:rPr>
          <w:rFonts w:hint="eastAsia"/>
        </w:rPr>
        <w:t>水平钢筋；4</w:t>
      </w:r>
      <w:r>
        <w:t>—竖向钢筋；</w:t>
      </w:r>
      <w:r>
        <w:rPr>
          <w:rFonts w:hint="eastAsia"/>
        </w:rPr>
        <w:t>5</w:t>
      </w:r>
      <w:r>
        <w:t>—</w:t>
      </w:r>
      <w:r>
        <w:rPr>
          <w:rFonts w:hint="eastAsia"/>
        </w:rPr>
        <w:t>竖向</w:t>
      </w:r>
      <w:r>
        <w:t>连接钢筋</w:t>
      </w:r>
    </w:p>
    <w:p w14:paraId="34D41532">
      <w:pPr>
        <w:pStyle w:val="106"/>
        <w:ind w:firstLine="0" w:firstLineChars="0"/>
        <w:rPr>
          <w:rFonts w:hint="eastAsia"/>
          <w:bCs/>
          <w:color w:val="0070C0"/>
          <w:kern w:val="2"/>
          <w:sz w:val="21"/>
          <w:szCs w:val="24"/>
        </w:rPr>
      </w:pPr>
      <w:r>
        <w:rPr>
          <w:rFonts w:hint="eastAsia"/>
          <w:bCs/>
          <w:color w:val="0070C0"/>
          <w:kern w:val="2"/>
          <w:sz w:val="21"/>
          <w:szCs w:val="24"/>
        </w:rPr>
        <w:t>【条文说明】本条规定了固模剪力墙上下层采用单排钢筋搭接连接的构造。本标准编制组进行的固模剪力墙的受力性能试验结果表明，采用双排连接方式的固模剪力墙整体抗震性能略好于采用单排连接方式，单排连接方式亦能满足抗震要求，其具有构造简单、施工方便的优点，故将其应用于6层及以下、房屋高度不大于21m的固模剪力墙结构。为确保连接可靠，参考现行国家标准《装配式建筑技术标准》GB/T 51231，对竖向连接钢筋的受拉承载力作出规定。</w:t>
      </w:r>
    </w:p>
    <w:p w14:paraId="4D6A1CE7">
      <w:pPr>
        <w:pStyle w:val="106"/>
        <w:ind w:firstLine="420"/>
      </w:pPr>
      <w:r>
        <w:rPr>
          <w:rFonts w:hint="eastAsia"/>
          <w:bCs/>
          <w:color w:val="0070C0"/>
          <w:kern w:val="2"/>
          <w:sz w:val="21"/>
          <w:szCs w:val="24"/>
        </w:rPr>
        <w:t>对农村低层住宅，推荐使用单排连接钢筋及本标准第7.2.13条规定的简化边缘构造，施工简单，速度快。</w:t>
      </w:r>
    </w:p>
    <w:p w14:paraId="10DBFF1D">
      <w:pPr>
        <w:pStyle w:val="6"/>
      </w:pPr>
      <w:r>
        <w:t>固模剪力墙</w:t>
      </w:r>
      <w:r>
        <w:rPr>
          <w:rFonts w:hint="eastAsia"/>
        </w:rPr>
        <w:t>相邻下层为现浇剪力墙时，固模剪力墙与下层现浇剪力墙的竖向钢筋的连接应符合本标准第</w:t>
      </w:r>
      <w:r>
        <w:fldChar w:fldCharType="begin"/>
      </w:r>
      <w:r>
        <w:instrText xml:space="preserve"> REF _Ref33001913 \r \h  \* MERGEFORMAT </w:instrText>
      </w:r>
      <w:r>
        <w:fldChar w:fldCharType="separate"/>
      </w:r>
      <w:r>
        <w:t>7.1.3</w:t>
      </w:r>
      <w:r>
        <w:fldChar w:fldCharType="end"/>
      </w:r>
      <w:r>
        <w:rPr>
          <w:rFonts w:hint="eastAsia"/>
        </w:rPr>
        <w:t>条、</w:t>
      </w:r>
      <w:r>
        <w:t>第</w:t>
      </w:r>
      <w:r>
        <w:fldChar w:fldCharType="begin"/>
      </w:r>
      <w:r>
        <w:instrText xml:space="preserve"> REF _Ref62035704 \r \h  \* MERGEFORMAT </w:instrText>
      </w:r>
      <w:r>
        <w:fldChar w:fldCharType="separate"/>
      </w:r>
      <w:r>
        <w:t>7.2.7</w:t>
      </w:r>
      <w:r>
        <w:fldChar w:fldCharType="end"/>
      </w:r>
      <w:r>
        <w:rPr>
          <w:rFonts w:hint="eastAsia"/>
        </w:rPr>
        <w:t>条、第7.</w:t>
      </w:r>
      <w:r>
        <w:t>2</w:t>
      </w:r>
      <w:r>
        <w:rPr>
          <w:rFonts w:hint="eastAsia"/>
        </w:rPr>
        <w:t>.</w:t>
      </w:r>
      <w:r>
        <w:t>8条</w:t>
      </w:r>
      <w:r>
        <w:rPr>
          <w:rFonts w:hint="eastAsia"/>
        </w:rPr>
        <w:t>的规定，下层剪力墙顶面应设置凸凹深度不小于6mm的粗糙面。</w:t>
      </w:r>
    </w:p>
    <w:p w14:paraId="7281F3D3">
      <w:pPr>
        <w:pStyle w:val="6"/>
      </w:pPr>
      <w:r>
        <w:t>固模剪力墙与基础连接时，基础预留连接钢筋的构造应符合本标准</w:t>
      </w:r>
      <w:r>
        <w:rPr>
          <w:rFonts w:hint="eastAsia"/>
        </w:rPr>
        <w:t>第</w:t>
      </w:r>
      <w:r>
        <w:fldChar w:fldCharType="begin"/>
      </w:r>
      <w:r>
        <w:instrText xml:space="preserve"> REF _Ref33001913 \r \h  \* MERGEFORMAT </w:instrText>
      </w:r>
      <w:r>
        <w:fldChar w:fldCharType="separate"/>
      </w:r>
      <w:r>
        <w:t>7.1.3</w:t>
      </w:r>
      <w:r>
        <w:fldChar w:fldCharType="end"/>
      </w:r>
      <w:r>
        <w:rPr>
          <w:rFonts w:hint="eastAsia"/>
        </w:rPr>
        <w:t>条、</w:t>
      </w:r>
      <w:r>
        <w:t>第</w:t>
      </w:r>
      <w:r>
        <w:fldChar w:fldCharType="begin"/>
      </w:r>
      <w:r>
        <w:instrText xml:space="preserve"> REF _Ref62035704 \r \h  \* MERGEFORMAT </w:instrText>
      </w:r>
      <w:r>
        <w:fldChar w:fldCharType="separate"/>
      </w:r>
      <w:r>
        <w:t>7.2.7</w:t>
      </w:r>
      <w:r>
        <w:fldChar w:fldCharType="end"/>
      </w:r>
      <w:r>
        <w:rPr>
          <w:rFonts w:hint="eastAsia"/>
        </w:rPr>
        <w:t>条、第7.</w:t>
      </w:r>
      <w:r>
        <w:t>2</w:t>
      </w:r>
      <w:r>
        <w:rPr>
          <w:rFonts w:hint="eastAsia"/>
        </w:rPr>
        <w:t>.</w:t>
      </w:r>
      <w:r>
        <w:t>8条对</w:t>
      </w:r>
      <w:r>
        <w:rPr>
          <w:rFonts w:hint="eastAsia"/>
        </w:rPr>
        <w:t>竖向</w:t>
      </w:r>
      <w:r>
        <w:t>连接钢筋的有关规定</w:t>
      </w:r>
      <w:r>
        <w:rPr>
          <w:rFonts w:hint="eastAsia"/>
        </w:rPr>
        <w:t>，基础顶面应设置粗糙面</w:t>
      </w:r>
      <w:r>
        <w:t>。</w:t>
      </w:r>
    </w:p>
    <w:p w14:paraId="190D4EF6">
      <w:pPr>
        <w:pStyle w:val="6"/>
      </w:pPr>
      <w:r>
        <w:t>固模剪力墙边缘构件及连梁应符合下列规定：</w:t>
      </w:r>
    </w:p>
    <w:p w14:paraId="04575CC8">
      <w:pPr>
        <w:pStyle w:val="7"/>
        <w:numPr>
          <w:ilvl w:val="0"/>
          <w:numId w:val="29"/>
        </w:numPr>
      </w:pPr>
      <w:r>
        <w:t>边缘构件及连梁纵向钢筋应采用热轧带肋钢筋；</w:t>
      </w:r>
    </w:p>
    <w:p w14:paraId="7B6D5C78">
      <w:pPr>
        <w:pStyle w:val="7"/>
        <w:numPr>
          <w:ilvl w:val="0"/>
          <w:numId w:val="12"/>
        </w:numPr>
      </w:pPr>
      <w:r>
        <w:rPr>
          <w:rFonts w:hint="eastAsia"/>
        </w:rPr>
        <w:t>与连梁相接的</w:t>
      </w:r>
      <w:r>
        <w:t>边缘构件宜采用现浇形式</w:t>
      </w:r>
      <w:r>
        <w:rPr>
          <w:rFonts w:hint="eastAsia"/>
        </w:rPr>
        <w:t>；</w:t>
      </w:r>
    </w:p>
    <w:p w14:paraId="19B26FD8">
      <w:pPr>
        <w:pStyle w:val="7"/>
        <w:numPr>
          <w:ilvl w:val="0"/>
          <w:numId w:val="12"/>
        </w:numPr>
      </w:pPr>
      <w:r>
        <w:rPr>
          <w:rFonts w:hint="eastAsia"/>
        </w:rPr>
        <w:t>连梁宜采用混凝土叠合梁，当剪力墙抗震等级</w:t>
      </w:r>
      <w:r>
        <w:t>为</w:t>
      </w:r>
      <w:r>
        <w:rPr>
          <w:rFonts w:hint="eastAsia"/>
        </w:rPr>
        <w:t>一</w:t>
      </w:r>
      <w:r>
        <w:t>级时连梁宜采用现浇形式</w:t>
      </w:r>
      <w:r>
        <w:rPr>
          <w:rFonts w:hint="eastAsia"/>
        </w:rPr>
        <w:t>，连梁的</w:t>
      </w:r>
      <w:r>
        <w:t>钢筋构造应符合国家现行有关标准的规定</w:t>
      </w:r>
      <w:r>
        <w:rPr>
          <w:rFonts w:hint="eastAsia"/>
        </w:rPr>
        <w:t>，</w:t>
      </w:r>
      <w:r>
        <w:t>连梁</w:t>
      </w:r>
      <w:r>
        <w:rPr>
          <w:rFonts w:hint="eastAsia"/>
        </w:rPr>
        <w:t>纵向钢筋可伸入空心墙模水平孔内，不能伸入时应在后浇段中可靠锚固或将空心墙模局部切角</w:t>
      </w:r>
      <w:r>
        <w:t>；</w:t>
      </w:r>
    </w:p>
    <w:p w14:paraId="4B718BBE">
      <w:pPr>
        <w:pStyle w:val="7"/>
        <w:numPr>
          <w:ilvl w:val="0"/>
          <w:numId w:val="12"/>
        </w:numPr>
      </w:pPr>
      <w:r>
        <w:t>边缘构件的范围及配筋构造要求，除符合本标准的有关规定外，尚应符合国家现行</w:t>
      </w:r>
      <w:r>
        <w:rPr>
          <w:rFonts w:hint="eastAsia"/>
        </w:rPr>
        <w:t>有关</w:t>
      </w:r>
      <w:r>
        <w:t>标准的有关规定。</w:t>
      </w:r>
    </w:p>
    <w:p w14:paraId="7EBE0D6E">
      <w:pPr>
        <w:pStyle w:val="86"/>
        <w:spacing w:before="78" w:beforeLines="25"/>
      </w:pPr>
      <w:r>
        <w:rPr>
          <w:lang w:val="en-US" w:eastAsia="zh-CN"/>
        </w:rPr>
        <w:drawing>
          <wp:inline distT="0" distB="0" distL="114300" distR="114300">
            <wp:extent cx="2492375" cy="1879600"/>
            <wp:effectExtent l="0" t="0" r="3175" b="635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71"/>
                    <a:stretch>
                      <a:fillRect/>
                    </a:stretch>
                  </pic:blipFill>
                  <pic:spPr>
                    <a:xfrm>
                      <a:off x="0" y="0"/>
                      <a:ext cx="2492375" cy="1879600"/>
                    </a:xfrm>
                    <a:prstGeom prst="rect">
                      <a:avLst/>
                    </a:prstGeom>
                    <a:noFill/>
                    <a:ln>
                      <a:noFill/>
                    </a:ln>
                  </pic:spPr>
                </pic:pic>
              </a:graphicData>
            </a:graphic>
          </wp:inline>
        </w:drawing>
      </w:r>
    </w:p>
    <w:p w14:paraId="349D26A3">
      <w:pPr>
        <w:pStyle w:val="123"/>
        <w:spacing w:beforeLines="0" w:afterLines="0"/>
        <w:ind w:firstLine="0" w:firstLineChars="0"/>
        <w:jc w:val="center"/>
        <w:rPr>
          <w:rFonts w:hint="eastAsia"/>
        </w:rPr>
      </w:pPr>
      <w:r>
        <w:rPr>
          <w:rFonts w:hint="eastAsia"/>
        </w:rPr>
        <w:t>a</w:t>
      </w:r>
      <w:r>
        <w:t xml:space="preserve">)  </w:t>
      </w:r>
      <w:r>
        <w:rPr>
          <w:rFonts w:hint="eastAsia"/>
        </w:rPr>
        <w:t>现浇连梁</w:t>
      </w:r>
    </w:p>
    <w:p w14:paraId="62E1F112">
      <w:pPr>
        <w:pStyle w:val="86"/>
        <w:spacing w:before="78" w:beforeLines="25"/>
      </w:pPr>
      <w:r>
        <w:rPr>
          <w:lang w:val="en-US" w:eastAsia="zh-CN"/>
        </w:rPr>
        <w:drawing>
          <wp:inline distT="0" distB="0" distL="114300" distR="114300">
            <wp:extent cx="2492375" cy="1866265"/>
            <wp:effectExtent l="0" t="0" r="3175" b="63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2"/>
                    <a:stretch>
                      <a:fillRect/>
                    </a:stretch>
                  </pic:blipFill>
                  <pic:spPr>
                    <a:xfrm>
                      <a:off x="0" y="0"/>
                      <a:ext cx="2492375" cy="1866265"/>
                    </a:xfrm>
                    <a:prstGeom prst="rect">
                      <a:avLst/>
                    </a:prstGeom>
                    <a:noFill/>
                    <a:ln>
                      <a:noFill/>
                    </a:ln>
                  </pic:spPr>
                </pic:pic>
              </a:graphicData>
            </a:graphic>
          </wp:inline>
        </w:drawing>
      </w:r>
    </w:p>
    <w:p w14:paraId="310F0EF1">
      <w:pPr>
        <w:pStyle w:val="123"/>
        <w:spacing w:beforeLines="0" w:after="78"/>
        <w:ind w:firstLine="0" w:firstLineChars="0"/>
        <w:jc w:val="center"/>
        <w:rPr>
          <w:rFonts w:hint="eastAsia"/>
        </w:rPr>
      </w:pPr>
      <w:r>
        <w:rPr>
          <w:rFonts w:hint="eastAsia"/>
        </w:rPr>
        <w:t>b</w:t>
      </w:r>
      <w:r>
        <w:t xml:space="preserve">)  </w:t>
      </w:r>
      <w:r>
        <w:rPr>
          <w:rFonts w:hint="eastAsia"/>
        </w:rPr>
        <w:t>预制叠合连梁</w:t>
      </w:r>
    </w:p>
    <w:p w14:paraId="21D22CA5">
      <w:pPr>
        <w:pStyle w:val="71"/>
        <w:spacing w:before="78" w:after="78"/>
      </w:pPr>
      <w:r>
        <w:rPr>
          <w:rFonts w:hint="eastAsia"/>
        </w:rPr>
        <w:t>图7.</w:t>
      </w:r>
      <w:r>
        <w:t>2</w:t>
      </w:r>
      <w:r>
        <w:rPr>
          <w:rFonts w:hint="eastAsia"/>
        </w:rPr>
        <w:t>.</w:t>
      </w:r>
      <w:r>
        <w:t xml:space="preserve">11  </w:t>
      </w:r>
      <w:r>
        <w:rPr>
          <w:rFonts w:hint="eastAsia"/>
        </w:rPr>
        <w:t>固模剪力墙中连梁构造</w:t>
      </w:r>
    </w:p>
    <w:p w14:paraId="7087BB67">
      <w:pPr>
        <w:pStyle w:val="80"/>
        <w:spacing w:beforeLines="0" w:afterLines="0" w:line="200" w:lineRule="exact"/>
      </w:pPr>
      <w:r>
        <w:t>1—</w:t>
      </w:r>
      <w:r>
        <w:rPr>
          <w:rFonts w:hint="eastAsia"/>
        </w:rPr>
        <w:t>空心墙模；2</w:t>
      </w:r>
      <w:r>
        <w:t>—</w:t>
      </w:r>
      <w:r>
        <w:rPr>
          <w:rFonts w:hint="eastAsia"/>
        </w:rPr>
        <w:t>现浇边缘构件；3</w:t>
      </w:r>
      <w:r>
        <w:t>—</w:t>
      </w:r>
      <w:r>
        <w:rPr>
          <w:rFonts w:hint="eastAsia"/>
        </w:rPr>
        <w:t>楼板；4</w:t>
      </w:r>
      <w:r>
        <w:t>—</w:t>
      </w:r>
      <w:r>
        <w:rPr>
          <w:rFonts w:hint="eastAsia"/>
        </w:rPr>
        <w:t>屋面板</w:t>
      </w:r>
    </w:p>
    <w:p w14:paraId="453F0D89">
      <w:pPr>
        <w:pStyle w:val="80"/>
        <w:spacing w:beforeLines="0" w:after="78" w:line="200" w:lineRule="exact"/>
        <w:rPr>
          <w:rFonts w:hint="eastAsia"/>
        </w:rPr>
      </w:pPr>
      <w:r>
        <w:rPr>
          <w:rFonts w:hint="eastAsia"/>
        </w:rPr>
        <w:t>5</w:t>
      </w:r>
      <w:r>
        <w:t>—</w:t>
      </w:r>
      <w:r>
        <w:rPr>
          <w:rFonts w:hint="eastAsia"/>
        </w:rPr>
        <w:t>中间层连梁； 6</w:t>
      </w:r>
      <w:r>
        <w:t>—</w:t>
      </w:r>
      <w:r>
        <w:rPr>
          <w:rFonts w:hint="eastAsia"/>
        </w:rPr>
        <w:t>顶层连梁； 7</w:t>
      </w:r>
      <w:r>
        <w:t>—</w:t>
      </w:r>
      <w:r>
        <w:rPr>
          <w:rFonts w:hint="eastAsia"/>
        </w:rPr>
        <w:t>空心墙模局部切角</w:t>
      </w:r>
    </w:p>
    <w:p w14:paraId="6292E45A">
      <w:pPr>
        <w:pStyle w:val="106"/>
        <w:ind w:firstLine="0" w:firstLineChars="0"/>
        <w:rPr>
          <w:rFonts w:hint="eastAsia"/>
        </w:rPr>
      </w:pPr>
      <w:r>
        <w:rPr>
          <w:rFonts w:hint="eastAsia"/>
          <w:bCs/>
          <w:color w:val="0070C0"/>
          <w:kern w:val="2"/>
          <w:sz w:val="21"/>
          <w:szCs w:val="24"/>
        </w:rPr>
        <w:t>【条文说明】固模剪力墙约束边缘构件应采用现浇形式，构造边缘构件宜采用现浇形式，与连梁相接的边缘构件宜采用现浇形式。边缘构件范围及配筋构造要求等应符合国家现行有关标准的规定。</w:t>
      </w:r>
    </w:p>
    <w:p w14:paraId="5A0D880F">
      <w:pPr>
        <w:pStyle w:val="6"/>
      </w:pPr>
      <w:r>
        <w:t>固模剪力墙端部、洞口两侧及纵横墙交接处</w:t>
      </w:r>
      <w:r>
        <w:rPr>
          <w:rFonts w:hint="eastAsia"/>
        </w:rPr>
        <w:t>应设置现浇边缘构件，空心墙模中穿设的墙体</w:t>
      </w:r>
      <w:r>
        <w:t>水平</w:t>
      </w:r>
      <w:r>
        <w:rPr>
          <w:rFonts w:hint="eastAsia"/>
        </w:rPr>
        <w:t>分布</w:t>
      </w:r>
      <w:r>
        <w:t>钢筋</w:t>
      </w:r>
      <w:r>
        <w:rPr>
          <w:rFonts w:hint="eastAsia"/>
        </w:rPr>
        <w:t>与边缘构件的连接</w:t>
      </w:r>
      <w:r>
        <w:t>构造应符合下列规定：</w:t>
      </w:r>
    </w:p>
    <w:p w14:paraId="2988C8AA">
      <w:pPr>
        <w:pStyle w:val="7"/>
        <w:numPr>
          <w:ilvl w:val="0"/>
          <w:numId w:val="30"/>
        </w:numPr>
      </w:pPr>
      <w:r>
        <w:t>墙体水平钢筋应伸入边缘构件，</w:t>
      </w:r>
      <w:r>
        <w:rPr>
          <w:rFonts w:hint="eastAsia"/>
        </w:rPr>
        <w:t>应与边缘构件中附加连接钢筋搭接连接；</w:t>
      </w:r>
    </w:p>
    <w:p w14:paraId="6C325626">
      <w:pPr>
        <w:pStyle w:val="7"/>
        <w:numPr>
          <w:ilvl w:val="0"/>
          <w:numId w:val="30"/>
        </w:numPr>
      </w:pPr>
      <w:r>
        <w:rPr>
          <w:rFonts w:hint="eastAsia"/>
        </w:rPr>
        <w:t>构造边缘构件中附加连接钢筋宜采用封闭箍筋；约束边缘构件中附加连接钢筋应采用封闭箍筋；此时当</w:t>
      </w:r>
      <w:r>
        <w:t>墙体水平钢筋末端</w:t>
      </w:r>
      <w:r>
        <w:rPr>
          <w:rFonts w:hint="eastAsia"/>
        </w:rPr>
        <w:t>不设弯钩时，墙体水平钢筋</w:t>
      </w:r>
      <w:r>
        <w:t>伸入边缘构件</w:t>
      </w:r>
      <w:r>
        <w:rPr>
          <w:rFonts w:hint="eastAsia"/>
        </w:rPr>
        <w:t>核心区</w:t>
      </w:r>
      <w:r>
        <w:t>长度不应小于</w:t>
      </w:r>
      <w:r>
        <w:rPr>
          <w:rFonts w:hint="eastAsia"/>
        </w:rPr>
        <w:t>1.</w:t>
      </w:r>
      <w:r>
        <w:t>2</w:t>
      </w:r>
      <w:r>
        <w:rPr>
          <w:i/>
        </w:rPr>
        <w:t>l</w:t>
      </w:r>
      <w:r>
        <w:rPr>
          <w:vertAlign w:val="subscript"/>
        </w:rPr>
        <w:t>aE</w:t>
      </w:r>
      <w:r>
        <w:t>；当墙体水平钢筋末端</w:t>
      </w:r>
      <w:r>
        <w:rPr>
          <w:rFonts w:hint="eastAsia"/>
        </w:rPr>
        <w:t>设有1</w:t>
      </w:r>
      <w:r>
        <w:t>35</w:t>
      </w:r>
      <w:r>
        <w:rPr>
          <w:rFonts w:hint="eastAsia"/>
        </w:rPr>
        <w:t>°弯钩时，其</w:t>
      </w:r>
      <w:r>
        <w:t>伸入边缘构件</w:t>
      </w:r>
      <w:r>
        <w:rPr>
          <w:rFonts w:hint="eastAsia"/>
        </w:rPr>
        <w:t>核心区</w:t>
      </w:r>
      <w:r>
        <w:t>长度不应小于</w:t>
      </w:r>
      <w:r>
        <w:rPr>
          <w:rFonts w:hint="eastAsia"/>
        </w:rPr>
        <w:t>0.8</w:t>
      </w:r>
      <w:r>
        <w:rPr>
          <w:i/>
        </w:rPr>
        <w:t>l</w:t>
      </w:r>
      <w:r>
        <w:rPr>
          <w:vertAlign w:val="subscript"/>
        </w:rPr>
        <w:t>aE</w:t>
      </w:r>
      <w:r>
        <w:rPr>
          <w:rFonts w:hint="eastAsia"/>
        </w:rPr>
        <w:t>；</w:t>
      </w:r>
    </w:p>
    <w:p w14:paraId="58B767FA">
      <w:pPr>
        <w:pStyle w:val="7"/>
        <w:numPr>
          <w:ilvl w:val="0"/>
          <w:numId w:val="30"/>
        </w:numPr>
      </w:pPr>
      <w:r>
        <w:rPr>
          <w:rFonts w:hint="eastAsia"/>
        </w:rPr>
        <w:t>当约束边缘暗柱</w:t>
      </w:r>
      <w:r>
        <w:rPr>
          <w:rFonts w:hint="eastAsia"/>
          <w:i/>
        </w:rPr>
        <w:t>l</w:t>
      </w:r>
      <w:r>
        <w:rPr>
          <w:rFonts w:hint="eastAsia"/>
          <w:vertAlign w:val="subscript"/>
        </w:rPr>
        <w:t>c</w:t>
      </w:r>
      <w:r>
        <w:rPr>
          <w:rFonts w:hint="eastAsia"/>
        </w:rPr>
        <w:t>段大于柱宽</w:t>
      </w:r>
      <w:r>
        <w:rPr>
          <w:rFonts w:hint="eastAsia"/>
          <w:i/>
        </w:rPr>
        <w:t>L</w:t>
      </w:r>
      <w:r>
        <w:rPr>
          <w:rFonts w:hint="eastAsia"/>
          <w:vertAlign w:val="subscript"/>
        </w:rPr>
        <w:t>z</w:t>
      </w:r>
      <w:r>
        <w:rPr>
          <w:rFonts w:hint="eastAsia"/>
        </w:rPr>
        <w:t>时，</w:t>
      </w:r>
      <w:r>
        <w:rPr>
          <w:rFonts w:hint="eastAsia"/>
          <w:i/>
        </w:rPr>
        <w:t>l</w:t>
      </w:r>
      <w:r>
        <w:rPr>
          <w:rFonts w:hint="eastAsia"/>
          <w:vertAlign w:val="subscript"/>
        </w:rPr>
        <w:t>c</w:t>
      </w:r>
      <w:r>
        <w:rPr>
          <w:rFonts w:hint="eastAsia"/>
        </w:rPr>
        <w:t>段应设置封闭箍筋，</w:t>
      </w:r>
      <w:r>
        <w:rPr>
          <w:rFonts w:hint="eastAsia"/>
          <w:i/>
        </w:rPr>
        <w:t>l</w:t>
      </w:r>
      <w:r>
        <w:rPr>
          <w:rFonts w:hint="eastAsia"/>
          <w:vertAlign w:val="subscript"/>
        </w:rPr>
        <w:t>c</w:t>
      </w:r>
      <w:r>
        <w:rPr>
          <w:rFonts w:hint="eastAsia"/>
        </w:rPr>
        <w:t>段与固模剪力墙的连接构造同</w:t>
      </w:r>
      <w:r>
        <w:fldChar w:fldCharType="begin"/>
      </w:r>
      <w:r>
        <w:rPr>
          <w:rFonts w:hint="eastAsia"/>
        </w:rPr>
        <w:instrText xml:space="preserve">REF _Ref34495213 \h</w:instrText>
      </w:r>
      <w:r>
        <w:instrText xml:space="preserve"> \* MERGEFORMAT </w:instrText>
      </w:r>
      <w:r>
        <w:fldChar w:fldCharType="separate"/>
      </w:r>
      <w:r>
        <w:rPr>
          <w:rFonts w:hint="eastAsia"/>
        </w:rPr>
        <w:t>图</w:t>
      </w:r>
      <w:r>
        <w:t>7.2.5</w:t>
      </w:r>
      <w:r>
        <w:fldChar w:fldCharType="end"/>
      </w:r>
      <w:r>
        <w:rPr>
          <w:rFonts w:hint="eastAsia"/>
        </w:rPr>
        <w:t>；</w:t>
      </w:r>
    </w:p>
    <w:p w14:paraId="2E0BBF84">
      <w:pPr>
        <w:pStyle w:val="7"/>
        <w:numPr>
          <w:ilvl w:val="0"/>
          <w:numId w:val="26"/>
        </w:numPr>
        <w:spacing w:line="320" w:lineRule="exact"/>
      </w:pPr>
      <w:r>
        <w:t>构造边缘翼墙</w:t>
      </w:r>
      <w:r>
        <w:rPr>
          <w:rFonts w:hint="eastAsia"/>
        </w:rPr>
        <w:t>处和十字形墙处</w:t>
      </w:r>
      <w:r>
        <w:t>，</w:t>
      </w:r>
      <w:r>
        <w:rPr>
          <w:rFonts w:hint="eastAsia"/>
        </w:rPr>
        <w:t>墙体</w:t>
      </w:r>
      <w:r>
        <w:t>水平</w:t>
      </w:r>
      <w:r>
        <w:rPr>
          <w:rFonts w:hint="eastAsia"/>
        </w:rPr>
        <w:t>钢</w:t>
      </w:r>
      <w:r>
        <w:t>筋</w:t>
      </w:r>
      <w:r>
        <w:rPr>
          <w:rFonts w:hint="eastAsia"/>
        </w:rPr>
        <w:t>宜贯通布置。</w:t>
      </w:r>
    </w:p>
    <w:p w14:paraId="2D55B6F4">
      <w:pPr>
        <w:pStyle w:val="80"/>
        <w:spacing w:beforeLines="0" w:afterLines="0"/>
      </w:pPr>
      <w:r>
        <w:drawing>
          <wp:inline distT="0" distB="0" distL="114300" distR="114300">
            <wp:extent cx="1996440" cy="1078230"/>
            <wp:effectExtent l="0" t="0" r="3810" b="762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73"/>
                    <a:stretch>
                      <a:fillRect/>
                    </a:stretch>
                  </pic:blipFill>
                  <pic:spPr>
                    <a:xfrm>
                      <a:off x="0" y="0"/>
                      <a:ext cx="1996440" cy="1078230"/>
                    </a:xfrm>
                    <a:prstGeom prst="rect">
                      <a:avLst/>
                    </a:prstGeom>
                    <a:noFill/>
                    <a:ln>
                      <a:noFill/>
                    </a:ln>
                  </pic:spPr>
                </pic:pic>
              </a:graphicData>
            </a:graphic>
          </wp:inline>
        </w:drawing>
      </w:r>
    </w:p>
    <w:p w14:paraId="04CC5ED9">
      <w:pPr>
        <w:pStyle w:val="123"/>
        <w:spacing w:before="78" w:after="78"/>
        <w:ind w:firstLine="2160" w:firstLineChars="1200"/>
      </w:pPr>
      <w:r>
        <w:rPr>
          <w:rFonts w:hint="eastAsia"/>
        </w:rPr>
        <w:t>(a</w:t>
      </w:r>
      <w:r>
        <w:t xml:space="preserve">)  </w:t>
      </w:r>
      <w:r>
        <w:rPr>
          <w:rFonts w:hint="eastAsia"/>
        </w:rPr>
        <w:t>穿筋不设弯钩</w:t>
      </w:r>
    </w:p>
    <w:p w14:paraId="6BEC3C1E">
      <w:pPr>
        <w:pStyle w:val="80"/>
        <w:spacing w:beforeLines="0" w:afterLines="0"/>
      </w:pPr>
      <w:r>
        <w:drawing>
          <wp:inline distT="0" distB="0" distL="114300" distR="114300">
            <wp:extent cx="2048510" cy="1086485"/>
            <wp:effectExtent l="0" t="0" r="8890" b="1841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74"/>
                    <a:stretch>
                      <a:fillRect/>
                    </a:stretch>
                  </pic:blipFill>
                  <pic:spPr>
                    <a:xfrm>
                      <a:off x="0" y="0"/>
                      <a:ext cx="2048510" cy="1086485"/>
                    </a:xfrm>
                    <a:prstGeom prst="rect">
                      <a:avLst/>
                    </a:prstGeom>
                    <a:noFill/>
                    <a:ln>
                      <a:noFill/>
                    </a:ln>
                  </pic:spPr>
                </pic:pic>
              </a:graphicData>
            </a:graphic>
          </wp:inline>
        </w:drawing>
      </w:r>
    </w:p>
    <w:p w14:paraId="504462D4">
      <w:pPr>
        <w:pStyle w:val="123"/>
        <w:spacing w:before="78" w:after="78"/>
        <w:ind w:firstLine="1276" w:firstLineChars="709"/>
      </w:pPr>
      <w:r>
        <w:t xml:space="preserve">                          (b)  </w:t>
      </w:r>
      <w:r>
        <w:rPr>
          <w:rFonts w:hint="eastAsia"/>
        </w:rPr>
        <w:t>穿筋设弯钩</w:t>
      </w:r>
    </w:p>
    <w:p w14:paraId="29BF5679">
      <w:pPr>
        <w:pStyle w:val="71"/>
        <w:spacing w:before="78" w:after="78"/>
      </w:pPr>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7.2.12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边缘暗柱</w:t>
      </w:r>
    </w:p>
    <w:p w14:paraId="05392E70">
      <w:pPr>
        <w:pStyle w:val="80"/>
        <w:spacing w:before="78" w:after="78"/>
        <w:rPr>
          <w:rFonts w:hint="eastAsia"/>
        </w:rPr>
      </w:pPr>
      <w:r>
        <w:rPr>
          <w:rFonts w:hint="eastAsia"/>
        </w:rPr>
        <w:t>注：图中尺寸单位为mm。</w:t>
      </w:r>
    </w:p>
    <w:p w14:paraId="166A7A07">
      <w:pPr>
        <w:pStyle w:val="80"/>
        <w:spacing w:before="78" w:after="78"/>
      </w:pPr>
      <w:r>
        <w:t>1—</w:t>
      </w:r>
      <w:r>
        <w:rPr>
          <w:rFonts w:hint="eastAsia"/>
        </w:rPr>
        <w:t>空心墙模</w:t>
      </w:r>
      <w:r>
        <w:t>；</w:t>
      </w:r>
      <w:r>
        <w:rPr>
          <w:rFonts w:hint="eastAsia"/>
        </w:rPr>
        <w:t>2</w:t>
      </w:r>
      <w:r>
        <w:t>—</w:t>
      </w:r>
      <w:r>
        <w:rPr>
          <w:rFonts w:hint="eastAsia"/>
        </w:rPr>
        <w:t>墙体水平钢筋；3</w:t>
      </w:r>
      <w:r>
        <w:t>—</w:t>
      </w:r>
      <w:r>
        <w:rPr>
          <w:rFonts w:hint="eastAsia"/>
        </w:rPr>
        <w:t>边缘构件；4</w:t>
      </w:r>
      <w:r>
        <w:t>—</w:t>
      </w:r>
      <w:r>
        <w:rPr>
          <w:rFonts w:hint="eastAsia"/>
        </w:rPr>
        <w:t>附加连接钢筋</w:t>
      </w:r>
    </w:p>
    <w:p w14:paraId="657EA81D">
      <w:pPr>
        <w:pStyle w:val="86"/>
        <w:spacing w:before="156"/>
      </w:pPr>
      <w:r>
        <w:rPr>
          <w:lang w:val="en-US" w:eastAsia="zh-CN"/>
        </w:rPr>
        <w:drawing>
          <wp:inline distT="0" distB="0" distL="114300" distR="114300">
            <wp:extent cx="2339340" cy="2258695"/>
            <wp:effectExtent l="0" t="0" r="3810" b="8255"/>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75"/>
                    <a:stretch>
                      <a:fillRect/>
                    </a:stretch>
                  </pic:blipFill>
                  <pic:spPr>
                    <a:xfrm>
                      <a:off x="0" y="0"/>
                      <a:ext cx="2339340" cy="2258695"/>
                    </a:xfrm>
                    <a:prstGeom prst="rect">
                      <a:avLst/>
                    </a:prstGeom>
                    <a:noFill/>
                    <a:ln>
                      <a:noFill/>
                    </a:ln>
                  </pic:spPr>
                </pic:pic>
              </a:graphicData>
            </a:graphic>
          </wp:inline>
        </w:drawing>
      </w:r>
    </w:p>
    <w:p w14:paraId="0FEB0A47">
      <w:pPr>
        <w:pStyle w:val="123"/>
        <w:spacing w:before="78" w:after="78"/>
        <w:ind w:firstLine="2678" w:firstLineChars="1488"/>
      </w:pPr>
      <w:r>
        <w:rPr>
          <w:rFonts w:hint="eastAsia"/>
        </w:rPr>
        <w:t>(a</w:t>
      </w:r>
      <w:r>
        <w:t xml:space="preserve">)  </w:t>
      </w:r>
      <w:r>
        <w:rPr>
          <w:rFonts w:hint="eastAsia"/>
        </w:rPr>
        <w:t>转角墙</w:t>
      </w:r>
    </w:p>
    <w:p w14:paraId="6A35CE52">
      <w:pPr>
        <w:pStyle w:val="86"/>
        <w:spacing w:before="156"/>
      </w:pPr>
      <w:r>
        <w:rPr>
          <w:lang w:val="en-US" w:eastAsia="zh-CN"/>
        </w:rPr>
        <w:drawing>
          <wp:inline distT="0" distB="0" distL="114300" distR="114300">
            <wp:extent cx="2583180" cy="2099310"/>
            <wp:effectExtent l="0" t="0" r="7620" b="1524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76"/>
                    <a:stretch>
                      <a:fillRect/>
                    </a:stretch>
                  </pic:blipFill>
                  <pic:spPr>
                    <a:xfrm>
                      <a:off x="0" y="0"/>
                      <a:ext cx="2583180" cy="2099310"/>
                    </a:xfrm>
                    <a:prstGeom prst="rect">
                      <a:avLst/>
                    </a:prstGeom>
                    <a:noFill/>
                    <a:ln>
                      <a:noFill/>
                    </a:ln>
                  </pic:spPr>
                </pic:pic>
              </a:graphicData>
            </a:graphic>
          </wp:inline>
        </w:drawing>
      </w:r>
    </w:p>
    <w:p w14:paraId="2FB3DC35">
      <w:pPr>
        <w:pStyle w:val="123"/>
        <w:spacing w:beforeLines="0" w:after="78"/>
        <w:ind w:firstLine="2424" w:firstLineChars="1347"/>
      </w:pPr>
      <w:r>
        <w:rPr>
          <w:rFonts w:hint="eastAsia"/>
        </w:rPr>
        <w:t>(b</w:t>
      </w:r>
      <w:r>
        <w:t xml:space="preserve">)  </w:t>
      </w:r>
      <w:r>
        <w:rPr>
          <w:rFonts w:hint="eastAsia"/>
        </w:rPr>
        <w:t>有翼墙</w:t>
      </w:r>
    </w:p>
    <w:p w14:paraId="0C8734D8">
      <w:pPr>
        <w:pStyle w:val="71"/>
        <w:spacing w:before="78" w:after="78"/>
      </w:pPr>
      <w:bookmarkStart w:id="235" w:name="_Ref34484858"/>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7.2.12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2</w:t>
      </w:r>
      <w:r>
        <w:fldChar w:fldCharType="end"/>
      </w:r>
      <w:bookmarkEnd w:id="235"/>
      <w:r>
        <w:rPr>
          <w:rFonts w:hint="eastAsia"/>
        </w:rPr>
        <w:t>构造边缘构件</w:t>
      </w:r>
    </w:p>
    <w:p w14:paraId="10E05DD5">
      <w:pPr>
        <w:pStyle w:val="80"/>
        <w:spacing w:before="78" w:after="78"/>
      </w:pPr>
      <w:r>
        <w:t>1—</w:t>
      </w:r>
      <w:r>
        <w:rPr>
          <w:rFonts w:hint="eastAsia"/>
        </w:rPr>
        <w:t>空心墙模</w:t>
      </w:r>
      <w:r>
        <w:t>；</w:t>
      </w:r>
      <w:r>
        <w:rPr>
          <w:rFonts w:hint="eastAsia"/>
        </w:rPr>
        <w:t>2</w:t>
      </w:r>
      <w:r>
        <w:t>—</w:t>
      </w:r>
      <w:r>
        <w:rPr>
          <w:rFonts w:hint="eastAsia"/>
        </w:rPr>
        <w:t>墙体水平钢筋；3</w:t>
      </w:r>
      <w:r>
        <w:t>—</w:t>
      </w:r>
      <w:r>
        <w:rPr>
          <w:rFonts w:hint="eastAsia"/>
        </w:rPr>
        <w:t>翼墙中穿设贯通筋；4</w:t>
      </w:r>
      <w:r>
        <w:t>—</w:t>
      </w:r>
      <w:r>
        <w:rPr>
          <w:rFonts w:hint="eastAsia"/>
        </w:rPr>
        <w:t>附加连接钢筋</w:t>
      </w:r>
    </w:p>
    <w:p w14:paraId="6820790F">
      <w:pPr>
        <w:pStyle w:val="80"/>
        <w:spacing w:before="78" w:afterLines="0"/>
        <w:ind w:left="456" w:right="880" w:rightChars="419" w:firstLine="456"/>
        <w:jc w:val="left"/>
      </w:pPr>
      <w:r>
        <w:rPr>
          <w:rFonts w:hint="eastAsia"/>
        </w:rPr>
        <w:t>注：</w:t>
      </w:r>
      <w:r>
        <w:rPr>
          <w:rFonts w:hint="eastAsia" w:ascii="宋体" w:hAnsi="宋体" w:cs="宋体"/>
        </w:rPr>
        <w:t>①</w:t>
      </w:r>
      <w:r>
        <w:t xml:space="preserve"> </w:t>
      </w:r>
      <w:r>
        <w:rPr>
          <w:rFonts w:hint="eastAsia"/>
        </w:rPr>
        <w:t>图中尺寸单位为mm。</w:t>
      </w:r>
    </w:p>
    <w:p w14:paraId="1A4C0E33">
      <w:pPr>
        <w:pStyle w:val="80"/>
        <w:spacing w:before="78" w:afterLines="0"/>
        <w:ind w:right="880" w:rightChars="419" w:firstLine="1227" w:firstLineChars="767"/>
        <w:jc w:val="both"/>
      </w:pPr>
      <w:r>
        <w:rPr>
          <w:rFonts w:hint="eastAsia" w:ascii="宋体" w:hAnsi="宋体" w:cs="宋体"/>
        </w:rPr>
        <w:t>②</w:t>
      </w:r>
      <w:r>
        <w:rPr>
          <w:rFonts w:ascii="宋体" w:hAnsi="宋体" w:cs="宋体"/>
        </w:rPr>
        <w:t xml:space="preserve"> </w:t>
      </w:r>
      <w:r>
        <w:rPr>
          <w:rFonts w:hint="eastAsia" w:ascii="宋体" w:hAnsi="宋体" w:cs="宋体"/>
        </w:rPr>
        <w:t>括号内的数字用于高层建筑。</w:t>
      </w:r>
    </w:p>
    <w:p w14:paraId="495320D0">
      <w:pPr>
        <w:pStyle w:val="86"/>
        <w:spacing w:before="156"/>
      </w:pPr>
      <w:r>
        <w:rPr>
          <w:lang w:val="en-US" w:eastAsia="zh-CN"/>
        </w:rPr>
        <w:drawing>
          <wp:inline distT="0" distB="0" distL="114300" distR="114300">
            <wp:extent cx="3120390" cy="2442845"/>
            <wp:effectExtent l="0" t="0" r="3810" b="1460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77"/>
                    <a:stretch>
                      <a:fillRect/>
                    </a:stretch>
                  </pic:blipFill>
                  <pic:spPr>
                    <a:xfrm>
                      <a:off x="0" y="0"/>
                      <a:ext cx="3120390" cy="2442845"/>
                    </a:xfrm>
                    <a:prstGeom prst="rect">
                      <a:avLst/>
                    </a:prstGeom>
                    <a:noFill/>
                    <a:ln>
                      <a:noFill/>
                    </a:ln>
                  </pic:spPr>
                </pic:pic>
              </a:graphicData>
            </a:graphic>
          </wp:inline>
        </w:drawing>
      </w:r>
    </w:p>
    <w:p w14:paraId="0D8F1CC6">
      <w:pPr>
        <w:pStyle w:val="123"/>
        <w:spacing w:before="78" w:after="78"/>
        <w:ind w:firstLine="2424" w:firstLineChars="1347"/>
      </w:pPr>
      <w:r>
        <w:rPr>
          <w:rFonts w:hint="eastAsia"/>
        </w:rPr>
        <w:t>(</w:t>
      </w:r>
      <w:r>
        <w:t xml:space="preserve">a)  </w:t>
      </w:r>
      <w:r>
        <w:rPr>
          <w:rFonts w:hint="eastAsia"/>
        </w:rPr>
        <w:t>转角墙</w:t>
      </w:r>
    </w:p>
    <w:p w14:paraId="3476E32B">
      <w:pPr>
        <w:pStyle w:val="86"/>
        <w:spacing w:before="156"/>
      </w:pPr>
      <w:r>
        <w:rPr>
          <w:lang w:val="en-US" w:eastAsia="zh-CN"/>
        </w:rPr>
        <w:drawing>
          <wp:inline distT="0" distB="0" distL="114300" distR="114300">
            <wp:extent cx="3565525" cy="3048000"/>
            <wp:effectExtent l="0" t="0" r="15875" b="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pic:cNvPicPr>
                      <a:picLocks noChangeAspect="1"/>
                    </pic:cNvPicPr>
                  </pic:nvPicPr>
                  <pic:blipFill>
                    <a:blip r:embed="rId78"/>
                    <a:stretch>
                      <a:fillRect/>
                    </a:stretch>
                  </pic:blipFill>
                  <pic:spPr>
                    <a:xfrm>
                      <a:off x="0" y="0"/>
                      <a:ext cx="3565525" cy="3048000"/>
                    </a:xfrm>
                    <a:prstGeom prst="rect">
                      <a:avLst/>
                    </a:prstGeom>
                    <a:noFill/>
                    <a:ln>
                      <a:noFill/>
                    </a:ln>
                  </pic:spPr>
                </pic:pic>
              </a:graphicData>
            </a:graphic>
          </wp:inline>
        </w:drawing>
      </w:r>
    </w:p>
    <w:p w14:paraId="65FDB3AC">
      <w:pPr>
        <w:pStyle w:val="123"/>
        <w:spacing w:before="78" w:after="78"/>
        <w:ind w:firstLine="2678" w:firstLineChars="1488"/>
      </w:pPr>
      <w:r>
        <w:rPr>
          <w:rFonts w:hint="eastAsia"/>
        </w:rPr>
        <w:t>(</w:t>
      </w:r>
      <w:r>
        <w:t xml:space="preserve">b)  </w:t>
      </w:r>
      <w:r>
        <w:rPr>
          <w:rFonts w:hint="eastAsia"/>
        </w:rPr>
        <w:t>有翼墙</w:t>
      </w:r>
    </w:p>
    <w:p w14:paraId="4219B29E">
      <w:pPr>
        <w:pStyle w:val="71"/>
        <w:spacing w:before="78" w:after="78"/>
      </w:pPr>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7.2.12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3</w:t>
      </w:r>
      <w:r>
        <w:fldChar w:fldCharType="end"/>
      </w:r>
      <w:r>
        <w:rPr>
          <w:rFonts w:hint="eastAsia"/>
        </w:rPr>
        <w:t>约束边缘构件</w:t>
      </w:r>
    </w:p>
    <w:p w14:paraId="796936BC">
      <w:pPr>
        <w:pStyle w:val="80"/>
        <w:spacing w:before="78" w:after="78"/>
        <w:rPr>
          <w:rFonts w:hint="eastAsia"/>
        </w:rPr>
      </w:pPr>
      <w:r>
        <w:rPr>
          <w:rFonts w:hint="eastAsia"/>
        </w:rPr>
        <w:t>注：图中尺寸单位为mm。</w:t>
      </w:r>
    </w:p>
    <w:p w14:paraId="3BC7F44B">
      <w:pPr>
        <w:pStyle w:val="80"/>
        <w:spacing w:before="78" w:after="78"/>
        <w:rPr>
          <w:rFonts w:hint="eastAsia"/>
        </w:rPr>
      </w:pPr>
      <w:r>
        <w:t>1—</w:t>
      </w:r>
      <w:r>
        <w:rPr>
          <w:rFonts w:hint="eastAsia"/>
        </w:rPr>
        <w:t>空心墙模</w:t>
      </w:r>
      <w:r>
        <w:t>；</w:t>
      </w:r>
      <w:r>
        <w:rPr>
          <w:rFonts w:hint="eastAsia"/>
        </w:rPr>
        <w:t>2</w:t>
      </w:r>
      <w:r>
        <w:t>—</w:t>
      </w:r>
      <w:r>
        <w:rPr>
          <w:rFonts w:hint="eastAsia"/>
        </w:rPr>
        <w:t>墙体水平钢筋；3</w:t>
      </w:r>
      <w:r>
        <w:t>—</w:t>
      </w:r>
      <w:r>
        <w:rPr>
          <w:rFonts w:hint="eastAsia"/>
        </w:rPr>
        <w:t>附加连接钢筋</w:t>
      </w:r>
    </w:p>
    <w:p w14:paraId="1E3982EE">
      <w:pPr>
        <w:pStyle w:val="106"/>
        <w:ind w:firstLine="0" w:firstLineChars="0"/>
        <w:rPr>
          <w:rFonts w:hint="eastAsia"/>
          <w:bCs/>
          <w:color w:val="0070C0"/>
          <w:kern w:val="2"/>
          <w:sz w:val="21"/>
          <w:szCs w:val="24"/>
        </w:rPr>
      </w:pPr>
      <w:r>
        <w:rPr>
          <w:rFonts w:hint="eastAsia"/>
          <w:bCs/>
          <w:color w:val="0070C0"/>
          <w:kern w:val="2"/>
          <w:sz w:val="21"/>
          <w:szCs w:val="24"/>
        </w:rPr>
        <w:t>【条文说明】水平钢筋构造参考现行行业标准《钢筋焊接网混凝土结构技术规程》JGJ 114和现行国家建筑标准设计图集《装配式混凝土结构连接节点构造（剪力墙）》15G310-2的有关节点确定。</w:t>
      </w:r>
    </w:p>
    <w:p w14:paraId="446FFAEE">
      <w:pPr>
        <w:pStyle w:val="106"/>
        <w:ind w:firstLine="420"/>
        <w:rPr>
          <w:rFonts w:hint="eastAsia"/>
          <w:bCs/>
          <w:color w:val="0070C0"/>
          <w:kern w:val="2"/>
          <w:sz w:val="21"/>
          <w:szCs w:val="24"/>
        </w:rPr>
      </w:pPr>
      <w:r>
        <w:rPr>
          <w:rFonts w:hint="eastAsia"/>
          <w:bCs/>
          <w:color w:val="0070C0"/>
          <w:kern w:val="2"/>
          <w:sz w:val="21"/>
          <w:szCs w:val="24"/>
        </w:rPr>
        <w:t>边缘构件中附加连接钢筋是指除正常设置的边缘构件箍筋外，附加设置的箍筋形钢筋用于与墙体水平分布钢筋的搭接连接。</w:t>
      </w:r>
    </w:p>
    <w:p w14:paraId="41CD6535">
      <w:pPr>
        <w:pStyle w:val="106"/>
        <w:ind w:firstLine="420"/>
        <w:rPr>
          <w:rFonts w:hint="eastAsia"/>
          <w:bCs/>
          <w:color w:val="0070C0"/>
          <w:kern w:val="2"/>
          <w:sz w:val="21"/>
          <w:szCs w:val="24"/>
        </w:rPr>
      </w:pPr>
      <w:r>
        <w:rPr>
          <w:rFonts w:hint="eastAsia"/>
          <w:bCs/>
          <w:color w:val="0070C0"/>
          <w:kern w:val="2"/>
          <w:sz w:val="21"/>
          <w:szCs w:val="24"/>
        </w:rPr>
        <w:t>在符合本条规定的前提下，按照构件制作及现场施工方便的原则，可将空心墙模内穿设水平钢筋设计为末端设弯钩或不设弯钩，可将附加连接钢筋设计为箍筋形或U形。对墙体水平钢筋末端弯钩及锚固长度的要求，同本标准第7.1.3条有关规定。</w:t>
      </w:r>
    </w:p>
    <w:p w14:paraId="626C50DF">
      <w:pPr>
        <w:pStyle w:val="106"/>
        <w:ind w:firstLine="420"/>
        <w:rPr>
          <w:rFonts w:hint="eastAsia"/>
        </w:rPr>
      </w:pPr>
      <w:r>
        <w:rPr>
          <w:rFonts w:hint="eastAsia"/>
          <w:bCs/>
          <w:color w:val="0070C0"/>
          <w:kern w:val="2"/>
          <w:sz w:val="21"/>
          <w:szCs w:val="24"/>
        </w:rPr>
        <w:t>现场施工时，固模剪力墙的水平钢筋连接也可根据现场条件参照本标准配套图集采用其他合适的构造做法。</w:t>
      </w:r>
    </w:p>
    <w:p w14:paraId="1A7281C9">
      <w:pPr>
        <w:pStyle w:val="80"/>
        <w:spacing w:before="78" w:after="78"/>
        <w:jc w:val="both"/>
        <w:rPr>
          <w:rFonts w:hint="eastAsia"/>
        </w:rPr>
      </w:pPr>
    </w:p>
    <w:p w14:paraId="74FBD219">
      <w:pPr>
        <w:pStyle w:val="6"/>
      </w:pPr>
      <w:bookmarkStart w:id="236" w:name="_Ref54970736"/>
      <w:bookmarkStart w:id="237" w:name="_Ref32930669"/>
      <w:r>
        <w:rPr>
          <w:rFonts w:hint="eastAsia"/>
        </w:rPr>
        <w:t>6层及以下、房屋高度不大于2</w:t>
      </w:r>
      <w:r>
        <w:t>1</w:t>
      </w:r>
      <w:r>
        <w:rPr>
          <w:rFonts w:hint="eastAsia"/>
        </w:rPr>
        <w:t>m的固模剪力墙结构标准设防类建筑</w:t>
      </w:r>
      <w:r>
        <w:t>，固模剪力墙</w:t>
      </w:r>
      <w:r>
        <w:rPr>
          <w:rFonts w:hint="eastAsia"/>
        </w:rPr>
        <w:t>的构造边缘构件</w:t>
      </w:r>
      <w:r>
        <w:t>可采用简化</w:t>
      </w:r>
      <w:r>
        <w:rPr>
          <w:rFonts w:hint="eastAsia"/>
        </w:rPr>
        <w:t>暗柱</w:t>
      </w:r>
      <w:r>
        <w:t>形式，应符合下列规定：</w:t>
      </w:r>
      <w:bookmarkEnd w:id="236"/>
      <w:bookmarkEnd w:id="237"/>
    </w:p>
    <w:p w14:paraId="7976AE16">
      <w:pPr>
        <w:pStyle w:val="7"/>
        <w:numPr>
          <w:ilvl w:val="0"/>
          <w:numId w:val="31"/>
        </w:numPr>
      </w:pPr>
      <w:r>
        <w:t>洞口两侧及</w:t>
      </w:r>
      <w:r>
        <w:rPr>
          <w:rFonts w:hint="eastAsia"/>
        </w:rPr>
        <w:t>一字型墙尽</w:t>
      </w:r>
      <w:r>
        <w:t>端</w:t>
      </w:r>
      <w:r>
        <w:rPr>
          <w:rFonts w:hint="eastAsia"/>
        </w:rPr>
        <w:t>构造边缘暗柱以及有翼墙的构造边缘暗柱</w:t>
      </w:r>
      <w:r>
        <w:t>宜采用现浇</w:t>
      </w:r>
      <w:r>
        <w:rPr>
          <w:rFonts w:hint="eastAsia"/>
        </w:rPr>
        <w:t>暗柱</w:t>
      </w:r>
      <w:r>
        <w:t>，其截面高度不宜小于墙厚，不应小于300mm，截面宽度可取墙厚</w:t>
      </w:r>
      <w:r>
        <w:rPr>
          <w:rFonts w:hint="eastAsia"/>
        </w:rPr>
        <w:t>；</w:t>
      </w:r>
    </w:p>
    <w:p w14:paraId="77696CDF">
      <w:pPr>
        <w:pStyle w:val="7"/>
        <w:numPr>
          <w:ilvl w:val="0"/>
          <w:numId w:val="31"/>
        </w:numPr>
      </w:pPr>
      <w:r>
        <w:rPr>
          <w:rFonts w:hint="eastAsia"/>
        </w:rPr>
        <w:t>建筑外墙转角部位暗柱宜采用本标准</w:t>
      </w:r>
      <w:r>
        <w:fldChar w:fldCharType="begin"/>
      </w:r>
      <w:r>
        <w:rPr>
          <w:rFonts w:hint="eastAsia"/>
        </w:rPr>
        <w:instrText xml:space="preserve">REF _Ref34484858 \h</w:instrText>
      </w:r>
      <w:r>
        <w:instrText xml:space="preserve"> \* MERGEFORMAT </w:instrText>
      </w:r>
      <w:r>
        <w:fldChar w:fldCharType="separate"/>
      </w:r>
      <w:r>
        <w:rPr>
          <w:rFonts w:hint="eastAsia"/>
        </w:rPr>
        <w:t>图</w:t>
      </w:r>
      <w:r>
        <w:t>7.2.12</w:t>
      </w:r>
      <w:r>
        <w:noBreakHyphen/>
      </w:r>
      <w:r>
        <w:t>2</w:t>
      </w:r>
      <w:r>
        <w:fldChar w:fldCharType="end"/>
      </w:r>
      <w:r>
        <w:t>(a)</w:t>
      </w:r>
      <w:r>
        <w:rPr>
          <w:rFonts w:hint="eastAsia"/>
        </w:rPr>
        <w:t>的形式，但其最小截面高度可为3</w:t>
      </w:r>
      <w:r>
        <w:t>00</w:t>
      </w:r>
      <w:r>
        <w:rPr>
          <w:rFonts w:hint="eastAsia"/>
        </w:rPr>
        <w:t>mm；其他部位构造边缘转角墙可采用</w:t>
      </w:r>
      <w:r>
        <w:fldChar w:fldCharType="begin"/>
      </w:r>
      <w:r>
        <w:rPr>
          <w:rFonts w:hint="eastAsia"/>
        </w:rPr>
        <w:instrText xml:space="preserve">REF _Ref34486293 \h</w:instrText>
      </w:r>
      <w:r>
        <w:instrText xml:space="preserve"> \* MERGEFORMAT </w:instrText>
      </w:r>
      <w:r>
        <w:fldChar w:fldCharType="separate"/>
      </w:r>
      <w:r>
        <w:rPr>
          <w:rFonts w:hint="eastAsia"/>
        </w:rPr>
        <w:t>图</w:t>
      </w:r>
      <w:r>
        <w:t>7.2.13</w:t>
      </w:r>
      <w:r>
        <w:fldChar w:fldCharType="end"/>
      </w:r>
      <w:r>
        <w:rPr>
          <w:rFonts w:hint="eastAsia"/>
        </w:rPr>
        <w:t>的形式，边缘暗柱应设置在受力较大的墙肢端部，另一墙肢中穿设的水平钢筋宜做成U型，U型筋应伸至暗柱尽端，应在U型筋圆弧内设置直径不小于1</w:t>
      </w:r>
      <w:r>
        <w:t>2</w:t>
      </w:r>
      <w:r>
        <w:rPr>
          <w:rFonts w:hint="eastAsia"/>
        </w:rPr>
        <w:t>mm的附加锚固钢筋；</w:t>
      </w:r>
    </w:p>
    <w:p w14:paraId="1A9214DA">
      <w:pPr>
        <w:pStyle w:val="7"/>
        <w:numPr>
          <w:ilvl w:val="0"/>
          <w:numId w:val="31"/>
        </w:numPr>
      </w:pPr>
      <w:r>
        <w:rPr>
          <w:rFonts w:hint="eastAsia"/>
        </w:rPr>
        <w:t>暗柱</w:t>
      </w:r>
      <w:r>
        <w:t>内应配置纵向钢筋和箍筋，配筋应满足墙肢截面承载力的要求，应符合国家现行标准《建筑抗震设计</w:t>
      </w:r>
      <w:r>
        <w:rPr>
          <w:rFonts w:hint="eastAsia"/>
        </w:rPr>
        <w:t>标准</w:t>
      </w:r>
      <w:r>
        <w:t>》GB</w:t>
      </w:r>
      <w:r>
        <w:rPr>
          <w:rFonts w:hint="eastAsia"/>
        </w:rPr>
        <w:t>/T</w:t>
      </w:r>
      <w:r>
        <w:t xml:space="preserve"> 5001</w:t>
      </w:r>
      <w:r>
        <w:rPr>
          <w:rFonts w:hint="eastAsia"/>
        </w:rPr>
        <w:t>1的有关规定。</w:t>
      </w:r>
    </w:p>
    <w:p w14:paraId="4672EE4B">
      <w:pPr>
        <w:pStyle w:val="86"/>
        <w:spacing w:before="156"/>
      </w:pPr>
      <w:r>
        <w:rPr>
          <w:lang w:val="en-US" w:eastAsia="zh-CN"/>
        </w:rPr>
        <w:drawing>
          <wp:inline distT="0" distB="0" distL="114300" distR="114300">
            <wp:extent cx="1998345" cy="1856740"/>
            <wp:effectExtent l="0" t="0" r="1905" b="1016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79"/>
                    <a:stretch>
                      <a:fillRect/>
                    </a:stretch>
                  </pic:blipFill>
                  <pic:spPr>
                    <a:xfrm>
                      <a:off x="0" y="0"/>
                      <a:ext cx="1998345" cy="1856740"/>
                    </a:xfrm>
                    <a:prstGeom prst="rect">
                      <a:avLst/>
                    </a:prstGeom>
                    <a:noFill/>
                    <a:ln>
                      <a:noFill/>
                    </a:ln>
                  </pic:spPr>
                </pic:pic>
              </a:graphicData>
            </a:graphic>
          </wp:inline>
        </w:drawing>
      </w:r>
    </w:p>
    <w:p w14:paraId="4F1B8847">
      <w:pPr>
        <w:pStyle w:val="71"/>
        <w:spacing w:before="78" w:after="78"/>
      </w:pPr>
      <w:bookmarkStart w:id="238" w:name="_Ref34486293"/>
      <w:r>
        <w:rPr>
          <w:rFonts w:hint="eastAsia"/>
        </w:rPr>
        <w:t>图</w:t>
      </w:r>
      <w:r>
        <w:fldChar w:fldCharType="begin"/>
      </w:r>
      <w:r>
        <w:rPr>
          <w:rFonts w:hint="eastAsia"/>
        </w:rPr>
        <w:instrText xml:space="preserve">STYLEREF 3 \s</w:instrText>
      </w:r>
      <w:r>
        <w:fldChar w:fldCharType="separate"/>
      </w:r>
      <w:r>
        <w:t>7.2.13</w:t>
      </w:r>
      <w:r>
        <w:fldChar w:fldCharType="end"/>
      </w:r>
      <w:bookmarkEnd w:id="238"/>
      <w:r>
        <w:rPr>
          <w:rFonts w:hint="eastAsia"/>
        </w:rPr>
        <w:t>简化构造边缘转角墙</w:t>
      </w:r>
    </w:p>
    <w:p w14:paraId="2D3E9030">
      <w:pPr>
        <w:pStyle w:val="80"/>
        <w:spacing w:before="78" w:afterLines="0"/>
      </w:pPr>
      <w:r>
        <w:rPr>
          <w:rFonts w:hint="eastAsia"/>
        </w:rPr>
        <w:t>注：图中尺寸单位为mm。</w:t>
      </w:r>
    </w:p>
    <w:p w14:paraId="6445C4FD">
      <w:pPr>
        <w:pStyle w:val="80"/>
        <w:spacing w:before="78" w:afterLines="0"/>
      </w:pPr>
      <w:r>
        <w:t>1—</w:t>
      </w:r>
      <w:r>
        <w:rPr>
          <w:rFonts w:hint="eastAsia"/>
        </w:rPr>
        <w:t>空心墙模</w:t>
      </w:r>
      <w:r>
        <w:t>；</w:t>
      </w:r>
      <w:r>
        <w:rPr>
          <w:rFonts w:hint="eastAsia"/>
        </w:rPr>
        <w:t>2</w:t>
      </w:r>
      <w:r>
        <w:t>—</w:t>
      </w:r>
      <w:r>
        <w:rPr>
          <w:rFonts w:hint="eastAsia"/>
        </w:rPr>
        <w:t>墙体水平钢筋；3</w:t>
      </w:r>
      <w:r>
        <w:t>—</w:t>
      </w:r>
      <w:r>
        <w:rPr>
          <w:rFonts w:hint="eastAsia"/>
        </w:rPr>
        <w:t>附加连接钢筋</w:t>
      </w:r>
    </w:p>
    <w:p w14:paraId="24F0C0D7">
      <w:pPr>
        <w:pStyle w:val="80"/>
        <w:spacing w:beforeLines="0" w:after="78"/>
        <w:rPr>
          <w:rFonts w:hint="eastAsia"/>
        </w:rPr>
      </w:pPr>
      <w:r>
        <w:rPr>
          <w:rFonts w:hint="eastAsia"/>
        </w:rPr>
        <w:t>4</w:t>
      </w:r>
      <w:r>
        <w:t>—</w:t>
      </w:r>
      <w:r>
        <w:rPr>
          <w:rFonts w:hint="eastAsia"/>
        </w:rPr>
        <w:t>空心墙模内穿设U型水平钢筋；5</w:t>
      </w:r>
      <w:r>
        <w:t>—</w:t>
      </w:r>
      <w:r>
        <w:rPr>
          <w:rFonts w:hint="eastAsia"/>
        </w:rPr>
        <w:t>附加锚固钢筋</w:t>
      </w:r>
    </w:p>
    <w:p w14:paraId="4EDD9009">
      <w:pPr>
        <w:pStyle w:val="106"/>
        <w:ind w:firstLine="0" w:firstLineChars="0"/>
        <w:rPr>
          <w:rFonts w:hint="eastAsia"/>
          <w:bCs/>
          <w:color w:val="0070C0"/>
          <w:kern w:val="2"/>
          <w:sz w:val="21"/>
          <w:szCs w:val="24"/>
        </w:rPr>
      </w:pPr>
      <w:r>
        <w:rPr>
          <w:rFonts w:hint="eastAsia"/>
          <w:bCs/>
          <w:color w:val="0070C0"/>
          <w:kern w:val="2"/>
          <w:sz w:val="21"/>
          <w:szCs w:val="24"/>
        </w:rPr>
        <w:t>【条文说明】对6层及以下、房屋高度不大于21m的固模剪力墙结构，固模剪力墙的构造边缘构件可适当简化。有条件时，6层及以下结构构造边缘构件可采用预制形式。对农村低层住宅，推荐使用简化边缘构造及本标准第7.2.8条规定的单排连接钢筋，施工简单，速度快。</w:t>
      </w:r>
    </w:p>
    <w:p w14:paraId="700B605D">
      <w:pPr>
        <w:pStyle w:val="6"/>
      </w:pPr>
      <w:r>
        <w:t>固模剪力墙边缘构件</w:t>
      </w:r>
      <w:r>
        <w:rPr>
          <w:rFonts w:hint="eastAsia"/>
        </w:rPr>
        <w:t>中作为</w:t>
      </w:r>
      <w:r>
        <w:t>附加连接钢筋</w:t>
      </w:r>
      <w:r>
        <w:rPr>
          <w:rFonts w:hint="eastAsia"/>
        </w:rPr>
        <w:t>的封闭箍筋，</w:t>
      </w:r>
      <w:r>
        <w:t>可计入边缘构件体积配箍率，计入的体积配箍率与总配箍率之比值，构造边缘构件不应大于50%，约束边缘构件不应大于30%。</w:t>
      </w:r>
    </w:p>
    <w:p w14:paraId="47D49974">
      <w:pPr>
        <w:pStyle w:val="106"/>
        <w:ind w:firstLine="0" w:firstLineChars="0"/>
        <w:rPr>
          <w:rFonts w:hint="eastAsia"/>
        </w:rPr>
      </w:pPr>
      <w:r>
        <w:rPr>
          <w:rFonts w:hint="eastAsia"/>
          <w:bCs/>
          <w:color w:val="0070C0"/>
          <w:kern w:val="2"/>
          <w:sz w:val="21"/>
          <w:szCs w:val="24"/>
        </w:rPr>
        <w:t>【条文说明】本条参考现行国家建筑标准设计图集《装配式混凝土结构连接节点构造（剪力墙）》15G310-2，对边缘构件处附加连接钢筋如何计入边缘构件体积配箍率作了规定。</w:t>
      </w:r>
    </w:p>
    <w:p w14:paraId="7221EE3D">
      <w:pPr>
        <w:pStyle w:val="6"/>
      </w:pPr>
      <w:r>
        <w:t>固模剪力墙</w:t>
      </w:r>
      <w:r>
        <w:rPr>
          <w:rFonts w:hint="eastAsia"/>
        </w:rPr>
        <w:t>内有边长不大于8</w:t>
      </w:r>
      <w:r>
        <w:t>00</w:t>
      </w:r>
      <w:r>
        <w:rPr>
          <w:rFonts w:hint="eastAsia"/>
        </w:rPr>
        <w:t>mm的</w:t>
      </w:r>
      <w:r>
        <w:t>洞</w:t>
      </w:r>
      <w:r>
        <w:rPr>
          <w:rFonts w:hint="eastAsia"/>
        </w:rPr>
        <w:t>口且在结构整体计算中不考虑其影响时，</w:t>
      </w:r>
      <w:r>
        <w:t>宜</w:t>
      </w:r>
      <w:r>
        <w:rPr>
          <w:rFonts w:hint="eastAsia"/>
        </w:rPr>
        <w:t>将两块空心墙模在接缝处分别切割后拼出洞口（</w:t>
      </w:r>
      <w:r>
        <w:fldChar w:fldCharType="begin"/>
      </w:r>
      <w:r>
        <w:rPr>
          <w:rFonts w:hint="eastAsia"/>
        </w:rPr>
        <w:instrText xml:space="preserve">REF _Ref34495355 \h</w:instrText>
      </w:r>
      <w:r>
        <w:instrText xml:space="preserve"> \* MERGEFORMAT </w:instrText>
      </w:r>
      <w:r>
        <w:fldChar w:fldCharType="separate"/>
      </w:r>
      <w:r>
        <w:rPr>
          <w:rFonts w:hint="eastAsia"/>
        </w:rPr>
        <w:t>图</w:t>
      </w:r>
      <w:r>
        <w:t>7.2.15</w:t>
      </w:r>
      <w:r>
        <w:fldChar w:fldCharType="end"/>
      </w:r>
      <w:r>
        <w:rPr>
          <w:rFonts w:hint="eastAsia"/>
        </w:rPr>
        <w:t>），应符合下列规定：</w:t>
      </w:r>
    </w:p>
    <w:p w14:paraId="33D4F64B">
      <w:pPr>
        <w:pStyle w:val="7"/>
        <w:numPr>
          <w:ilvl w:val="0"/>
          <w:numId w:val="32"/>
        </w:numPr>
      </w:pPr>
      <w:r>
        <w:rPr>
          <w:rFonts w:hint="eastAsia"/>
        </w:rPr>
        <w:t>洞口宜以接缝为对称轴居中布置；</w:t>
      </w:r>
    </w:p>
    <w:p w14:paraId="65A8E341">
      <w:pPr>
        <w:pStyle w:val="7"/>
        <w:numPr>
          <w:ilvl w:val="0"/>
          <w:numId w:val="32"/>
        </w:numPr>
      </w:pPr>
      <w:r>
        <w:rPr>
          <w:rFonts w:hint="eastAsia"/>
        </w:rPr>
        <w:t>切割后</w:t>
      </w:r>
      <w:r>
        <w:t>洞口一侧的</w:t>
      </w:r>
      <w:r>
        <w:rPr>
          <w:rFonts w:hint="eastAsia"/>
        </w:rPr>
        <w:t>空心墙模</w:t>
      </w:r>
      <w:r>
        <w:t>宽度不</w:t>
      </w:r>
      <w:r>
        <w:rPr>
          <w:rFonts w:hint="eastAsia"/>
        </w:rPr>
        <w:t>应</w:t>
      </w:r>
      <w:r>
        <w:t>小于</w:t>
      </w:r>
      <w:r>
        <w:rPr>
          <w:rFonts w:hint="eastAsia"/>
        </w:rPr>
        <w:t>600mm；</w:t>
      </w:r>
    </w:p>
    <w:p w14:paraId="2B713A37">
      <w:pPr>
        <w:pStyle w:val="7"/>
        <w:numPr>
          <w:ilvl w:val="0"/>
          <w:numId w:val="32"/>
        </w:numPr>
      </w:pPr>
      <w:bookmarkStart w:id="239" w:name="_Toc475644650"/>
      <w:bookmarkStart w:id="240" w:name="_Toc475644458"/>
      <w:bookmarkStart w:id="241" w:name="_Toc475644181"/>
      <w:bookmarkStart w:id="242" w:name="_Toc475644065"/>
      <w:r>
        <w:rPr>
          <w:rFonts w:hint="eastAsia"/>
        </w:rPr>
        <w:t>洞口周边应配置补强钢筋，每边补强钢筋不应小于2根，直径不应小于12mm，截面面积不应小于同方向被洞口截断的钢筋面积，补强钢筋宜在紧邻洞边的孔内通长设置并自洞口边伸入墙内的长度不应小于</w:t>
      </w:r>
      <w:r>
        <w:rPr>
          <w:i/>
        </w:rPr>
        <w:t>l</w:t>
      </w:r>
      <w:r>
        <w:rPr>
          <w:vertAlign w:val="subscript"/>
        </w:rPr>
        <w:t>aE</w:t>
      </w:r>
      <w:r>
        <w:rPr>
          <w:rFonts w:hint="eastAsia"/>
        </w:rPr>
        <w:t>。</w:t>
      </w:r>
    </w:p>
    <w:p w14:paraId="7FD06CAC">
      <w:pPr>
        <w:pStyle w:val="86"/>
        <w:spacing w:before="156"/>
      </w:pPr>
      <w:r>
        <w:rPr>
          <w:lang w:val="en-US" w:eastAsia="zh-CN"/>
        </w:rPr>
        <w:drawing>
          <wp:inline distT="0" distB="0" distL="114300" distR="114300">
            <wp:extent cx="2722245" cy="2400300"/>
            <wp:effectExtent l="0" t="0" r="1905"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
                    <pic:cNvPicPr>
                      <a:picLocks noChangeAspect="1"/>
                    </pic:cNvPicPr>
                  </pic:nvPicPr>
                  <pic:blipFill>
                    <a:blip r:embed="rId80"/>
                    <a:stretch>
                      <a:fillRect/>
                    </a:stretch>
                  </pic:blipFill>
                  <pic:spPr>
                    <a:xfrm>
                      <a:off x="0" y="0"/>
                      <a:ext cx="2722245" cy="2400300"/>
                    </a:xfrm>
                    <a:prstGeom prst="rect">
                      <a:avLst/>
                    </a:prstGeom>
                    <a:noFill/>
                    <a:ln>
                      <a:noFill/>
                    </a:ln>
                  </pic:spPr>
                </pic:pic>
              </a:graphicData>
            </a:graphic>
          </wp:inline>
        </w:drawing>
      </w:r>
    </w:p>
    <w:p w14:paraId="141DDD58">
      <w:pPr>
        <w:pStyle w:val="71"/>
        <w:spacing w:before="78" w:after="78"/>
      </w:pPr>
      <w:bookmarkStart w:id="243" w:name="_Ref34495355"/>
      <w:r>
        <w:rPr>
          <w:rFonts w:hint="eastAsia"/>
        </w:rPr>
        <w:t>图</w:t>
      </w:r>
      <w:r>
        <w:fldChar w:fldCharType="begin"/>
      </w:r>
      <w:r>
        <w:rPr>
          <w:rFonts w:hint="eastAsia"/>
        </w:rPr>
        <w:instrText xml:space="preserve">STYLEREF 3 \s</w:instrText>
      </w:r>
      <w:r>
        <w:fldChar w:fldCharType="separate"/>
      </w:r>
      <w:r>
        <w:t>7.2.15</w:t>
      </w:r>
      <w:r>
        <w:fldChar w:fldCharType="end"/>
      </w:r>
      <w:bookmarkEnd w:id="243"/>
      <w:r>
        <w:t>固模剪力墙</w:t>
      </w:r>
      <w:r>
        <w:rPr>
          <w:rFonts w:hint="eastAsia"/>
        </w:rPr>
        <w:t>开洞</w:t>
      </w:r>
      <w:r>
        <w:t>洞口</w:t>
      </w:r>
      <w:r>
        <w:rPr>
          <w:rFonts w:hint="eastAsia"/>
        </w:rPr>
        <w:t>构造</w:t>
      </w:r>
    </w:p>
    <w:p w14:paraId="79BB7719">
      <w:pPr>
        <w:pStyle w:val="80"/>
        <w:spacing w:before="78" w:after="78"/>
        <w:rPr>
          <w:rFonts w:hint="eastAsia"/>
        </w:rPr>
      </w:pPr>
      <w:r>
        <w:rPr>
          <w:rFonts w:hint="eastAsia"/>
        </w:rPr>
        <w:t>注：图中尺寸单位为</w:t>
      </w:r>
      <w:r>
        <w:t>mm</w:t>
      </w:r>
      <w:r>
        <w:rPr>
          <w:rFonts w:hint="eastAsia"/>
        </w:rPr>
        <w:t>。</w:t>
      </w:r>
    </w:p>
    <w:p w14:paraId="0A832FD1">
      <w:pPr>
        <w:pStyle w:val="80"/>
        <w:spacing w:before="78" w:after="78"/>
      </w:pPr>
      <w:r>
        <w:t>1—</w:t>
      </w:r>
      <w:r>
        <w:rPr>
          <w:rFonts w:hint="eastAsia"/>
        </w:rPr>
        <w:t>空心墙模</w:t>
      </w:r>
      <w:r>
        <w:t>；</w:t>
      </w:r>
      <w:r>
        <w:rPr>
          <w:rFonts w:hint="eastAsia"/>
        </w:rPr>
        <w:t>2</w:t>
      </w:r>
      <w:r>
        <w:t>—</w:t>
      </w:r>
      <w:r>
        <w:rPr>
          <w:rFonts w:hint="eastAsia"/>
        </w:rPr>
        <w:t>接缝</w:t>
      </w:r>
    </w:p>
    <w:p w14:paraId="76F46EDA">
      <w:pPr>
        <w:pStyle w:val="6"/>
      </w:pPr>
      <w:r>
        <w:rPr>
          <w:rFonts w:hint="eastAsia"/>
        </w:rPr>
        <w:t>当固模剪力墙结构中的窗下墙为结构墙时，宜将空心墙模切割后使用，应符合下列规定：</w:t>
      </w:r>
    </w:p>
    <w:p w14:paraId="550E5428">
      <w:pPr>
        <w:pStyle w:val="7"/>
        <w:numPr>
          <w:ilvl w:val="0"/>
          <w:numId w:val="33"/>
        </w:numPr>
      </w:pPr>
      <w:r>
        <w:rPr>
          <w:rFonts w:hint="eastAsia"/>
        </w:rPr>
        <w:t>窗下墙水平孔宜与洞口两侧空心墙模水平孔对齐，孔内宜与两侧空心墙模贯通穿设墙体水平分布钢筋；不能贯通时，水平分布钢筋应伸入两侧暗柱，应符合锚固长度的要求；</w:t>
      </w:r>
    </w:p>
    <w:p w14:paraId="4C28AC23">
      <w:pPr>
        <w:pStyle w:val="7"/>
        <w:numPr>
          <w:ilvl w:val="0"/>
          <w:numId w:val="33"/>
        </w:numPr>
      </w:pPr>
      <w:r>
        <w:rPr>
          <w:rFonts w:hint="eastAsia"/>
        </w:rPr>
        <w:t>窗下墙顶应设置现浇盖梁，盖梁宽度应取墙体厚度，高度不应小于1</w:t>
      </w:r>
      <w:r>
        <w:t>00</w:t>
      </w:r>
      <w:r>
        <w:rPr>
          <w:rFonts w:hint="eastAsia"/>
        </w:rPr>
        <w:t>mm，盖梁应配置不少于两根直径1</w:t>
      </w:r>
      <w:r>
        <w:t>2</w:t>
      </w:r>
      <w:r>
        <w:rPr>
          <w:rFonts w:hint="eastAsia"/>
        </w:rPr>
        <w:t>mm的纵筋，纵筋应伸入两侧暗柱，应符合锚固长度的要求。</w:t>
      </w:r>
    </w:p>
    <w:p w14:paraId="6730D88A">
      <w:pPr>
        <w:pStyle w:val="106"/>
        <w:ind w:firstLine="0" w:firstLineChars="0"/>
        <w:rPr>
          <w:rFonts w:hint="eastAsia"/>
        </w:rPr>
      </w:pPr>
      <w:r>
        <w:rPr>
          <w:rFonts w:hint="eastAsia"/>
          <w:bCs/>
          <w:color w:val="0070C0"/>
          <w:kern w:val="2"/>
          <w:sz w:val="21"/>
          <w:szCs w:val="24"/>
        </w:rPr>
        <w:t>【条文说明】窗下一般采用非承重墙板填充。当结构设计需要窗下结构墙时做此条规定，此时应注意窗下墙按剪力墙开洞建模计算，不应将整浇的窗下墙当高连梁进行分析。</w:t>
      </w:r>
    </w:p>
    <w:p w14:paraId="59647781">
      <w:pPr>
        <w:pStyle w:val="6"/>
      </w:pPr>
      <w:r>
        <w:t>女儿墙</w:t>
      </w:r>
      <w:r>
        <w:rPr>
          <w:rFonts w:hint="eastAsia"/>
        </w:rPr>
        <w:t>采用空心墙模时，应将下层边缘构件延伸至女儿墙顶，空心墙模应与边缘构件可靠连接，墙顶应设置现浇盖梁，盖梁宽度不应小于墙体厚度，高度不应小于1</w:t>
      </w:r>
      <w:r>
        <w:t>00</w:t>
      </w:r>
      <w:r>
        <w:rPr>
          <w:rFonts w:hint="eastAsia"/>
        </w:rPr>
        <w:t>mm，盖梁应配置不少于两根直径1</w:t>
      </w:r>
      <w:r>
        <w:t>2</w:t>
      </w:r>
      <w:r>
        <w:rPr>
          <w:rFonts w:hint="eastAsia"/>
        </w:rPr>
        <w:t>mm的纵筋，纵筋应伸入两侧暗柱，应符合锚固长度的要求。</w:t>
      </w:r>
      <w:r>
        <w:t>当采用</w:t>
      </w:r>
      <w:r>
        <w:rPr>
          <w:rFonts w:hint="eastAsia"/>
        </w:rPr>
        <w:t>其他形式的</w:t>
      </w:r>
      <w:r>
        <w:t>女儿墙时，应符合</w:t>
      </w:r>
      <w:r>
        <w:rPr>
          <w:rFonts w:hint="eastAsia"/>
        </w:rPr>
        <w:t>现行国家和广东省地方标准</w:t>
      </w:r>
      <w:r>
        <w:t>的</w:t>
      </w:r>
      <w:r>
        <w:rPr>
          <w:rFonts w:hint="eastAsia"/>
        </w:rPr>
        <w:t>有关</w:t>
      </w:r>
      <w:r>
        <w:t>规定。</w:t>
      </w:r>
    </w:p>
    <w:p w14:paraId="7552A268">
      <w:pPr>
        <w:pStyle w:val="106"/>
        <w:ind w:firstLine="0" w:firstLineChars="0"/>
      </w:pPr>
      <w:r>
        <w:rPr>
          <w:rFonts w:hint="eastAsia"/>
          <w:bCs/>
          <w:color w:val="0070C0"/>
          <w:kern w:val="2"/>
          <w:sz w:val="21"/>
          <w:szCs w:val="24"/>
        </w:rPr>
        <w:t>【条文说明】装配式建筑女儿墙宜采用整体预制女儿墙，也可采用空心墙模拼装，墙顶应设盖梁以加强其整体性。当女儿墙高度小于1.2m时可将空心墙模横向放置，大于1.2m时应将空心墙模竖放，女儿墙高度不应大于空心墙模高度，高度方向空心墙模不应拼接。</w:t>
      </w:r>
    </w:p>
    <w:p w14:paraId="1DBFF7BE">
      <w:pPr>
        <w:pStyle w:val="5"/>
        <w:numPr>
          <w:ilvl w:val="1"/>
          <w:numId w:val="21"/>
        </w:numPr>
        <w:spacing w:before="156" w:beforeLines="50" w:after="156"/>
      </w:pPr>
      <w:bookmarkStart w:id="244" w:name="_Toc61254037"/>
      <w:bookmarkStart w:id="245" w:name="_Toc61254080"/>
      <w:bookmarkStart w:id="246" w:name="_Toc475644648"/>
      <w:bookmarkStart w:id="247" w:name="_Toc475644456"/>
      <w:bookmarkStart w:id="248" w:name="_Toc23476"/>
      <w:bookmarkStart w:id="249" w:name="_Toc475644179"/>
      <w:bookmarkStart w:id="250" w:name="_Toc129374380"/>
      <w:bookmarkStart w:id="251" w:name="_Toc475644063"/>
      <w:r>
        <w:rPr>
          <w:rFonts w:hint="eastAsia"/>
        </w:rPr>
        <w:t>固模楼承板</w:t>
      </w:r>
      <w:bookmarkEnd w:id="244"/>
      <w:bookmarkEnd w:id="245"/>
      <w:bookmarkEnd w:id="246"/>
      <w:bookmarkEnd w:id="247"/>
      <w:bookmarkEnd w:id="248"/>
      <w:bookmarkEnd w:id="249"/>
      <w:bookmarkEnd w:id="250"/>
      <w:bookmarkEnd w:id="251"/>
    </w:p>
    <w:p w14:paraId="31B47922">
      <w:pPr>
        <w:pStyle w:val="6"/>
      </w:pPr>
      <w:r>
        <w:rPr>
          <w:rFonts w:hint="eastAsia"/>
        </w:rPr>
        <w:t>固模楼承</w:t>
      </w:r>
      <w:r>
        <w:t>板由钢筋桁架、钢筋</w:t>
      </w:r>
      <w:r>
        <w:rPr>
          <w:rFonts w:hint="eastAsia"/>
        </w:rPr>
        <w:t>焊接</w:t>
      </w:r>
      <w:r>
        <w:t>网、</w:t>
      </w:r>
      <w:r>
        <w:rPr>
          <w:rFonts w:hint="eastAsia"/>
        </w:rPr>
        <w:t>固模</w:t>
      </w:r>
      <w:r>
        <w:t>底板</w:t>
      </w:r>
      <w:r>
        <w:rPr>
          <w:rFonts w:hint="eastAsia"/>
        </w:rPr>
        <w:t>及专用</w:t>
      </w:r>
      <w:r>
        <w:t>连接件共同组成</w:t>
      </w:r>
      <w:r>
        <w:rPr>
          <w:rFonts w:hint="eastAsia"/>
        </w:rPr>
        <w:t>（</w:t>
      </w:r>
      <w:r>
        <w:fldChar w:fldCharType="begin"/>
      </w:r>
      <w:r>
        <w:instrText xml:space="preserve"> REF _Ref60597477 \h  \* MERGEFORMAT </w:instrText>
      </w:r>
      <w:r>
        <w:fldChar w:fldCharType="separate"/>
      </w:r>
      <w:r>
        <w:rPr>
          <w:rFonts w:hint="eastAsia"/>
        </w:rPr>
        <w:t>图</w:t>
      </w:r>
      <w:r>
        <w:t>7.3.1</w:t>
      </w:r>
      <w:r>
        <w:fldChar w:fldCharType="end"/>
      </w:r>
      <w:r>
        <w:rPr>
          <w:rFonts w:hint="eastAsia"/>
        </w:rPr>
        <w:t>）</w:t>
      </w:r>
      <w:r>
        <w:t>。</w:t>
      </w:r>
    </w:p>
    <w:p w14:paraId="4CDF193C">
      <w:pPr>
        <w:pStyle w:val="86"/>
        <w:tabs>
          <w:tab w:val="left" w:pos="420"/>
          <w:tab w:val="right" w:leader="dot" w:pos="6960"/>
        </w:tabs>
        <w:spacing w:before="156"/>
      </w:pPr>
      <w:r>
        <w:drawing>
          <wp:inline distT="0" distB="0" distL="114300" distR="114300">
            <wp:extent cx="3505835" cy="2168525"/>
            <wp:effectExtent l="0" t="0" r="18415" b="317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81">
                      <a:grayscl/>
                    </a:blip>
                    <a:stretch>
                      <a:fillRect/>
                    </a:stretch>
                  </pic:blipFill>
                  <pic:spPr>
                    <a:xfrm>
                      <a:off x="0" y="0"/>
                      <a:ext cx="3505835" cy="2168525"/>
                    </a:xfrm>
                    <a:prstGeom prst="rect">
                      <a:avLst/>
                    </a:prstGeom>
                    <a:noFill/>
                    <a:ln>
                      <a:noFill/>
                    </a:ln>
                  </pic:spPr>
                </pic:pic>
              </a:graphicData>
            </a:graphic>
          </wp:inline>
        </w:drawing>
      </w:r>
    </w:p>
    <w:p w14:paraId="3C7ABF11">
      <w:pPr>
        <w:pStyle w:val="71"/>
        <w:spacing w:before="78" w:after="78"/>
      </w:pPr>
      <w:bookmarkStart w:id="252" w:name="_Ref60597477"/>
      <w:bookmarkStart w:id="253" w:name="_Ref60597471"/>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7.3.1</w:t>
      </w:r>
      <w:r>
        <w:fldChar w:fldCharType="end"/>
      </w:r>
      <w:bookmarkEnd w:id="252"/>
      <w:r>
        <w:t xml:space="preserve">  </w:t>
      </w:r>
      <w:r>
        <w:rPr>
          <w:rFonts w:hint="eastAsia"/>
        </w:rPr>
        <w:t>固模楼承</w:t>
      </w:r>
      <w:r>
        <w:t>板构造示意图</w:t>
      </w:r>
      <w:bookmarkEnd w:id="253"/>
    </w:p>
    <w:p w14:paraId="3F138068">
      <w:pPr>
        <w:pStyle w:val="80"/>
        <w:tabs>
          <w:tab w:val="left" w:pos="420"/>
          <w:tab w:val="right" w:leader="dot" w:pos="6960"/>
        </w:tabs>
        <w:spacing w:before="78" w:after="78"/>
      </w:pPr>
      <w:r>
        <w:t>1－钢筋桁架：2－钢筋</w:t>
      </w:r>
      <w:r>
        <w:rPr>
          <w:rFonts w:hint="eastAsia"/>
        </w:rPr>
        <w:t>焊接</w:t>
      </w:r>
      <w:r>
        <w:t>网；3－</w:t>
      </w:r>
      <w:r>
        <w:rPr>
          <w:rFonts w:hint="eastAsia"/>
        </w:rPr>
        <w:t>固模</w:t>
      </w:r>
      <w:r>
        <w:t>底板；4－</w:t>
      </w:r>
      <w:r>
        <w:rPr>
          <w:rFonts w:hint="eastAsia"/>
        </w:rPr>
        <w:t>专用</w:t>
      </w:r>
      <w:r>
        <w:t>连接件</w:t>
      </w:r>
    </w:p>
    <w:p w14:paraId="3C47FA49">
      <w:pPr>
        <w:pStyle w:val="106"/>
        <w:ind w:firstLine="0" w:firstLineChars="0"/>
      </w:pPr>
      <w:r>
        <w:rPr>
          <w:rFonts w:hint="eastAsia"/>
          <w:bCs/>
          <w:color w:val="0070C0"/>
          <w:kern w:val="2"/>
          <w:sz w:val="21"/>
          <w:szCs w:val="24"/>
        </w:rPr>
        <w:t>【条文说明】专用连接件包括垫块和螺钉。</w:t>
      </w:r>
    </w:p>
    <w:p w14:paraId="2ADFCF3E">
      <w:pPr>
        <w:pStyle w:val="6"/>
      </w:pPr>
      <w:r>
        <w:rPr>
          <w:rFonts w:hint="eastAsia"/>
        </w:rPr>
        <w:t>固模楼承板</w:t>
      </w:r>
      <w:r>
        <w:t>可分为标准板和非标准板，规格尺寸见</w:t>
      </w:r>
      <w:r>
        <w:fldChar w:fldCharType="begin"/>
      </w:r>
      <w:r>
        <w:instrText xml:space="preserve"> REF _Ref60597643 \h  \* MERGEFORMAT </w:instrText>
      </w:r>
      <w:r>
        <w:fldChar w:fldCharType="separate"/>
      </w:r>
      <w:r>
        <w:rPr>
          <w:rFonts w:hint="eastAsia"/>
        </w:rPr>
        <w:t xml:space="preserve">表 </w:t>
      </w:r>
      <w:r>
        <w:t>7.3.2</w:t>
      </w:r>
      <w:r>
        <w:fldChar w:fldCharType="end"/>
      </w:r>
      <w:r>
        <w:rPr>
          <w:szCs w:val="21"/>
        </w:rPr>
        <w:t>。</w:t>
      </w:r>
      <w:r>
        <w:rPr>
          <w:rFonts w:hint="eastAsia"/>
        </w:rPr>
        <w:t>固模楼承板的选用应按“少规格、多组合”原则，优先采用标准板。</w:t>
      </w:r>
    </w:p>
    <w:p w14:paraId="70FB6138">
      <w:pPr>
        <w:pStyle w:val="64"/>
        <w:keepNext/>
        <w:spacing w:before="78" w:after="78"/>
      </w:pPr>
      <w:bookmarkStart w:id="254" w:name="_Ref60597643"/>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7.3.2</w:t>
      </w:r>
      <w:r>
        <w:fldChar w:fldCharType="end"/>
      </w:r>
      <w:bookmarkEnd w:id="254"/>
      <w:r>
        <w:t xml:space="preserve">  </w:t>
      </w:r>
      <w:r>
        <w:rPr>
          <w:rFonts w:hint="eastAsia"/>
        </w:rPr>
        <w:t>固模楼承</w:t>
      </w:r>
      <w:r>
        <w:t>板的规格尺寸</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279"/>
        <w:gridCol w:w="1234"/>
        <w:gridCol w:w="1691"/>
      </w:tblGrid>
      <w:tr w14:paraId="708B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8CE2360">
            <w:pPr>
              <w:pStyle w:val="95"/>
              <w:tabs>
                <w:tab w:val="left" w:pos="420"/>
                <w:tab w:val="right" w:leader="dot" w:pos="6960"/>
              </w:tabs>
              <w:spacing w:before="78" w:after="78"/>
            </w:pPr>
            <w:r>
              <w:t>分类</w:t>
            </w:r>
          </w:p>
        </w:tc>
        <w:tc>
          <w:tcPr>
            <w:tcW w:w="0" w:type="auto"/>
            <w:noWrap w:val="0"/>
            <w:vAlign w:val="center"/>
          </w:tcPr>
          <w:p w14:paraId="5866435F">
            <w:pPr>
              <w:pStyle w:val="95"/>
              <w:tabs>
                <w:tab w:val="left" w:pos="420"/>
                <w:tab w:val="right" w:leader="dot" w:pos="6960"/>
              </w:tabs>
              <w:spacing w:before="78" w:after="78"/>
            </w:pPr>
            <w:r>
              <w:t>宽度</w:t>
            </w:r>
            <w:r>
              <w:rPr>
                <w:rFonts w:hint="eastAsia"/>
                <w:i/>
                <w:iCs/>
              </w:rPr>
              <w:t>W</w:t>
            </w:r>
            <w:r>
              <w:t>（mm）</w:t>
            </w:r>
          </w:p>
        </w:tc>
        <w:tc>
          <w:tcPr>
            <w:tcW w:w="0" w:type="auto"/>
            <w:noWrap w:val="0"/>
            <w:vAlign w:val="center"/>
          </w:tcPr>
          <w:p w14:paraId="0E3C96A4">
            <w:pPr>
              <w:pStyle w:val="95"/>
              <w:tabs>
                <w:tab w:val="left" w:pos="420"/>
                <w:tab w:val="right" w:leader="dot" w:pos="6960"/>
              </w:tabs>
              <w:spacing w:before="78" w:after="78"/>
            </w:pPr>
            <w:r>
              <w:t>长度</w:t>
            </w:r>
            <w:r>
              <w:rPr>
                <w:i/>
                <w:iCs/>
              </w:rPr>
              <w:t>L</w:t>
            </w:r>
            <w:r>
              <w:t>（mm）</w:t>
            </w:r>
          </w:p>
        </w:tc>
        <w:tc>
          <w:tcPr>
            <w:tcW w:w="1691" w:type="dxa"/>
            <w:noWrap w:val="0"/>
            <w:vAlign w:val="center"/>
          </w:tcPr>
          <w:p w14:paraId="778E8449">
            <w:pPr>
              <w:pStyle w:val="95"/>
              <w:tabs>
                <w:tab w:val="left" w:pos="420"/>
                <w:tab w:val="right" w:leader="dot" w:pos="6960"/>
              </w:tabs>
              <w:spacing w:before="78" w:afterLines="0"/>
            </w:pPr>
            <w:r>
              <w:t>底板厚度</w:t>
            </w:r>
            <w:r>
              <w:rPr>
                <w:i/>
                <w:iCs/>
              </w:rPr>
              <w:t>t</w:t>
            </w:r>
            <w:r>
              <w:t>（mm）</w:t>
            </w:r>
          </w:p>
        </w:tc>
      </w:tr>
      <w:tr w14:paraId="7CCB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D73063A">
            <w:pPr>
              <w:pStyle w:val="95"/>
              <w:tabs>
                <w:tab w:val="left" w:pos="420"/>
                <w:tab w:val="right" w:leader="dot" w:pos="6960"/>
              </w:tabs>
              <w:spacing w:before="78" w:after="78"/>
            </w:pPr>
            <w:r>
              <w:t>标准板</w:t>
            </w:r>
          </w:p>
        </w:tc>
        <w:tc>
          <w:tcPr>
            <w:tcW w:w="0" w:type="auto"/>
            <w:noWrap w:val="0"/>
            <w:vAlign w:val="center"/>
          </w:tcPr>
          <w:p w14:paraId="5CE32D57">
            <w:pPr>
              <w:pStyle w:val="95"/>
              <w:tabs>
                <w:tab w:val="left" w:pos="420"/>
                <w:tab w:val="right" w:leader="dot" w:pos="6960"/>
              </w:tabs>
              <w:spacing w:before="78" w:after="78"/>
            </w:pPr>
            <w:r>
              <w:t>1200</w:t>
            </w:r>
          </w:p>
        </w:tc>
        <w:tc>
          <w:tcPr>
            <w:tcW w:w="0" w:type="auto"/>
            <w:noWrap w:val="0"/>
            <w:vAlign w:val="center"/>
          </w:tcPr>
          <w:p w14:paraId="484E2A97">
            <w:pPr>
              <w:pStyle w:val="95"/>
              <w:tabs>
                <w:tab w:val="left" w:pos="420"/>
                <w:tab w:val="right" w:leader="dot" w:pos="6960"/>
              </w:tabs>
              <w:spacing w:before="78" w:after="78"/>
            </w:pPr>
            <w:r>
              <w:t>1200~6600</w:t>
            </w:r>
          </w:p>
        </w:tc>
        <w:tc>
          <w:tcPr>
            <w:tcW w:w="1691" w:type="dxa"/>
            <w:noWrap w:val="0"/>
            <w:vAlign w:val="center"/>
          </w:tcPr>
          <w:p w14:paraId="0A3FF986">
            <w:pPr>
              <w:pStyle w:val="95"/>
              <w:tabs>
                <w:tab w:val="left" w:pos="420"/>
                <w:tab w:val="right" w:leader="dot" w:pos="6960"/>
              </w:tabs>
              <w:spacing w:before="78" w:after="78"/>
            </w:pPr>
            <w:r>
              <w:t>1</w:t>
            </w:r>
            <w:r>
              <w:rPr>
                <w:rFonts w:hint="eastAsia"/>
              </w:rPr>
              <w:t>0</w:t>
            </w:r>
            <w:r>
              <w:t>～20</w:t>
            </w:r>
          </w:p>
        </w:tc>
      </w:tr>
      <w:tr w14:paraId="468E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CADF5F6">
            <w:pPr>
              <w:pStyle w:val="95"/>
              <w:tabs>
                <w:tab w:val="left" w:pos="420"/>
                <w:tab w:val="right" w:leader="dot" w:pos="6960"/>
              </w:tabs>
              <w:spacing w:before="78" w:after="78"/>
            </w:pPr>
            <w:r>
              <w:t>非标准板</w:t>
            </w:r>
          </w:p>
        </w:tc>
        <w:tc>
          <w:tcPr>
            <w:tcW w:w="0" w:type="auto"/>
            <w:noWrap w:val="0"/>
            <w:vAlign w:val="center"/>
          </w:tcPr>
          <w:p w14:paraId="3A77898D">
            <w:pPr>
              <w:pStyle w:val="95"/>
              <w:tabs>
                <w:tab w:val="left" w:pos="420"/>
                <w:tab w:val="right" w:leader="dot" w:pos="6960"/>
              </w:tabs>
              <w:spacing w:before="78" w:after="78"/>
            </w:pPr>
            <w:r>
              <w:t>600~1200</w:t>
            </w:r>
          </w:p>
        </w:tc>
        <w:tc>
          <w:tcPr>
            <w:tcW w:w="0" w:type="auto"/>
            <w:noWrap w:val="0"/>
            <w:vAlign w:val="center"/>
          </w:tcPr>
          <w:p w14:paraId="463D4B98">
            <w:pPr>
              <w:pStyle w:val="95"/>
              <w:tabs>
                <w:tab w:val="left" w:pos="420"/>
                <w:tab w:val="right" w:leader="dot" w:pos="6960"/>
              </w:tabs>
              <w:spacing w:before="78" w:after="78"/>
            </w:pPr>
            <w:r>
              <w:rPr>
                <w:rFonts w:hint="eastAsia"/>
              </w:rPr>
              <w:t>不限</w:t>
            </w:r>
          </w:p>
        </w:tc>
        <w:tc>
          <w:tcPr>
            <w:tcW w:w="1691" w:type="dxa"/>
            <w:noWrap w:val="0"/>
            <w:vAlign w:val="center"/>
          </w:tcPr>
          <w:p w14:paraId="58E10C4B">
            <w:pPr>
              <w:pStyle w:val="95"/>
              <w:tabs>
                <w:tab w:val="left" w:pos="420"/>
                <w:tab w:val="right" w:leader="dot" w:pos="6960"/>
              </w:tabs>
              <w:spacing w:before="78" w:after="78"/>
            </w:pPr>
            <w:r>
              <w:t>1</w:t>
            </w:r>
            <w:r>
              <w:rPr>
                <w:rFonts w:hint="eastAsia"/>
              </w:rPr>
              <w:t>0</w:t>
            </w:r>
            <w:r>
              <w:t>～20</w:t>
            </w:r>
          </w:p>
        </w:tc>
      </w:tr>
    </w:tbl>
    <w:p w14:paraId="2B37C8CC">
      <w:pPr>
        <w:pStyle w:val="80"/>
        <w:tabs>
          <w:tab w:val="left" w:pos="420"/>
          <w:tab w:val="right" w:leader="dot" w:pos="6960"/>
        </w:tabs>
        <w:spacing w:before="78" w:after="78"/>
        <w:ind w:left="560" w:hanging="560" w:hangingChars="350"/>
        <w:jc w:val="left"/>
      </w:pPr>
      <w:r>
        <w:tab/>
      </w:r>
      <w:r>
        <w:t>注：</w:t>
      </w:r>
      <w:bookmarkStart w:id="255" w:name="_Hlk43042671"/>
      <w:r>
        <w:t>1、</w:t>
      </w:r>
      <w:r>
        <w:rPr>
          <w:rFonts w:hint="eastAsia"/>
        </w:rPr>
        <w:t>固模楼承</w:t>
      </w:r>
      <w:r>
        <w:t>板的宽度</w:t>
      </w:r>
      <w:r>
        <w:rPr>
          <w:rFonts w:hint="eastAsia"/>
          <w:i/>
          <w:iCs/>
        </w:rPr>
        <w:t>W</w:t>
      </w:r>
      <w:r>
        <w:t>、长度</w:t>
      </w:r>
      <w:r>
        <w:rPr>
          <w:i/>
          <w:iCs/>
        </w:rPr>
        <w:t>L</w:t>
      </w:r>
      <w:r>
        <w:t>分别等于底板的宽度、长度</w:t>
      </w:r>
      <w:r>
        <w:rPr>
          <w:rFonts w:hint="eastAsia"/>
        </w:rPr>
        <w:t>；</w:t>
      </w:r>
    </w:p>
    <w:p w14:paraId="37812E8E">
      <w:pPr>
        <w:pStyle w:val="80"/>
        <w:numPr>
          <w:ilvl w:val="0"/>
          <w:numId w:val="34"/>
        </w:numPr>
        <w:tabs>
          <w:tab w:val="left" w:pos="420"/>
          <w:tab w:val="right" w:leader="dot" w:pos="6960"/>
        </w:tabs>
        <w:spacing w:before="78" w:after="78"/>
        <w:ind w:left="975" w:leftChars="350" w:hanging="240" w:hangingChars="150"/>
        <w:jc w:val="left"/>
      </w:pPr>
      <w:r>
        <w:t>在长度方向上，钢筋</w:t>
      </w:r>
      <w:r>
        <w:rPr>
          <w:rFonts w:hint="eastAsia"/>
        </w:rPr>
        <w:t>焊接</w:t>
      </w:r>
      <w:r>
        <w:t>网两端均伸出底板，钢筋桁架不伸出；</w:t>
      </w:r>
    </w:p>
    <w:p w14:paraId="64144987">
      <w:pPr>
        <w:pStyle w:val="80"/>
        <w:numPr>
          <w:ilvl w:val="0"/>
          <w:numId w:val="34"/>
        </w:numPr>
        <w:tabs>
          <w:tab w:val="left" w:pos="420"/>
          <w:tab w:val="right" w:leader="dot" w:pos="6960"/>
        </w:tabs>
        <w:spacing w:before="78" w:after="78"/>
        <w:ind w:left="975" w:leftChars="350" w:hanging="240" w:hangingChars="150"/>
        <w:jc w:val="left"/>
      </w:pPr>
      <w:r>
        <w:t>在宽度方向上，</w:t>
      </w:r>
      <w:r>
        <w:rPr>
          <w:szCs w:val="18"/>
        </w:rPr>
        <w:t>标准板</w:t>
      </w:r>
      <w:r>
        <w:t>钢筋</w:t>
      </w:r>
      <w:r>
        <w:rPr>
          <w:rFonts w:hint="eastAsia"/>
        </w:rPr>
        <w:t>焊接</w:t>
      </w:r>
      <w:r>
        <w:t>网两侧均不伸出底板，非标准板可有一侧或两侧伸出底板；</w:t>
      </w:r>
      <w:bookmarkEnd w:id="255"/>
    </w:p>
    <w:p w14:paraId="75361ACD">
      <w:pPr>
        <w:pStyle w:val="80"/>
        <w:numPr>
          <w:ilvl w:val="0"/>
          <w:numId w:val="34"/>
        </w:numPr>
        <w:tabs>
          <w:tab w:val="left" w:pos="420"/>
          <w:tab w:val="right" w:leader="dot" w:pos="6960"/>
        </w:tabs>
        <w:spacing w:before="78" w:after="78"/>
        <w:ind w:left="975" w:leftChars="350" w:hanging="240" w:hangingChars="150"/>
        <w:jc w:val="left"/>
      </w:pPr>
      <w:r>
        <w:t>根据需方要求</w:t>
      </w:r>
      <w:r>
        <w:rPr>
          <w:szCs w:val="18"/>
        </w:rPr>
        <w:t>，可由供需双方协商确定其他规格尺寸。</w:t>
      </w:r>
    </w:p>
    <w:p w14:paraId="0B75C086">
      <w:pPr>
        <w:pStyle w:val="106"/>
        <w:ind w:firstLine="0" w:firstLineChars="0"/>
        <w:rPr>
          <w:rFonts w:hint="eastAsia"/>
          <w:bCs/>
          <w:color w:val="0070C0"/>
          <w:kern w:val="2"/>
          <w:sz w:val="21"/>
          <w:szCs w:val="24"/>
        </w:rPr>
      </w:pPr>
      <w:r>
        <w:rPr>
          <w:rFonts w:hint="eastAsia"/>
          <w:bCs/>
          <w:color w:val="0070C0"/>
          <w:kern w:val="2"/>
          <w:sz w:val="21"/>
          <w:szCs w:val="24"/>
        </w:rPr>
        <w:t>【条文说明】标准板型一般由全自动流水线生产，限于设备条件，板的宽度固定为1200mm，长度有上限。非标准板可由手工模台定制生产，宽度可任意，但不宜小于600mm，长度可任意，但需考虑吊装及运输的限制条件。</w:t>
      </w:r>
    </w:p>
    <w:p w14:paraId="364D17E3">
      <w:pPr>
        <w:pStyle w:val="106"/>
        <w:ind w:firstLine="420"/>
      </w:pPr>
      <w:r>
        <w:rPr>
          <w:rFonts w:hint="eastAsia"/>
          <w:bCs/>
          <w:color w:val="0070C0"/>
          <w:kern w:val="2"/>
          <w:sz w:val="21"/>
          <w:szCs w:val="24"/>
        </w:rPr>
        <w:t>当有可靠依据或工程经验时，TC板的底板也可根据需方要求采用其他厚度尺寸，具体由供需双方协商确定。</w:t>
      </w:r>
    </w:p>
    <w:p w14:paraId="08D798CB">
      <w:pPr>
        <w:pStyle w:val="6"/>
      </w:pPr>
      <w:r>
        <w:t>固模楼承板用作单向板时的连接构造应符合下列要求：</w:t>
      </w:r>
    </w:p>
    <w:p w14:paraId="72D25CCB">
      <w:pPr>
        <w:pStyle w:val="7"/>
        <w:numPr>
          <w:ilvl w:val="0"/>
          <w:numId w:val="35"/>
        </w:numPr>
      </w:pPr>
      <w:r>
        <w:t>固模楼承板之间的拼缝宜</w:t>
      </w:r>
      <w:r>
        <w:rPr>
          <w:rFonts w:hint="eastAsia"/>
        </w:rPr>
        <w:t>采</w:t>
      </w:r>
      <w:r>
        <w:t>用钢筋</w:t>
      </w:r>
      <w:r>
        <w:rPr>
          <w:rFonts w:hint="eastAsia"/>
        </w:rPr>
        <w:t>焊接</w:t>
      </w:r>
      <w:r>
        <w:t>网进行</w:t>
      </w:r>
      <w:r>
        <w:rPr>
          <w:rFonts w:hint="eastAsia"/>
        </w:rPr>
        <w:t>扣</w:t>
      </w:r>
      <w:r>
        <w:t>搭</w:t>
      </w:r>
      <w:r>
        <w:rPr>
          <w:rFonts w:hint="eastAsia"/>
        </w:rPr>
        <w:t>连</w:t>
      </w:r>
      <w:r>
        <w:t>接，搭接长度不应小于20d</w:t>
      </w:r>
      <w:r>
        <w:rPr>
          <w:rFonts w:hint="eastAsia"/>
        </w:rPr>
        <w:t>（</w:t>
      </w:r>
      <w:r>
        <w:fldChar w:fldCharType="begin"/>
      </w:r>
      <w:r>
        <w:instrText xml:space="preserve"> REF _Ref51771032 \h  \* MERGEFORMAT </w:instrText>
      </w:r>
      <w:r>
        <w:fldChar w:fldCharType="separate"/>
      </w:r>
      <w:r>
        <w:t>图7.3.3</w:t>
      </w:r>
      <w:r>
        <w:noBreakHyphen/>
      </w:r>
      <w:r>
        <w:t>1</w:t>
      </w:r>
      <w:r>
        <w:fldChar w:fldCharType="end"/>
      </w:r>
      <w:r>
        <w:rPr>
          <w:rFonts w:hint="eastAsia"/>
        </w:rPr>
        <w:t>）</w:t>
      </w:r>
      <w:r>
        <w:t>；</w:t>
      </w:r>
    </w:p>
    <w:p w14:paraId="60CA2595">
      <w:pPr>
        <w:pStyle w:val="7"/>
        <w:numPr>
          <w:ilvl w:val="0"/>
          <w:numId w:val="12"/>
        </w:numPr>
      </w:pPr>
      <w:r>
        <w:t>当固模楼承板侧边不伸出钢筋时，板侧与支座的拼缝宜用钢筋</w:t>
      </w:r>
      <w:r>
        <w:rPr>
          <w:rFonts w:hint="eastAsia"/>
        </w:rPr>
        <w:t>焊接</w:t>
      </w:r>
      <w:r>
        <w:t>网进行</w:t>
      </w:r>
      <w:r>
        <w:rPr>
          <w:rFonts w:hint="eastAsia"/>
        </w:rPr>
        <w:t>扣</w:t>
      </w:r>
      <w:r>
        <w:t>搭连接，搭接网</w:t>
      </w:r>
      <w:r>
        <w:rPr>
          <w:rFonts w:hint="eastAsia"/>
        </w:rPr>
        <w:t>片</w:t>
      </w:r>
      <w:r>
        <w:t>伸入支座的长度不应小于5d</w:t>
      </w:r>
      <w:r>
        <w:rPr>
          <w:rFonts w:hint="eastAsia"/>
        </w:rPr>
        <w:t>并</w:t>
      </w:r>
      <w:r>
        <w:t>至少到支座中线</w:t>
      </w:r>
      <w:r>
        <w:rPr>
          <w:rFonts w:hint="eastAsia"/>
        </w:rPr>
        <w:t>（</w:t>
      </w:r>
      <w:r>
        <w:fldChar w:fldCharType="begin"/>
      </w:r>
      <w:r>
        <w:instrText xml:space="preserve"> REF _Ref51771048 \h  \* MERGEFORMAT </w:instrText>
      </w:r>
      <w:r>
        <w:fldChar w:fldCharType="separate"/>
      </w:r>
      <w:r>
        <w:t>图7.3.3</w:t>
      </w:r>
      <w:r>
        <w:noBreakHyphen/>
      </w:r>
      <w:r>
        <w:t>2</w:t>
      </w:r>
      <w:r>
        <w:fldChar w:fldCharType="end"/>
      </w:r>
      <w:r>
        <w:rPr>
          <w:rFonts w:hint="eastAsia"/>
        </w:rPr>
        <w:t>）</w:t>
      </w:r>
      <w:r>
        <w:t>。</w:t>
      </w:r>
    </w:p>
    <w:p w14:paraId="0BD5E9DD">
      <w:pPr>
        <w:pStyle w:val="86"/>
        <w:tabs>
          <w:tab w:val="left" w:pos="420"/>
          <w:tab w:val="right" w:leader="dot" w:pos="6960"/>
        </w:tabs>
        <w:spacing w:before="156"/>
      </w:pPr>
      <w:r>
        <w:rPr>
          <w:lang w:val="en-US" w:eastAsia="zh-CN"/>
        </w:rPr>
        <w:drawing>
          <wp:inline distT="0" distB="0" distL="114300" distR="114300">
            <wp:extent cx="2675890" cy="932815"/>
            <wp:effectExtent l="0" t="0" r="10160" b="635"/>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pic:cNvPicPr>
                      <a:picLocks noChangeAspect="1"/>
                    </pic:cNvPicPr>
                  </pic:nvPicPr>
                  <pic:blipFill>
                    <a:blip r:embed="rId82"/>
                    <a:stretch>
                      <a:fillRect/>
                    </a:stretch>
                  </pic:blipFill>
                  <pic:spPr>
                    <a:xfrm>
                      <a:off x="0" y="0"/>
                      <a:ext cx="2675890" cy="932815"/>
                    </a:xfrm>
                    <a:prstGeom prst="rect">
                      <a:avLst/>
                    </a:prstGeom>
                    <a:noFill/>
                    <a:ln>
                      <a:noFill/>
                    </a:ln>
                  </pic:spPr>
                </pic:pic>
              </a:graphicData>
            </a:graphic>
          </wp:inline>
        </w:drawing>
      </w:r>
    </w:p>
    <w:p w14:paraId="669F9F35">
      <w:pPr>
        <w:pStyle w:val="14"/>
        <w:tabs>
          <w:tab w:val="left" w:pos="420"/>
          <w:tab w:val="right" w:leader="dot" w:pos="6960"/>
        </w:tabs>
        <w:jc w:val="center"/>
        <w:rPr>
          <w:rFonts w:ascii="Times New Roman" w:hAnsi="Times New Roman"/>
        </w:rPr>
      </w:pPr>
      <w:bookmarkStart w:id="256" w:name="_Ref51771032"/>
      <w:r>
        <w:rPr>
          <w:rFonts w:ascii="Times New Roman" w:hAnsi="Times New Roman"/>
        </w:rPr>
        <w:t>图</w:t>
      </w:r>
      <w:r>
        <w:rPr>
          <w:rFonts w:ascii="Times New Roman" w:hAnsi="Times New Roman"/>
        </w:rPr>
        <w:fldChar w:fldCharType="begin"/>
      </w:r>
      <w:r>
        <w:rPr>
          <w:rFonts w:ascii="Times New Roman" w:hAnsi="Times New Roman"/>
        </w:rPr>
        <w:instrText xml:space="preserve"> STYLEREF 3 \s </w:instrText>
      </w:r>
      <w:r>
        <w:rPr>
          <w:rFonts w:ascii="Times New Roman" w:hAnsi="Times New Roman"/>
        </w:rPr>
        <w:fldChar w:fldCharType="separate"/>
      </w:r>
      <w:r>
        <w:rPr>
          <w:rFonts w:ascii="Times New Roman" w:hAnsi="Times New Roman"/>
        </w:rPr>
        <w:t>7.3.3</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图 \* ARABIC \s 3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bookmarkEnd w:id="256"/>
      <w:r>
        <w:rPr>
          <w:rFonts w:ascii="Times New Roman" w:hAnsi="Times New Roman"/>
        </w:rPr>
        <w:t xml:space="preserve">  固模楼承板拼缝构造</w:t>
      </w:r>
    </w:p>
    <w:p w14:paraId="2F63D1AA">
      <w:pPr>
        <w:pStyle w:val="80"/>
        <w:tabs>
          <w:tab w:val="left" w:pos="420"/>
          <w:tab w:val="right" w:leader="dot" w:pos="6960"/>
        </w:tabs>
        <w:spacing w:before="78" w:after="78"/>
        <w:ind w:firstLine="1800"/>
        <w:jc w:val="both"/>
      </w:pPr>
      <w:r>
        <w:t>1-固模</w:t>
      </w:r>
      <w:r>
        <w:rPr>
          <w:rFonts w:hint="eastAsia"/>
        </w:rPr>
        <w:t>底</w:t>
      </w:r>
      <w:r>
        <w:t>板；2-搭接网片；3-拼缝</w:t>
      </w:r>
    </w:p>
    <w:tbl>
      <w:tblPr>
        <w:tblStyle w:val="34"/>
        <w:tblW w:w="0" w:type="auto"/>
        <w:jc w:val="center"/>
        <w:tblLayout w:type="fixed"/>
        <w:tblCellMar>
          <w:top w:w="0" w:type="dxa"/>
          <w:left w:w="108" w:type="dxa"/>
          <w:bottom w:w="0" w:type="dxa"/>
          <w:right w:w="108" w:type="dxa"/>
        </w:tblCellMar>
      </w:tblPr>
      <w:tblGrid>
        <w:gridCol w:w="2983"/>
        <w:gridCol w:w="4048"/>
      </w:tblGrid>
      <w:tr w14:paraId="3AA1A453">
        <w:tblPrEx>
          <w:tblCellMar>
            <w:top w:w="0" w:type="dxa"/>
            <w:left w:w="108" w:type="dxa"/>
            <w:bottom w:w="0" w:type="dxa"/>
            <w:right w:w="108" w:type="dxa"/>
          </w:tblCellMar>
        </w:tblPrEx>
        <w:trPr>
          <w:jc w:val="center"/>
        </w:trPr>
        <w:tc>
          <w:tcPr>
            <w:tcW w:w="2983" w:type="dxa"/>
            <w:noWrap w:val="0"/>
            <w:vAlign w:val="center"/>
          </w:tcPr>
          <w:p w14:paraId="7EFC07DE">
            <w:pPr>
              <w:pStyle w:val="86"/>
              <w:tabs>
                <w:tab w:val="left" w:pos="420"/>
                <w:tab w:val="right" w:leader="dot" w:pos="6960"/>
              </w:tabs>
              <w:spacing w:before="156"/>
              <w:rPr>
                <w:b/>
                <w:szCs w:val="21"/>
                <w:lang w:val="en-US" w:eastAsia="zh-CN"/>
              </w:rPr>
            </w:pPr>
            <w:r>
              <w:rPr>
                <w:lang w:val="en-US" w:eastAsia="zh-CN"/>
              </w:rPr>
              <w:drawing>
                <wp:inline distT="0" distB="0" distL="114300" distR="114300">
                  <wp:extent cx="1352550" cy="1436370"/>
                  <wp:effectExtent l="0" t="0" r="0" b="1143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83"/>
                          <a:stretch>
                            <a:fillRect/>
                          </a:stretch>
                        </pic:blipFill>
                        <pic:spPr>
                          <a:xfrm>
                            <a:off x="0" y="0"/>
                            <a:ext cx="1352550" cy="1436370"/>
                          </a:xfrm>
                          <a:prstGeom prst="rect">
                            <a:avLst/>
                          </a:prstGeom>
                          <a:noFill/>
                          <a:ln>
                            <a:noFill/>
                          </a:ln>
                        </pic:spPr>
                      </pic:pic>
                    </a:graphicData>
                  </a:graphic>
                </wp:inline>
              </w:drawing>
            </w:r>
          </w:p>
        </w:tc>
        <w:tc>
          <w:tcPr>
            <w:tcW w:w="4048" w:type="dxa"/>
            <w:noWrap w:val="0"/>
            <w:vAlign w:val="center"/>
          </w:tcPr>
          <w:p w14:paraId="47F760C1">
            <w:pPr>
              <w:tabs>
                <w:tab w:val="left" w:pos="420"/>
                <w:tab w:val="right" w:leader="dot" w:pos="6960"/>
              </w:tabs>
              <w:spacing w:line="240" w:lineRule="auto"/>
              <w:jc w:val="center"/>
              <w:rPr>
                <w:b/>
                <w:szCs w:val="21"/>
              </w:rPr>
            </w:pPr>
            <w:r>
              <w:drawing>
                <wp:inline distT="0" distB="0" distL="114300" distR="114300">
                  <wp:extent cx="2079625" cy="1474470"/>
                  <wp:effectExtent l="0" t="0" r="15875" b="1143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84"/>
                          <a:stretch>
                            <a:fillRect/>
                          </a:stretch>
                        </pic:blipFill>
                        <pic:spPr>
                          <a:xfrm>
                            <a:off x="0" y="0"/>
                            <a:ext cx="2079625" cy="1474470"/>
                          </a:xfrm>
                          <a:prstGeom prst="rect">
                            <a:avLst/>
                          </a:prstGeom>
                          <a:noFill/>
                          <a:ln>
                            <a:noFill/>
                          </a:ln>
                        </pic:spPr>
                      </pic:pic>
                    </a:graphicData>
                  </a:graphic>
                </wp:inline>
              </w:drawing>
            </w:r>
          </w:p>
        </w:tc>
      </w:tr>
      <w:tr w14:paraId="62456121">
        <w:tblPrEx>
          <w:tblCellMar>
            <w:top w:w="0" w:type="dxa"/>
            <w:left w:w="108" w:type="dxa"/>
            <w:bottom w:w="0" w:type="dxa"/>
            <w:right w:w="108" w:type="dxa"/>
          </w:tblCellMar>
        </w:tblPrEx>
        <w:trPr>
          <w:jc w:val="center"/>
        </w:trPr>
        <w:tc>
          <w:tcPr>
            <w:tcW w:w="2983" w:type="dxa"/>
            <w:noWrap w:val="0"/>
            <w:vAlign w:val="center"/>
          </w:tcPr>
          <w:p w14:paraId="7DD2818A">
            <w:pPr>
              <w:pStyle w:val="123"/>
              <w:tabs>
                <w:tab w:val="left" w:pos="420"/>
                <w:tab w:val="right" w:leader="dot" w:pos="6960"/>
              </w:tabs>
              <w:spacing w:before="78" w:after="78"/>
              <w:ind w:firstLine="1260" w:firstLineChars="700"/>
            </w:pPr>
            <w:r>
              <w:t>（a）边支座</w:t>
            </w:r>
          </w:p>
        </w:tc>
        <w:tc>
          <w:tcPr>
            <w:tcW w:w="4048" w:type="dxa"/>
            <w:noWrap w:val="0"/>
            <w:vAlign w:val="center"/>
          </w:tcPr>
          <w:p w14:paraId="0F0D054C">
            <w:pPr>
              <w:pStyle w:val="123"/>
              <w:tabs>
                <w:tab w:val="left" w:pos="420"/>
                <w:tab w:val="right" w:leader="dot" w:pos="6960"/>
              </w:tabs>
              <w:spacing w:before="78" w:after="78"/>
              <w:ind w:firstLine="1800"/>
            </w:pPr>
            <w:r>
              <w:t>（b）中间支座</w:t>
            </w:r>
          </w:p>
        </w:tc>
      </w:tr>
    </w:tbl>
    <w:p w14:paraId="4C5D60EC">
      <w:pPr>
        <w:pStyle w:val="14"/>
        <w:tabs>
          <w:tab w:val="left" w:pos="420"/>
          <w:tab w:val="right" w:leader="dot" w:pos="6960"/>
        </w:tabs>
        <w:jc w:val="center"/>
        <w:rPr>
          <w:rFonts w:ascii="Times New Roman" w:hAnsi="Times New Roman"/>
        </w:rPr>
      </w:pPr>
      <w:bookmarkStart w:id="257" w:name="_Ref51771048"/>
      <w:r>
        <w:rPr>
          <w:rFonts w:ascii="Times New Roman" w:hAnsi="Times New Roman"/>
        </w:rPr>
        <w:t>图</w:t>
      </w:r>
      <w:r>
        <w:rPr>
          <w:rFonts w:ascii="Times New Roman" w:hAnsi="Times New Roman"/>
        </w:rPr>
        <w:fldChar w:fldCharType="begin"/>
      </w:r>
      <w:r>
        <w:rPr>
          <w:rFonts w:ascii="Times New Roman" w:hAnsi="Times New Roman"/>
        </w:rPr>
        <w:instrText xml:space="preserve"> STYLEREF 3 \s </w:instrText>
      </w:r>
      <w:r>
        <w:rPr>
          <w:rFonts w:ascii="Times New Roman" w:hAnsi="Times New Roman"/>
        </w:rPr>
        <w:fldChar w:fldCharType="separate"/>
      </w:r>
      <w:r>
        <w:rPr>
          <w:rFonts w:ascii="Times New Roman" w:hAnsi="Times New Roman"/>
        </w:rPr>
        <w:t>7.3.3</w:t>
      </w:r>
      <w:r>
        <w:rPr>
          <w:rFonts w:ascii="Times New Roman" w:hAnsi="Times New Roman"/>
        </w:rPr>
        <w:fldChar w:fldCharType="end"/>
      </w:r>
      <w:r>
        <w:rPr>
          <w:rFonts w:ascii="Times New Roman" w:hAnsi="Times New Roman"/>
        </w:rPr>
        <w:noBreakHyphen/>
      </w:r>
      <w:r>
        <w:rPr>
          <w:rFonts w:ascii="Times New Roman" w:hAnsi="Times New Roman"/>
        </w:rPr>
        <w:fldChar w:fldCharType="begin"/>
      </w:r>
      <w:r>
        <w:rPr>
          <w:rFonts w:ascii="Times New Roman" w:hAnsi="Times New Roman"/>
        </w:rPr>
        <w:instrText xml:space="preserve"> SEQ 图 \* ARABIC \s 3 </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bookmarkEnd w:id="257"/>
      <w:r>
        <w:rPr>
          <w:rFonts w:ascii="Times New Roman" w:hAnsi="Times New Roman"/>
        </w:rPr>
        <w:t xml:space="preserve">  固模楼承板支座构造</w:t>
      </w:r>
    </w:p>
    <w:p w14:paraId="0D5862FF">
      <w:pPr>
        <w:pStyle w:val="80"/>
        <w:spacing w:before="78" w:after="78"/>
      </w:pPr>
      <w:r>
        <w:t>1—楼承板纵筋；2—支座上筋；3—支座中线；4—搭接网片；5—楼承板横筋</w:t>
      </w:r>
    </w:p>
    <w:p w14:paraId="7CB11474">
      <w:pPr>
        <w:pStyle w:val="106"/>
        <w:ind w:firstLine="0" w:firstLineChars="0"/>
        <w:rPr>
          <w:rFonts w:hint="eastAsia"/>
          <w:bCs/>
          <w:color w:val="0070C0"/>
          <w:kern w:val="2"/>
          <w:sz w:val="21"/>
          <w:szCs w:val="24"/>
        </w:rPr>
      </w:pPr>
      <w:r>
        <w:rPr>
          <w:rFonts w:hint="eastAsia"/>
          <w:bCs/>
          <w:color w:val="0070C0"/>
          <w:kern w:val="2"/>
          <w:sz w:val="21"/>
          <w:szCs w:val="24"/>
        </w:rPr>
        <w:t>【条文说明】单向板的钢筋网片搭接长度参考了《钢筋焊接网混凝土结构技术规程》JGJ 114-2014第5.1.10条的规定。当支座边的TC板本身带有外伸钢筋时，支座边无需再用钢筋网片搭接。</w:t>
      </w:r>
    </w:p>
    <w:p w14:paraId="6FD71192">
      <w:pPr>
        <w:pStyle w:val="106"/>
        <w:ind w:firstLine="420"/>
      </w:pPr>
      <w:r>
        <w:rPr>
          <w:rFonts w:hint="eastAsia"/>
          <w:bCs/>
          <w:color w:val="0070C0"/>
          <w:kern w:val="2"/>
          <w:sz w:val="21"/>
          <w:szCs w:val="24"/>
        </w:rPr>
        <w:t>当TC板用做单向板但横筋不满足最小配筋率要求时，有两种处理方法：1、施工现场将横向钢筋用梯子型钢筋网搭接后再通长穿设附加的横向钢筋；2、将TC板横筋间距设为600mm，此时横筋仅作为构造钢筋使用，横向所需钢筋全部在施工时现场穿筋。</w:t>
      </w:r>
    </w:p>
    <w:p w14:paraId="1FE794EE">
      <w:pPr>
        <w:pStyle w:val="6"/>
      </w:pPr>
      <w:r>
        <w:t>固模楼承板用作双向板时的连接构造应符合下列要求：</w:t>
      </w:r>
    </w:p>
    <w:p w14:paraId="172BA696">
      <w:pPr>
        <w:pStyle w:val="7"/>
        <w:numPr>
          <w:ilvl w:val="0"/>
          <w:numId w:val="36"/>
        </w:numPr>
      </w:pPr>
      <w:r>
        <w:t>固模楼承板之间</w:t>
      </w:r>
      <w:r>
        <w:rPr>
          <w:rFonts w:hint="eastAsia"/>
        </w:rPr>
        <w:t>及</w:t>
      </w:r>
      <w:r>
        <w:t>板侧与支座之间的拼缝</w:t>
      </w:r>
      <w:r>
        <w:rPr>
          <w:rFonts w:hint="eastAsia"/>
        </w:rPr>
        <w:t>可用</w:t>
      </w:r>
      <w:r>
        <w:t>钢筋网</w:t>
      </w:r>
      <w:r>
        <w:rPr>
          <w:rFonts w:hint="eastAsia"/>
        </w:rPr>
        <w:t>扣搭</w:t>
      </w:r>
      <w:r>
        <w:t>连接</w:t>
      </w:r>
      <w:r>
        <w:rPr>
          <w:rFonts w:hint="eastAsia"/>
        </w:rPr>
        <w:t>，</w:t>
      </w:r>
      <w:r>
        <w:t>搭接长度应</w:t>
      </w:r>
      <w:r>
        <w:rPr>
          <w:rFonts w:hint="eastAsia"/>
        </w:rPr>
        <w:t>符合《钢筋焊接网混凝土结构技术规程》JGJ 114的有关规定</w:t>
      </w:r>
      <w:r>
        <w:t>；</w:t>
      </w:r>
    </w:p>
    <w:p w14:paraId="56934BF3">
      <w:pPr>
        <w:pStyle w:val="7"/>
        <w:numPr>
          <w:ilvl w:val="0"/>
          <w:numId w:val="12"/>
        </w:numPr>
      </w:pPr>
      <w:r>
        <w:rPr>
          <w:rFonts w:hint="eastAsia"/>
        </w:rPr>
        <w:t>固模楼承板</w:t>
      </w:r>
      <w:r>
        <w:t>横筋</w:t>
      </w:r>
      <w:r>
        <w:rPr>
          <w:rFonts w:hint="eastAsia"/>
        </w:rPr>
        <w:t>也可</w:t>
      </w:r>
      <w:r>
        <w:t>仅作为构造钢筋使用，横向受力钢筋应全部进行现场穿设（</w:t>
      </w:r>
      <w:r>
        <w:fldChar w:fldCharType="begin"/>
      </w:r>
      <w:r>
        <w:instrText xml:space="preserve"> REF _Ref51836437 \h  \* MERGEFORMAT </w:instrText>
      </w:r>
      <w:r>
        <w:fldChar w:fldCharType="separate"/>
      </w:r>
      <w:r>
        <w:t>图7.3.4</w:t>
      </w:r>
      <w:r>
        <w:fldChar w:fldCharType="end"/>
      </w:r>
      <w:r>
        <w:t>），横向受力钢筋两端至少</w:t>
      </w:r>
      <w:r>
        <w:rPr>
          <w:rFonts w:hint="eastAsia"/>
        </w:rPr>
        <w:t>伸至</w:t>
      </w:r>
      <w:r>
        <w:t>支座中线。</w:t>
      </w:r>
    </w:p>
    <w:p w14:paraId="701F4630">
      <w:pPr>
        <w:pStyle w:val="86"/>
        <w:tabs>
          <w:tab w:val="left" w:pos="420"/>
          <w:tab w:val="right" w:leader="dot" w:pos="6960"/>
        </w:tabs>
        <w:spacing w:before="156"/>
      </w:pPr>
      <w:r>
        <w:rPr>
          <w:lang w:val="en-US" w:eastAsia="zh-CN"/>
        </w:rPr>
        <w:drawing>
          <wp:inline distT="0" distB="0" distL="114300" distR="114300">
            <wp:extent cx="2775585" cy="912495"/>
            <wp:effectExtent l="0" t="0" r="5715" b="1905"/>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
                    <pic:cNvPicPr>
                      <a:picLocks noChangeAspect="1"/>
                    </pic:cNvPicPr>
                  </pic:nvPicPr>
                  <pic:blipFill>
                    <a:blip r:embed="rId85"/>
                    <a:stretch>
                      <a:fillRect/>
                    </a:stretch>
                  </pic:blipFill>
                  <pic:spPr>
                    <a:xfrm>
                      <a:off x="0" y="0"/>
                      <a:ext cx="2775585" cy="912495"/>
                    </a:xfrm>
                    <a:prstGeom prst="rect">
                      <a:avLst/>
                    </a:prstGeom>
                    <a:noFill/>
                    <a:ln>
                      <a:noFill/>
                    </a:ln>
                  </pic:spPr>
                </pic:pic>
              </a:graphicData>
            </a:graphic>
          </wp:inline>
        </w:drawing>
      </w:r>
    </w:p>
    <w:p w14:paraId="1D8DDDF7">
      <w:pPr>
        <w:pStyle w:val="71"/>
        <w:spacing w:before="78" w:after="78"/>
        <w:ind w:firstLine="400"/>
      </w:pPr>
      <w:bookmarkStart w:id="258" w:name="_Ref51836437"/>
      <w:r>
        <w:t>图</w:t>
      </w:r>
      <w:r>
        <w:fldChar w:fldCharType="begin"/>
      </w:r>
      <w:r>
        <w:instrText xml:space="preserve"> STYLEREF 3 \s </w:instrText>
      </w:r>
      <w:r>
        <w:fldChar w:fldCharType="separate"/>
      </w:r>
      <w:r>
        <w:t>7.3.4</w:t>
      </w:r>
      <w:r>
        <w:fldChar w:fldCharType="end"/>
      </w:r>
      <w:bookmarkEnd w:id="258"/>
      <w:r>
        <w:t xml:space="preserve">  固模楼承板横向穿筋构造</w:t>
      </w:r>
    </w:p>
    <w:p w14:paraId="6390F989">
      <w:pPr>
        <w:pStyle w:val="80"/>
        <w:tabs>
          <w:tab w:val="left" w:pos="420"/>
          <w:tab w:val="right" w:leader="dot" w:pos="6960"/>
        </w:tabs>
        <w:spacing w:before="78" w:after="78"/>
        <w:jc w:val="both"/>
      </w:pPr>
      <w:r>
        <w:t>1—楼承板</w:t>
      </w:r>
      <w:r>
        <w:rPr>
          <w:rFonts w:hint="eastAsia"/>
        </w:rPr>
        <w:t>底板</w:t>
      </w:r>
      <w:r>
        <w:t>；2—拼缝；3—固模楼承板横筋(构造筋)；4—现场穿设横向受力钢筋</w:t>
      </w:r>
    </w:p>
    <w:p w14:paraId="3CB08599">
      <w:pPr>
        <w:pStyle w:val="106"/>
        <w:ind w:firstLine="0" w:firstLineChars="0"/>
      </w:pPr>
      <w:r>
        <w:rPr>
          <w:rFonts w:hint="eastAsia"/>
          <w:bCs/>
          <w:color w:val="0070C0"/>
          <w:kern w:val="2"/>
          <w:sz w:val="21"/>
          <w:szCs w:val="24"/>
        </w:rPr>
        <w:t>【条文说明】双向板用钢筋网片搭接时，搭接长度可参考《钢筋焊接网混凝土结构技术规程》JGJ 114第5.1.7条的规定。</w:t>
      </w:r>
    </w:p>
    <w:p w14:paraId="4B065E4C">
      <w:pPr>
        <w:pStyle w:val="6"/>
      </w:pPr>
      <w:r>
        <w:t>固模楼承板中钢筋</w:t>
      </w:r>
      <w:r>
        <w:rPr>
          <w:rFonts w:hint="eastAsia"/>
        </w:rPr>
        <w:t>焊接</w:t>
      </w:r>
      <w:r>
        <w:t>网纵向钢筋伸入两端支座的长度不应小于5d</w:t>
      </w:r>
      <w:r>
        <w:rPr>
          <w:rFonts w:hint="eastAsia"/>
        </w:rPr>
        <w:t>并</w:t>
      </w:r>
      <w:r>
        <w:t>至少到支座中线</w:t>
      </w:r>
      <w:r>
        <w:rPr>
          <w:rFonts w:hint="eastAsia"/>
        </w:rPr>
        <w:t>（</w:t>
      </w:r>
      <w:r>
        <w:fldChar w:fldCharType="begin"/>
      </w:r>
      <w:r>
        <w:instrText xml:space="preserve"> REF _Ref51771048 \h  \* MERGEFORMAT </w:instrText>
      </w:r>
      <w:r>
        <w:fldChar w:fldCharType="separate"/>
      </w:r>
      <w:r>
        <w:t>图7.3.3</w:t>
      </w:r>
      <w:r>
        <w:noBreakHyphen/>
      </w:r>
      <w:r>
        <w:t>2</w:t>
      </w:r>
      <w:r>
        <w:fldChar w:fldCharType="end"/>
      </w:r>
      <w:r>
        <w:rPr>
          <w:rFonts w:hint="eastAsia"/>
        </w:rPr>
        <w:t>）</w:t>
      </w:r>
      <w:r>
        <w:t>。固模楼承板钢筋桁架的两端</w:t>
      </w:r>
      <w:r>
        <w:rPr>
          <w:rFonts w:hint="eastAsia"/>
        </w:rPr>
        <w:t>可</w:t>
      </w:r>
      <w:r>
        <w:t>不伸入支座。</w:t>
      </w:r>
    </w:p>
    <w:p w14:paraId="5821903E">
      <w:pPr>
        <w:pStyle w:val="106"/>
        <w:ind w:firstLine="0" w:firstLineChars="0"/>
        <w:rPr>
          <w:rFonts w:hint="eastAsia"/>
          <w:bCs/>
          <w:color w:val="0070C0"/>
          <w:kern w:val="2"/>
          <w:sz w:val="21"/>
          <w:szCs w:val="24"/>
        </w:rPr>
      </w:pPr>
      <w:r>
        <w:rPr>
          <w:rFonts w:hint="eastAsia"/>
          <w:bCs/>
          <w:color w:val="0070C0"/>
          <w:kern w:val="2"/>
          <w:sz w:val="21"/>
          <w:szCs w:val="24"/>
        </w:rPr>
        <w:t>【条文说明】固模楼承板钢筋桁架的两端不伸入支座是为了现场施工安装方便，由于桁架底筋数量较少，板底不考虑受弯，不深入支座不会影响结构安全。当工程要求桁架下弦筋必须伸入支座时，可采用附加连接钢筋，一端与桁架下弦筋进行搭接连接，另一端伸入支座。</w:t>
      </w:r>
    </w:p>
    <w:p w14:paraId="68407D03">
      <w:pPr>
        <w:pStyle w:val="6"/>
      </w:pPr>
      <w:r>
        <w:t>固模楼承板桁架高度</w:t>
      </w:r>
      <w:r>
        <w:rPr>
          <w:i/>
        </w:rPr>
        <w:t>h</w:t>
      </w:r>
      <w:r>
        <w:rPr>
          <w:vertAlign w:val="subscript"/>
        </w:rPr>
        <w:t>t</w:t>
      </w:r>
      <w:r>
        <w:t>、楼板</w:t>
      </w:r>
      <w:r>
        <w:rPr>
          <w:rFonts w:hint="eastAsia"/>
        </w:rPr>
        <w:t>现浇</w:t>
      </w:r>
      <w:r>
        <w:t>混凝土</w:t>
      </w:r>
      <w:r>
        <w:rPr>
          <w:rFonts w:hint="eastAsia"/>
        </w:rPr>
        <w:t>层</w:t>
      </w:r>
      <w:r>
        <w:t>厚度</w:t>
      </w:r>
      <w:r>
        <w:rPr>
          <w:i/>
        </w:rPr>
        <w:t>h</w:t>
      </w:r>
      <w:r>
        <w:t>与楼板上筋的关系应符合以下构造要求</w:t>
      </w:r>
      <w:r>
        <w:rPr>
          <w:rFonts w:hint="eastAsia"/>
        </w:rPr>
        <w:t>（</w:t>
      </w:r>
      <w:r>
        <w:fldChar w:fldCharType="begin"/>
      </w:r>
      <w:r>
        <w:instrText xml:space="preserve"> REF _Ref51771555 \h  \* MERGEFORMAT </w:instrText>
      </w:r>
      <w:r>
        <w:fldChar w:fldCharType="separate"/>
      </w:r>
      <w:r>
        <w:t>图7.3.6</w:t>
      </w:r>
      <w:r>
        <w:fldChar w:fldCharType="end"/>
      </w:r>
      <w:r>
        <w:rPr>
          <w:rFonts w:hint="eastAsia"/>
        </w:rPr>
        <w:t>）</w:t>
      </w:r>
      <w:r>
        <w:t>。</w:t>
      </w:r>
    </w:p>
    <w:p w14:paraId="56849B88">
      <w:pPr>
        <w:pStyle w:val="86"/>
        <w:tabs>
          <w:tab w:val="left" w:pos="420"/>
          <w:tab w:val="right" w:leader="dot" w:pos="6960"/>
        </w:tabs>
        <w:spacing w:before="156"/>
      </w:pPr>
      <w:r>
        <w:rPr>
          <w:lang w:val="en-US" w:eastAsia="zh-CN"/>
        </w:rPr>
        <w:drawing>
          <wp:inline distT="0" distB="0" distL="114300" distR="114300">
            <wp:extent cx="3058795" cy="1223645"/>
            <wp:effectExtent l="0" t="0" r="8255" b="14605"/>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86"/>
                    <a:stretch>
                      <a:fillRect/>
                    </a:stretch>
                  </pic:blipFill>
                  <pic:spPr>
                    <a:xfrm>
                      <a:off x="0" y="0"/>
                      <a:ext cx="3058795" cy="1223645"/>
                    </a:xfrm>
                    <a:prstGeom prst="rect">
                      <a:avLst/>
                    </a:prstGeom>
                    <a:noFill/>
                    <a:ln>
                      <a:noFill/>
                    </a:ln>
                  </pic:spPr>
                </pic:pic>
              </a:graphicData>
            </a:graphic>
          </wp:inline>
        </w:drawing>
      </w:r>
    </w:p>
    <w:p w14:paraId="7C101495">
      <w:pPr>
        <w:pStyle w:val="123"/>
        <w:spacing w:before="78" w:after="78"/>
        <w:ind w:firstLine="1800"/>
      </w:pPr>
      <w:r>
        <w:t>a)  当</w:t>
      </w:r>
      <w:r>
        <w:rPr>
          <w:i/>
        </w:rPr>
        <w:t>h</w:t>
      </w:r>
      <w:r>
        <w:t>=</w:t>
      </w:r>
      <w:r>
        <w:rPr>
          <w:i/>
        </w:rPr>
        <w:t>h</w:t>
      </w:r>
      <w:r>
        <w:rPr>
          <w:vertAlign w:val="subscript"/>
        </w:rPr>
        <w:t>t</w:t>
      </w:r>
      <w:r>
        <w:t>+40时</w:t>
      </w:r>
    </w:p>
    <w:p w14:paraId="77783AC5">
      <w:pPr>
        <w:pStyle w:val="86"/>
        <w:tabs>
          <w:tab w:val="left" w:pos="420"/>
          <w:tab w:val="right" w:leader="dot" w:pos="6960"/>
        </w:tabs>
        <w:spacing w:before="156"/>
      </w:pPr>
      <w:r>
        <w:rPr>
          <w:lang w:val="en-US" w:eastAsia="zh-CN"/>
        </w:rPr>
        <w:drawing>
          <wp:inline distT="0" distB="0" distL="114300" distR="114300">
            <wp:extent cx="3058795" cy="1209040"/>
            <wp:effectExtent l="0" t="0" r="8255" b="1016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87"/>
                    <a:stretch>
                      <a:fillRect/>
                    </a:stretch>
                  </pic:blipFill>
                  <pic:spPr>
                    <a:xfrm>
                      <a:off x="0" y="0"/>
                      <a:ext cx="3058795" cy="1209040"/>
                    </a:xfrm>
                    <a:prstGeom prst="rect">
                      <a:avLst/>
                    </a:prstGeom>
                    <a:noFill/>
                    <a:ln>
                      <a:noFill/>
                    </a:ln>
                  </pic:spPr>
                </pic:pic>
              </a:graphicData>
            </a:graphic>
          </wp:inline>
        </w:drawing>
      </w:r>
    </w:p>
    <w:p w14:paraId="001B8D32">
      <w:pPr>
        <w:pStyle w:val="123"/>
        <w:spacing w:before="78" w:after="78"/>
        <w:ind w:firstLine="1800"/>
      </w:pPr>
      <w:r>
        <w:t>b)  当</w:t>
      </w:r>
      <w:r>
        <w:rPr>
          <w:i/>
        </w:rPr>
        <w:t>h</w:t>
      </w:r>
      <w:r>
        <w:t>=</w:t>
      </w:r>
      <w:r>
        <w:rPr>
          <w:i/>
        </w:rPr>
        <w:t>h</w:t>
      </w:r>
      <w:r>
        <w:rPr>
          <w:vertAlign w:val="subscript"/>
        </w:rPr>
        <w:t>t</w:t>
      </w:r>
      <w:r>
        <w:t>+50时</w:t>
      </w:r>
    </w:p>
    <w:p w14:paraId="22A70E4E">
      <w:pPr>
        <w:pStyle w:val="86"/>
        <w:tabs>
          <w:tab w:val="left" w:pos="420"/>
          <w:tab w:val="right" w:leader="dot" w:pos="6960"/>
        </w:tabs>
        <w:spacing w:before="156"/>
      </w:pPr>
      <w:r>
        <w:rPr>
          <w:lang w:val="en-US" w:eastAsia="zh-CN"/>
        </w:rPr>
        <w:drawing>
          <wp:inline distT="0" distB="0" distL="114300" distR="114300">
            <wp:extent cx="3124200" cy="1254125"/>
            <wp:effectExtent l="0" t="0" r="0" b="317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88"/>
                    <a:stretch>
                      <a:fillRect/>
                    </a:stretch>
                  </pic:blipFill>
                  <pic:spPr>
                    <a:xfrm>
                      <a:off x="0" y="0"/>
                      <a:ext cx="3124200" cy="1254125"/>
                    </a:xfrm>
                    <a:prstGeom prst="rect">
                      <a:avLst/>
                    </a:prstGeom>
                    <a:noFill/>
                    <a:ln>
                      <a:noFill/>
                    </a:ln>
                  </pic:spPr>
                </pic:pic>
              </a:graphicData>
            </a:graphic>
          </wp:inline>
        </w:drawing>
      </w:r>
    </w:p>
    <w:p w14:paraId="49C32DEB">
      <w:pPr>
        <w:pStyle w:val="123"/>
        <w:spacing w:before="78" w:after="78"/>
        <w:ind w:firstLine="1800"/>
      </w:pPr>
      <w:r>
        <w:t>c)  当</w:t>
      </w:r>
      <w:r>
        <w:rPr>
          <w:i/>
        </w:rPr>
        <w:t>h</w:t>
      </w:r>
      <w:r>
        <w:t>=</w:t>
      </w:r>
      <w:r>
        <w:rPr>
          <w:i/>
        </w:rPr>
        <w:t>h</w:t>
      </w:r>
      <w:r>
        <w:rPr>
          <w:vertAlign w:val="subscript"/>
        </w:rPr>
        <w:t>t</w:t>
      </w:r>
      <w:r>
        <w:t>+60时</w:t>
      </w:r>
    </w:p>
    <w:p w14:paraId="6D4CB9F6">
      <w:pPr>
        <w:pStyle w:val="71"/>
        <w:spacing w:before="78" w:after="78"/>
        <w:ind w:firstLine="400"/>
      </w:pPr>
      <w:bookmarkStart w:id="259" w:name="_Ref51771555"/>
      <w:r>
        <w:t>图</w:t>
      </w:r>
      <w:r>
        <w:fldChar w:fldCharType="begin"/>
      </w:r>
      <w:r>
        <w:instrText xml:space="preserve"> STYLEREF 3 \s </w:instrText>
      </w:r>
      <w:r>
        <w:fldChar w:fldCharType="separate"/>
      </w:r>
      <w:r>
        <w:t>7.3.6</w:t>
      </w:r>
      <w:r>
        <w:fldChar w:fldCharType="end"/>
      </w:r>
      <w:bookmarkEnd w:id="259"/>
      <w:r>
        <w:t>板厚</w:t>
      </w:r>
      <w:r>
        <w:rPr>
          <w:i/>
        </w:rPr>
        <w:t>h</w:t>
      </w:r>
      <w:r>
        <w:t>、桁架高度</w:t>
      </w:r>
      <w:r>
        <w:rPr>
          <w:i/>
        </w:rPr>
        <w:t>h</w:t>
      </w:r>
      <w:r>
        <w:rPr>
          <w:vertAlign w:val="subscript"/>
        </w:rPr>
        <w:t>t</w:t>
      </w:r>
      <w:r>
        <w:t>与楼板上筋的关系</w:t>
      </w:r>
    </w:p>
    <w:p w14:paraId="3581AA6A">
      <w:pPr>
        <w:pStyle w:val="80"/>
        <w:spacing w:before="78" w:after="78"/>
      </w:pPr>
      <w:r>
        <w:t>1—板端；2—板侧；3—搭接网片；4—支座负筋；5—支座中心线</w:t>
      </w:r>
    </w:p>
    <w:p w14:paraId="2C5F2CB1">
      <w:pPr>
        <w:pStyle w:val="106"/>
        <w:ind w:firstLine="0" w:firstLineChars="0"/>
        <w:rPr>
          <w:rFonts w:hint="eastAsia"/>
          <w:bCs/>
          <w:color w:val="0070C0"/>
          <w:kern w:val="2"/>
          <w:sz w:val="21"/>
          <w:szCs w:val="24"/>
        </w:rPr>
      </w:pPr>
      <w:r>
        <w:rPr>
          <w:rFonts w:hint="eastAsia"/>
          <w:bCs/>
          <w:color w:val="0070C0"/>
          <w:kern w:val="2"/>
          <w:sz w:val="21"/>
          <w:szCs w:val="24"/>
        </w:rPr>
        <w:t>【条文说明】定型桁架高度最小为70mm，混凝土楼板的设计厚度由横筋高度及楼板上筋的设置方式决定，设置方式可有三种，楼板混凝土厚度分别等于桁架高度加40mm、50mm或60mm。因此采用定型桁架时混凝土厚度最小为110mm。</w:t>
      </w:r>
    </w:p>
    <w:p w14:paraId="2A549529">
      <w:pPr>
        <w:pStyle w:val="106"/>
        <w:ind w:firstLine="420"/>
      </w:pPr>
      <w:r>
        <w:rPr>
          <w:rFonts w:hint="eastAsia"/>
          <w:bCs/>
          <w:color w:val="0070C0"/>
          <w:kern w:val="2"/>
          <w:sz w:val="21"/>
          <w:szCs w:val="24"/>
        </w:rPr>
        <w:t>非定型桁架高度可为50mm或60mm，但需要特殊定制。</w:t>
      </w:r>
    </w:p>
    <w:p w14:paraId="0AE9B12E">
      <w:pPr>
        <w:pStyle w:val="6"/>
      </w:pPr>
      <w:r>
        <w:rPr>
          <w:rFonts w:hint="eastAsia"/>
        </w:rPr>
        <w:t>固模楼承板作为楼板混凝土的施工模板，施工活荷载取值应根据实际施工情况确定，不应小于</w:t>
      </w:r>
      <w:r>
        <w:t>2</w:t>
      </w:r>
      <w:r>
        <w:rPr>
          <w:rFonts w:hint="eastAsia"/>
        </w:rPr>
        <w:t>.</w:t>
      </w:r>
      <w:r>
        <w:t>0</w:t>
      </w:r>
      <w:r>
        <w:rPr>
          <w:rFonts w:hint="eastAsia"/>
        </w:rPr>
        <w:t>kN/</w:t>
      </w:r>
      <w:r>
        <w:t>m</w:t>
      </w:r>
      <w:r>
        <w:rPr>
          <w:vertAlign w:val="superscript"/>
        </w:rPr>
        <w:t>2</w:t>
      </w:r>
      <w:r>
        <w:rPr>
          <w:rFonts w:hint="eastAsia"/>
        </w:rPr>
        <w:t>；在施工荷载下的挠度限值宜取为固模楼承板计算跨度的1/250。</w:t>
      </w:r>
    </w:p>
    <w:p w14:paraId="0A2316E8">
      <w:pPr>
        <w:pStyle w:val="106"/>
        <w:ind w:firstLine="0" w:firstLineChars="0"/>
      </w:pPr>
      <w:r>
        <w:rPr>
          <w:rFonts w:hint="eastAsia"/>
          <w:bCs/>
          <w:color w:val="0070C0"/>
          <w:kern w:val="2"/>
          <w:sz w:val="21"/>
          <w:szCs w:val="24"/>
        </w:rPr>
        <w:t>【条文说明】根据《建筑施工脚手架安全技术统一标准》GB 51210-2016第5.1.5条混凝土结构模板支撑脚手架施工荷载标准值不应低于2.0kN/m2。根据《混凝土结构工程施工规范》GB 50666-2011第4.3.9条规定，对结构表面隐蔽的模板，其挠度限制宜取为模板构件计算跨度的1/250。</w:t>
      </w:r>
    </w:p>
    <w:p w14:paraId="110737F1">
      <w:pPr>
        <w:pStyle w:val="6"/>
      </w:pPr>
      <w:r>
        <w:rPr>
          <w:rFonts w:hint="eastAsia"/>
        </w:rPr>
        <w:t>固模楼承板连接件的间距应满足</w:t>
      </w:r>
      <w:r>
        <w:t>混凝土保护层垫块</w:t>
      </w:r>
      <w:r>
        <w:rPr>
          <w:rFonts w:hint="eastAsia"/>
        </w:rPr>
        <w:t>间距的要求，连接件之间最大间距不应大于6</w:t>
      </w:r>
      <w:r>
        <w:t>00</w:t>
      </w:r>
      <w:r>
        <w:rPr>
          <w:rFonts w:hint="eastAsia"/>
        </w:rPr>
        <w:t>mm，连接件与板</w:t>
      </w:r>
      <w:r>
        <w:t>端</w:t>
      </w:r>
      <w:r>
        <w:rPr>
          <w:rFonts w:hint="eastAsia"/>
        </w:rPr>
        <w:t>的距离不应大于2</w:t>
      </w:r>
      <w:r>
        <w:t>50</w:t>
      </w:r>
      <w:r>
        <w:rPr>
          <w:rFonts w:hint="eastAsia"/>
        </w:rPr>
        <w:t>mm</w:t>
      </w:r>
      <w:r>
        <w:t>。</w:t>
      </w:r>
    </w:p>
    <w:p w14:paraId="3ACEB871">
      <w:pPr>
        <w:pStyle w:val="6"/>
      </w:pPr>
      <w:r>
        <w:rPr>
          <w:rFonts w:hint="eastAsia"/>
        </w:rPr>
        <w:t>对各层固模混凝土板，应沿固模剪力墙顶部设置连续的水平加强现浇带，应符合下列规定：</w:t>
      </w:r>
    </w:p>
    <w:p w14:paraId="604A67D4">
      <w:pPr>
        <w:pStyle w:val="7"/>
        <w:numPr>
          <w:ilvl w:val="0"/>
          <w:numId w:val="37"/>
        </w:numPr>
      </w:pPr>
      <w:r>
        <w:rPr>
          <w:rFonts w:hint="eastAsia"/>
        </w:rPr>
        <w:t>水平加强现浇带宽度应取剪力墙的厚度，高度不应小于</w:t>
      </w:r>
      <w:r>
        <w:t>楼板</w:t>
      </w:r>
      <w:r>
        <w:rPr>
          <w:rFonts w:hint="eastAsia"/>
        </w:rPr>
        <w:t>现浇</w:t>
      </w:r>
      <w:r>
        <w:t>混凝土</w:t>
      </w:r>
      <w:r>
        <w:rPr>
          <w:rFonts w:hint="eastAsia"/>
        </w:rPr>
        <w:t>层</w:t>
      </w:r>
      <w:r>
        <w:t>厚度</w:t>
      </w:r>
      <w:r>
        <w:rPr>
          <w:rFonts w:hint="eastAsia"/>
        </w:rPr>
        <w:t>；</w:t>
      </w:r>
    </w:p>
    <w:p w14:paraId="1C17524F">
      <w:pPr>
        <w:pStyle w:val="7"/>
        <w:numPr>
          <w:ilvl w:val="0"/>
          <w:numId w:val="37"/>
        </w:numPr>
      </w:pPr>
      <w:r>
        <w:rPr>
          <w:rFonts w:hint="eastAsia"/>
        </w:rPr>
        <w:t>水平加强现浇带应与固模混凝土板浇筑成整体；</w:t>
      </w:r>
    </w:p>
    <w:p w14:paraId="6D7AEE8E">
      <w:pPr>
        <w:pStyle w:val="7"/>
        <w:numPr>
          <w:ilvl w:val="0"/>
          <w:numId w:val="37"/>
        </w:numPr>
      </w:pPr>
      <w:r>
        <w:rPr>
          <w:rFonts w:hint="eastAsia"/>
        </w:rPr>
        <w:t>水平加强现浇带内应配置不少于2根连续纵向加强钢筋，对一般楼层其直径不宜小于1</w:t>
      </w:r>
      <w:r>
        <w:t>2</w:t>
      </w:r>
      <w:r>
        <w:rPr>
          <w:rFonts w:hint="eastAsia"/>
        </w:rPr>
        <w:t>mm，对屋面及立面收进的楼层不宜小于</w:t>
      </w:r>
      <w:r>
        <w:t>14</w:t>
      </w:r>
      <w:r>
        <w:rPr>
          <w:rFonts w:hint="eastAsia"/>
        </w:rPr>
        <w:t>mm。纵向加强钢筋两端应锚入垂直方向加强现浇带的外侧并设90度弯钩，弯钩长度不小于钢筋直径的15倍；</w:t>
      </w:r>
    </w:p>
    <w:p w14:paraId="32DFFB4D">
      <w:pPr>
        <w:pStyle w:val="7"/>
        <w:numPr>
          <w:ilvl w:val="0"/>
          <w:numId w:val="37"/>
        </w:numPr>
      </w:pPr>
      <w:r>
        <w:rPr>
          <w:rFonts w:hint="eastAsia"/>
        </w:rPr>
        <w:t>水平加强现浇带内配置的连续纵向加强钢筋之间应设置横向构造钢筋并将纵向加强钢筋、横向构造钢筋及层间墙体竖向</w:t>
      </w:r>
      <w:r>
        <w:t>连接钢筋</w:t>
      </w:r>
      <w:r>
        <w:rPr>
          <w:rFonts w:hint="eastAsia"/>
        </w:rPr>
        <w:t>三者绑扎固定。</w:t>
      </w:r>
    </w:p>
    <w:p w14:paraId="788D5778">
      <w:pPr>
        <w:pStyle w:val="106"/>
        <w:ind w:firstLine="0" w:firstLineChars="0"/>
      </w:pPr>
      <w:r>
        <w:rPr>
          <w:rFonts w:hint="eastAsia"/>
          <w:bCs/>
          <w:color w:val="0070C0"/>
          <w:kern w:val="2"/>
          <w:sz w:val="21"/>
          <w:szCs w:val="24"/>
        </w:rPr>
        <w:t>【条文说明】在固模混凝土板与固模剪力墙顶交接处设置连续的水平加强现浇带，是为了保证结构的整体性和稳定性；采用普通现浇混凝土板或其他装配整体式混凝土板时可参考此构造。在屋面及立面收进的楼层部位有条件时宜沿固模剪力墙顶部设置封闭的钢筋混凝土圈梁。</w:t>
      </w:r>
    </w:p>
    <w:bookmarkEnd w:id="239"/>
    <w:bookmarkEnd w:id="240"/>
    <w:bookmarkEnd w:id="241"/>
    <w:bookmarkEnd w:id="242"/>
    <w:p w14:paraId="0BE2908A">
      <w:pPr>
        <w:pStyle w:val="6"/>
      </w:pPr>
      <w:r>
        <w:t>楼梯</w:t>
      </w:r>
      <w:r>
        <w:rPr>
          <w:rFonts w:hint="eastAsia"/>
        </w:rPr>
        <w:t>休息平台的平台</w:t>
      </w:r>
      <w:r>
        <w:t>板</w:t>
      </w:r>
      <w:r>
        <w:rPr>
          <w:rFonts w:hint="eastAsia"/>
        </w:rPr>
        <w:t>、</w:t>
      </w:r>
      <w:r>
        <w:t>阳台</w:t>
      </w:r>
      <w:r>
        <w:rPr>
          <w:rFonts w:hint="eastAsia"/>
        </w:rPr>
        <w:t>板</w:t>
      </w:r>
      <w:r>
        <w:t>可采用</w:t>
      </w:r>
      <w:r>
        <w:rPr>
          <w:rFonts w:hint="eastAsia"/>
        </w:rPr>
        <w:t>固模混凝土板。</w:t>
      </w:r>
    </w:p>
    <w:p w14:paraId="13EA9755">
      <w:pPr>
        <w:pStyle w:val="106"/>
        <w:ind w:firstLine="0" w:firstLineChars="0"/>
      </w:pPr>
      <w:r>
        <w:rPr>
          <w:rFonts w:hint="eastAsia"/>
          <w:bCs/>
          <w:color w:val="0070C0"/>
          <w:kern w:val="2"/>
          <w:sz w:val="21"/>
          <w:szCs w:val="24"/>
        </w:rPr>
        <w:t>【条文说明】有条件时，楼梯、阳台、女儿墙和空调板等应优先采用预制形式，以减少施工现场工作量，提高装配化程度。预制楼梯、预制阳台、预制空调板、预制女儿墙的连接构造应符合现行国家建筑标准设计图集《预制钢筋混凝土板式楼梯》G367-1、《预制钢筋混凝土阳台板、空调板及女儿墙》G368-1的有关规定。</w:t>
      </w:r>
    </w:p>
    <w:p w14:paraId="492022DE">
      <w:pPr>
        <w:pStyle w:val="6"/>
        <w:numPr>
          <w:ilvl w:val="0"/>
          <w:numId w:val="0"/>
        </w:numPr>
        <w:tabs>
          <w:tab w:val="clear" w:pos="907"/>
        </w:tabs>
      </w:pPr>
    </w:p>
    <w:p w14:paraId="2DC70599">
      <w:pPr>
        <w:pStyle w:val="4"/>
        <w:spacing w:before="156" w:after="156"/>
      </w:pPr>
      <w:r>
        <w:br w:type="page"/>
      </w:r>
      <w:bookmarkStart w:id="260" w:name="_Toc61254081"/>
      <w:bookmarkStart w:id="261" w:name="_Toc23523"/>
      <w:bookmarkStart w:id="262" w:name="_Toc129374381"/>
      <w:bookmarkStart w:id="263" w:name="_Toc61254038"/>
      <w:r>
        <w:rPr>
          <w:rFonts w:hint="eastAsia"/>
        </w:rPr>
        <w:t>构件</w:t>
      </w:r>
      <w:r>
        <w:t>制作</w:t>
      </w:r>
      <w:bookmarkEnd w:id="260"/>
      <w:bookmarkEnd w:id="261"/>
      <w:bookmarkEnd w:id="262"/>
      <w:bookmarkEnd w:id="263"/>
    </w:p>
    <w:p w14:paraId="7B8C176F">
      <w:pPr>
        <w:pStyle w:val="5"/>
        <w:numPr>
          <w:ilvl w:val="1"/>
          <w:numId w:val="38"/>
        </w:numPr>
        <w:spacing w:before="156" w:beforeLines="50" w:after="156"/>
      </w:pPr>
      <w:bookmarkStart w:id="264" w:name="_Toc61254039"/>
      <w:bookmarkStart w:id="265" w:name="_Toc8511"/>
      <w:bookmarkStart w:id="266" w:name="_Toc129374382"/>
      <w:bookmarkStart w:id="267" w:name="_Toc61254082"/>
      <w:r>
        <w:t>一般规定</w:t>
      </w:r>
      <w:bookmarkEnd w:id="264"/>
      <w:bookmarkEnd w:id="265"/>
      <w:bookmarkEnd w:id="266"/>
      <w:bookmarkEnd w:id="267"/>
    </w:p>
    <w:p w14:paraId="74E68920">
      <w:pPr>
        <w:pStyle w:val="6"/>
      </w:pPr>
      <w:r>
        <w:rPr>
          <w:rFonts w:hint="eastAsia"/>
        </w:rPr>
        <w:t>生产</w:t>
      </w:r>
      <w:r>
        <w:t>单位</w:t>
      </w:r>
      <w:r>
        <w:rPr>
          <w:rFonts w:hint="eastAsia"/>
        </w:rPr>
        <w:t>宜为专业生产企业，</w:t>
      </w:r>
      <w:r>
        <w:t>应具备</w:t>
      </w:r>
      <w:r>
        <w:rPr>
          <w:rFonts w:hint="eastAsia"/>
        </w:rPr>
        <w:t>保证产品质量要求</w:t>
      </w:r>
      <w:r>
        <w:t>的生产工艺设施，应</w:t>
      </w:r>
      <w:r>
        <w:rPr>
          <w:rFonts w:hint="eastAsia"/>
        </w:rPr>
        <w:t>具有</w:t>
      </w:r>
      <w:r>
        <w:t>完善的质量管理体系</w:t>
      </w:r>
      <w:r>
        <w:rPr>
          <w:rFonts w:hint="eastAsia"/>
        </w:rPr>
        <w:t>、管理制度</w:t>
      </w:r>
      <w:r>
        <w:t>和必要的试验检测手段</w:t>
      </w:r>
      <w:r>
        <w:rPr>
          <w:rFonts w:hint="eastAsia"/>
        </w:rPr>
        <w:t>，宜建立质量可追溯的信息化管理系统</w:t>
      </w:r>
      <w:r>
        <w:t>。</w:t>
      </w:r>
    </w:p>
    <w:p w14:paraId="1AEE5AEE">
      <w:pPr>
        <w:pStyle w:val="106"/>
        <w:ind w:firstLine="0" w:firstLineChars="0"/>
        <w:rPr>
          <w:rFonts w:hint="eastAsia"/>
          <w:bCs/>
          <w:color w:val="0070C0"/>
          <w:kern w:val="2"/>
          <w:sz w:val="21"/>
          <w:szCs w:val="24"/>
        </w:rPr>
      </w:pPr>
      <w:r>
        <w:rPr>
          <w:rFonts w:hint="eastAsia"/>
          <w:bCs/>
          <w:color w:val="0070C0"/>
          <w:kern w:val="2"/>
          <w:sz w:val="21"/>
          <w:szCs w:val="24"/>
        </w:rPr>
        <w:t>【条文说明】构件的质量涉及工程质量和结构安全，生产单位应符合国家及地方有关部门规定的硬件设施、人员配置、质量管理体系和质量检测手段等规定。</w:t>
      </w:r>
    </w:p>
    <w:p w14:paraId="518B9F4D">
      <w:pPr>
        <w:pStyle w:val="106"/>
        <w:ind w:firstLine="420"/>
        <w:rPr>
          <w:rFonts w:hint="eastAsia"/>
          <w:bCs/>
          <w:color w:val="0070C0"/>
          <w:kern w:val="2"/>
          <w:sz w:val="21"/>
          <w:szCs w:val="24"/>
        </w:rPr>
      </w:pPr>
      <w:r>
        <w:rPr>
          <w:rFonts w:hint="eastAsia"/>
          <w:bCs/>
          <w:color w:val="0070C0"/>
          <w:kern w:val="2"/>
          <w:sz w:val="21"/>
          <w:szCs w:val="24"/>
        </w:rPr>
        <w:t>1 为保证构件生产质量，生产单位应配备相应的技术、质量、材料、安全和生产管理人员，操作人员上岗前应进行岗位培训，特殊工种必须取得相应的岗位资格证书；</w:t>
      </w:r>
    </w:p>
    <w:p w14:paraId="019C16F1">
      <w:pPr>
        <w:pStyle w:val="106"/>
        <w:ind w:firstLine="420"/>
        <w:rPr>
          <w:rFonts w:hint="eastAsia"/>
          <w:bCs/>
          <w:color w:val="0070C0"/>
          <w:kern w:val="2"/>
          <w:sz w:val="21"/>
          <w:szCs w:val="24"/>
        </w:rPr>
      </w:pPr>
      <w:r>
        <w:rPr>
          <w:rFonts w:hint="eastAsia"/>
          <w:bCs/>
          <w:color w:val="0070C0"/>
          <w:kern w:val="2"/>
          <w:sz w:val="21"/>
          <w:szCs w:val="24"/>
        </w:rPr>
        <w:t>2 现场生产构件时也应符合本条规定；</w:t>
      </w:r>
    </w:p>
    <w:p w14:paraId="0E0239A6">
      <w:pPr>
        <w:pStyle w:val="106"/>
        <w:ind w:firstLine="420"/>
      </w:pPr>
      <w:r>
        <w:rPr>
          <w:rFonts w:hint="eastAsia"/>
          <w:bCs/>
          <w:color w:val="0070C0"/>
          <w:kern w:val="2"/>
          <w:sz w:val="21"/>
          <w:szCs w:val="24"/>
        </w:rPr>
        <w:t>3 生产单位宜采用现代化的信息管理系统并建立统一的编码规则和标识系统。</w:t>
      </w:r>
    </w:p>
    <w:p w14:paraId="27764CE0">
      <w:pPr>
        <w:pStyle w:val="6"/>
      </w:pPr>
      <w:r>
        <w:rPr>
          <w:rFonts w:hint="eastAsia"/>
        </w:rPr>
        <w:t>生产单位的检测、试验、计量等设备及仪器仪表均应校准合格，应在有效期内使用。生产单位对自身不具备试验能力的检验项目，应委托有资质的第三方检测机构进行试验。</w:t>
      </w:r>
    </w:p>
    <w:p w14:paraId="086783A1">
      <w:pPr>
        <w:pStyle w:val="6"/>
      </w:pPr>
      <w:r>
        <w:rPr>
          <w:rFonts w:hint="eastAsia"/>
        </w:rPr>
        <w:t>生产单位应制定钢筋、水泥、外加剂、掺合料和骨料以及保温板、水泥纤维</w:t>
      </w:r>
      <w:r>
        <w:t>板</w:t>
      </w:r>
      <w:r>
        <w:rPr>
          <w:rFonts w:hint="eastAsia"/>
        </w:rPr>
        <w:t>等主要原材料的采购、供应计划和质量检验措施，应进行材料进场检查和检验，应做好质量检验记录。材料检验除应符合本标准外，尚应符合国家现行有关标准的规定。</w:t>
      </w:r>
    </w:p>
    <w:p w14:paraId="335ABDA7">
      <w:pPr>
        <w:pStyle w:val="106"/>
        <w:ind w:firstLine="0" w:firstLineChars="0"/>
      </w:pPr>
      <w:r>
        <w:rPr>
          <w:rFonts w:hint="eastAsia"/>
          <w:bCs/>
          <w:color w:val="0070C0"/>
          <w:kern w:val="2"/>
          <w:sz w:val="21"/>
          <w:szCs w:val="24"/>
        </w:rPr>
        <w:t>【条文说明】生产单位对采购的主要材料、构配件，应制定严格的采购计划和质量检验措施。在预制构件生产中需要进行有关钢筋、混凝土和构配件等的日常试验和检测，预制构件企业应配备开展日常试验检测工作的试验室，生产单位不能完成的检测项目可委托有资质的检测机构进行。</w:t>
      </w:r>
    </w:p>
    <w:p w14:paraId="3971A236">
      <w:pPr>
        <w:pStyle w:val="6"/>
      </w:pPr>
      <w:r>
        <w:rPr>
          <w:rFonts w:hint="eastAsia"/>
        </w:rPr>
        <w:t>预制构件加工制作前应进行深化设计，构件深化设计应由相关单位完成，应经施工图设计单位确认。深化设计内容包括：</w:t>
      </w:r>
      <w:r>
        <w:rPr>
          <w:rFonts w:hint="eastAsia" w:ascii="宋体" w:hAnsi="宋体"/>
          <w:color w:val="FF0000"/>
          <w:szCs w:val="21"/>
        </w:rPr>
        <w:t>空心墙模及楼承板平面排版图</w:t>
      </w:r>
      <w:r>
        <w:rPr>
          <w:rFonts w:hint="eastAsia" w:ascii="宋体" w:hAnsi="宋体"/>
          <w:szCs w:val="21"/>
        </w:rPr>
        <w:t>、</w:t>
      </w:r>
      <w:r>
        <w:rPr>
          <w:rFonts w:hint="eastAsia"/>
        </w:rPr>
        <w:t>模板及配筋图、预留孔洞图、设备管线预留预埋图、预埋吊钩及埋件细部构造详图等。</w:t>
      </w:r>
    </w:p>
    <w:p w14:paraId="1DB36581">
      <w:pPr>
        <w:pStyle w:val="106"/>
        <w:ind w:firstLine="0" w:firstLineChars="0"/>
      </w:pPr>
      <w:r>
        <w:rPr>
          <w:rFonts w:hint="eastAsia"/>
          <w:bCs/>
          <w:color w:val="0070C0"/>
          <w:kern w:val="2"/>
          <w:sz w:val="21"/>
          <w:szCs w:val="24"/>
        </w:rPr>
        <w:t>【条文说明】构件深化设计宜由主体设计单位一体化设计完成，宜从方案阶段开始介入。主体设计单位不能完成时，可由相关设计单位或构件生产单位进行深化设计，</w:t>
      </w:r>
      <w:r>
        <w:rPr>
          <w:rFonts w:hint="eastAsia"/>
          <w:bCs/>
          <w:color w:val="FF0000"/>
          <w:kern w:val="2"/>
          <w:sz w:val="21"/>
          <w:szCs w:val="24"/>
        </w:rPr>
        <w:t>深化设计（含排板方向、拼缝位置等）</w:t>
      </w:r>
      <w:r>
        <w:rPr>
          <w:rFonts w:hint="eastAsia"/>
          <w:bCs/>
          <w:color w:val="0070C0"/>
          <w:kern w:val="2"/>
          <w:sz w:val="21"/>
          <w:szCs w:val="24"/>
        </w:rPr>
        <w:t>应经主体设计单位认可。</w:t>
      </w:r>
    </w:p>
    <w:p w14:paraId="6E183418">
      <w:pPr>
        <w:pStyle w:val="6"/>
      </w:pPr>
      <w:r>
        <w:t>预制构件制作前，</w:t>
      </w:r>
      <w:r>
        <w:rPr>
          <w:rFonts w:hint="eastAsia"/>
        </w:rPr>
        <w:t>设计单位应对其</w:t>
      </w:r>
      <w:r>
        <w:t>技术要求和质量标准</w:t>
      </w:r>
      <w:r>
        <w:rPr>
          <w:rFonts w:hint="eastAsia"/>
        </w:rPr>
        <w:t>向生产单位</w:t>
      </w:r>
      <w:r>
        <w:t>进行技术交底</w:t>
      </w:r>
      <w:r>
        <w:rPr>
          <w:rFonts w:hint="eastAsia"/>
        </w:rPr>
        <w:t>。生产单位</w:t>
      </w:r>
      <w:r>
        <w:t>应熟悉图纸，应制定生产方案。生产方案应包括生产工艺、模具方案、生产计划、技术质量控制措施、成品保护、堆放及运输方案等。</w:t>
      </w:r>
      <w:r>
        <w:rPr>
          <w:rFonts w:hint="eastAsia"/>
        </w:rPr>
        <w:t>必要时应进行构件脱模、吊运、堆放、翻转及运输等相关内容的承载力验算。</w:t>
      </w:r>
    </w:p>
    <w:p w14:paraId="443130D1">
      <w:pPr>
        <w:pStyle w:val="106"/>
        <w:ind w:firstLine="0" w:firstLineChars="0"/>
      </w:pPr>
      <w:r>
        <w:rPr>
          <w:rFonts w:hint="eastAsia"/>
          <w:bCs/>
          <w:color w:val="0070C0"/>
          <w:kern w:val="2"/>
          <w:sz w:val="21"/>
          <w:szCs w:val="24"/>
        </w:rPr>
        <w:t>【条文说明】生产单位应对不同的构件（钢筋桁架、钢筋焊接网、空心墙模、TC板等）应分别制定生产方案。构件制作前，建设单位应组织设计、生产、施工单位进行技术交底，避免构件在加工和施工过程中，出现错、漏、碰、缺等问题。</w:t>
      </w:r>
    </w:p>
    <w:p w14:paraId="77D6AFED">
      <w:pPr>
        <w:pStyle w:val="6"/>
      </w:pPr>
      <w:r>
        <w:rPr>
          <w:rFonts w:hint="eastAsia"/>
        </w:rPr>
        <w:t>构件制作前，应对各种生产机械设备进行运行调试、工况检验和安全检查，确认其满足生产条件。构件制作中的安全措施、劳动保护、防火要求等，应符合国家现行有关标准的规定。</w:t>
      </w:r>
    </w:p>
    <w:p w14:paraId="40826516">
      <w:pPr>
        <w:pStyle w:val="6"/>
      </w:pPr>
      <w:r>
        <w:rPr>
          <w:rFonts w:hint="eastAsia"/>
        </w:rPr>
        <w:t>生产场地及设施应符合下列规定：</w:t>
      </w:r>
    </w:p>
    <w:p w14:paraId="3F1D3F07">
      <w:pPr>
        <w:pStyle w:val="7"/>
        <w:numPr>
          <w:ilvl w:val="0"/>
          <w:numId w:val="39"/>
        </w:numPr>
      </w:pPr>
      <w:r>
        <w:rPr>
          <w:rFonts w:hint="eastAsia"/>
        </w:rPr>
        <w:t>构件的制作应在工厂或符合生产条件的施工现场进行；</w:t>
      </w:r>
    </w:p>
    <w:p w14:paraId="7F0BA449">
      <w:pPr>
        <w:pStyle w:val="7"/>
        <w:numPr>
          <w:ilvl w:val="0"/>
          <w:numId w:val="12"/>
        </w:numPr>
      </w:pPr>
      <w:r>
        <w:rPr>
          <w:rFonts w:hint="eastAsia"/>
        </w:rPr>
        <w:t>制作构件的场地应平整坚实并有排水措施。可采用混凝土平台或钢平台，平台表面应平整；</w:t>
      </w:r>
    </w:p>
    <w:p w14:paraId="1998AE26">
      <w:pPr>
        <w:pStyle w:val="7"/>
        <w:numPr>
          <w:ilvl w:val="0"/>
          <w:numId w:val="12"/>
        </w:numPr>
      </w:pPr>
      <w:r>
        <w:rPr>
          <w:rFonts w:hint="eastAsia"/>
        </w:rPr>
        <w:t>构件生产模具、生产线以及配套运输车辆、吊装设备应符合现行国家、行业相关规定。</w:t>
      </w:r>
    </w:p>
    <w:p w14:paraId="2435760F">
      <w:pPr>
        <w:pStyle w:val="6"/>
      </w:pPr>
      <w:r>
        <w:t>构件用钢筋的加工、连接与安装应符合国家现行标准《混凝土结构工程施工规范》GB 50666和《混凝土结构工程施工质量验收规范》GB 50204等的有关规定。混凝土浇筑前应对钢筋工程进行隐蔽工程验收。</w:t>
      </w:r>
    </w:p>
    <w:p w14:paraId="4F83692A">
      <w:pPr>
        <w:pStyle w:val="106"/>
        <w:ind w:firstLine="0" w:firstLineChars="0"/>
        <w:rPr>
          <w:rFonts w:hint="eastAsia"/>
          <w:bCs/>
          <w:color w:val="0070C0"/>
          <w:kern w:val="2"/>
          <w:sz w:val="21"/>
          <w:szCs w:val="24"/>
        </w:rPr>
      </w:pPr>
      <w:r>
        <w:rPr>
          <w:rFonts w:hint="eastAsia"/>
          <w:bCs/>
          <w:color w:val="0070C0"/>
          <w:kern w:val="2"/>
          <w:sz w:val="21"/>
          <w:szCs w:val="24"/>
        </w:rPr>
        <w:t>【条文说明】根据现行国家标准《混凝土结构工程施工质量验收规范》GB 50204相关规定，装配式混凝土构件浇筑混凝土之前应进行隐蔽工程验收，应形成验收文件，验收合格后方可继续生产。</w:t>
      </w:r>
    </w:p>
    <w:p w14:paraId="755DF882">
      <w:pPr>
        <w:pStyle w:val="6"/>
      </w:pPr>
      <w:r>
        <w:rPr>
          <w:rFonts w:hint="eastAsia"/>
        </w:rPr>
        <w:t>构件生产所用钢筋应有产品合格证和出厂检测报告等质量证明文件，钢筋表面均应有标识。钢筋表面不得有油污或者锈蚀。钢筋加工设备应符合有关标准规定和工艺要求，维护良好，运行可靠。</w:t>
      </w:r>
    </w:p>
    <w:p w14:paraId="4607F4E8">
      <w:pPr>
        <w:pStyle w:val="6"/>
        <w:numPr>
          <w:ilvl w:val="0"/>
          <w:numId w:val="0"/>
        </w:numPr>
        <w:tabs>
          <w:tab w:val="clear" w:pos="907"/>
        </w:tabs>
      </w:pPr>
      <w:r>
        <w:rPr>
          <w:rFonts w:hint="eastAsia"/>
          <w:color w:val="0070C0"/>
        </w:rPr>
        <w:t>【条文说明】钢筋加工设备的性能及运行维护的质量，将直接影响钢筋桁架及网片的制作精度。</w:t>
      </w:r>
    </w:p>
    <w:p w14:paraId="29A3180E">
      <w:pPr>
        <w:pStyle w:val="6"/>
      </w:pPr>
      <w:r>
        <w:t>构件用混凝土的工作性应根据产品类别和生产工艺要求确定，构件用混凝土原材料及配合比设计应符合</w:t>
      </w:r>
      <w:r>
        <w:rPr>
          <w:rFonts w:hint="eastAsia"/>
        </w:rPr>
        <w:t>国家现行有关标准的规定</w:t>
      </w:r>
      <w:r>
        <w:t>。</w:t>
      </w:r>
    </w:p>
    <w:p w14:paraId="4A673B18">
      <w:pPr>
        <w:pStyle w:val="106"/>
        <w:ind w:firstLine="0" w:firstLineChars="0"/>
      </w:pPr>
      <w:r>
        <w:rPr>
          <w:rFonts w:hint="eastAsia"/>
          <w:bCs/>
          <w:color w:val="0070C0"/>
          <w:kern w:val="2"/>
          <w:sz w:val="21"/>
          <w:szCs w:val="24"/>
        </w:rPr>
        <w:t>【条文说明】在预制构件制作前，生产单位应根据预制构件的混凝土强度等级、生产工艺等选择制备混凝土的原材料，应进行混凝土配合比设计。</w:t>
      </w:r>
    </w:p>
    <w:p w14:paraId="6AF9E825">
      <w:pPr>
        <w:pStyle w:val="6"/>
      </w:pPr>
      <w:r>
        <w:rPr>
          <w:rFonts w:hint="eastAsia"/>
        </w:rPr>
        <w:t>预制构件脱模起吊时，混凝土强度应满足设计要求。无设计要求时，混凝土强度不应低于设计混凝土强度等级值的7</w:t>
      </w:r>
      <w:r>
        <w:t>5</w:t>
      </w:r>
      <w:r>
        <w:rPr>
          <w:rFonts w:hint="eastAsia"/>
        </w:rPr>
        <w:t>%，不应小于1</w:t>
      </w:r>
      <w:r>
        <w:t>5</w:t>
      </w:r>
      <w:r>
        <w:rPr>
          <w:rFonts w:hint="eastAsia"/>
        </w:rPr>
        <w:t>M</w:t>
      </w:r>
      <w:r>
        <w:t>Pa</w:t>
      </w:r>
      <w:r>
        <w:rPr>
          <w:rFonts w:hint="eastAsia"/>
        </w:rPr>
        <w:t>。</w:t>
      </w:r>
    </w:p>
    <w:p w14:paraId="2A98950E">
      <w:pPr>
        <w:pStyle w:val="6"/>
      </w:pPr>
      <w:r>
        <w:rPr>
          <w:rFonts w:hint="eastAsia"/>
        </w:rPr>
        <w:t>预制构件生产宜建立首件验收制度。首件经验收合格后，方可进行批量生产。</w:t>
      </w:r>
    </w:p>
    <w:p w14:paraId="66E5104B">
      <w:pPr>
        <w:pStyle w:val="106"/>
        <w:ind w:firstLine="0" w:firstLineChars="0"/>
      </w:pPr>
      <w:r>
        <w:rPr>
          <w:rFonts w:hint="eastAsia"/>
          <w:bCs/>
          <w:color w:val="0070C0"/>
          <w:kern w:val="2"/>
          <w:sz w:val="21"/>
          <w:szCs w:val="24"/>
        </w:rPr>
        <w:t>【条文说明】件验收制度是指空心墙模或TC板等预制构件首次生产或间隔较长时间重新生产时，生产单位需会同建设单位、设计单位、施工单位、监理单位共同进行首件验收，重点检查原材料、构配件、模具、混凝土浇筑成型中存在的问题，确认该批构件生产工艺是否合理，质量能否得到保障，共同验收合格之后方可批量生产。</w:t>
      </w:r>
    </w:p>
    <w:p w14:paraId="09A9D85F">
      <w:pPr>
        <w:pStyle w:val="6"/>
      </w:pPr>
      <w:r>
        <w:rPr>
          <w:rFonts w:hint="eastAsia"/>
        </w:rPr>
        <w:t>预制构件和部品应设置表面标识，内容宜包括构件编号、制作日期、合格状态、生产单位等信息。验收合格的预制构件和部品出厂交付时，应出具完整的质量证明文件。</w:t>
      </w:r>
    </w:p>
    <w:p w14:paraId="5ED7BA2E">
      <w:pPr>
        <w:pStyle w:val="106"/>
        <w:ind w:firstLine="0" w:firstLineChars="0"/>
        <w:rPr>
          <w:rFonts w:hint="eastAsia"/>
          <w:bCs/>
          <w:color w:val="0070C0"/>
          <w:kern w:val="2"/>
          <w:sz w:val="21"/>
          <w:szCs w:val="24"/>
        </w:rPr>
      </w:pPr>
      <w:r>
        <w:rPr>
          <w:rFonts w:hint="eastAsia"/>
          <w:bCs/>
          <w:color w:val="0070C0"/>
          <w:kern w:val="2"/>
          <w:sz w:val="21"/>
          <w:szCs w:val="24"/>
        </w:rPr>
        <w:t>【条文说明】预制构件交付的产品质量证明文件应包括以下内容：</w:t>
      </w:r>
    </w:p>
    <w:p w14:paraId="6EFC56E6">
      <w:pPr>
        <w:pStyle w:val="106"/>
        <w:ind w:firstLine="420"/>
        <w:rPr>
          <w:rFonts w:hint="eastAsia"/>
          <w:bCs/>
          <w:color w:val="0070C0"/>
          <w:kern w:val="2"/>
          <w:sz w:val="21"/>
          <w:szCs w:val="24"/>
        </w:rPr>
      </w:pPr>
      <w:r>
        <w:rPr>
          <w:rFonts w:hint="eastAsia"/>
          <w:bCs/>
          <w:color w:val="0070C0"/>
          <w:kern w:val="2"/>
          <w:sz w:val="21"/>
          <w:szCs w:val="24"/>
        </w:rPr>
        <w:t>1 出厂合格证；</w:t>
      </w:r>
    </w:p>
    <w:p w14:paraId="417946E4">
      <w:pPr>
        <w:pStyle w:val="106"/>
        <w:ind w:firstLine="420"/>
        <w:rPr>
          <w:rFonts w:hint="eastAsia"/>
          <w:bCs/>
          <w:color w:val="0070C0"/>
          <w:kern w:val="2"/>
          <w:sz w:val="21"/>
          <w:szCs w:val="24"/>
        </w:rPr>
      </w:pPr>
      <w:r>
        <w:rPr>
          <w:rFonts w:hint="eastAsia"/>
          <w:bCs/>
          <w:color w:val="0070C0"/>
          <w:kern w:val="2"/>
          <w:sz w:val="21"/>
          <w:szCs w:val="24"/>
        </w:rPr>
        <w:t>2 混凝土强度检验报告；</w:t>
      </w:r>
    </w:p>
    <w:p w14:paraId="27210DF4">
      <w:pPr>
        <w:pStyle w:val="106"/>
        <w:ind w:firstLine="420"/>
        <w:rPr>
          <w:rFonts w:hint="eastAsia"/>
          <w:bCs/>
          <w:color w:val="0070C0"/>
          <w:kern w:val="2"/>
          <w:sz w:val="21"/>
          <w:szCs w:val="24"/>
        </w:rPr>
      </w:pPr>
      <w:r>
        <w:rPr>
          <w:rFonts w:hint="eastAsia"/>
          <w:bCs/>
          <w:color w:val="0070C0"/>
          <w:kern w:val="2"/>
          <w:sz w:val="21"/>
          <w:szCs w:val="24"/>
        </w:rPr>
        <w:t>3 钢筋、固模底板、连接件等材料及构配件的性能检验报告；</w:t>
      </w:r>
    </w:p>
    <w:p w14:paraId="78C69359">
      <w:pPr>
        <w:pStyle w:val="106"/>
        <w:ind w:firstLine="420"/>
      </w:pPr>
      <w:r>
        <w:rPr>
          <w:rFonts w:hint="eastAsia"/>
          <w:bCs/>
          <w:color w:val="0070C0"/>
          <w:kern w:val="2"/>
          <w:sz w:val="21"/>
          <w:szCs w:val="24"/>
        </w:rPr>
        <w:t>4 合同要求的其他质量证明文件。</w:t>
      </w:r>
    </w:p>
    <w:p w14:paraId="78B04D9D">
      <w:pPr>
        <w:pStyle w:val="6"/>
      </w:pPr>
      <w:r>
        <w:rPr>
          <w:rFonts w:hint="eastAsia"/>
        </w:rPr>
        <w:t>预制构件的归档资料应与产品生产同步形成、收集和整理。归档资料应真实、完整，应妥善保存。</w:t>
      </w:r>
    </w:p>
    <w:p w14:paraId="1C793FF2">
      <w:pPr>
        <w:pStyle w:val="106"/>
        <w:ind w:firstLine="0" w:firstLineChars="0"/>
        <w:rPr>
          <w:rFonts w:hint="eastAsia"/>
          <w:bCs/>
          <w:color w:val="0070C0"/>
          <w:kern w:val="2"/>
          <w:sz w:val="21"/>
          <w:szCs w:val="24"/>
        </w:rPr>
      </w:pPr>
      <w:r>
        <w:rPr>
          <w:rFonts w:hint="eastAsia"/>
          <w:bCs/>
          <w:color w:val="0070C0"/>
          <w:kern w:val="2"/>
          <w:sz w:val="21"/>
          <w:szCs w:val="24"/>
        </w:rPr>
        <w:t>【条文说明】预制构件的资料归档应包括产品质量形成过程中的有关依据和记录，具体归档资料还应满足不同工程对其资料归档的具体要求。归档资料一般包括以下内容：</w:t>
      </w:r>
    </w:p>
    <w:p w14:paraId="61108016">
      <w:pPr>
        <w:pStyle w:val="106"/>
        <w:ind w:firstLine="420"/>
        <w:rPr>
          <w:rFonts w:hint="eastAsia"/>
          <w:bCs/>
          <w:color w:val="0070C0"/>
          <w:kern w:val="2"/>
          <w:sz w:val="21"/>
          <w:szCs w:val="24"/>
        </w:rPr>
      </w:pPr>
      <w:r>
        <w:rPr>
          <w:rFonts w:hint="eastAsia"/>
          <w:bCs/>
          <w:color w:val="0070C0"/>
          <w:kern w:val="2"/>
          <w:sz w:val="21"/>
          <w:szCs w:val="24"/>
        </w:rPr>
        <w:t>1 预制混凝土构件加工合同；</w:t>
      </w:r>
    </w:p>
    <w:p w14:paraId="6354B289">
      <w:pPr>
        <w:pStyle w:val="106"/>
        <w:ind w:firstLine="420"/>
        <w:rPr>
          <w:rFonts w:hint="eastAsia"/>
          <w:bCs/>
          <w:color w:val="0070C0"/>
          <w:kern w:val="2"/>
          <w:sz w:val="21"/>
          <w:szCs w:val="24"/>
        </w:rPr>
      </w:pPr>
      <w:r>
        <w:rPr>
          <w:rFonts w:hint="eastAsia"/>
          <w:bCs/>
          <w:color w:val="0070C0"/>
          <w:kern w:val="2"/>
          <w:sz w:val="21"/>
          <w:szCs w:val="24"/>
        </w:rPr>
        <w:t>2 预制混凝土构件加工图纸、设计文件、设计洽商、变更或交底文件；</w:t>
      </w:r>
    </w:p>
    <w:p w14:paraId="00C925B6">
      <w:pPr>
        <w:pStyle w:val="106"/>
        <w:ind w:firstLine="420"/>
        <w:rPr>
          <w:rFonts w:hint="eastAsia"/>
          <w:bCs/>
          <w:color w:val="0070C0"/>
          <w:kern w:val="2"/>
          <w:sz w:val="21"/>
          <w:szCs w:val="24"/>
        </w:rPr>
      </w:pPr>
      <w:r>
        <w:rPr>
          <w:rFonts w:hint="eastAsia"/>
          <w:bCs/>
          <w:color w:val="0070C0"/>
          <w:kern w:val="2"/>
          <w:sz w:val="21"/>
          <w:szCs w:val="24"/>
        </w:rPr>
        <w:t>3 生产方案和质量计划等文件；</w:t>
      </w:r>
    </w:p>
    <w:p w14:paraId="2D522555">
      <w:pPr>
        <w:pStyle w:val="106"/>
        <w:ind w:firstLine="420"/>
        <w:rPr>
          <w:rFonts w:hint="eastAsia"/>
          <w:bCs/>
          <w:color w:val="0070C0"/>
          <w:kern w:val="2"/>
          <w:sz w:val="21"/>
          <w:szCs w:val="24"/>
        </w:rPr>
      </w:pPr>
      <w:r>
        <w:rPr>
          <w:rFonts w:hint="eastAsia"/>
          <w:bCs/>
          <w:color w:val="0070C0"/>
          <w:kern w:val="2"/>
          <w:sz w:val="21"/>
          <w:szCs w:val="24"/>
        </w:rPr>
        <w:t>4 原材料质量证明文件、复试试验记录和试验报告；</w:t>
      </w:r>
    </w:p>
    <w:p w14:paraId="559D6AE7">
      <w:pPr>
        <w:pStyle w:val="106"/>
        <w:ind w:firstLine="420"/>
        <w:rPr>
          <w:rFonts w:hint="eastAsia"/>
          <w:bCs/>
          <w:color w:val="0070C0"/>
          <w:kern w:val="2"/>
          <w:sz w:val="21"/>
          <w:szCs w:val="24"/>
        </w:rPr>
      </w:pPr>
      <w:r>
        <w:rPr>
          <w:rFonts w:hint="eastAsia"/>
          <w:bCs/>
          <w:color w:val="0070C0"/>
          <w:kern w:val="2"/>
          <w:sz w:val="21"/>
          <w:szCs w:val="24"/>
        </w:rPr>
        <w:t>5 混凝土试配资料；</w:t>
      </w:r>
    </w:p>
    <w:p w14:paraId="6F1222B1">
      <w:pPr>
        <w:pStyle w:val="106"/>
        <w:ind w:firstLine="420"/>
        <w:rPr>
          <w:rFonts w:hint="eastAsia"/>
          <w:bCs/>
          <w:color w:val="0070C0"/>
          <w:kern w:val="2"/>
          <w:sz w:val="21"/>
          <w:szCs w:val="24"/>
        </w:rPr>
      </w:pPr>
      <w:r>
        <w:rPr>
          <w:rFonts w:hint="eastAsia"/>
          <w:bCs/>
          <w:color w:val="0070C0"/>
          <w:kern w:val="2"/>
          <w:sz w:val="21"/>
          <w:szCs w:val="24"/>
        </w:rPr>
        <w:t>6 混凝土配合比通知单；</w:t>
      </w:r>
    </w:p>
    <w:p w14:paraId="2B310D9E">
      <w:pPr>
        <w:pStyle w:val="106"/>
        <w:ind w:firstLine="420"/>
        <w:rPr>
          <w:rFonts w:hint="eastAsia"/>
          <w:bCs/>
          <w:color w:val="0070C0"/>
          <w:kern w:val="2"/>
          <w:sz w:val="21"/>
          <w:szCs w:val="24"/>
        </w:rPr>
      </w:pPr>
      <w:r>
        <w:rPr>
          <w:rFonts w:hint="eastAsia"/>
          <w:bCs/>
          <w:color w:val="0070C0"/>
          <w:kern w:val="2"/>
          <w:sz w:val="21"/>
          <w:szCs w:val="24"/>
        </w:rPr>
        <w:t>7 混凝土开盘鉴定；</w:t>
      </w:r>
    </w:p>
    <w:p w14:paraId="41FC638A">
      <w:pPr>
        <w:pStyle w:val="106"/>
        <w:ind w:firstLine="420"/>
        <w:rPr>
          <w:rFonts w:hint="eastAsia"/>
          <w:bCs/>
          <w:color w:val="0070C0"/>
          <w:kern w:val="2"/>
          <w:sz w:val="21"/>
          <w:szCs w:val="24"/>
        </w:rPr>
      </w:pPr>
      <w:r>
        <w:rPr>
          <w:rFonts w:hint="eastAsia"/>
          <w:bCs/>
          <w:color w:val="0070C0"/>
          <w:kern w:val="2"/>
          <w:sz w:val="21"/>
          <w:szCs w:val="24"/>
        </w:rPr>
        <w:t>8 混凝土强度报告；</w:t>
      </w:r>
    </w:p>
    <w:p w14:paraId="0DE91947">
      <w:pPr>
        <w:pStyle w:val="106"/>
        <w:ind w:firstLine="420"/>
        <w:rPr>
          <w:rFonts w:hint="eastAsia"/>
          <w:bCs/>
          <w:color w:val="0070C0"/>
          <w:kern w:val="2"/>
          <w:sz w:val="21"/>
          <w:szCs w:val="24"/>
        </w:rPr>
      </w:pPr>
      <w:r>
        <w:rPr>
          <w:rFonts w:hint="eastAsia"/>
          <w:bCs/>
          <w:color w:val="0070C0"/>
          <w:kern w:val="2"/>
          <w:sz w:val="21"/>
          <w:szCs w:val="24"/>
        </w:rPr>
        <w:t>9 钢筋检验资料、钢筋接头的试验报告；</w:t>
      </w:r>
    </w:p>
    <w:p w14:paraId="4D1CB28F">
      <w:pPr>
        <w:pStyle w:val="106"/>
        <w:ind w:firstLine="420"/>
        <w:rPr>
          <w:rFonts w:hint="eastAsia"/>
          <w:bCs/>
          <w:color w:val="0070C0"/>
          <w:kern w:val="2"/>
          <w:sz w:val="21"/>
          <w:szCs w:val="24"/>
        </w:rPr>
      </w:pPr>
      <w:r>
        <w:rPr>
          <w:rFonts w:hint="eastAsia"/>
          <w:bCs/>
          <w:color w:val="0070C0"/>
          <w:kern w:val="2"/>
          <w:sz w:val="21"/>
          <w:szCs w:val="24"/>
        </w:rPr>
        <w:t>10 模具检验资料；</w:t>
      </w:r>
    </w:p>
    <w:p w14:paraId="609AC30D">
      <w:pPr>
        <w:pStyle w:val="106"/>
        <w:ind w:firstLine="420"/>
        <w:rPr>
          <w:rFonts w:hint="eastAsia"/>
          <w:bCs/>
          <w:color w:val="0070C0"/>
          <w:kern w:val="2"/>
          <w:sz w:val="21"/>
          <w:szCs w:val="24"/>
        </w:rPr>
      </w:pPr>
      <w:r>
        <w:rPr>
          <w:rFonts w:hint="eastAsia"/>
          <w:bCs/>
          <w:color w:val="0070C0"/>
          <w:kern w:val="2"/>
          <w:sz w:val="21"/>
          <w:szCs w:val="24"/>
        </w:rPr>
        <w:t>11 混凝土浇筑记录；</w:t>
      </w:r>
    </w:p>
    <w:p w14:paraId="2870D03A">
      <w:pPr>
        <w:pStyle w:val="106"/>
        <w:ind w:firstLine="420"/>
        <w:rPr>
          <w:rFonts w:hint="eastAsia"/>
          <w:bCs/>
          <w:color w:val="0070C0"/>
          <w:kern w:val="2"/>
          <w:sz w:val="21"/>
          <w:szCs w:val="24"/>
        </w:rPr>
      </w:pPr>
      <w:r>
        <w:rPr>
          <w:rFonts w:hint="eastAsia"/>
          <w:bCs/>
          <w:color w:val="0070C0"/>
          <w:kern w:val="2"/>
          <w:sz w:val="21"/>
          <w:szCs w:val="24"/>
        </w:rPr>
        <w:t>12 混凝土养护记录；</w:t>
      </w:r>
    </w:p>
    <w:p w14:paraId="3D2145D8">
      <w:pPr>
        <w:pStyle w:val="106"/>
        <w:ind w:firstLine="420"/>
        <w:rPr>
          <w:rFonts w:hint="eastAsia"/>
          <w:bCs/>
          <w:color w:val="0070C0"/>
          <w:kern w:val="2"/>
          <w:sz w:val="21"/>
          <w:szCs w:val="24"/>
        </w:rPr>
      </w:pPr>
      <w:r>
        <w:rPr>
          <w:rFonts w:hint="eastAsia"/>
          <w:bCs/>
          <w:color w:val="0070C0"/>
          <w:kern w:val="2"/>
          <w:sz w:val="21"/>
          <w:szCs w:val="24"/>
        </w:rPr>
        <w:t>13 构件检验记录；</w:t>
      </w:r>
    </w:p>
    <w:p w14:paraId="6B288408">
      <w:pPr>
        <w:pStyle w:val="106"/>
        <w:ind w:firstLine="420"/>
        <w:rPr>
          <w:rFonts w:hint="eastAsia"/>
          <w:bCs/>
          <w:color w:val="0070C0"/>
          <w:kern w:val="2"/>
          <w:sz w:val="21"/>
          <w:szCs w:val="24"/>
        </w:rPr>
      </w:pPr>
      <w:r>
        <w:rPr>
          <w:rFonts w:hint="eastAsia"/>
          <w:bCs/>
          <w:color w:val="0070C0"/>
          <w:kern w:val="2"/>
          <w:sz w:val="21"/>
          <w:szCs w:val="24"/>
        </w:rPr>
        <w:t>14 构件性能检测报告；</w:t>
      </w:r>
    </w:p>
    <w:p w14:paraId="1B64F779">
      <w:pPr>
        <w:pStyle w:val="106"/>
        <w:ind w:firstLine="420"/>
        <w:rPr>
          <w:rFonts w:hint="eastAsia"/>
          <w:bCs/>
          <w:color w:val="0070C0"/>
          <w:kern w:val="2"/>
          <w:sz w:val="21"/>
          <w:szCs w:val="24"/>
        </w:rPr>
      </w:pPr>
      <w:r>
        <w:rPr>
          <w:rFonts w:hint="eastAsia"/>
          <w:bCs/>
          <w:color w:val="0070C0"/>
          <w:kern w:val="2"/>
          <w:sz w:val="21"/>
          <w:szCs w:val="24"/>
        </w:rPr>
        <w:t>15 构件出厂合格证；</w:t>
      </w:r>
    </w:p>
    <w:p w14:paraId="0275B969">
      <w:pPr>
        <w:pStyle w:val="106"/>
        <w:ind w:firstLine="420"/>
      </w:pPr>
      <w:r>
        <w:rPr>
          <w:rFonts w:hint="eastAsia"/>
          <w:bCs/>
          <w:color w:val="0070C0"/>
          <w:kern w:val="2"/>
          <w:sz w:val="21"/>
          <w:szCs w:val="24"/>
        </w:rPr>
        <w:t>16 其它与预制混凝土构件生产和质量有关的重要文件资料。</w:t>
      </w:r>
    </w:p>
    <w:p w14:paraId="5D531BA9">
      <w:pPr>
        <w:pStyle w:val="6"/>
      </w:pPr>
      <w:r>
        <w:rPr>
          <w:rFonts w:hint="eastAsia"/>
        </w:rPr>
        <w:t>构件的运输与堆放应符合下列规定：</w:t>
      </w:r>
    </w:p>
    <w:p w14:paraId="680DCAD2">
      <w:pPr>
        <w:pStyle w:val="7"/>
        <w:numPr>
          <w:ilvl w:val="0"/>
          <w:numId w:val="40"/>
        </w:numPr>
      </w:pPr>
      <w:r>
        <w:rPr>
          <w:rFonts w:hint="eastAsia"/>
        </w:rPr>
        <w:t>应制定预制构件的运输与堆放方案，其内容应包括运输时间、次序、堆放场地、运输线路、构件最大堆放层数、固定要求、堆放支垫及成品保护措施等；</w:t>
      </w:r>
    </w:p>
    <w:p w14:paraId="3F5A55B0">
      <w:pPr>
        <w:pStyle w:val="7"/>
        <w:numPr>
          <w:ilvl w:val="0"/>
          <w:numId w:val="39"/>
        </w:numPr>
        <w:rPr>
          <w:rFonts w:hint="eastAsia"/>
        </w:rPr>
      </w:pPr>
      <w:r>
        <w:rPr>
          <w:rFonts w:hint="eastAsia"/>
        </w:rPr>
        <w:t>运输构件时，应采取防止构件移动、倾倒、变形等的固定措施；</w:t>
      </w:r>
    </w:p>
    <w:p w14:paraId="5ACFCBDB">
      <w:pPr>
        <w:pStyle w:val="7"/>
        <w:numPr>
          <w:ilvl w:val="0"/>
          <w:numId w:val="39"/>
        </w:numPr>
      </w:pPr>
      <w:r>
        <w:rPr>
          <w:rFonts w:hint="eastAsia"/>
        </w:rPr>
        <w:t>构件应严格按照堆放方案进行堆放，各区之间应留有一定的堆放距离，堆放场地应平整、坚实，应采取可靠的排水措施；</w:t>
      </w:r>
    </w:p>
    <w:p w14:paraId="0D12612E">
      <w:pPr>
        <w:pStyle w:val="7"/>
        <w:numPr>
          <w:ilvl w:val="0"/>
          <w:numId w:val="39"/>
        </w:numPr>
      </w:pPr>
      <w:r>
        <w:rPr>
          <w:rFonts w:hint="eastAsia"/>
        </w:rPr>
        <w:t>构件在运输与堆放过程中应采取适当的成品保护措施，防止构件产生裂缝、损坏或污染；</w:t>
      </w:r>
    </w:p>
    <w:p w14:paraId="52557EB4">
      <w:pPr>
        <w:pStyle w:val="7"/>
        <w:numPr>
          <w:ilvl w:val="0"/>
          <w:numId w:val="39"/>
        </w:numPr>
      </w:pPr>
      <w:r>
        <w:rPr>
          <w:rFonts w:hint="eastAsia"/>
        </w:rPr>
        <w:t>构件的运输与堆放尚应符合现行国家标准《装配式混凝土建筑技术标准》G</w:t>
      </w:r>
      <w:r>
        <w:t>B/T 51231</w:t>
      </w:r>
      <w:r>
        <w:rPr>
          <w:rFonts w:hint="eastAsia"/>
        </w:rPr>
        <w:t>的有关规定。</w:t>
      </w:r>
      <w:bookmarkStart w:id="268" w:name="11-2"/>
      <w:bookmarkEnd w:id="268"/>
    </w:p>
    <w:p w14:paraId="772A2DF5">
      <w:pPr>
        <w:pStyle w:val="106"/>
        <w:ind w:firstLine="0" w:firstLineChars="0"/>
      </w:pPr>
      <w:r>
        <w:rPr>
          <w:rFonts w:hint="eastAsia"/>
          <w:bCs/>
          <w:color w:val="0070C0"/>
          <w:kern w:val="2"/>
          <w:sz w:val="21"/>
          <w:szCs w:val="24"/>
        </w:rPr>
        <w:t>【条文说明】构件堆放场地应坚实、平整，不得堆放在松土或表面不平整的地方，防止整体或者局部下沉，造成构件损坏。构件应按照一定的顺序堆放整齐，应按照生产日期和使用部位合理划分构件堆放区域并做出明显标识，堆放区域之间应设置通道。</w:t>
      </w:r>
    </w:p>
    <w:p w14:paraId="611F42B9">
      <w:pPr>
        <w:pStyle w:val="6"/>
      </w:pPr>
      <w:r>
        <w:rPr>
          <w:rFonts w:hint="eastAsia"/>
        </w:rPr>
        <w:t>预制构件的制作除应符合本标准规定外，尚应符合现行国家标准《装配式混凝土建筑技术标准》GB</w:t>
      </w:r>
      <w:r>
        <w:t>/T 51231</w:t>
      </w:r>
      <w:r>
        <w:rPr>
          <w:rFonts w:hint="eastAsia"/>
        </w:rPr>
        <w:t>及现行广东省标准《装配式混凝土建筑工程施工质量验收规范》DBJ/</w:t>
      </w:r>
      <w:r>
        <w:t>T 15</w:t>
      </w:r>
      <w:r>
        <w:rPr>
          <w:rFonts w:hint="eastAsia"/>
        </w:rPr>
        <w:t>-</w:t>
      </w:r>
      <w:r>
        <w:t>171</w:t>
      </w:r>
      <w:r>
        <w:rPr>
          <w:rFonts w:hint="eastAsia"/>
        </w:rPr>
        <w:t>等的有关规定。</w:t>
      </w:r>
    </w:p>
    <w:p w14:paraId="1A1EC3AB">
      <w:pPr>
        <w:pStyle w:val="5"/>
        <w:numPr>
          <w:ilvl w:val="1"/>
          <w:numId w:val="38"/>
        </w:numPr>
        <w:spacing w:before="156" w:beforeLines="50" w:after="156"/>
      </w:pPr>
      <w:bookmarkStart w:id="269" w:name="_Toc24099"/>
      <w:bookmarkStart w:id="270" w:name="_Toc61254040"/>
      <w:bookmarkStart w:id="271" w:name="_Toc129374383"/>
      <w:bookmarkStart w:id="272" w:name="_Toc61254083"/>
      <w:r>
        <w:rPr>
          <w:rFonts w:hint="eastAsia"/>
        </w:rPr>
        <w:t>空心墙模</w:t>
      </w:r>
      <w:bookmarkEnd w:id="269"/>
      <w:bookmarkEnd w:id="270"/>
      <w:bookmarkEnd w:id="271"/>
      <w:bookmarkEnd w:id="272"/>
    </w:p>
    <w:p w14:paraId="2EC359D8">
      <w:pPr>
        <w:pStyle w:val="6"/>
      </w:pPr>
      <w:r>
        <w:rPr>
          <w:rFonts w:hint="eastAsia"/>
        </w:rPr>
        <w:t>空心墙模宜采用立模生产，也可采用平模生产。</w:t>
      </w:r>
      <w:r>
        <w:t>模具</w:t>
      </w:r>
      <w:r>
        <w:rPr>
          <w:rFonts w:hint="eastAsia"/>
        </w:rPr>
        <w:t>的强度</w:t>
      </w:r>
      <w:r>
        <w:t>、刚度和整体稳定性</w:t>
      </w:r>
      <w:r>
        <w:rPr>
          <w:rFonts w:hint="eastAsia"/>
        </w:rPr>
        <w:t>等</w:t>
      </w:r>
      <w:r>
        <w:t>要求应符合</w:t>
      </w:r>
      <w:r>
        <w:rPr>
          <w:rFonts w:hint="eastAsia"/>
        </w:rPr>
        <w:t>现行国家标准《装配式混凝土建筑技术标准》GB/T</w:t>
      </w:r>
      <w:r>
        <w:t xml:space="preserve"> </w:t>
      </w:r>
      <w:r>
        <w:rPr>
          <w:rFonts w:hint="eastAsia"/>
        </w:rPr>
        <w:t>51231的有关</w:t>
      </w:r>
      <w:r>
        <w:t>规定</w:t>
      </w:r>
      <w:r>
        <w:rPr>
          <w:rFonts w:hint="eastAsia"/>
        </w:rPr>
        <w:t>，应满足</w:t>
      </w:r>
      <w:r>
        <w:t>构件</w:t>
      </w:r>
      <w:r>
        <w:rPr>
          <w:rFonts w:hint="eastAsia"/>
        </w:rPr>
        <w:t>生产</w:t>
      </w:r>
      <w:r>
        <w:t>质量、生产工艺、模具组装与拆卸、周转次数等要求</w:t>
      </w:r>
      <w:r>
        <w:rPr>
          <w:rFonts w:hint="eastAsia"/>
        </w:rPr>
        <w:t>。</w:t>
      </w:r>
    </w:p>
    <w:p w14:paraId="586C9120">
      <w:pPr>
        <w:pStyle w:val="106"/>
        <w:ind w:firstLine="0" w:firstLineChars="0"/>
      </w:pPr>
      <w:r>
        <w:rPr>
          <w:rFonts w:hint="eastAsia"/>
          <w:bCs/>
          <w:color w:val="0070C0"/>
          <w:kern w:val="2"/>
          <w:sz w:val="21"/>
          <w:szCs w:val="24"/>
        </w:rPr>
        <w:t>【条文说明】空心墙模推荐采用立模生产，生产效率高，更符合新型建筑工业化的发展要求。模具的质量影响到空心墙模构件的质量，因此必须要求模具具有足够的强度、刚度，以满足空心墙模构件质量。</w:t>
      </w:r>
    </w:p>
    <w:p w14:paraId="0550B0E1">
      <w:pPr>
        <w:pStyle w:val="6"/>
      </w:pPr>
      <w:r>
        <w:rPr>
          <w:rFonts w:hint="eastAsia"/>
        </w:rPr>
        <w:t>空心墙模生产前，应对空心墙模模具进行验收并做好记录，检查项目应符合现行国家标准《混凝土结构工程施工质量验收规范》GB 50204及《装配式混凝土建筑技术标准》GB/T</w:t>
      </w:r>
      <w:r>
        <w:t xml:space="preserve"> </w:t>
      </w:r>
      <w:r>
        <w:rPr>
          <w:rFonts w:hint="eastAsia"/>
        </w:rPr>
        <w:t>51231的有关规定。</w:t>
      </w:r>
    </w:p>
    <w:p w14:paraId="45BA927D">
      <w:pPr>
        <w:pStyle w:val="6"/>
      </w:pPr>
      <w:r>
        <w:rPr>
          <w:rFonts w:hint="eastAsia"/>
        </w:rPr>
        <w:t>空心墙模</w:t>
      </w:r>
      <w:r>
        <w:t>模具尺寸的允许偏差和检验方法应符合</w:t>
      </w:r>
      <w:r>
        <w:fldChar w:fldCharType="begin"/>
      </w:r>
      <w:r>
        <w:instrText xml:space="preserve"> REF _Ref54599033 \h  \* MERGEFORMAT </w:instrText>
      </w:r>
      <w:r>
        <w:fldChar w:fldCharType="separate"/>
      </w:r>
      <w:r>
        <w:rPr>
          <w:rFonts w:hint="eastAsia"/>
        </w:rPr>
        <w:t>表</w:t>
      </w:r>
      <w:r>
        <w:t>8.2.3</w:t>
      </w:r>
      <w:r>
        <w:fldChar w:fldCharType="end"/>
      </w:r>
      <w:r>
        <w:t>的规定。当设计有要求时，模具尺寸的允许偏差应按设计要求确定。</w:t>
      </w:r>
    </w:p>
    <w:p w14:paraId="0834E25E">
      <w:pPr>
        <w:pStyle w:val="64"/>
        <w:spacing w:before="78" w:after="78"/>
      </w:pPr>
      <w:bookmarkStart w:id="273" w:name="_Ref54599033"/>
      <w:r>
        <w:rPr>
          <w:rFonts w:hint="eastAsia"/>
        </w:rPr>
        <w:t>表</w:t>
      </w:r>
      <w:r>
        <w:fldChar w:fldCharType="begin"/>
      </w:r>
      <w:r>
        <w:rPr>
          <w:rFonts w:hint="eastAsia"/>
        </w:rPr>
        <w:instrText xml:space="preserve">STYLEREF 3 \s</w:instrText>
      </w:r>
      <w:r>
        <w:fldChar w:fldCharType="separate"/>
      </w:r>
      <w:r>
        <w:t>8.2.3</w:t>
      </w:r>
      <w:r>
        <w:fldChar w:fldCharType="end"/>
      </w:r>
      <w:bookmarkEnd w:id="273"/>
      <w:r>
        <w:t xml:space="preserve"> </w:t>
      </w:r>
      <w:r>
        <w:rPr>
          <w:rFonts w:hint="eastAsia"/>
        </w:rPr>
        <w:t>空心墙模模具尺寸的允许偏差和检验方法</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24"/>
        <w:gridCol w:w="1016"/>
        <w:gridCol w:w="1169"/>
        <w:gridCol w:w="3127"/>
      </w:tblGrid>
      <w:tr w14:paraId="7F89E8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1689F379">
            <w:pPr>
              <w:pStyle w:val="95"/>
              <w:spacing w:before="78" w:after="78"/>
            </w:pPr>
            <w:r>
              <w:rPr>
                <w:rFonts w:hint="eastAsia"/>
              </w:rPr>
              <w:t>检验项目及内容</w:t>
            </w:r>
          </w:p>
        </w:tc>
        <w:tc>
          <w:tcPr>
            <w:tcW w:w="0" w:type="auto"/>
            <w:noWrap w:val="0"/>
            <w:vAlign w:val="center"/>
          </w:tcPr>
          <w:p w14:paraId="75D110FC">
            <w:pPr>
              <w:pStyle w:val="95"/>
              <w:spacing w:before="78" w:after="78"/>
            </w:pPr>
            <w:r>
              <w:rPr>
                <w:rFonts w:hint="eastAsia"/>
              </w:rPr>
              <w:t>允许偏差（mm）</w:t>
            </w:r>
          </w:p>
        </w:tc>
        <w:tc>
          <w:tcPr>
            <w:tcW w:w="0" w:type="auto"/>
            <w:noWrap w:val="0"/>
            <w:vAlign w:val="center"/>
          </w:tcPr>
          <w:p w14:paraId="00428AEE">
            <w:pPr>
              <w:pStyle w:val="95"/>
              <w:spacing w:before="78" w:after="78"/>
            </w:pPr>
            <w:r>
              <w:rPr>
                <w:rFonts w:hint="eastAsia"/>
              </w:rPr>
              <w:t>检验方法</w:t>
            </w:r>
          </w:p>
        </w:tc>
      </w:tr>
      <w:tr w14:paraId="485F5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restart"/>
            <w:tcBorders>
              <w:right w:val="single" w:color="auto" w:sz="4" w:space="0"/>
            </w:tcBorders>
            <w:noWrap w:val="0"/>
            <w:vAlign w:val="center"/>
          </w:tcPr>
          <w:p w14:paraId="0B95229A">
            <w:pPr>
              <w:pStyle w:val="95"/>
              <w:spacing w:before="78" w:after="78"/>
            </w:pPr>
            <w:r>
              <w:rPr>
                <w:rFonts w:hint="eastAsia"/>
              </w:rPr>
              <w:t>模具</w:t>
            </w:r>
          </w:p>
          <w:p w14:paraId="02D1927E">
            <w:pPr>
              <w:pStyle w:val="95"/>
              <w:spacing w:before="78" w:after="78"/>
            </w:pPr>
            <w:r>
              <w:rPr>
                <w:rFonts w:hint="eastAsia"/>
              </w:rPr>
              <w:t>尺寸</w:t>
            </w:r>
          </w:p>
        </w:tc>
        <w:tc>
          <w:tcPr>
            <w:tcW w:w="0" w:type="auto"/>
            <w:tcBorders>
              <w:left w:val="single" w:color="auto" w:sz="4" w:space="0"/>
            </w:tcBorders>
            <w:noWrap w:val="0"/>
            <w:vAlign w:val="center"/>
          </w:tcPr>
          <w:p w14:paraId="4BE257FC">
            <w:pPr>
              <w:pStyle w:val="95"/>
              <w:spacing w:before="78" w:after="78"/>
            </w:pPr>
            <w:r>
              <w:rPr>
                <w:rFonts w:hint="eastAsia"/>
              </w:rPr>
              <w:t>长、宽</w:t>
            </w:r>
          </w:p>
        </w:tc>
        <w:tc>
          <w:tcPr>
            <w:tcW w:w="0" w:type="auto"/>
            <w:noWrap w:val="0"/>
            <w:vAlign w:val="center"/>
          </w:tcPr>
          <w:p w14:paraId="18065607">
            <w:pPr>
              <w:pStyle w:val="95"/>
              <w:spacing w:before="78" w:after="78"/>
            </w:pPr>
            <w:r>
              <w:rPr>
                <w:rFonts w:hint="eastAsia"/>
              </w:rPr>
              <w:t>1，-</w:t>
            </w:r>
            <w:r>
              <w:t>2</w:t>
            </w:r>
          </w:p>
        </w:tc>
        <w:tc>
          <w:tcPr>
            <w:tcW w:w="0" w:type="auto"/>
            <w:noWrap w:val="0"/>
            <w:vAlign w:val="center"/>
          </w:tcPr>
          <w:p w14:paraId="6DEC0C60">
            <w:pPr>
              <w:pStyle w:val="95"/>
              <w:spacing w:before="78" w:after="78"/>
            </w:pPr>
            <w:r>
              <w:rPr>
                <w:rFonts w:hint="eastAsia"/>
              </w:rPr>
              <w:t>用钢尺量平行于构件长度（宽度）方向，取其中偏差绝对值较大处</w:t>
            </w:r>
          </w:p>
        </w:tc>
      </w:tr>
      <w:tr w14:paraId="0A5A1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0" w:type="auto"/>
            <w:vMerge w:val="continue"/>
            <w:tcBorders>
              <w:right w:val="single" w:color="auto" w:sz="4" w:space="0"/>
            </w:tcBorders>
            <w:noWrap w:val="0"/>
            <w:vAlign w:val="center"/>
          </w:tcPr>
          <w:p w14:paraId="68FC2968">
            <w:pPr>
              <w:pStyle w:val="95"/>
              <w:spacing w:before="78" w:after="78"/>
            </w:pPr>
          </w:p>
        </w:tc>
        <w:tc>
          <w:tcPr>
            <w:tcW w:w="0" w:type="auto"/>
            <w:tcBorders>
              <w:left w:val="single" w:color="auto" w:sz="4" w:space="0"/>
            </w:tcBorders>
            <w:noWrap w:val="0"/>
            <w:vAlign w:val="center"/>
          </w:tcPr>
          <w:p w14:paraId="4409DF93">
            <w:pPr>
              <w:pStyle w:val="95"/>
              <w:spacing w:before="78" w:after="78"/>
            </w:pPr>
            <w:r>
              <w:rPr>
                <w:rFonts w:hint="eastAsia"/>
              </w:rPr>
              <w:t>厚</w:t>
            </w:r>
          </w:p>
        </w:tc>
        <w:tc>
          <w:tcPr>
            <w:tcW w:w="0" w:type="auto"/>
            <w:noWrap w:val="0"/>
            <w:vAlign w:val="center"/>
          </w:tcPr>
          <w:p w14:paraId="41499FC0">
            <w:pPr>
              <w:pStyle w:val="95"/>
              <w:spacing w:before="78" w:after="78"/>
            </w:pPr>
            <w:r>
              <w:rPr>
                <w:rFonts w:hint="eastAsia"/>
              </w:rPr>
              <w:t>±</w:t>
            </w:r>
            <w:r>
              <w:t>1</w:t>
            </w:r>
          </w:p>
        </w:tc>
        <w:tc>
          <w:tcPr>
            <w:tcW w:w="0" w:type="auto"/>
            <w:noWrap w:val="0"/>
            <w:vAlign w:val="center"/>
          </w:tcPr>
          <w:p w14:paraId="2944CE7E">
            <w:pPr>
              <w:pStyle w:val="95"/>
              <w:spacing w:beforeLines="0" w:afterLines="0"/>
            </w:pPr>
            <w:r>
              <w:rPr>
                <w:rFonts w:hint="eastAsia"/>
              </w:rPr>
              <w:t>用钢尺量两侧模板间的净距，取其中偏差绝对值较大处</w:t>
            </w:r>
          </w:p>
        </w:tc>
      </w:tr>
      <w:tr w14:paraId="122B0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675042B8">
            <w:pPr>
              <w:pStyle w:val="95"/>
              <w:spacing w:before="78" w:after="78"/>
            </w:pPr>
            <w:r>
              <w:rPr>
                <w:rFonts w:hint="eastAsia"/>
              </w:rPr>
              <w:t>对角线差</w:t>
            </w:r>
          </w:p>
        </w:tc>
        <w:tc>
          <w:tcPr>
            <w:tcW w:w="0" w:type="auto"/>
            <w:noWrap w:val="0"/>
            <w:vAlign w:val="center"/>
          </w:tcPr>
          <w:p w14:paraId="527B2C5F">
            <w:pPr>
              <w:pStyle w:val="95"/>
              <w:spacing w:before="78" w:after="78"/>
            </w:pPr>
            <w:r>
              <w:t>3</w:t>
            </w:r>
          </w:p>
        </w:tc>
        <w:tc>
          <w:tcPr>
            <w:tcW w:w="0" w:type="auto"/>
            <w:noWrap w:val="0"/>
            <w:vAlign w:val="center"/>
          </w:tcPr>
          <w:p w14:paraId="04DD6362">
            <w:pPr>
              <w:pStyle w:val="95"/>
              <w:spacing w:before="78" w:after="78"/>
            </w:pPr>
            <w:r>
              <w:rPr>
                <w:rFonts w:hint="eastAsia"/>
              </w:rPr>
              <w:t>用钢尺量两个对角线检查</w:t>
            </w:r>
          </w:p>
        </w:tc>
      </w:tr>
      <w:tr w14:paraId="15B4B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432CFBE7">
            <w:pPr>
              <w:pStyle w:val="95"/>
              <w:spacing w:before="78" w:after="78"/>
            </w:pPr>
            <w:r>
              <w:rPr>
                <w:rFonts w:hint="eastAsia"/>
              </w:rPr>
              <w:t>表面平整度</w:t>
            </w:r>
          </w:p>
        </w:tc>
        <w:tc>
          <w:tcPr>
            <w:tcW w:w="0" w:type="auto"/>
            <w:noWrap w:val="0"/>
            <w:vAlign w:val="center"/>
          </w:tcPr>
          <w:p w14:paraId="7EC8144F">
            <w:pPr>
              <w:pStyle w:val="95"/>
              <w:spacing w:before="78" w:after="78"/>
            </w:pPr>
            <w:r>
              <w:rPr>
                <w:rFonts w:hint="eastAsia"/>
              </w:rPr>
              <w:t>2</w:t>
            </w:r>
          </w:p>
        </w:tc>
        <w:tc>
          <w:tcPr>
            <w:tcW w:w="0" w:type="auto"/>
            <w:noWrap w:val="0"/>
            <w:vAlign w:val="center"/>
          </w:tcPr>
          <w:p w14:paraId="4BF4F1FF">
            <w:pPr>
              <w:pStyle w:val="95"/>
              <w:spacing w:before="78" w:after="78"/>
            </w:pPr>
            <w:r>
              <w:rPr>
                <w:rFonts w:hint="eastAsia"/>
              </w:rPr>
              <w:t>用靠尺和塞尺测量</w:t>
            </w:r>
          </w:p>
        </w:tc>
      </w:tr>
      <w:tr w14:paraId="014EB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28F48BEB">
            <w:pPr>
              <w:pStyle w:val="95"/>
              <w:spacing w:before="78" w:after="78"/>
            </w:pPr>
            <w:r>
              <w:rPr>
                <w:rFonts w:hint="eastAsia"/>
              </w:rPr>
              <w:t>组装缝隙</w:t>
            </w:r>
          </w:p>
        </w:tc>
        <w:tc>
          <w:tcPr>
            <w:tcW w:w="0" w:type="auto"/>
            <w:noWrap w:val="0"/>
            <w:vAlign w:val="center"/>
          </w:tcPr>
          <w:p w14:paraId="060392C5">
            <w:pPr>
              <w:pStyle w:val="95"/>
              <w:spacing w:before="78" w:after="78"/>
            </w:pPr>
            <w:r>
              <w:rPr>
                <w:rFonts w:hint="eastAsia"/>
              </w:rPr>
              <w:t>1</w:t>
            </w:r>
          </w:p>
        </w:tc>
        <w:tc>
          <w:tcPr>
            <w:tcW w:w="0" w:type="auto"/>
            <w:noWrap w:val="0"/>
            <w:vAlign w:val="center"/>
          </w:tcPr>
          <w:p w14:paraId="1AB147A4">
            <w:pPr>
              <w:pStyle w:val="95"/>
              <w:spacing w:before="78" w:after="78"/>
            </w:pPr>
            <w:r>
              <w:rPr>
                <w:rFonts w:hint="eastAsia"/>
              </w:rPr>
              <w:t>用钢尺和塞尺测量</w:t>
            </w:r>
          </w:p>
        </w:tc>
      </w:tr>
      <w:tr w14:paraId="36ECE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0FAF67BB">
            <w:pPr>
              <w:pStyle w:val="95"/>
              <w:spacing w:before="78" w:after="78"/>
            </w:pPr>
            <w:r>
              <w:rPr>
                <w:rFonts w:hint="eastAsia"/>
              </w:rPr>
              <w:t>端模与侧模高低差</w:t>
            </w:r>
          </w:p>
        </w:tc>
        <w:tc>
          <w:tcPr>
            <w:tcW w:w="0" w:type="auto"/>
            <w:noWrap w:val="0"/>
            <w:vAlign w:val="center"/>
          </w:tcPr>
          <w:p w14:paraId="59BE16D7">
            <w:pPr>
              <w:pStyle w:val="95"/>
              <w:spacing w:before="78" w:after="78"/>
            </w:pPr>
            <w:r>
              <w:rPr>
                <w:rFonts w:hint="eastAsia"/>
              </w:rPr>
              <w:t>1</w:t>
            </w:r>
          </w:p>
        </w:tc>
        <w:tc>
          <w:tcPr>
            <w:tcW w:w="0" w:type="auto"/>
            <w:noWrap w:val="0"/>
            <w:vAlign w:val="center"/>
          </w:tcPr>
          <w:p w14:paraId="6D032AE4">
            <w:pPr>
              <w:pStyle w:val="95"/>
              <w:spacing w:before="78" w:after="78"/>
            </w:pPr>
            <w:r>
              <w:rPr>
                <w:rFonts w:hint="eastAsia"/>
              </w:rPr>
              <w:t>用钢尺测量</w:t>
            </w:r>
          </w:p>
        </w:tc>
      </w:tr>
      <w:tr w14:paraId="4F03D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087B7B45">
            <w:pPr>
              <w:pStyle w:val="95"/>
              <w:spacing w:before="78" w:after="78"/>
            </w:pPr>
            <w:r>
              <w:rPr>
                <w:rFonts w:hint="eastAsia"/>
              </w:rPr>
              <w:t>侧向弯曲</w:t>
            </w:r>
          </w:p>
        </w:tc>
        <w:tc>
          <w:tcPr>
            <w:tcW w:w="0" w:type="auto"/>
            <w:noWrap w:val="0"/>
            <w:vAlign w:val="center"/>
          </w:tcPr>
          <w:p w14:paraId="4B0FC1D7">
            <w:pPr>
              <w:pStyle w:val="95"/>
              <w:spacing w:before="78" w:after="78"/>
            </w:pPr>
            <w:r>
              <w:rPr>
                <w:rFonts w:hint="eastAsia"/>
              </w:rPr>
              <w:t>L/1500</w:t>
            </w:r>
          </w:p>
        </w:tc>
        <w:tc>
          <w:tcPr>
            <w:tcW w:w="0" w:type="auto"/>
            <w:noWrap w:val="0"/>
            <w:vAlign w:val="center"/>
          </w:tcPr>
          <w:p w14:paraId="443F3787">
            <w:pPr>
              <w:pStyle w:val="95"/>
              <w:spacing w:before="78" w:after="78"/>
            </w:pPr>
            <w:r>
              <w:rPr>
                <w:rFonts w:hint="eastAsia"/>
              </w:rPr>
              <w:t>拉线，用钢尺测量侧向弯曲最大处</w:t>
            </w:r>
          </w:p>
        </w:tc>
      </w:tr>
      <w:tr w14:paraId="4C4F1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gridSpan w:val="2"/>
            <w:noWrap w:val="0"/>
            <w:vAlign w:val="center"/>
          </w:tcPr>
          <w:p w14:paraId="509F9FA4">
            <w:pPr>
              <w:pStyle w:val="95"/>
              <w:spacing w:before="78" w:after="78"/>
            </w:pPr>
            <w:r>
              <w:rPr>
                <w:rFonts w:hint="eastAsia"/>
              </w:rPr>
              <w:t>翘曲</w:t>
            </w:r>
          </w:p>
        </w:tc>
        <w:tc>
          <w:tcPr>
            <w:tcW w:w="0" w:type="auto"/>
            <w:noWrap w:val="0"/>
            <w:vAlign w:val="center"/>
          </w:tcPr>
          <w:p w14:paraId="4988170F">
            <w:pPr>
              <w:pStyle w:val="95"/>
              <w:spacing w:before="78" w:after="78"/>
            </w:pPr>
            <w:r>
              <w:rPr>
                <w:rFonts w:hint="eastAsia"/>
              </w:rPr>
              <w:t>L/1500</w:t>
            </w:r>
          </w:p>
        </w:tc>
        <w:tc>
          <w:tcPr>
            <w:tcW w:w="0" w:type="auto"/>
            <w:noWrap w:val="0"/>
            <w:vAlign w:val="center"/>
          </w:tcPr>
          <w:p w14:paraId="5DAD911C">
            <w:pPr>
              <w:pStyle w:val="95"/>
              <w:spacing w:before="78" w:after="78"/>
            </w:pPr>
            <w:r>
              <w:rPr>
                <w:rFonts w:hint="eastAsia"/>
              </w:rPr>
              <w:t>对角拉线测量交点间距离值的两倍</w:t>
            </w:r>
          </w:p>
        </w:tc>
      </w:tr>
      <w:tr w14:paraId="32321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restart"/>
            <w:noWrap w:val="0"/>
            <w:vAlign w:val="center"/>
          </w:tcPr>
          <w:p w14:paraId="4F3EFC84">
            <w:pPr>
              <w:pStyle w:val="95"/>
              <w:spacing w:before="78" w:after="78"/>
              <w:rPr>
                <w:rFonts w:hint="eastAsia"/>
              </w:rPr>
            </w:pPr>
            <w:r>
              <w:rPr>
                <w:rFonts w:hint="eastAsia"/>
              </w:rPr>
              <w:t>预留孔、洞</w:t>
            </w:r>
          </w:p>
        </w:tc>
        <w:tc>
          <w:tcPr>
            <w:tcW w:w="0" w:type="auto"/>
            <w:noWrap w:val="0"/>
            <w:vAlign w:val="center"/>
          </w:tcPr>
          <w:p w14:paraId="59C5BB00">
            <w:pPr>
              <w:pStyle w:val="95"/>
              <w:spacing w:before="78" w:after="78"/>
              <w:rPr>
                <w:rFonts w:hint="eastAsia"/>
              </w:rPr>
            </w:pPr>
            <w:r>
              <w:rPr>
                <w:rFonts w:hint="eastAsia"/>
              </w:rPr>
              <w:t>中心线位置偏移</w:t>
            </w:r>
          </w:p>
        </w:tc>
        <w:tc>
          <w:tcPr>
            <w:tcW w:w="0" w:type="auto"/>
            <w:noWrap w:val="0"/>
            <w:vAlign w:val="center"/>
          </w:tcPr>
          <w:p w14:paraId="303F5A93">
            <w:pPr>
              <w:pStyle w:val="95"/>
              <w:spacing w:before="78" w:after="78"/>
              <w:rPr>
                <w:rFonts w:hint="eastAsia"/>
              </w:rPr>
            </w:pPr>
            <w:r>
              <w:rPr>
                <w:rFonts w:hint="eastAsia"/>
              </w:rPr>
              <w:t>5</w:t>
            </w:r>
          </w:p>
        </w:tc>
        <w:tc>
          <w:tcPr>
            <w:tcW w:w="0" w:type="auto"/>
            <w:noWrap w:val="0"/>
            <w:vAlign w:val="center"/>
          </w:tcPr>
          <w:p w14:paraId="45954E04">
            <w:pPr>
              <w:pStyle w:val="95"/>
              <w:spacing w:before="78" w:after="78"/>
              <w:rPr>
                <w:rFonts w:hint="eastAsia"/>
              </w:rPr>
            </w:pPr>
            <w:r>
              <w:rPr>
                <w:rFonts w:hint="eastAsia"/>
              </w:rPr>
              <w:t>用钢尺量测两个方向的中</w:t>
            </w:r>
          </w:p>
          <w:p w14:paraId="201DD2B5">
            <w:pPr>
              <w:pStyle w:val="95"/>
              <w:spacing w:before="78" w:after="78"/>
            </w:pPr>
            <w:r>
              <w:rPr>
                <w:rFonts w:hint="eastAsia"/>
              </w:rPr>
              <w:t>心线位置，取其中较大值</w:t>
            </w:r>
          </w:p>
        </w:tc>
      </w:tr>
      <w:tr w14:paraId="02969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noWrap w:val="0"/>
            <w:vAlign w:val="top"/>
          </w:tcPr>
          <w:p w14:paraId="63FCD85F">
            <w:pPr>
              <w:pStyle w:val="95"/>
              <w:spacing w:before="78" w:after="78"/>
              <w:rPr>
                <w:rFonts w:hint="eastAsia"/>
              </w:rPr>
            </w:pPr>
          </w:p>
        </w:tc>
        <w:tc>
          <w:tcPr>
            <w:tcW w:w="0" w:type="auto"/>
            <w:noWrap w:val="0"/>
            <w:vAlign w:val="center"/>
          </w:tcPr>
          <w:p w14:paraId="1093E08E">
            <w:pPr>
              <w:pStyle w:val="95"/>
              <w:spacing w:before="78" w:after="78"/>
              <w:rPr>
                <w:rFonts w:hint="eastAsia"/>
              </w:rPr>
            </w:pPr>
            <w:r>
              <w:rPr>
                <w:rFonts w:hint="eastAsia"/>
              </w:rPr>
              <w:t>孔尺寸</w:t>
            </w:r>
          </w:p>
        </w:tc>
        <w:tc>
          <w:tcPr>
            <w:tcW w:w="0" w:type="auto"/>
            <w:noWrap w:val="0"/>
            <w:vAlign w:val="center"/>
          </w:tcPr>
          <w:p w14:paraId="4B592814">
            <w:pPr>
              <w:pStyle w:val="95"/>
              <w:spacing w:before="78" w:after="78"/>
              <w:rPr>
                <w:rFonts w:hint="eastAsia"/>
              </w:rPr>
            </w:pPr>
            <w:r>
              <w:t>±5</w:t>
            </w:r>
          </w:p>
        </w:tc>
        <w:tc>
          <w:tcPr>
            <w:tcW w:w="0" w:type="auto"/>
            <w:noWrap w:val="0"/>
            <w:vAlign w:val="center"/>
          </w:tcPr>
          <w:p w14:paraId="6EE9F5C9">
            <w:pPr>
              <w:pStyle w:val="95"/>
              <w:spacing w:before="78" w:after="78"/>
              <w:rPr>
                <w:rFonts w:hint="eastAsia"/>
              </w:rPr>
            </w:pPr>
            <w:r>
              <w:rPr>
                <w:rFonts w:hint="eastAsia"/>
              </w:rPr>
              <w:t>用钢尺量测纵横两个方向的</w:t>
            </w:r>
          </w:p>
          <w:p w14:paraId="3FA68CFD">
            <w:pPr>
              <w:pStyle w:val="95"/>
              <w:spacing w:before="78" w:after="78"/>
            </w:pPr>
            <w:r>
              <w:rPr>
                <w:rFonts w:hint="eastAsia"/>
              </w:rPr>
              <w:t>孔、洞尺寸，取其中较大值</w:t>
            </w:r>
          </w:p>
        </w:tc>
      </w:tr>
    </w:tbl>
    <w:p w14:paraId="11DA518D">
      <w:pPr>
        <w:pStyle w:val="80"/>
        <w:spacing w:before="78" w:afterLines="0"/>
        <w:ind w:left="480" w:hanging="480" w:hangingChars="300"/>
        <w:jc w:val="left"/>
        <w:rPr>
          <w:rFonts w:hint="eastAsia"/>
        </w:rPr>
      </w:pPr>
      <w:r>
        <w:rPr>
          <w:rFonts w:hint="eastAsia"/>
        </w:rPr>
        <w:t>注：</w:t>
      </w:r>
      <w:r>
        <w:t>L为模具与混凝土接触面中最长边的尺寸</w:t>
      </w:r>
      <w:r>
        <w:rPr>
          <w:rFonts w:hint="eastAsia"/>
        </w:rPr>
        <w:t>。</w:t>
      </w:r>
    </w:p>
    <w:p w14:paraId="78329074">
      <w:pPr>
        <w:pStyle w:val="106"/>
        <w:ind w:firstLine="0" w:firstLineChars="0"/>
        <w:rPr>
          <w:rFonts w:hint="eastAsia"/>
          <w:bCs/>
          <w:color w:val="0070C0"/>
          <w:kern w:val="2"/>
          <w:sz w:val="21"/>
          <w:szCs w:val="24"/>
        </w:rPr>
      </w:pPr>
      <w:r>
        <w:rPr>
          <w:rFonts w:hint="eastAsia"/>
          <w:bCs/>
          <w:color w:val="0070C0"/>
          <w:kern w:val="2"/>
          <w:sz w:val="21"/>
          <w:szCs w:val="24"/>
        </w:rPr>
        <w:t>【条文说明】8.2.2~8.2.3对于新制、改制或生产数量超过一定数量的模具，生产前应按要求进行尺寸偏差检验，合格后方可投入使用。</w:t>
      </w:r>
    </w:p>
    <w:p w14:paraId="6DC4909B">
      <w:pPr>
        <w:pStyle w:val="106"/>
        <w:ind w:firstLine="420"/>
        <w:rPr>
          <w:rFonts w:hint="eastAsia"/>
        </w:rPr>
      </w:pPr>
      <w:r>
        <w:rPr>
          <w:rFonts w:hint="eastAsia"/>
          <w:bCs/>
          <w:color w:val="0070C0"/>
          <w:kern w:val="2"/>
          <w:sz w:val="21"/>
          <w:szCs w:val="24"/>
        </w:rPr>
        <w:t>随着模具使用次数增多，不可避免的使模具产生变形或增大偏差，因此在使用过程中应加强检查频次。</w:t>
      </w:r>
    </w:p>
    <w:p w14:paraId="2B09E068">
      <w:pPr>
        <w:pStyle w:val="6"/>
      </w:pPr>
      <w:r>
        <w:t>在混凝土浇筑前应</w:t>
      </w:r>
      <w:r>
        <w:rPr>
          <w:rFonts w:hint="eastAsia"/>
        </w:rPr>
        <w:t>对空心墙模内钢筋骨架进行</w:t>
      </w:r>
      <w:r>
        <w:t>隐蔽工程检查，检查项目应包括下列内容：</w:t>
      </w:r>
    </w:p>
    <w:p w14:paraId="32A4DA26">
      <w:pPr>
        <w:pStyle w:val="7"/>
        <w:numPr>
          <w:ilvl w:val="0"/>
          <w:numId w:val="41"/>
        </w:numPr>
      </w:pPr>
      <w:r>
        <w:t>竖向</w:t>
      </w:r>
      <w:r>
        <w:rPr>
          <w:rFonts w:hint="eastAsia"/>
        </w:rPr>
        <w:t>受力</w:t>
      </w:r>
      <w:r>
        <w:t>钢筋</w:t>
      </w:r>
      <w:r>
        <w:rPr>
          <w:rFonts w:hint="eastAsia"/>
        </w:rPr>
        <w:t>、水平分布钢筋</w:t>
      </w:r>
      <w:r>
        <w:t>的牌号、规格、数量、位置、间距等；</w:t>
      </w:r>
    </w:p>
    <w:p w14:paraId="7F923C4F">
      <w:pPr>
        <w:pStyle w:val="7"/>
        <w:numPr>
          <w:ilvl w:val="0"/>
          <w:numId w:val="41"/>
        </w:numPr>
      </w:pPr>
      <w:r>
        <w:rPr>
          <w:rFonts w:hint="eastAsia"/>
        </w:rPr>
        <w:t>拉筋</w:t>
      </w:r>
      <w:r>
        <w:t>的牌号、规格、数量、位置、间距，</w:t>
      </w:r>
      <w:r>
        <w:rPr>
          <w:rFonts w:hint="eastAsia"/>
        </w:rPr>
        <w:t>钢</w:t>
      </w:r>
      <w:r>
        <w:t>筋弯钩的弯折角度及平直段长度；</w:t>
      </w:r>
    </w:p>
    <w:p w14:paraId="2D09517E">
      <w:pPr>
        <w:pStyle w:val="7"/>
        <w:numPr>
          <w:ilvl w:val="0"/>
          <w:numId w:val="41"/>
        </w:numPr>
      </w:pPr>
      <w:r>
        <w:t>预埋件、吊环的规格、数量、位置等；</w:t>
      </w:r>
    </w:p>
    <w:p w14:paraId="613320A2">
      <w:pPr>
        <w:pStyle w:val="7"/>
        <w:numPr>
          <w:ilvl w:val="0"/>
          <w:numId w:val="41"/>
        </w:numPr>
      </w:pPr>
      <w:r>
        <w:t>钢筋的混凝土保护层厚度；</w:t>
      </w:r>
    </w:p>
    <w:p w14:paraId="50A9B41E">
      <w:pPr>
        <w:pStyle w:val="7"/>
        <w:numPr>
          <w:ilvl w:val="0"/>
          <w:numId w:val="41"/>
        </w:numPr>
      </w:pPr>
      <w:r>
        <w:rPr>
          <w:rFonts w:hint="eastAsia"/>
          <w:spacing w:val="-2"/>
        </w:rPr>
        <w:t>预留孔洞、</w:t>
      </w:r>
      <w:r>
        <w:rPr>
          <w:rFonts w:hint="eastAsia"/>
        </w:rPr>
        <w:t>预埋管线及线盒的规格、数量、位置及固定措施等。</w:t>
      </w:r>
    </w:p>
    <w:p w14:paraId="2A54DDAD">
      <w:pPr>
        <w:pStyle w:val="106"/>
        <w:ind w:firstLine="0" w:firstLineChars="0"/>
      </w:pPr>
      <w:r>
        <w:rPr>
          <w:rFonts w:hint="eastAsia"/>
          <w:bCs/>
          <w:color w:val="0070C0"/>
          <w:kern w:val="2"/>
          <w:sz w:val="21"/>
          <w:szCs w:val="24"/>
        </w:rPr>
        <w:t>【条文说明】空心墙模混凝土浇筑前，应按要求对墙体竖向受力钢筋、水平分布筋、拉结筋以及预埋件等进行隐蔽工程检查，这是保证空心墙模满足结构性能的关键质量控制环节。</w:t>
      </w:r>
    </w:p>
    <w:p w14:paraId="5F177AAA">
      <w:pPr>
        <w:pStyle w:val="6"/>
      </w:pPr>
      <w:r>
        <w:rPr>
          <w:rFonts w:hint="eastAsia"/>
        </w:rPr>
        <w:t>空心墙模用混凝土的配合比、设计强度及工作性应符合设计要求和国家现行标准《混凝土质量控制标准》GB 50164和《普通混凝土配合比设计规程》JGJ 55等的有关规定。</w:t>
      </w:r>
    </w:p>
    <w:p w14:paraId="5FC95B07">
      <w:pPr>
        <w:pStyle w:val="6"/>
      </w:pPr>
      <w:r>
        <w:rPr>
          <w:rFonts w:hint="eastAsia"/>
        </w:rPr>
        <w:t>空心墙模生产时，</w:t>
      </w:r>
      <w:r>
        <w:t>混凝土应采用强制式搅拌机搅拌，应根据混凝土的品种、工作性、</w:t>
      </w:r>
      <w:r>
        <w:rPr>
          <w:rFonts w:hint="eastAsia"/>
        </w:rPr>
        <w:t>空心墙模</w:t>
      </w:r>
      <w:r>
        <w:t>的规格形状等因素，制定合理的振捣成型操作规程，宜采用机械振捣。</w:t>
      </w:r>
    </w:p>
    <w:p w14:paraId="26C40ABC">
      <w:pPr>
        <w:pStyle w:val="106"/>
        <w:ind w:firstLine="0" w:firstLineChars="0"/>
      </w:pPr>
      <w:r>
        <w:rPr>
          <w:rFonts w:hint="eastAsia"/>
          <w:bCs/>
          <w:color w:val="0070C0"/>
          <w:kern w:val="2"/>
          <w:sz w:val="21"/>
          <w:szCs w:val="24"/>
        </w:rPr>
        <w:t>【条文说明】8.2.5~8.2.6空心墙模水平方向和竖直方向设置通长交叉孔洞，宜选用流动性大的细石混凝土并严格控制外加剂、水的用量，禁止混凝土表面出现泌水，振捣宜采用机械振捣方式。</w:t>
      </w:r>
    </w:p>
    <w:p w14:paraId="272F1D0C">
      <w:pPr>
        <w:pStyle w:val="6"/>
        <w:tabs>
          <w:tab w:val="clear" w:pos="907"/>
        </w:tabs>
      </w:pPr>
      <w:r>
        <w:rPr>
          <w:rFonts w:hint="eastAsia"/>
        </w:rPr>
        <w:t>空心墙模宜采用加热养护，</w:t>
      </w:r>
      <w:r>
        <w:t>应制定养护制度</w:t>
      </w:r>
      <w:r>
        <w:rPr>
          <w:rFonts w:hint="eastAsia"/>
        </w:rPr>
        <w:t>，</w:t>
      </w:r>
      <w:r>
        <w:t>对静停、升温、恒温和降温时间进行控制，宜在常温下静停2h～6h，升温、降温速度不应超过20℃/h，最高养护温度不宜超过</w:t>
      </w:r>
      <w:r>
        <w:rPr>
          <w:rFonts w:hint="eastAsia"/>
        </w:rPr>
        <w:t>7</w:t>
      </w:r>
      <w:r>
        <w:t>0℃，</w:t>
      </w:r>
      <w:r>
        <w:rPr>
          <w:rFonts w:hint="eastAsia"/>
        </w:rPr>
        <w:t>空心墙模</w:t>
      </w:r>
      <w:r>
        <w:t>出</w:t>
      </w:r>
      <w:r>
        <w:rPr>
          <w:rFonts w:hint="eastAsia"/>
        </w:rPr>
        <w:t>仓</w:t>
      </w:r>
      <w:r>
        <w:t>的表面温度与环境温度的差值不宜超过25℃。</w:t>
      </w:r>
    </w:p>
    <w:p w14:paraId="4A80D0CE">
      <w:pPr>
        <w:pStyle w:val="6"/>
        <w:numPr>
          <w:ilvl w:val="0"/>
          <w:numId w:val="0"/>
        </w:numPr>
        <w:tabs>
          <w:tab w:val="clear" w:pos="907"/>
        </w:tabs>
      </w:pPr>
      <w:r>
        <w:rPr>
          <w:rFonts w:hint="eastAsia"/>
        </w:rPr>
        <w:t>【条文说明】空心墙模在流水线上生产，为了控制脱模时间和脱模质量，一般采用加热养护法。当采用洒水、覆盖等方式进行常温养护时，应符合现行国家标准《混凝土结构工程施工规范》GB 50666的要求，应严格控制养护时间，把握好脱模时机。</w:t>
      </w:r>
    </w:p>
    <w:p w14:paraId="799AA2AF">
      <w:pPr>
        <w:pStyle w:val="6"/>
      </w:pPr>
      <w:r>
        <w:rPr>
          <w:rFonts w:hint="eastAsia"/>
        </w:rPr>
        <w:t>空心墙模脱模时，空心墙模的混凝土抗压强度应符合制作工艺要求。生产中应留置同条件混凝土立方体试验件，按时检验同条件养护的混凝土立方体试验件抗压强度。</w:t>
      </w:r>
    </w:p>
    <w:p w14:paraId="3800F75A">
      <w:pPr>
        <w:pStyle w:val="106"/>
        <w:ind w:firstLine="0" w:firstLineChars="0"/>
      </w:pPr>
      <w:r>
        <w:rPr>
          <w:rFonts w:hint="eastAsia"/>
          <w:bCs/>
          <w:color w:val="0070C0"/>
          <w:kern w:val="2"/>
          <w:sz w:val="21"/>
          <w:szCs w:val="24"/>
        </w:rPr>
        <w:t>【条文说明】空心墙模脱模的时机非常重要，过早脱模容易造成塌孔，过晚容易造成抽孔困难，因此脱模时的混凝土抗压强度应符合制作工艺要求，应通过试生产确定合适的脱模强度和脱模时间。</w:t>
      </w:r>
    </w:p>
    <w:p w14:paraId="35ED3AE3">
      <w:pPr>
        <w:pStyle w:val="6"/>
      </w:pPr>
      <w:r>
        <w:rPr>
          <w:rFonts w:hint="eastAsia"/>
        </w:rPr>
        <w:t>空心墙模脱模后，应对其外观质量进行检查及验收，其外观质量缺陷可按</w:t>
      </w:r>
      <w:r>
        <w:fldChar w:fldCharType="begin"/>
      </w:r>
      <w:r>
        <w:instrText xml:space="preserve"> </w:instrText>
      </w:r>
      <w:r>
        <w:rPr>
          <w:rFonts w:hint="eastAsia"/>
        </w:rPr>
        <w:instrText xml:space="preserve">REF _Ref62632273 \h</w:instrText>
      </w:r>
      <w:r>
        <w:instrText xml:space="preserve">  \* MERGEFORMAT </w:instrText>
      </w:r>
      <w:r>
        <w:fldChar w:fldCharType="separate"/>
      </w:r>
      <w:r>
        <w:rPr>
          <w:rFonts w:hint="eastAsia"/>
        </w:rPr>
        <w:t>表</w:t>
      </w:r>
      <w:r>
        <w:t>8.2.9</w:t>
      </w:r>
      <w:r>
        <w:fldChar w:fldCharType="end"/>
      </w:r>
      <w:r>
        <w:rPr>
          <w:rFonts w:hint="eastAsia"/>
        </w:rPr>
        <w:t>进行判断。空心墙模外观质量不应有严重缺陷，不宜有一般缺陷。对已经出现的一般缺陷，应由生产单位制定技术方案进行修补，应重新检验。</w:t>
      </w:r>
    </w:p>
    <w:p w14:paraId="41D7E1D7">
      <w:pPr>
        <w:pStyle w:val="64"/>
        <w:keepNext/>
        <w:widowControl/>
        <w:spacing w:before="78" w:after="78"/>
        <w:rPr>
          <w:sz w:val="21"/>
          <w:szCs w:val="20"/>
        </w:rPr>
      </w:pPr>
      <w:bookmarkStart w:id="274" w:name="_Ref62632273"/>
      <w:r>
        <w:rPr>
          <w:rFonts w:hint="eastAsia"/>
        </w:rPr>
        <w:t>表</w:t>
      </w:r>
      <w:r>
        <w:fldChar w:fldCharType="begin"/>
      </w:r>
      <w:r>
        <w:instrText xml:space="preserve"> </w:instrText>
      </w:r>
      <w:r>
        <w:rPr>
          <w:rFonts w:hint="eastAsia"/>
        </w:rPr>
        <w:instrText xml:space="preserve">STYLEREF 3 \s</w:instrText>
      </w:r>
      <w:r>
        <w:instrText xml:space="preserve"> </w:instrText>
      </w:r>
      <w:r>
        <w:fldChar w:fldCharType="separate"/>
      </w:r>
      <w:r>
        <w:t>8.2.9</w:t>
      </w:r>
      <w:r>
        <w:fldChar w:fldCharType="end"/>
      </w:r>
      <w:bookmarkEnd w:id="274"/>
      <w:r>
        <w:t xml:space="preserve"> </w:t>
      </w:r>
      <w:r>
        <w:rPr>
          <w:rFonts w:hint="eastAsia"/>
        </w:rPr>
        <w:t>空心墙模外观质量缺陷</w:t>
      </w:r>
    </w:p>
    <w:tbl>
      <w:tblPr>
        <w:tblStyle w:val="34"/>
        <w:tblW w:w="0" w:type="auto"/>
        <w:tblInd w:w="4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5"/>
        <w:gridCol w:w="2157"/>
        <w:gridCol w:w="2095"/>
      </w:tblGrid>
      <w:tr w14:paraId="4F3D3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31FA63C">
            <w:pPr>
              <w:pStyle w:val="95"/>
              <w:spacing w:before="78" w:after="78"/>
              <w:rPr>
                <w:rFonts w:hint="eastAsia"/>
              </w:rPr>
            </w:pPr>
            <w:r>
              <w:rPr>
                <w:rFonts w:hint="eastAsia"/>
              </w:rPr>
              <w:t>检验项目</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05B5CCEE">
            <w:pPr>
              <w:pStyle w:val="95"/>
              <w:spacing w:before="78" w:after="78"/>
              <w:rPr>
                <w:rFonts w:hint="eastAsia"/>
              </w:rPr>
            </w:pPr>
            <w:r>
              <w:rPr>
                <w:rFonts w:hint="eastAsia"/>
              </w:rPr>
              <w:t>严重缺陷</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2F197157">
            <w:pPr>
              <w:pStyle w:val="95"/>
              <w:spacing w:before="78" w:after="78"/>
              <w:rPr>
                <w:rFonts w:hint="eastAsia"/>
              </w:rPr>
            </w:pPr>
            <w:r>
              <w:rPr>
                <w:rFonts w:hint="eastAsia"/>
              </w:rPr>
              <w:t>一般缺陷</w:t>
            </w:r>
          </w:p>
        </w:tc>
      </w:tr>
      <w:tr w14:paraId="72373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17EE6AC">
            <w:pPr>
              <w:pStyle w:val="95"/>
              <w:spacing w:before="78" w:after="78"/>
              <w:rPr>
                <w:rFonts w:hint="eastAsia"/>
              </w:rPr>
            </w:pPr>
            <w:r>
              <w:rPr>
                <w:rFonts w:hint="eastAsia"/>
              </w:rPr>
              <w:t>露筋</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00FE91C7">
            <w:pPr>
              <w:pStyle w:val="95"/>
              <w:spacing w:before="78" w:after="78"/>
              <w:rPr>
                <w:rFonts w:hint="eastAsia"/>
              </w:rPr>
            </w:pPr>
            <w:r>
              <w:rPr>
                <w:rFonts w:hint="eastAsia"/>
              </w:rPr>
              <w:t>纵向受力钢筋有露筋现象</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4CCE7E1C">
            <w:pPr>
              <w:pStyle w:val="95"/>
              <w:spacing w:before="78" w:after="78"/>
              <w:rPr>
                <w:rFonts w:hint="eastAsia"/>
              </w:rPr>
            </w:pPr>
            <w:r>
              <w:rPr>
                <w:rFonts w:hint="eastAsia"/>
              </w:rPr>
              <w:t>横向构造钢筋有少量露筋</w:t>
            </w:r>
          </w:p>
        </w:tc>
      </w:tr>
      <w:tr w14:paraId="0928F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00E16EDF">
            <w:pPr>
              <w:pStyle w:val="95"/>
              <w:spacing w:before="78" w:after="78"/>
              <w:rPr>
                <w:rFonts w:hint="eastAsia"/>
              </w:rPr>
            </w:pPr>
            <w:r>
              <w:rPr>
                <w:rFonts w:hint="eastAsia"/>
              </w:rPr>
              <w:t>孔洞</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7B6C0AA7">
            <w:pPr>
              <w:pStyle w:val="95"/>
              <w:spacing w:before="78" w:after="78"/>
              <w:rPr>
                <w:rFonts w:hint="eastAsia"/>
              </w:rPr>
            </w:pPr>
            <w:r>
              <w:rPr>
                <w:rFonts w:hint="eastAsia"/>
              </w:rPr>
              <w:t>外表面孔穴深度和长度均</w:t>
            </w:r>
          </w:p>
          <w:p w14:paraId="68DAF362">
            <w:pPr>
              <w:pStyle w:val="95"/>
              <w:spacing w:before="78" w:after="78"/>
              <w:rPr>
                <w:rFonts w:hint="eastAsia"/>
              </w:rPr>
            </w:pPr>
            <w:r>
              <w:rPr>
                <w:rFonts w:hint="eastAsia"/>
              </w:rPr>
              <w:t>超过保护层厚度</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2ECF9705">
            <w:pPr>
              <w:pStyle w:val="95"/>
              <w:spacing w:before="78" w:after="78"/>
              <w:rPr>
                <w:rFonts w:hint="eastAsia"/>
              </w:rPr>
            </w:pPr>
            <w:r>
              <w:rPr>
                <w:rFonts w:hint="eastAsia"/>
              </w:rPr>
              <w:t>外表面有少量细小孔穴</w:t>
            </w:r>
          </w:p>
        </w:tc>
      </w:tr>
      <w:tr w14:paraId="749C2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43BA1A6D">
            <w:pPr>
              <w:pStyle w:val="95"/>
              <w:spacing w:before="78" w:after="78"/>
              <w:rPr>
                <w:rFonts w:hint="eastAsia"/>
              </w:rPr>
            </w:pPr>
            <w:r>
              <w:rPr>
                <w:rFonts w:hint="eastAsia"/>
              </w:rPr>
              <w:t>夹渣</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7BA2E58E">
            <w:pPr>
              <w:pStyle w:val="95"/>
              <w:spacing w:before="78" w:after="78"/>
              <w:rPr>
                <w:rFonts w:hint="eastAsia"/>
              </w:rPr>
            </w:pPr>
            <w:r>
              <w:rPr>
                <w:rFonts w:hint="eastAsia"/>
              </w:rPr>
              <w:t>混凝土中夹有杂物</w:t>
            </w:r>
          </w:p>
          <w:p w14:paraId="16E263A9">
            <w:pPr>
              <w:pStyle w:val="95"/>
              <w:spacing w:before="78" w:after="78"/>
              <w:rPr>
                <w:rFonts w:hint="eastAsia"/>
              </w:rPr>
            </w:pPr>
            <w:r>
              <w:rPr>
                <w:rFonts w:hint="eastAsia"/>
              </w:rPr>
              <w:t>且深度超过保护层厚度</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4F57C5E7">
            <w:pPr>
              <w:pStyle w:val="95"/>
              <w:spacing w:before="78" w:after="78"/>
              <w:rPr>
                <w:rFonts w:hint="eastAsia"/>
              </w:rPr>
            </w:pPr>
            <w:r>
              <w:rPr>
                <w:rFonts w:hint="eastAsia"/>
              </w:rPr>
              <w:t>有少量细小杂物</w:t>
            </w:r>
          </w:p>
        </w:tc>
      </w:tr>
      <w:tr w14:paraId="1A1C1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486D8F07">
            <w:pPr>
              <w:pStyle w:val="95"/>
              <w:spacing w:before="78" w:after="78"/>
              <w:rPr>
                <w:rFonts w:hint="eastAsia"/>
              </w:rPr>
            </w:pPr>
            <w:r>
              <w:rPr>
                <w:rFonts w:hint="eastAsia"/>
              </w:rPr>
              <w:t>蜂窝</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3B2C9DDA">
            <w:pPr>
              <w:pStyle w:val="95"/>
              <w:spacing w:before="78" w:after="78"/>
              <w:rPr>
                <w:rFonts w:hint="eastAsia"/>
              </w:rPr>
            </w:pPr>
            <w:r>
              <w:rPr>
                <w:rFonts w:hint="eastAsia"/>
              </w:rPr>
              <w:t>总面积不超过空心墙模</w:t>
            </w:r>
          </w:p>
          <w:p w14:paraId="06F47738">
            <w:pPr>
              <w:pStyle w:val="95"/>
              <w:spacing w:before="78" w:after="78"/>
              <w:rPr>
                <w:rFonts w:hint="eastAsia"/>
              </w:rPr>
            </w:pPr>
            <w:r>
              <w:rPr>
                <w:rFonts w:hint="eastAsia"/>
              </w:rPr>
              <w:t>面积的1%</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1327411B">
            <w:pPr>
              <w:pStyle w:val="95"/>
              <w:spacing w:before="78" w:after="78"/>
              <w:rPr>
                <w:rFonts w:hint="eastAsia"/>
              </w:rPr>
            </w:pPr>
            <w:r>
              <w:rPr>
                <w:rFonts w:hint="eastAsia"/>
              </w:rPr>
              <w:t>局部混凝土表面缺少水泥而形成石子外漏</w:t>
            </w:r>
          </w:p>
        </w:tc>
      </w:tr>
      <w:tr w14:paraId="731A4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328955DA">
            <w:pPr>
              <w:pStyle w:val="95"/>
              <w:spacing w:before="78" w:after="78"/>
              <w:rPr>
                <w:rFonts w:hint="eastAsia"/>
              </w:rPr>
            </w:pPr>
            <w:r>
              <w:rPr>
                <w:rFonts w:hint="eastAsia"/>
              </w:rPr>
              <w:t>疏松</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7B8C2B55">
            <w:pPr>
              <w:pStyle w:val="95"/>
              <w:spacing w:before="78" w:after="78"/>
              <w:rPr>
                <w:rFonts w:hint="eastAsia"/>
              </w:rPr>
            </w:pPr>
            <w:r>
              <w:rPr>
                <w:rFonts w:hint="eastAsia"/>
              </w:rPr>
              <w:t>外表面局部浇筑不密实</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40CFD2FD">
            <w:pPr>
              <w:pStyle w:val="95"/>
              <w:spacing w:before="78" w:after="78"/>
              <w:rPr>
                <w:rFonts w:hint="eastAsia"/>
              </w:rPr>
            </w:pPr>
            <w:r>
              <w:rPr>
                <w:rFonts w:hint="eastAsia"/>
              </w:rPr>
              <w:t>孔内表面局部浇筑不密实</w:t>
            </w:r>
          </w:p>
        </w:tc>
      </w:tr>
      <w:tr w14:paraId="35B21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5314911F">
            <w:pPr>
              <w:pStyle w:val="95"/>
              <w:spacing w:before="78" w:after="78"/>
              <w:rPr>
                <w:rFonts w:hint="eastAsia"/>
              </w:rPr>
            </w:pPr>
            <w:r>
              <w:rPr>
                <w:rFonts w:hint="eastAsia"/>
              </w:rPr>
              <w:t>裂缝</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4A1BDFE0">
            <w:pPr>
              <w:pStyle w:val="95"/>
              <w:spacing w:before="78" w:after="78"/>
              <w:rPr>
                <w:rFonts w:hint="eastAsia"/>
              </w:rPr>
            </w:pPr>
            <w:r>
              <w:rPr>
                <w:rFonts w:hint="eastAsia"/>
              </w:rPr>
              <w:t>裂缝宽度不应大于0.2mm</w:t>
            </w:r>
          </w:p>
          <w:p w14:paraId="4406E5E0">
            <w:pPr>
              <w:pStyle w:val="95"/>
              <w:spacing w:before="78" w:after="78"/>
              <w:rPr>
                <w:rFonts w:hint="eastAsia"/>
              </w:rPr>
            </w:pPr>
            <w:r>
              <w:rPr>
                <w:rFonts w:hint="eastAsia"/>
              </w:rPr>
              <w:t>裂缝长度不应大于300mm</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3E7544F1">
            <w:pPr>
              <w:pStyle w:val="95"/>
              <w:spacing w:before="78" w:after="78"/>
              <w:rPr>
                <w:rFonts w:hint="eastAsia"/>
              </w:rPr>
            </w:pPr>
            <w:r>
              <w:rPr>
                <w:rFonts w:hint="eastAsia"/>
              </w:rPr>
              <w:t>有少量细微裂缝</w:t>
            </w:r>
          </w:p>
        </w:tc>
      </w:tr>
      <w:tr w14:paraId="5123C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7F50FA63">
            <w:pPr>
              <w:pStyle w:val="95"/>
              <w:spacing w:before="78" w:after="78"/>
              <w:rPr>
                <w:rFonts w:hint="eastAsia"/>
              </w:rPr>
            </w:pPr>
            <w:r>
              <w:rPr>
                <w:rFonts w:hint="eastAsia"/>
              </w:rPr>
              <w:t>表面翘曲、棱角不直、掉角</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144A2B95">
            <w:pPr>
              <w:pStyle w:val="95"/>
              <w:spacing w:before="78" w:after="78"/>
              <w:rPr>
                <w:rFonts w:hint="eastAsia"/>
              </w:rPr>
            </w:pPr>
            <w:r>
              <w:rPr>
                <w:rFonts w:hint="eastAsia"/>
              </w:rPr>
              <w:t>作为清水构件使用时有影响表面效果的外形缺陷</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44C6EB67">
            <w:pPr>
              <w:pStyle w:val="95"/>
              <w:spacing w:before="78" w:after="78"/>
              <w:rPr>
                <w:rFonts w:hint="eastAsia"/>
              </w:rPr>
            </w:pPr>
            <w:r>
              <w:rPr>
                <w:rFonts w:hint="eastAsia"/>
              </w:rPr>
              <w:t>非清水构件局部有不影响使用功能的外形缺陷</w:t>
            </w:r>
          </w:p>
        </w:tc>
      </w:tr>
      <w:tr w14:paraId="3CEB3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 w:hRule="atLeast"/>
        </w:trPr>
        <w:tc>
          <w:tcPr>
            <w:tcW w:w="1245" w:type="dxa"/>
            <w:tcBorders>
              <w:top w:val="single" w:color="000000" w:sz="4" w:space="0"/>
              <w:left w:val="single" w:color="000000" w:sz="4" w:space="0"/>
              <w:bottom w:val="single" w:color="000000" w:sz="4" w:space="0"/>
              <w:right w:val="single" w:color="000000" w:sz="4" w:space="0"/>
            </w:tcBorders>
            <w:noWrap w:val="0"/>
            <w:vAlign w:val="center"/>
          </w:tcPr>
          <w:p w14:paraId="03759EBA">
            <w:pPr>
              <w:pStyle w:val="95"/>
              <w:spacing w:before="78" w:after="78"/>
              <w:rPr>
                <w:rFonts w:hint="eastAsia"/>
              </w:rPr>
            </w:pPr>
            <w:r>
              <w:rPr>
                <w:rFonts w:hint="eastAsia"/>
              </w:rPr>
              <w:t>麻面、掉皮、起砂、沾污</w:t>
            </w:r>
          </w:p>
        </w:tc>
        <w:tc>
          <w:tcPr>
            <w:tcW w:w="2157" w:type="dxa"/>
            <w:tcBorders>
              <w:top w:val="single" w:color="000000" w:sz="4" w:space="0"/>
              <w:left w:val="single" w:color="000000" w:sz="4" w:space="0"/>
              <w:bottom w:val="single" w:color="000000" w:sz="4" w:space="0"/>
              <w:right w:val="single" w:color="000000" w:sz="4" w:space="0"/>
            </w:tcBorders>
            <w:noWrap w:val="0"/>
            <w:vAlign w:val="center"/>
          </w:tcPr>
          <w:p w14:paraId="3B2D0A9F">
            <w:pPr>
              <w:pStyle w:val="95"/>
              <w:spacing w:before="78" w:after="78"/>
              <w:rPr>
                <w:rFonts w:hint="eastAsia"/>
              </w:rPr>
            </w:pPr>
            <w:r>
              <w:rPr>
                <w:rFonts w:hint="eastAsia"/>
              </w:rPr>
              <w:t>作为清水构件使用时有影响表面效果的外表缺陷</w:t>
            </w:r>
          </w:p>
        </w:tc>
        <w:tc>
          <w:tcPr>
            <w:tcW w:w="2095" w:type="dxa"/>
            <w:tcBorders>
              <w:top w:val="single" w:color="000000" w:sz="4" w:space="0"/>
              <w:left w:val="single" w:color="000000" w:sz="4" w:space="0"/>
              <w:bottom w:val="single" w:color="000000" w:sz="4" w:space="0"/>
              <w:right w:val="single" w:color="000000" w:sz="4" w:space="0"/>
            </w:tcBorders>
            <w:noWrap w:val="0"/>
            <w:vAlign w:val="center"/>
          </w:tcPr>
          <w:p w14:paraId="49DD3B8A">
            <w:pPr>
              <w:pStyle w:val="95"/>
              <w:spacing w:before="78" w:after="78"/>
              <w:rPr>
                <w:rFonts w:hint="eastAsia"/>
              </w:rPr>
            </w:pPr>
            <w:r>
              <w:rPr>
                <w:rFonts w:hint="eastAsia"/>
              </w:rPr>
              <w:t>非清水构件局部有不影响使用功能的外表缺陷</w:t>
            </w:r>
          </w:p>
        </w:tc>
      </w:tr>
    </w:tbl>
    <w:p w14:paraId="10E141EA">
      <w:pPr>
        <w:pStyle w:val="106"/>
        <w:ind w:firstLine="0" w:firstLineChars="0"/>
      </w:pPr>
      <w:bookmarkStart w:id="275" w:name="_Ref54639960"/>
      <w:r>
        <w:rPr>
          <w:rFonts w:hint="eastAsia"/>
          <w:bCs/>
          <w:color w:val="0070C0"/>
          <w:kern w:val="2"/>
          <w:sz w:val="21"/>
          <w:szCs w:val="24"/>
        </w:rPr>
        <w:t>【条文说明】空心墙模的外观质量缺陷可分为一般缺陷和严重缺陷两类。严重缺陷主要是指影响空心墙模的结构性能或安装使用功能的缺陷，空心墙模制作时应制定质量保证措施避免出现严重缺陷。</w:t>
      </w:r>
    </w:p>
    <w:p w14:paraId="54AC8D84">
      <w:pPr>
        <w:pStyle w:val="6"/>
        <w:spacing w:before="78" w:beforeLines="25"/>
      </w:pPr>
      <w:r>
        <w:rPr>
          <w:rFonts w:hint="eastAsia"/>
        </w:rPr>
        <w:t>空心墙模允许偏差项目及检验方法应符合</w:t>
      </w:r>
      <w:r>
        <w:fldChar w:fldCharType="begin"/>
      </w:r>
      <w:r>
        <w:rPr>
          <w:rFonts w:hint="eastAsia"/>
        </w:rPr>
        <w:instrText xml:space="preserve">REF _Ref54600156 \h</w:instrText>
      </w:r>
      <w:r>
        <w:instrText xml:space="preserve"> \* MERGEFORMAT </w:instrText>
      </w:r>
      <w:r>
        <w:fldChar w:fldCharType="separate"/>
      </w:r>
      <w:r>
        <w:rPr>
          <w:rFonts w:hint="eastAsia"/>
        </w:rPr>
        <w:t>表</w:t>
      </w:r>
      <w:r>
        <w:t>8.2.10</w:t>
      </w:r>
      <w:r>
        <w:fldChar w:fldCharType="end"/>
      </w:r>
      <w:r>
        <w:rPr>
          <w:rFonts w:hint="eastAsia"/>
        </w:rPr>
        <w:t>的规定。</w:t>
      </w:r>
      <w:bookmarkEnd w:id="275"/>
    </w:p>
    <w:p w14:paraId="6592862F">
      <w:pPr>
        <w:pStyle w:val="64"/>
        <w:spacing w:before="78" w:after="78"/>
      </w:pPr>
      <w:bookmarkStart w:id="276" w:name="_Ref54600156"/>
      <w:r>
        <w:rPr>
          <w:rFonts w:hint="eastAsia"/>
        </w:rPr>
        <w:t>表</w:t>
      </w:r>
      <w:r>
        <w:fldChar w:fldCharType="begin"/>
      </w:r>
      <w:r>
        <w:rPr>
          <w:rFonts w:hint="eastAsia"/>
        </w:rPr>
        <w:instrText xml:space="preserve">STYLEREF 3 \s</w:instrText>
      </w:r>
      <w:r>
        <w:fldChar w:fldCharType="separate"/>
      </w:r>
      <w:r>
        <w:t>8.2.10</w:t>
      </w:r>
      <w:r>
        <w:fldChar w:fldCharType="end"/>
      </w:r>
      <w:bookmarkEnd w:id="276"/>
      <w:r>
        <w:t xml:space="preserve"> </w:t>
      </w:r>
      <w:r>
        <w:rPr>
          <w:rFonts w:hint="eastAsia"/>
        </w:rPr>
        <w:t>空心墙模允许偏差及检验方法</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5"/>
        <w:gridCol w:w="1403"/>
        <w:gridCol w:w="3488"/>
      </w:tblGrid>
      <w:tr w14:paraId="302C6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384" w:type="dxa"/>
            <w:noWrap w:val="0"/>
            <w:vAlign w:val="center"/>
          </w:tcPr>
          <w:p w14:paraId="52572867">
            <w:pPr>
              <w:pStyle w:val="95"/>
              <w:spacing w:before="78" w:after="78"/>
            </w:pPr>
            <w:r>
              <w:t>检验项目</w:t>
            </w:r>
          </w:p>
        </w:tc>
        <w:tc>
          <w:tcPr>
            <w:tcW w:w="1559" w:type="dxa"/>
            <w:noWrap w:val="0"/>
            <w:vAlign w:val="center"/>
          </w:tcPr>
          <w:p w14:paraId="3F868323">
            <w:pPr>
              <w:pStyle w:val="95"/>
              <w:spacing w:before="78" w:after="78"/>
            </w:pPr>
            <w:r>
              <w:t>允许偏差</w:t>
            </w:r>
            <w:r>
              <w:rPr>
                <w:rFonts w:hint="eastAsia"/>
              </w:rPr>
              <w:t>（mm）</w:t>
            </w:r>
          </w:p>
        </w:tc>
        <w:tc>
          <w:tcPr>
            <w:tcW w:w="4234" w:type="dxa"/>
            <w:noWrap w:val="0"/>
            <w:vAlign w:val="center"/>
          </w:tcPr>
          <w:p w14:paraId="5DA7BA58">
            <w:pPr>
              <w:pStyle w:val="95"/>
              <w:spacing w:before="78" w:after="78"/>
            </w:pPr>
            <w:r>
              <w:t>检验方法</w:t>
            </w:r>
          </w:p>
        </w:tc>
      </w:tr>
      <w:tr w14:paraId="7DC14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2AD7B1C2">
            <w:pPr>
              <w:pStyle w:val="95"/>
              <w:spacing w:before="78" w:after="78"/>
            </w:pPr>
            <w:r>
              <w:t>长度</w:t>
            </w:r>
          </w:p>
        </w:tc>
        <w:tc>
          <w:tcPr>
            <w:tcW w:w="1559" w:type="dxa"/>
            <w:noWrap w:val="0"/>
            <w:vAlign w:val="center"/>
          </w:tcPr>
          <w:p w14:paraId="4A0C2148">
            <w:pPr>
              <w:pStyle w:val="95"/>
              <w:spacing w:before="78" w:after="78"/>
            </w:pPr>
            <w:r>
              <w:rPr>
                <w:rFonts w:ascii="宋体" w:hAnsi="宋体"/>
              </w:rPr>
              <w:t>±</w:t>
            </w:r>
            <w:r>
              <w:rPr>
                <w:rFonts w:hint="eastAsia" w:ascii="宋体" w:hAnsi="宋体"/>
              </w:rPr>
              <w:t>4</w:t>
            </w:r>
          </w:p>
        </w:tc>
        <w:tc>
          <w:tcPr>
            <w:tcW w:w="4234" w:type="dxa"/>
            <w:noWrap w:val="0"/>
            <w:vAlign w:val="center"/>
          </w:tcPr>
          <w:p w14:paraId="0E490DBC">
            <w:pPr>
              <w:pStyle w:val="95"/>
              <w:spacing w:before="78" w:after="78"/>
            </w:pPr>
            <w:r>
              <w:t>钢尺检查</w:t>
            </w:r>
          </w:p>
        </w:tc>
      </w:tr>
      <w:tr w14:paraId="128AC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4D907856">
            <w:pPr>
              <w:pStyle w:val="95"/>
              <w:spacing w:before="78" w:after="78"/>
            </w:pPr>
            <w:r>
              <w:t>宽</w:t>
            </w:r>
            <w:r>
              <w:rPr>
                <w:rFonts w:hint="eastAsia"/>
              </w:rPr>
              <w:t>（厚）度</w:t>
            </w:r>
          </w:p>
        </w:tc>
        <w:tc>
          <w:tcPr>
            <w:tcW w:w="1559" w:type="dxa"/>
            <w:noWrap w:val="0"/>
            <w:vAlign w:val="center"/>
          </w:tcPr>
          <w:p w14:paraId="1F9E39CA">
            <w:pPr>
              <w:pStyle w:val="95"/>
              <w:spacing w:before="78" w:after="78"/>
            </w:pPr>
            <w:r>
              <w:rPr>
                <w:rFonts w:ascii="宋体" w:hAnsi="宋体"/>
              </w:rPr>
              <w:t>±</w:t>
            </w:r>
            <w:r>
              <w:rPr>
                <w:rFonts w:hint="eastAsia" w:ascii="宋体" w:hAnsi="宋体"/>
              </w:rPr>
              <w:t>3</w:t>
            </w:r>
          </w:p>
        </w:tc>
        <w:tc>
          <w:tcPr>
            <w:tcW w:w="4234" w:type="dxa"/>
            <w:noWrap w:val="0"/>
            <w:vAlign w:val="center"/>
          </w:tcPr>
          <w:p w14:paraId="16B10D11">
            <w:pPr>
              <w:pStyle w:val="95"/>
              <w:spacing w:before="78" w:after="78"/>
            </w:pPr>
            <w:r>
              <w:t>钢尺量一端及中部</w:t>
            </w:r>
            <w:r>
              <w:rPr>
                <w:rFonts w:hint="eastAsia"/>
              </w:rPr>
              <w:t>，</w:t>
            </w:r>
            <w:r>
              <w:t>取其中偏差绝对值较大处</w:t>
            </w:r>
          </w:p>
        </w:tc>
      </w:tr>
      <w:tr w14:paraId="46426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56A65831">
            <w:pPr>
              <w:pStyle w:val="95"/>
              <w:spacing w:before="78" w:after="78"/>
            </w:pPr>
            <w:r>
              <w:t>表面平整度</w:t>
            </w:r>
          </w:p>
        </w:tc>
        <w:tc>
          <w:tcPr>
            <w:tcW w:w="1559" w:type="dxa"/>
            <w:noWrap w:val="0"/>
            <w:vAlign w:val="center"/>
          </w:tcPr>
          <w:p w14:paraId="2BB0DBE7">
            <w:pPr>
              <w:pStyle w:val="95"/>
              <w:spacing w:before="78" w:after="78"/>
            </w:pPr>
            <w:r>
              <w:rPr>
                <w:rFonts w:hint="eastAsia"/>
              </w:rPr>
              <w:t>3</w:t>
            </w:r>
          </w:p>
        </w:tc>
        <w:tc>
          <w:tcPr>
            <w:tcW w:w="4234" w:type="dxa"/>
            <w:noWrap w:val="0"/>
            <w:vAlign w:val="center"/>
          </w:tcPr>
          <w:p w14:paraId="1DC701AB">
            <w:pPr>
              <w:pStyle w:val="95"/>
              <w:spacing w:before="78" w:after="78"/>
            </w:pPr>
            <w:r>
              <w:rPr>
                <w:rFonts w:hint="eastAsia"/>
              </w:rPr>
              <w:t>2m靠尺和塞尺检查</w:t>
            </w:r>
          </w:p>
        </w:tc>
      </w:tr>
      <w:tr w14:paraId="77BA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02BBFBCB">
            <w:pPr>
              <w:pStyle w:val="95"/>
              <w:spacing w:before="78" w:after="78"/>
            </w:pPr>
            <w:r>
              <w:t>侧向弯曲</w:t>
            </w:r>
          </w:p>
        </w:tc>
        <w:tc>
          <w:tcPr>
            <w:tcW w:w="1559" w:type="dxa"/>
            <w:noWrap w:val="0"/>
            <w:vAlign w:val="center"/>
          </w:tcPr>
          <w:p w14:paraId="02C9BD0B">
            <w:pPr>
              <w:pStyle w:val="95"/>
              <w:spacing w:before="78" w:after="78"/>
            </w:pPr>
            <w:r>
              <w:rPr>
                <w:rFonts w:hint="eastAsia" w:ascii="宋体" w:hAnsi="宋体"/>
              </w:rPr>
              <w:t>L/1000</w:t>
            </w:r>
          </w:p>
        </w:tc>
        <w:tc>
          <w:tcPr>
            <w:tcW w:w="4234" w:type="dxa"/>
            <w:noWrap w:val="0"/>
            <w:vAlign w:val="center"/>
          </w:tcPr>
          <w:p w14:paraId="604CC446">
            <w:pPr>
              <w:pStyle w:val="95"/>
              <w:spacing w:before="78" w:after="78"/>
            </w:pPr>
            <w:r>
              <w:t>拉线</w:t>
            </w:r>
            <w:r>
              <w:rPr>
                <w:rFonts w:hint="eastAsia"/>
              </w:rPr>
              <w:t>、</w:t>
            </w:r>
            <w:r>
              <w:t>钢尺量最大侧向弯曲处</w:t>
            </w:r>
          </w:p>
        </w:tc>
      </w:tr>
      <w:tr w14:paraId="77D89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6F0147A4">
            <w:pPr>
              <w:pStyle w:val="95"/>
              <w:spacing w:before="78" w:after="78"/>
            </w:pPr>
            <w:r>
              <w:t>翘曲</w:t>
            </w:r>
          </w:p>
        </w:tc>
        <w:tc>
          <w:tcPr>
            <w:tcW w:w="1559" w:type="dxa"/>
            <w:noWrap w:val="0"/>
            <w:vAlign w:val="center"/>
          </w:tcPr>
          <w:p w14:paraId="0CCEFFF1">
            <w:pPr>
              <w:pStyle w:val="95"/>
              <w:spacing w:before="78" w:after="78"/>
              <w:rPr>
                <w:rFonts w:ascii="宋体" w:hAnsi="宋体"/>
              </w:rPr>
            </w:pPr>
            <w:r>
              <w:rPr>
                <w:rFonts w:hint="eastAsia" w:ascii="宋体" w:hAnsi="宋体"/>
              </w:rPr>
              <w:t>L/1000</w:t>
            </w:r>
          </w:p>
        </w:tc>
        <w:tc>
          <w:tcPr>
            <w:tcW w:w="4234" w:type="dxa"/>
            <w:noWrap w:val="0"/>
            <w:vAlign w:val="center"/>
          </w:tcPr>
          <w:p w14:paraId="5B99D188">
            <w:pPr>
              <w:pStyle w:val="95"/>
              <w:spacing w:before="78" w:after="78"/>
            </w:pPr>
            <w:r>
              <w:t>调平尺在两端量测</w:t>
            </w:r>
          </w:p>
        </w:tc>
      </w:tr>
      <w:tr w14:paraId="094EC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2CDDB398">
            <w:pPr>
              <w:pStyle w:val="95"/>
              <w:spacing w:before="78" w:after="78"/>
            </w:pPr>
            <w:r>
              <w:t>对角线差</w:t>
            </w:r>
          </w:p>
        </w:tc>
        <w:tc>
          <w:tcPr>
            <w:tcW w:w="1559" w:type="dxa"/>
            <w:noWrap w:val="0"/>
            <w:vAlign w:val="center"/>
          </w:tcPr>
          <w:p w14:paraId="19F27D7F">
            <w:pPr>
              <w:pStyle w:val="95"/>
              <w:spacing w:before="78" w:after="78"/>
              <w:rPr>
                <w:rFonts w:ascii="宋体" w:hAnsi="宋体"/>
              </w:rPr>
            </w:pPr>
            <w:r>
              <w:rPr>
                <w:rFonts w:hint="eastAsia" w:ascii="宋体" w:hAnsi="宋体"/>
              </w:rPr>
              <w:t>5</w:t>
            </w:r>
          </w:p>
        </w:tc>
        <w:tc>
          <w:tcPr>
            <w:tcW w:w="4234" w:type="dxa"/>
            <w:noWrap w:val="0"/>
            <w:vAlign w:val="center"/>
          </w:tcPr>
          <w:p w14:paraId="7793CF73">
            <w:pPr>
              <w:pStyle w:val="95"/>
              <w:spacing w:before="78" w:after="78"/>
            </w:pPr>
            <w:r>
              <w:t>钢尺量两个对角线检查</w:t>
            </w:r>
          </w:p>
        </w:tc>
      </w:tr>
      <w:tr w14:paraId="481D5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01869791">
            <w:pPr>
              <w:pStyle w:val="95"/>
              <w:spacing w:before="78" w:after="78"/>
            </w:pPr>
            <w:r>
              <w:t>预留孔</w:t>
            </w:r>
          </w:p>
          <w:p w14:paraId="36E46011">
            <w:pPr>
              <w:pStyle w:val="95"/>
              <w:spacing w:before="78" w:after="78"/>
            </w:pPr>
            <w:r>
              <w:t>中心线位置</w:t>
            </w:r>
          </w:p>
        </w:tc>
        <w:tc>
          <w:tcPr>
            <w:tcW w:w="1559" w:type="dxa"/>
            <w:noWrap w:val="0"/>
            <w:vAlign w:val="center"/>
          </w:tcPr>
          <w:p w14:paraId="469265A0">
            <w:pPr>
              <w:pStyle w:val="95"/>
              <w:spacing w:before="78" w:after="78"/>
              <w:rPr>
                <w:rFonts w:ascii="宋体" w:hAnsi="宋体"/>
              </w:rPr>
            </w:pPr>
            <w:r>
              <w:rPr>
                <w:rFonts w:hint="eastAsia" w:ascii="宋体" w:hAnsi="宋体"/>
              </w:rPr>
              <w:t>5</w:t>
            </w:r>
          </w:p>
        </w:tc>
        <w:tc>
          <w:tcPr>
            <w:tcW w:w="4234" w:type="dxa"/>
            <w:noWrap w:val="0"/>
            <w:vAlign w:val="center"/>
          </w:tcPr>
          <w:p w14:paraId="3516B8E3">
            <w:pPr>
              <w:pStyle w:val="95"/>
              <w:spacing w:before="78" w:after="78"/>
            </w:pPr>
            <w:r>
              <w:t>尺量检查</w:t>
            </w:r>
          </w:p>
        </w:tc>
      </w:tr>
      <w:tr w14:paraId="72896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0BD36B01">
            <w:pPr>
              <w:pStyle w:val="95"/>
              <w:spacing w:before="78" w:after="78"/>
            </w:pPr>
            <w:r>
              <w:t>预留孔尺寸</w:t>
            </w:r>
          </w:p>
        </w:tc>
        <w:tc>
          <w:tcPr>
            <w:tcW w:w="1559" w:type="dxa"/>
            <w:noWrap w:val="0"/>
            <w:vAlign w:val="center"/>
          </w:tcPr>
          <w:p w14:paraId="2DB9E70C">
            <w:pPr>
              <w:pStyle w:val="95"/>
              <w:spacing w:before="78" w:after="78"/>
              <w:rPr>
                <w:rFonts w:ascii="宋体" w:hAnsi="宋体"/>
              </w:rPr>
            </w:pPr>
            <w:r>
              <w:rPr>
                <w:rFonts w:ascii="宋体" w:hAnsi="宋体"/>
              </w:rPr>
              <w:t>±</w:t>
            </w:r>
            <w:r>
              <w:rPr>
                <w:rFonts w:hint="eastAsia" w:ascii="宋体" w:hAnsi="宋体"/>
              </w:rPr>
              <w:t>5</w:t>
            </w:r>
          </w:p>
        </w:tc>
        <w:tc>
          <w:tcPr>
            <w:tcW w:w="4234" w:type="dxa"/>
            <w:noWrap w:val="0"/>
            <w:vAlign w:val="center"/>
          </w:tcPr>
          <w:p w14:paraId="249B2013">
            <w:pPr>
              <w:pStyle w:val="95"/>
              <w:spacing w:before="78" w:after="78"/>
            </w:pPr>
            <w:r>
              <w:t>尺量检查</w:t>
            </w:r>
          </w:p>
        </w:tc>
      </w:tr>
      <w:tr w14:paraId="08F29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3B04A533">
            <w:pPr>
              <w:pStyle w:val="95"/>
              <w:spacing w:before="78" w:after="78"/>
            </w:pPr>
            <w:r>
              <w:rPr>
                <w:rFonts w:hint="eastAsia"/>
              </w:rPr>
              <w:t>侧壁粗糙面</w:t>
            </w:r>
          </w:p>
        </w:tc>
        <w:tc>
          <w:tcPr>
            <w:tcW w:w="1559" w:type="dxa"/>
            <w:noWrap w:val="0"/>
            <w:vAlign w:val="center"/>
          </w:tcPr>
          <w:p w14:paraId="7684FD93">
            <w:pPr>
              <w:pStyle w:val="95"/>
              <w:spacing w:before="78" w:after="78"/>
              <w:rPr>
                <w:rFonts w:ascii="宋体" w:hAnsi="宋体"/>
              </w:rPr>
            </w:pPr>
            <w:r>
              <w:rPr>
                <w:rFonts w:hint="eastAsia" w:ascii="宋体" w:hAnsi="宋体"/>
              </w:rPr>
              <w:t>≥</w:t>
            </w:r>
            <w:r>
              <w:rPr>
                <w:rFonts w:ascii="宋体" w:hAnsi="宋体"/>
              </w:rPr>
              <w:t>4</w:t>
            </w:r>
          </w:p>
        </w:tc>
        <w:tc>
          <w:tcPr>
            <w:tcW w:w="4234" w:type="dxa"/>
            <w:noWrap w:val="0"/>
            <w:vAlign w:val="center"/>
          </w:tcPr>
          <w:p w14:paraId="250BF7EE">
            <w:pPr>
              <w:pStyle w:val="95"/>
              <w:spacing w:before="78" w:after="78"/>
            </w:pPr>
            <w:r>
              <w:rPr>
                <w:rFonts w:hint="eastAsia"/>
              </w:rPr>
              <w:t>深度计测量</w:t>
            </w:r>
          </w:p>
        </w:tc>
      </w:tr>
      <w:tr w14:paraId="0CDE2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384" w:type="dxa"/>
            <w:noWrap w:val="0"/>
            <w:vAlign w:val="center"/>
          </w:tcPr>
          <w:p w14:paraId="1EB1C6DD">
            <w:pPr>
              <w:pStyle w:val="95"/>
              <w:spacing w:before="78" w:after="78"/>
            </w:pPr>
            <w:r>
              <w:rPr>
                <w:rFonts w:hint="eastAsia"/>
              </w:rPr>
              <w:t>键槽深度</w:t>
            </w:r>
          </w:p>
        </w:tc>
        <w:tc>
          <w:tcPr>
            <w:tcW w:w="1559" w:type="dxa"/>
            <w:noWrap w:val="0"/>
            <w:vAlign w:val="center"/>
          </w:tcPr>
          <w:p w14:paraId="5DB81C02">
            <w:pPr>
              <w:pStyle w:val="95"/>
              <w:spacing w:before="78" w:after="78"/>
              <w:rPr>
                <w:rFonts w:ascii="宋体" w:hAnsi="宋体"/>
              </w:rPr>
            </w:pPr>
            <w:r>
              <w:rPr>
                <w:rFonts w:hint="eastAsia" w:ascii="宋体" w:hAnsi="宋体"/>
              </w:rPr>
              <w:t>≥</w:t>
            </w:r>
            <w:r>
              <w:rPr>
                <w:rFonts w:ascii="宋体" w:hAnsi="宋体"/>
              </w:rPr>
              <w:t>6</w:t>
            </w:r>
          </w:p>
        </w:tc>
        <w:tc>
          <w:tcPr>
            <w:tcW w:w="4234" w:type="dxa"/>
            <w:noWrap w:val="0"/>
            <w:vAlign w:val="center"/>
          </w:tcPr>
          <w:p w14:paraId="36556025">
            <w:pPr>
              <w:pStyle w:val="95"/>
              <w:spacing w:before="78" w:after="78"/>
            </w:pPr>
            <w:r>
              <w:rPr>
                <w:rFonts w:hint="eastAsia"/>
              </w:rPr>
              <w:t>深度计测量</w:t>
            </w:r>
          </w:p>
        </w:tc>
      </w:tr>
    </w:tbl>
    <w:p w14:paraId="18E7FEF5">
      <w:pPr>
        <w:pStyle w:val="80"/>
        <w:spacing w:before="78" w:afterLines="0"/>
        <w:ind w:left="480" w:hanging="480" w:hangingChars="300"/>
        <w:jc w:val="left"/>
      </w:pPr>
      <w:r>
        <w:rPr>
          <w:rFonts w:hint="eastAsia"/>
        </w:rPr>
        <w:t>注：</w:t>
      </w:r>
      <w:r>
        <w:t>L为空心墙模长边尺寸</w:t>
      </w:r>
      <w:r>
        <w:rPr>
          <w:rFonts w:hint="eastAsia"/>
        </w:rPr>
        <w:t>。</w:t>
      </w:r>
    </w:p>
    <w:p w14:paraId="721A3427">
      <w:pPr>
        <w:pStyle w:val="6"/>
      </w:pPr>
      <w:bookmarkStart w:id="277" w:name="11-3"/>
      <w:bookmarkEnd w:id="277"/>
      <w:r>
        <w:rPr>
          <w:rFonts w:hint="eastAsia"/>
        </w:rPr>
        <w:t>空心墙模的堆放与运输应符合下列规定：</w:t>
      </w:r>
    </w:p>
    <w:p w14:paraId="2AF0C71B">
      <w:pPr>
        <w:pStyle w:val="7"/>
        <w:numPr>
          <w:ilvl w:val="0"/>
          <w:numId w:val="42"/>
        </w:numPr>
        <w:rPr>
          <w:rStyle w:val="139"/>
          <w:bCs w:val="0"/>
          <w:kern w:val="0"/>
        </w:rPr>
      </w:pPr>
      <w:r>
        <w:rPr>
          <w:rStyle w:val="139"/>
          <w:rFonts w:hint="eastAsia"/>
          <w:bCs w:val="0"/>
          <w:kern w:val="0"/>
        </w:rPr>
        <w:t>堆放场地应平整、坚实，应采取良好的排水措施；</w:t>
      </w:r>
    </w:p>
    <w:p w14:paraId="2DA8CB60">
      <w:pPr>
        <w:pStyle w:val="7"/>
        <w:rPr>
          <w:rStyle w:val="139"/>
          <w:bCs w:val="0"/>
          <w:kern w:val="0"/>
        </w:rPr>
      </w:pPr>
      <w:r>
        <w:rPr>
          <w:rStyle w:val="139"/>
          <w:rFonts w:hint="eastAsia"/>
          <w:bCs w:val="0"/>
          <w:kern w:val="0"/>
        </w:rPr>
        <w:t>空心墙模下应设置垫木或垫块，垫木或垫块的位置宜与脱模、吊装时的起吊位置一致，最下层空心墙模下应保证垫实；</w:t>
      </w:r>
    </w:p>
    <w:p w14:paraId="3184D15F">
      <w:pPr>
        <w:pStyle w:val="7"/>
        <w:rPr>
          <w:rStyle w:val="139"/>
          <w:bCs w:val="0"/>
          <w:kern w:val="0"/>
        </w:rPr>
      </w:pPr>
      <w:r>
        <w:rPr>
          <w:rStyle w:val="139"/>
          <w:rFonts w:hint="eastAsia"/>
          <w:bCs w:val="0"/>
          <w:kern w:val="0"/>
        </w:rPr>
        <w:t>空心墙模可多层叠放，叠放数量不宜超过6块，每层空心墙模之间的垫木或垫块应在同一垂直线上；</w:t>
      </w:r>
    </w:p>
    <w:p w14:paraId="205B9358">
      <w:pPr>
        <w:pStyle w:val="7"/>
        <w:rPr>
          <w:rStyle w:val="139"/>
          <w:bCs w:val="0"/>
          <w:kern w:val="0"/>
        </w:rPr>
      </w:pPr>
      <w:r>
        <w:rPr>
          <w:rStyle w:val="139"/>
          <w:rFonts w:hint="eastAsia"/>
          <w:bCs w:val="0"/>
          <w:kern w:val="0"/>
        </w:rPr>
        <w:t>每垛空心墙模之间应设置通道，空心墙模的标识宜朝向堆垛间的通道。</w:t>
      </w:r>
    </w:p>
    <w:p w14:paraId="01DE0B25">
      <w:pPr>
        <w:pStyle w:val="6"/>
      </w:pPr>
      <w:r>
        <w:rPr>
          <w:rFonts w:hint="eastAsia"/>
        </w:rPr>
        <w:t>空心墙模的运输应符合下列规定：</w:t>
      </w:r>
    </w:p>
    <w:p w14:paraId="5F1857FE">
      <w:pPr>
        <w:pStyle w:val="7"/>
        <w:numPr>
          <w:ilvl w:val="0"/>
          <w:numId w:val="43"/>
        </w:numPr>
      </w:pPr>
      <w:r>
        <w:rPr>
          <w:rFonts w:hint="eastAsia"/>
        </w:rPr>
        <w:t>空心墙模吊运时，混凝土强度应符合设计要求；当设计无要求时，不应低于设计强度的7</w:t>
      </w:r>
      <w:r>
        <w:t>5</w:t>
      </w:r>
      <w:r>
        <w:rPr>
          <w:rFonts w:hint="eastAsia"/>
        </w:rPr>
        <w:t>%；</w:t>
      </w:r>
    </w:p>
    <w:p w14:paraId="797828B3">
      <w:pPr>
        <w:pStyle w:val="7"/>
      </w:pPr>
      <w:r>
        <w:rPr>
          <w:rFonts w:hint="eastAsia"/>
        </w:rPr>
        <w:t>运输车辆应满足空心墙模尺寸和载重要求；</w:t>
      </w:r>
    </w:p>
    <w:p w14:paraId="224B705E">
      <w:pPr>
        <w:pStyle w:val="7"/>
      </w:pPr>
      <w:r>
        <w:rPr>
          <w:rFonts w:hint="eastAsia"/>
        </w:rPr>
        <w:t>装卸空心墙模过程中，应采取措施保证车体平衡、防止车体倾覆；</w:t>
      </w:r>
    </w:p>
    <w:p w14:paraId="4D2D5252">
      <w:pPr>
        <w:pStyle w:val="7"/>
      </w:pPr>
      <w:r>
        <w:rPr>
          <w:rFonts w:hint="eastAsia"/>
        </w:rPr>
        <w:t>应采取措施防止空心墙模移动或倾倒，绑扎固定时绳索接触处的混凝土，宜采用垫衬加以保护，防止构件破损及产生裂缝。</w:t>
      </w:r>
    </w:p>
    <w:p w14:paraId="39F87B77">
      <w:pPr>
        <w:pStyle w:val="5"/>
        <w:numPr>
          <w:ilvl w:val="1"/>
          <w:numId w:val="38"/>
        </w:numPr>
        <w:spacing w:before="156" w:beforeLines="50" w:after="156"/>
      </w:pPr>
      <w:bookmarkStart w:id="278" w:name="_Toc9342"/>
      <w:bookmarkStart w:id="279" w:name="_Toc61254084"/>
      <w:bookmarkStart w:id="280" w:name="_Toc129374384"/>
      <w:bookmarkStart w:id="281" w:name="_Toc61254041"/>
      <w:r>
        <w:rPr>
          <w:rFonts w:hint="eastAsia"/>
        </w:rPr>
        <w:t>固模楼承板</w:t>
      </w:r>
      <w:bookmarkEnd w:id="278"/>
      <w:bookmarkEnd w:id="279"/>
      <w:bookmarkEnd w:id="280"/>
      <w:bookmarkEnd w:id="281"/>
      <w:bookmarkStart w:id="282" w:name="11-4"/>
      <w:bookmarkEnd w:id="282"/>
    </w:p>
    <w:p w14:paraId="50F403FE">
      <w:pPr>
        <w:pStyle w:val="6"/>
      </w:pPr>
      <w:r>
        <w:rPr>
          <w:rFonts w:hint="eastAsia"/>
        </w:rPr>
        <w:t>钢筋桁架和钢筋网片应符合以下规定：</w:t>
      </w:r>
    </w:p>
    <w:p w14:paraId="4A4ECA8A">
      <w:pPr>
        <w:pStyle w:val="7"/>
        <w:numPr>
          <w:ilvl w:val="0"/>
          <w:numId w:val="44"/>
        </w:numPr>
        <w:rPr>
          <w:rFonts w:hint="eastAsia"/>
        </w:rPr>
      </w:pPr>
      <w:r>
        <w:rPr>
          <w:rFonts w:hint="eastAsia"/>
        </w:rPr>
        <w:t>钢筋桁架和钢筋网片尺寸应准确，吊装时应采用多点吊装的专用吊架，防止钢筋骨架变形；</w:t>
      </w:r>
    </w:p>
    <w:p w14:paraId="3389438F">
      <w:pPr>
        <w:pStyle w:val="7"/>
        <w:numPr>
          <w:ilvl w:val="0"/>
          <w:numId w:val="44"/>
        </w:numPr>
        <w:rPr>
          <w:rFonts w:hint="eastAsia"/>
        </w:rPr>
      </w:pPr>
      <w:r>
        <w:rPr>
          <w:rFonts w:hint="eastAsia"/>
        </w:rPr>
        <w:t>钢筋宜采用焊接连接，当采用绑扎连接时，应做到牢固可靠；</w:t>
      </w:r>
    </w:p>
    <w:p w14:paraId="36309451">
      <w:pPr>
        <w:pStyle w:val="7"/>
        <w:numPr>
          <w:ilvl w:val="0"/>
          <w:numId w:val="44"/>
        </w:numPr>
        <w:rPr>
          <w:rFonts w:hint="eastAsia"/>
        </w:rPr>
      </w:pPr>
      <w:r>
        <w:rPr>
          <w:rFonts w:hint="eastAsia"/>
        </w:rPr>
        <w:t>钢筋桁架和钢筋网片入模后，应按设计图纸要求检查钢筋桁架及钢筋网片位置、规格、间距、保护层厚度等。</w:t>
      </w:r>
    </w:p>
    <w:p w14:paraId="60688DAB">
      <w:pPr>
        <w:pStyle w:val="6"/>
        <w:numPr>
          <w:ilvl w:val="0"/>
          <w:numId w:val="0"/>
        </w:numPr>
        <w:tabs>
          <w:tab w:val="clear" w:pos="907"/>
        </w:tabs>
      </w:pPr>
      <w:r>
        <w:rPr>
          <w:rFonts w:hint="eastAsia"/>
          <w:color w:val="0070C0"/>
        </w:rPr>
        <w:t>【条文说明】钢筋桁架与钢筋网片的连接应牢固可靠，否则会削弱TC板的整体刚度，进而影响TC板吊装的安全和施工支撑的疏密。</w:t>
      </w:r>
    </w:p>
    <w:p w14:paraId="1A0AA980">
      <w:pPr>
        <w:pStyle w:val="6"/>
      </w:pPr>
      <w:r>
        <w:rPr>
          <w:rFonts w:hint="eastAsia"/>
        </w:rPr>
        <w:t>固模楼承板所用底板材料应符合本标准第4.3.2条及设计要求，应有产品质量证明文件和复试报告。</w:t>
      </w:r>
    </w:p>
    <w:p w14:paraId="4867845B">
      <w:pPr>
        <w:pStyle w:val="6"/>
        <w:numPr>
          <w:ilvl w:val="2"/>
          <w:numId w:val="0"/>
        </w:numPr>
      </w:pPr>
      <w:r>
        <w:rPr>
          <w:rFonts w:hint="eastAsia"/>
          <w:color w:val="0070C0"/>
        </w:rPr>
        <w:t>【条文说明】TC板所用底板是构件的主要材料，其材料性能应符合设计要求，应制定材料供应计划、试验检验计划。</w:t>
      </w:r>
    </w:p>
    <w:p w14:paraId="2823B5AC">
      <w:pPr>
        <w:pStyle w:val="6"/>
      </w:pPr>
      <w:r>
        <w:rPr>
          <w:rFonts w:hint="eastAsia"/>
        </w:rPr>
        <w:t>混凝土保护层垫块宜选用塑料或尼龙垫块，通过垫块采取可靠的固定方式将钢筋桁架与底板连接牢固，固定点数量、间距、位置应符合设计要求。</w:t>
      </w:r>
    </w:p>
    <w:p w14:paraId="6F531574">
      <w:pPr>
        <w:pStyle w:val="6"/>
        <w:numPr>
          <w:ilvl w:val="2"/>
          <w:numId w:val="0"/>
        </w:numPr>
      </w:pPr>
      <w:r>
        <w:rPr>
          <w:rFonts w:hint="eastAsia"/>
          <w:color w:val="0070C0"/>
        </w:rPr>
        <w:t>【条文说明】塑料或尼龙垫块既可以控制钢筋保护层，也可以作为将钢筋网片和固模底板固定为一个整体的连接件，固定点的质量影响TC板的质量，因此应严格控制固定点的牢靠性、数量、间距及位置等。</w:t>
      </w:r>
    </w:p>
    <w:p w14:paraId="12172CA7">
      <w:pPr>
        <w:pStyle w:val="6"/>
      </w:pPr>
      <w:r>
        <w:rPr>
          <w:rFonts w:hint="eastAsia"/>
        </w:rPr>
        <w:t>固模楼承板宜采用工业化生产线设备生产，生产时应符合下列要求：</w:t>
      </w:r>
    </w:p>
    <w:p w14:paraId="7255551B">
      <w:pPr>
        <w:pStyle w:val="7"/>
        <w:numPr>
          <w:ilvl w:val="0"/>
          <w:numId w:val="45"/>
        </w:numPr>
      </w:pPr>
      <w:r>
        <w:rPr>
          <w:rFonts w:hint="eastAsia"/>
        </w:rPr>
        <w:t>生产线各设备应正常运转，生产所用原材料应验收完毕；</w:t>
      </w:r>
    </w:p>
    <w:p w14:paraId="02784D69">
      <w:pPr>
        <w:pStyle w:val="7"/>
        <w:numPr>
          <w:ilvl w:val="0"/>
          <w:numId w:val="41"/>
        </w:numPr>
      </w:pPr>
      <w:r>
        <w:rPr>
          <w:rFonts w:hint="eastAsia"/>
        </w:rPr>
        <w:t>应采取措施保证底板及钢筋网片位置准确且不产生变形，如有变形或移位应及时纠正；</w:t>
      </w:r>
    </w:p>
    <w:p w14:paraId="368FC9DC">
      <w:pPr>
        <w:pStyle w:val="7"/>
        <w:numPr>
          <w:ilvl w:val="0"/>
          <w:numId w:val="41"/>
        </w:numPr>
      </w:pPr>
      <w:r>
        <w:rPr>
          <w:rFonts w:hint="eastAsia"/>
        </w:rPr>
        <w:t>钢筋网与底板的连接应牢固可靠，不得有松脱现象，应有人工辅助补强措施。</w:t>
      </w:r>
    </w:p>
    <w:p w14:paraId="23865B73">
      <w:pPr>
        <w:pStyle w:val="6"/>
      </w:pPr>
      <w:r>
        <w:rPr>
          <w:rFonts w:hint="eastAsia"/>
        </w:rPr>
        <w:t>每种规格的固模楼承板均应进行首件试生产，验收合格后方可进行批量生产。</w:t>
      </w:r>
    </w:p>
    <w:p w14:paraId="79AA8DDD">
      <w:pPr>
        <w:pStyle w:val="6"/>
        <w:numPr>
          <w:ilvl w:val="2"/>
          <w:numId w:val="0"/>
        </w:numPr>
      </w:pPr>
      <w:r>
        <w:rPr>
          <w:rFonts w:hint="eastAsia"/>
          <w:color w:val="0070C0"/>
        </w:rPr>
        <w:t>【条文说明】每种规格的TC板在批量生产前应先做单件制作试验，检验生产线各设备是否工作正常并能制作出合格产品，验收合格后可进行批量生产。</w:t>
      </w:r>
    </w:p>
    <w:p w14:paraId="0B8E8540">
      <w:pPr>
        <w:pStyle w:val="6"/>
      </w:pPr>
      <w:r>
        <w:rPr>
          <w:rFonts w:hint="eastAsia"/>
        </w:rPr>
        <w:t>对未采用管线分离技术的固模楼承板，宜在工厂预先进行设备管线及线盒的打孔开洞，尽量避免在施工现场或浇筑楼板混凝土后再进行开槽、打孔。</w:t>
      </w:r>
    </w:p>
    <w:p w14:paraId="20DB4FF4">
      <w:pPr>
        <w:pStyle w:val="6"/>
        <w:rPr>
          <w:rFonts w:hint="eastAsia"/>
        </w:rPr>
      </w:pPr>
      <w:r>
        <w:rPr>
          <w:rFonts w:hint="eastAsia"/>
        </w:rPr>
        <w:t>固模楼承板外形尺寸允许偏差及检验方法应符合</w:t>
      </w:r>
      <w:r>
        <w:fldChar w:fldCharType="begin"/>
      </w:r>
      <w:r>
        <w:instrText xml:space="preserve"> </w:instrText>
      </w:r>
      <w:r>
        <w:rPr>
          <w:rFonts w:hint="eastAsia"/>
        </w:rPr>
        <w:instrText xml:space="preserve">REF _Ref61077101 \h</w:instrText>
      </w:r>
      <w:r>
        <w:instrText xml:space="preserve">  \* MERGEFORMAT </w:instrText>
      </w:r>
      <w:r>
        <w:fldChar w:fldCharType="separate"/>
      </w:r>
      <w:r>
        <w:rPr>
          <w:rFonts w:hint="eastAsia"/>
        </w:rPr>
        <w:t>表</w:t>
      </w:r>
      <w:r>
        <w:fldChar w:fldCharType="end"/>
      </w:r>
      <w:r>
        <w:rPr>
          <w:rFonts w:hint="eastAsia"/>
        </w:rPr>
        <w:t>8.3.7的规定。</w:t>
      </w:r>
    </w:p>
    <w:p w14:paraId="6AC223AF">
      <w:pPr>
        <w:pStyle w:val="64"/>
        <w:spacing w:before="78" w:after="78"/>
        <w:rPr>
          <w:rFonts w:ascii="黑体" w:hAnsi="黑体"/>
        </w:rPr>
      </w:pPr>
      <w:bookmarkStart w:id="283" w:name="_Ref61077101"/>
      <w:r>
        <w:rPr>
          <w:rFonts w:hint="eastAsia"/>
        </w:rPr>
        <w:t>表</w:t>
      </w:r>
      <w:bookmarkEnd w:id="283"/>
      <w:r>
        <w:fldChar w:fldCharType="begin"/>
      </w:r>
      <w:r>
        <w:rPr>
          <w:rFonts w:hint="eastAsia"/>
        </w:rPr>
        <w:instrText xml:space="preserve">STYLEREF 3 \s</w:instrText>
      </w:r>
      <w:r>
        <w:fldChar w:fldCharType="separate"/>
      </w:r>
      <w:r>
        <w:t>8.3.7</w:t>
      </w:r>
      <w:r>
        <w:fldChar w:fldCharType="end"/>
      </w:r>
      <w:r>
        <w:t xml:space="preserve"> </w:t>
      </w:r>
      <w:r>
        <w:rPr>
          <w:rFonts w:hint="eastAsia"/>
        </w:rPr>
        <w:t>固模楼承板</w:t>
      </w:r>
      <w:r>
        <w:rPr>
          <w:rFonts w:hint="eastAsia" w:ascii="黑体" w:hAnsi="黑体"/>
        </w:rPr>
        <w:t>外形尺寸允许偏差及检验方法</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16"/>
        <w:gridCol w:w="1336"/>
        <w:gridCol w:w="1425"/>
        <w:gridCol w:w="2136"/>
      </w:tblGrid>
      <w:tr w14:paraId="46340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jc w:val="center"/>
        </w:trPr>
        <w:tc>
          <w:tcPr>
            <w:tcW w:w="0" w:type="auto"/>
            <w:gridSpan w:val="2"/>
            <w:noWrap w:val="0"/>
            <w:vAlign w:val="top"/>
          </w:tcPr>
          <w:p w14:paraId="75B61F99">
            <w:pPr>
              <w:pStyle w:val="95"/>
              <w:spacing w:before="78" w:after="78"/>
            </w:pPr>
            <w:r>
              <w:t>检验项目</w:t>
            </w:r>
          </w:p>
        </w:tc>
        <w:tc>
          <w:tcPr>
            <w:tcW w:w="0" w:type="auto"/>
            <w:noWrap w:val="0"/>
            <w:vAlign w:val="top"/>
          </w:tcPr>
          <w:p w14:paraId="2CD04916">
            <w:pPr>
              <w:pStyle w:val="95"/>
              <w:spacing w:before="78" w:after="78"/>
            </w:pPr>
            <w:r>
              <w:t>允许偏差（mm）</w:t>
            </w:r>
          </w:p>
        </w:tc>
        <w:tc>
          <w:tcPr>
            <w:tcW w:w="0" w:type="auto"/>
            <w:noWrap w:val="0"/>
            <w:vAlign w:val="top"/>
          </w:tcPr>
          <w:p w14:paraId="4948D573">
            <w:pPr>
              <w:pStyle w:val="95"/>
              <w:spacing w:before="78" w:after="78"/>
            </w:pPr>
            <w:r>
              <w:t>检验方法</w:t>
            </w:r>
          </w:p>
        </w:tc>
      </w:tr>
      <w:tr w14:paraId="4F595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5BF9F0CC">
            <w:pPr>
              <w:pStyle w:val="95"/>
              <w:spacing w:before="78" w:after="78"/>
            </w:pPr>
            <w:r>
              <w:t>长度</w:t>
            </w:r>
            <w:r>
              <w:rPr>
                <w:rFonts w:hint="eastAsia"/>
                <w:i/>
              </w:rPr>
              <w:t>L</w:t>
            </w:r>
          </w:p>
        </w:tc>
        <w:tc>
          <w:tcPr>
            <w:tcW w:w="0" w:type="auto"/>
            <w:noWrap w:val="0"/>
            <w:vAlign w:val="top"/>
          </w:tcPr>
          <w:p w14:paraId="5ED27A1C">
            <w:pPr>
              <w:pStyle w:val="95"/>
              <w:spacing w:before="78" w:after="78"/>
            </w:pPr>
            <w:r>
              <w:t>0</w:t>
            </w:r>
            <w:r>
              <w:rPr>
                <w:rFonts w:hint="eastAsia"/>
              </w:rPr>
              <w:t>，-</w:t>
            </w:r>
            <w:r>
              <w:t>10</w:t>
            </w:r>
          </w:p>
        </w:tc>
        <w:tc>
          <w:tcPr>
            <w:tcW w:w="0" w:type="auto"/>
            <w:noWrap w:val="0"/>
            <w:vAlign w:val="top"/>
          </w:tcPr>
          <w:p w14:paraId="34DDA831">
            <w:pPr>
              <w:pStyle w:val="95"/>
              <w:spacing w:before="78" w:after="78"/>
            </w:pPr>
            <w:r>
              <w:t>钢尺检查</w:t>
            </w:r>
          </w:p>
        </w:tc>
      </w:tr>
      <w:tr w14:paraId="53F16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4C36A45A">
            <w:pPr>
              <w:pStyle w:val="95"/>
              <w:spacing w:before="78" w:after="78"/>
            </w:pPr>
            <w:r>
              <w:rPr>
                <w:rFonts w:hint="eastAsia"/>
              </w:rPr>
              <w:t>宽度</w:t>
            </w:r>
            <w:r>
              <w:rPr>
                <w:rFonts w:hint="eastAsia"/>
                <w:i/>
              </w:rPr>
              <w:t>W</w:t>
            </w:r>
          </w:p>
        </w:tc>
        <w:tc>
          <w:tcPr>
            <w:tcW w:w="0" w:type="auto"/>
            <w:noWrap w:val="0"/>
            <w:vAlign w:val="top"/>
          </w:tcPr>
          <w:p w14:paraId="0222C401">
            <w:pPr>
              <w:pStyle w:val="95"/>
              <w:spacing w:before="78" w:after="78"/>
            </w:pPr>
            <w:r>
              <w:rPr>
                <w:rFonts w:hint="eastAsia"/>
              </w:rPr>
              <w:t>0，</w:t>
            </w:r>
            <w:r>
              <w:t>-4</w:t>
            </w:r>
          </w:p>
        </w:tc>
        <w:tc>
          <w:tcPr>
            <w:tcW w:w="0" w:type="auto"/>
            <w:noWrap w:val="0"/>
            <w:vAlign w:val="top"/>
          </w:tcPr>
          <w:p w14:paraId="06ABC2B2">
            <w:pPr>
              <w:pStyle w:val="95"/>
              <w:spacing w:before="78" w:after="78"/>
            </w:pPr>
            <w:r>
              <w:t>钢尺检查</w:t>
            </w:r>
          </w:p>
        </w:tc>
      </w:tr>
      <w:tr w14:paraId="0620F3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07BC8D4F">
            <w:pPr>
              <w:pStyle w:val="95"/>
              <w:spacing w:before="78" w:after="78"/>
              <w:rPr>
                <w:rFonts w:hint="eastAsia"/>
              </w:rPr>
            </w:pPr>
            <w:r>
              <w:rPr>
                <w:rFonts w:hint="eastAsia"/>
              </w:rPr>
              <w:t>对角线差</w:t>
            </w:r>
          </w:p>
        </w:tc>
        <w:tc>
          <w:tcPr>
            <w:tcW w:w="0" w:type="auto"/>
            <w:noWrap w:val="0"/>
            <w:vAlign w:val="top"/>
          </w:tcPr>
          <w:p w14:paraId="5F3D534F">
            <w:pPr>
              <w:pStyle w:val="95"/>
              <w:spacing w:before="78" w:after="78"/>
              <w:rPr>
                <w:rFonts w:hint="eastAsia"/>
              </w:rPr>
            </w:pPr>
            <w:r>
              <w:t>5</w:t>
            </w:r>
          </w:p>
        </w:tc>
        <w:tc>
          <w:tcPr>
            <w:tcW w:w="0" w:type="auto"/>
            <w:noWrap w:val="0"/>
            <w:vAlign w:val="top"/>
          </w:tcPr>
          <w:p w14:paraId="7C0877B3">
            <w:pPr>
              <w:pStyle w:val="95"/>
              <w:spacing w:before="78" w:after="78"/>
            </w:pPr>
            <w:r>
              <w:t>钢尺检查</w:t>
            </w:r>
          </w:p>
        </w:tc>
      </w:tr>
      <w:tr w14:paraId="64881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13A0EE50">
            <w:pPr>
              <w:pStyle w:val="95"/>
              <w:spacing w:before="78" w:after="78"/>
            </w:pPr>
            <w:r>
              <w:rPr>
                <w:rFonts w:hint="eastAsia"/>
              </w:rPr>
              <w:t>底板</w:t>
            </w:r>
            <w:r>
              <w:t>厚度</w:t>
            </w:r>
            <w:r>
              <w:rPr>
                <w:rFonts w:hint="eastAsia"/>
                <w:i/>
              </w:rPr>
              <w:t>t</w:t>
            </w:r>
          </w:p>
        </w:tc>
        <w:tc>
          <w:tcPr>
            <w:tcW w:w="0" w:type="auto"/>
            <w:noWrap w:val="0"/>
            <w:vAlign w:val="top"/>
          </w:tcPr>
          <w:p w14:paraId="5607C977">
            <w:pPr>
              <w:pStyle w:val="95"/>
              <w:spacing w:before="78" w:after="78"/>
            </w:pPr>
            <w:r>
              <w:t>±1</w:t>
            </w:r>
          </w:p>
        </w:tc>
        <w:tc>
          <w:tcPr>
            <w:tcW w:w="0" w:type="auto"/>
            <w:noWrap w:val="0"/>
            <w:vAlign w:val="top"/>
          </w:tcPr>
          <w:p w14:paraId="46F03404">
            <w:pPr>
              <w:pStyle w:val="95"/>
              <w:spacing w:before="78" w:after="78"/>
            </w:pPr>
            <w:r>
              <w:t>钢尺检查</w:t>
            </w:r>
          </w:p>
        </w:tc>
      </w:tr>
      <w:tr w14:paraId="17B36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236B911B">
            <w:pPr>
              <w:pStyle w:val="95"/>
              <w:spacing w:before="78" w:after="78"/>
            </w:pPr>
            <w:r>
              <w:t>表面平整度</w:t>
            </w:r>
          </w:p>
        </w:tc>
        <w:tc>
          <w:tcPr>
            <w:tcW w:w="0" w:type="auto"/>
            <w:noWrap w:val="0"/>
            <w:vAlign w:val="top"/>
          </w:tcPr>
          <w:p w14:paraId="2A77611E">
            <w:pPr>
              <w:pStyle w:val="95"/>
              <w:spacing w:before="78" w:after="78"/>
            </w:pPr>
            <w:r>
              <w:t>2</w:t>
            </w:r>
          </w:p>
        </w:tc>
        <w:tc>
          <w:tcPr>
            <w:tcW w:w="0" w:type="auto"/>
            <w:noWrap w:val="0"/>
            <w:vAlign w:val="top"/>
          </w:tcPr>
          <w:p w14:paraId="71E130E6">
            <w:pPr>
              <w:pStyle w:val="95"/>
              <w:spacing w:before="78" w:after="78"/>
            </w:pPr>
            <w:r>
              <w:t>2米靠尺和塞尺检查</w:t>
            </w:r>
          </w:p>
        </w:tc>
      </w:tr>
      <w:tr w14:paraId="2580C1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5AE5CECA">
            <w:pPr>
              <w:pStyle w:val="95"/>
              <w:spacing w:before="78" w:after="78"/>
            </w:pPr>
            <w:r>
              <w:rPr>
                <w:rFonts w:hint="eastAsia"/>
              </w:rPr>
              <w:t>拼接处横向错位</w:t>
            </w:r>
          </w:p>
        </w:tc>
        <w:tc>
          <w:tcPr>
            <w:tcW w:w="0" w:type="auto"/>
            <w:noWrap w:val="0"/>
            <w:vAlign w:val="top"/>
          </w:tcPr>
          <w:p w14:paraId="55623457">
            <w:pPr>
              <w:pStyle w:val="95"/>
              <w:spacing w:before="78" w:after="78"/>
            </w:pPr>
            <w:r>
              <w:t>2</w:t>
            </w:r>
          </w:p>
        </w:tc>
        <w:tc>
          <w:tcPr>
            <w:tcW w:w="0" w:type="auto"/>
            <w:noWrap w:val="0"/>
            <w:vAlign w:val="top"/>
          </w:tcPr>
          <w:p w14:paraId="57A2DAC3">
            <w:pPr>
              <w:pStyle w:val="95"/>
              <w:spacing w:before="78" w:after="78"/>
            </w:pPr>
            <w:r>
              <w:t>钢尺检查</w:t>
            </w:r>
          </w:p>
        </w:tc>
      </w:tr>
      <w:tr w14:paraId="2FA72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gridSpan w:val="2"/>
            <w:noWrap w:val="0"/>
            <w:vAlign w:val="top"/>
          </w:tcPr>
          <w:p w14:paraId="46D064BE">
            <w:pPr>
              <w:pStyle w:val="95"/>
              <w:spacing w:before="78" w:after="78"/>
            </w:pPr>
            <w:r>
              <w:rPr>
                <w:rFonts w:hint="eastAsia"/>
              </w:rPr>
              <w:t>拼接处缝宽</w:t>
            </w:r>
          </w:p>
        </w:tc>
        <w:tc>
          <w:tcPr>
            <w:tcW w:w="0" w:type="auto"/>
            <w:noWrap w:val="0"/>
            <w:vAlign w:val="top"/>
          </w:tcPr>
          <w:p w14:paraId="3E6F6CCF">
            <w:pPr>
              <w:pStyle w:val="95"/>
              <w:spacing w:before="78" w:after="78"/>
            </w:pPr>
            <w:r>
              <w:rPr>
                <w:rFonts w:hint="eastAsia"/>
              </w:rPr>
              <w:t>3</w:t>
            </w:r>
          </w:p>
        </w:tc>
        <w:tc>
          <w:tcPr>
            <w:tcW w:w="0" w:type="auto"/>
            <w:noWrap w:val="0"/>
            <w:vAlign w:val="top"/>
          </w:tcPr>
          <w:p w14:paraId="7EE83634">
            <w:pPr>
              <w:pStyle w:val="95"/>
              <w:spacing w:before="78" w:after="78"/>
            </w:pPr>
            <w:r>
              <w:t>钢尺检查</w:t>
            </w:r>
          </w:p>
        </w:tc>
      </w:tr>
      <w:tr w14:paraId="1FB89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restart"/>
            <w:noWrap w:val="0"/>
            <w:vAlign w:val="center"/>
          </w:tcPr>
          <w:p w14:paraId="6E458C56">
            <w:pPr>
              <w:pStyle w:val="95"/>
              <w:spacing w:before="78" w:after="78"/>
              <w:rPr>
                <w:rFonts w:hint="eastAsia"/>
              </w:rPr>
            </w:pPr>
            <w:r>
              <w:rPr>
                <w:rFonts w:hint="eastAsia"/>
              </w:rPr>
              <w:t>预留孔、洞</w:t>
            </w:r>
          </w:p>
        </w:tc>
        <w:tc>
          <w:tcPr>
            <w:tcW w:w="0" w:type="auto"/>
            <w:noWrap w:val="0"/>
            <w:vAlign w:val="center"/>
          </w:tcPr>
          <w:p w14:paraId="5E7D54A8">
            <w:pPr>
              <w:pStyle w:val="95"/>
              <w:spacing w:before="78" w:after="78"/>
              <w:rPr>
                <w:rFonts w:hint="eastAsia"/>
              </w:rPr>
            </w:pPr>
            <w:r>
              <w:rPr>
                <w:rFonts w:hint="eastAsia"/>
              </w:rPr>
              <w:t>中心线位置偏移</w:t>
            </w:r>
          </w:p>
        </w:tc>
        <w:tc>
          <w:tcPr>
            <w:tcW w:w="0" w:type="auto"/>
            <w:noWrap w:val="0"/>
            <w:vAlign w:val="center"/>
          </w:tcPr>
          <w:p w14:paraId="71E4B015">
            <w:pPr>
              <w:pStyle w:val="95"/>
              <w:spacing w:before="78" w:after="78"/>
              <w:rPr>
                <w:rFonts w:hint="eastAsia"/>
              </w:rPr>
            </w:pPr>
            <w:r>
              <w:rPr>
                <w:rFonts w:hint="eastAsia"/>
              </w:rPr>
              <w:t>5</w:t>
            </w:r>
          </w:p>
        </w:tc>
        <w:tc>
          <w:tcPr>
            <w:tcW w:w="0" w:type="auto"/>
            <w:noWrap w:val="0"/>
            <w:vAlign w:val="center"/>
          </w:tcPr>
          <w:p w14:paraId="70812CB4">
            <w:pPr>
              <w:pStyle w:val="95"/>
              <w:spacing w:before="78" w:after="78"/>
              <w:rPr>
                <w:rFonts w:hint="eastAsia"/>
              </w:rPr>
            </w:pPr>
            <w:r>
              <w:rPr>
                <w:rFonts w:hint="eastAsia"/>
              </w:rPr>
              <w:t>用钢尺量测两个方向的中</w:t>
            </w:r>
          </w:p>
          <w:p w14:paraId="3B3478B2">
            <w:pPr>
              <w:pStyle w:val="95"/>
              <w:spacing w:before="78" w:after="78"/>
            </w:pPr>
            <w:r>
              <w:rPr>
                <w:rFonts w:hint="eastAsia"/>
              </w:rPr>
              <w:t>心线位置，取其中较大值</w:t>
            </w:r>
          </w:p>
        </w:tc>
      </w:tr>
      <w:tr w14:paraId="0B791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vMerge w:val="continue"/>
            <w:noWrap w:val="0"/>
            <w:vAlign w:val="top"/>
          </w:tcPr>
          <w:p w14:paraId="225CF79F">
            <w:pPr>
              <w:pStyle w:val="95"/>
              <w:spacing w:before="78" w:after="78"/>
              <w:rPr>
                <w:rFonts w:hint="eastAsia"/>
              </w:rPr>
            </w:pPr>
          </w:p>
        </w:tc>
        <w:tc>
          <w:tcPr>
            <w:tcW w:w="0" w:type="auto"/>
            <w:noWrap w:val="0"/>
            <w:vAlign w:val="center"/>
          </w:tcPr>
          <w:p w14:paraId="7CE8557B">
            <w:pPr>
              <w:pStyle w:val="95"/>
              <w:spacing w:before="78" w:after="78"/>
              <w:rPr>
                <w:rFonts w:hint="eastAsia"/>
              </w:rPr>
            </w:pPr>
            <w:r>
              <w:rPr>
                <w:rFonts w:hint="eastAsia"/>
              </w:rPr>
              <w:t>孔尺寸</w:t>
            </w:r>
          </w:p>
        </w:tc>
        <w:tc>
          <w:tcPr>
            <w:tcW w:w="0" w:type="auto"/>
            <w:noWrap w:val="0"/>
            <w:vAlign w:val="center"/>
          </w:tcPr>
          <w:p w14:paraId="3483510E">
            <w:pPr>
              <w:pStyle w:val="95"/>
              <w:spacing w:before="78" w:after="78"/>
              <w:rPr>
                <w:rFonts w:hint="eastAsia"/>
              </w:rPr>
            </w:pPr>
            <w:r>
              <w:t>±5</w:t>
            </w:r>
          </w:p>
        </w:tc>
        <w:tc>
          <w:tcPr>
            <w:tcW w:w="0" w:type="auto"/>
            <w:noWrap w:val="0"/>
            <w:vAlign w:val="center"/>
          </w:tcPr>
          <w:p w14:paraId="445D12C7">
            <w:pPr>
              <w:pStyle w:val="95"/>
              <w:spacing w:before="78" w:after="78"/>
              <w:rPr>
                <w:rFonts w:hint="eastAsia"/>
              </w:rPr>
            </w:pPr>
            <w:r>
              <w:rPr>
                <w:rFonts w:hint="eastAsia"/>
              </w:rPr>
              <w:t>用钢尺量测纵横两个方向的</w:t>
            </w:r>
          </w:p>
          <w:p w14:paraId="499EBCCE">
            <w:pPr>
              <w:pStyle w:val="95"/>
              <w:spacing w:before="78" w:after="78"/>
            </w:pPr>
            <w:r>
              <w:rPr>
                <w:rFonts w:hint="eastAsia"/>
              </w:rPr>
              <w:t>孔、洞尺寸，取其中较大值</w:t>
            </w:r>
          </w:p>
        </w:tc>
      </w:tr>
    </w:tbl>
    <w:p w14:paraId="446017D8">
      <w:pPr>
        <w:pStyle w:val="6"/>
        <w:numPr>
          <w:ilvl w:val="2"/>
          <w:numId w:val="0"/>
        </w:numPr>
      </w:pPr>
      <w:r>
        <w:rPr>
          <w:rFonts w:hint="eastAsia"/>
          <w:color w:val="0070C0"/>
        </w:rPr>
        <w:t>【条文说明】TC板的长度和宽度（即底板的长度和宽度）均不应有正误差，否则会影响TC板的安装入位。底板的厚度误差不应大于1mm，否则会影响螺钉的旋入深度。</w:t>
      </w:r>
    </w:p>
    <w:p w14:paraId="185D7B7F">
      <w:pPr>
        <w:pStyle w:val="6"/>
      </w:pPr>
      <w:r>
        <w:rPr>
          <w:rFonts w:hint="eastAsia"/>
        </w:rPr>
        <w:t>固模楼承板制作完成后应进行产品验收，</w:t>
      </w:r>
      <w:r>
        <w:t>固模楼承板的外观质量应符合</w:t>
      </w:r>
      <w:r>
        <w:fldChar w:fldCharType="begin"/>
      </w:r>
      <w:r>
        <w:instrText xml:space="preserve"> REF _Ref54615829 \h  \* MERGEFORMAT </w:instrText>
      </w:r>
      <w:r>
        <w:fldChar w:fldCharType="separate"/>
      </w:r>
      <w:r>
        <w:rPr>
          <w:rFonts w:hint="eastAsia"/>
        </w:rPr>
        <w:t>表</w:t>
      </w:r>
      <w:r>
        <w:t>8.3.8</w:t>
      </w:r>
      <w:r>
        <w:fldChar w:fldCharType="end"/>
      </w:r>
      <w:r>
        <w:t>的规定</w:t>
      </w:r>
      <w:r>
        <w:rPr>
          <w:rFonts w:hint="eastAsia"/>
        </w:rPr>
        <w:t>，固模底板及垫块的握钉力应满足表4.3.4的要求</w:t>
      </w:r>
      <w:r>
        <w:t>。</w:t>
      </w:r>
      <w:r>
        <w:rPr>
          <w:rFonts w:hint="eastAsia"/>
        </w:rPr>
        <w:t>固模楼承板成品应有可靠的保护措施，防止板面破损、污染，合格后应在固模楼承板表面设置产品标识。</w:t>
      </w:r>
    </w:p>
    <w:p w14:paraId="58EEECEC">
      <w:pPr>
        <w:pStyle w:val="64"/>
        <w:keepNext/>
        <w:widowControl/>
        <w:spacing w:before="78" w:after="78"/>
      </w:pPr>
      <w:bookmarkStart w:id="284" w:name="_Ref54615829"/>
      <w:r>
        <w:rPr>
          <w:rFonts w:hint="eastAsia"/>
        </w:rPr>
        <w:t>表</w:t>
      </w:r>
      <w:r>
        <w:fldChar w:fldCharType="begin"/>
      </w:r>
      <w:r>
        <w:rPr>
          <w:rFonts w:hint="eastAsia"/>
        </w:rPr>
        <w:instrText xml:space="preserve">STYLEREF 3 \s</w:instrText>
      </w:r>
      <w:r>
        <w:fldChar w:fldCharType="separate"/>
      </w:r>
      <w:r>
        <w:t>8.3.8</w:t>
      </w:r>
      <w:r>
        <w:fldChar w:fldCharType="end"/>
      </w:r>
      <w:bookmarkEnd w:id="284"/>
      <w:r>
        <w:rPr>
          <w:rFonts w:hint="eastAsia"/>
        </w:rPr>
        <w:t xml:space="preserve"> </w:t>
      </w:r>
      <w:r>
        <w:t>固模楼承板外观质量要求</w:t>
      </w:r>
    </w:p>
    <w:tbl>
      <w:tblPr>
        <w:tblStyle w:val="3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6"/>
        <w:gridCol w:w="5180"/>
      </w:tblGrid>
      <w:tr w14:paraId="771EBF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center"/>
          </w:tcPr>
          <w:p w14:paraId="225422EB">
            <w:pPr>
              <w:pStyle w:val="95"/>
              <w:keepNext/>
              <w:tabs>
                <w:tab w:val="left" w:pos="420"/>
                <w:tab w:val="right" w:leader="dot" w:pos="6960"/>
              </w:tabs>
              <w:spacing w:before="78" w:after="78"/>
            </w:pPr>
            <w:r>
              <w:t>项目</w:t>
            </w:r>
          </w:p>
        </w:tc>
        <w:tc>
          <w:tcPr>
            <w:tcW w:w="0" w:type="auto"/>
            <w:noWrap w:val="0"/>
            <w:vAlign w:val="center"/>
          </w:tcPr>
          <w:p w14:paraId="3C7D1CC8">
            <w:pPr>
              <w:pStyle w:val="95"/>
              <w:tabs>
                <w:tab w:val="left" w:pos="420"/>
                <w:tab w:val="right" w:leader="dot" w:pos="6960"/>
              </w:tabs>
              <w:spacing w:before="78" w:after="78"/>
            </w:pPr>
            <w:r>
              <w:t>质量要求</w:t>
            </w:r>
          </w:p>
        </w:tc>
      </w:tr>
      <w:tr w14:paraId="071E7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0" w:hRule="atLeast"/>
          <w:jc w:val="center"/>
        </w:trPr>
        <w:tc>
          <w:tcPr>
            <w:tcW w:w="0" w:type="auto"/>
            <w:noWrap w:val="0"/>
            <w:vAlign w:val="center"/>
          </w:tcPr>
          <w:p w14:paraId="394C5DD8">
            <w:pPr>
              <w:pStyle w:val="95"/>
              <w:tabs>
                <w:tab w:val="left" w:pos="420"/>
                <w:tab w:val="right" w:leader="dot" w:pos="6960"/>
              </w:tabs>
              <w:spacing w:before="78" w:after="78"/>
            </w:pPr>
            <w:r>
              <w:t>底板</w:t>
            </w:r>
          </w:p>
        </w:tc>
        <w:tc>
          <w:tcPr>
            <w:tcW w:w="0" w:type="auto"/>
            <w:noWrap w:val="0"/>
            <w:vAlign w:val="center"/>
          </w:tcPr>
          <w:p w14:paraId="585FC1B1">
            <w:pPr>
              <w:pStyle w:val="95"/>
              <w:tabs>
                <w:tab w:val="left" w:pos="420"/>
                <w:tab w:val="right" w:leader="dot" w:pos="6960"/>
              </w:tabs>
              <w:spacing w:before="78" w:after="78"/>
              <w:jc w:val="left"/>
            </w:pPr>
            <w:r>
              <w:t>不得有严重破损和掉边、掉角；下表面光滑平整；不得有裂纹、分层、脱皮等现象。</w:t>
            </w:r>
          </w:p>
        </w:tc>
      </w:tr>
      <w:tr w14:paraId="1EAEE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center"/>
          </w:tcPr>
          <w:p w14:paraId="64C26AC9">
            <w:pPr>
              <w:pStyle w:val="95"/>
              <w:tabs>
                <w:tab w:val="left" w:pos="420"/>
                <w:tab w:val="right" w:leader="dot" w:pos="6960"/>
              </w:tabs>
              <w:spacing w:before="78" w:after="78"/>
            </w:pPr>
            <w:r>
              <w:t>钢筋桁架、钢筋网及焊接</w:t>
            </w:r>
          </w:p>
        </w:tc>
        <w:tc>
          <w:tcPr>
            <w:tcW w:w="0" w:type="auto"/>
            <w:noWrap w:val="0"/>
            <w:vAlign w:val="center"/>
          </w:tcPr>
          <w:p w14:paraId="15CE31D0">
            <w:pPr>
              <w:pStyle w:val="95"/>
              <w:tabs>
                <w:tab w:val="left" w:pos="420"/>
                <w:tab w:val="right" w:leader="dot" w:pos="6960"/>
              </w:tabs>
              <w:spacing w:before="78" w:after="78"/>
              <w:jc w:val="left"/>
            </w:pPr>
            <w:r>
              <w:t>表面应无严重锈蚀和污物，焊点处熔化金属应均匀；焊点不应脱落、漏焊；焊点应无裂纹、多孔性缺陷及明显烧伤现象。</w:t>
            </w:r>
          </w:p>
        </w:tc>
      </w:tr>
      <w:tr w14:paraId="24A96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center"/>
          </w:tcPr>
          <w:p w14:paraId="4548EDDA">
            <w:pPr>
              <w:pStyle w:val="95"/>
              <w:tabs>
                <w:tab w:val="left" w:pos="420"/>
                <w:tab w:val="right" w:leader="dot" w:pos="6960"/>
              </w:tabs>
              <w:spacing w:before="78" w:after="78"/>
            </w:pPr>
            <w:r>
              <w:t>垫块</w:t>
            </w:r>
          </w:p>
        </w:tc>
        <w:tc>
          <w:tcPr>
            <w:tcW w:w="0" w:type="auto"/>
            <w:noWrap w:val="0"/>
            <w:vAlign w:val="center"/>
          </w:tcPr>
          <w:p w14:paraId="75AB8AF0">
            <w:pPr>
              <w:pStyle w:val="95"/>
              <w:tabs>
                <w:tab w:val="left" w:pos="420"/>
                <w:tab w:val="right" w:leader="dot" w:pos="6960"/>
              </w:tabs>
              <w:spacing w:before="78" w:after="78"/>
              <w:jc w:val="left"/>
            </w:pPr>
            <w:r>
              <w:t>垫块与底板不应脱开，间隙不应超过1mm；垫块间距不应大于600mm，板端250mm范围及底板拼缝两侧200mm范围内应有垫块。</w:t>
            </w:r>
          </w:p>
        </w:tc>
      </w:tr>
      <w:tr w14:paraId="573B4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noWrap w:val="0"/>
            <w:vAlign w:val="center"/>
          </w:tcPr>
          <w:p w14:paraId="5AE98B4C">
            <w:pPr>
              <w:pStyle w:val="95"/>
              <w:tabs>
                <w:tab w:val="left" w:pos="420"/>
                <w:tab w:val="right" w:leader="dot" w:pos="6960"/>
              </w:tabs>
              <w:spacing w:before="78" w:after="78"/>
            </w:pPr>
            <w:r>
              <w:t>螺钉</w:t>
            </w:r>
          </w:p>
        </w:tc>
        <w:tc>
          <w:tcPr>
            <w:tcW w:w="0" w:type="auto"/>
            <w:noWrap w:val="0"/>
            <w:vAlign w:val="center"/>
          </w:tcPr>
          <w:p w14:paraId="3B5008EF">
            <w:pPr>
              <w:pStyle w:val="95"/>
              <w:tabs>
                <w:tab w:val="left" w:pos="420"/>
                <w:tab w:val="right" w:leader="dot" w:pos="6960"/>
              </w:tabs>
              <w:spacing w:before="78" w:after="78"/>
              <w:jc w:val="left"/>
            </w:pPr>
            <w:r>
              <w:rPr>
                <w:rFonts w:hint="eastAsia"/>
              </w:rPr>
              <w:t>螺钉拧入垫块的位置应在垫块正中心直径10mm圆形范围内；螺钉应拧入底板及垫块内，螺钉尾部不应凸出底板表面，螺钉尾部凹进底板表面深度不应大于2mm；螺钉头部应伸入垫块中间孔洞内，伸出长度不小于5mm。</w:t>
            </w:r>
          </w:p>
        </w:tc>
      </w:tr>
    </w:tbl>
    <w:p w14:paraId="74F96B48">
      <w:pPr>
        <w:pStyle w:val="6"/>
        <w:spacing w:before="156" w:beforeLines="50"/>
      </w:pPr>
      <w:r>
        <w:rPr>
          <w:rFonts w:hint="eastAsia"/>
        </w:rPr>
        <w:t>固模楼承板的堆放应符合下列规定：</w:t>
      </w:r>
    </w:p>
    <w:p w14:paraId="4B9AA641">
      <w:pPr>
        <w:pStyle w:val="7"/>
        <w:numPr>
          <w:ilvl w:val="0"/>
          <w:numId w:val="46"/>
        </w:numPr>
      </w:pPr>
      <w:r>
        <w:rPr>
          <w:rFonts w:hint="eastAsia"/>
        </w:rPr>
        <w:t>堆放场地应平整、坚实，应具有排水措施；</w:t>
      </w:r>
    </w:p>
    <w:p w14:paraId="471DA49A">
      <w:pPr>
        <w:pStyle w:val="7"/>
        <w:numPr>
          <w:ilvl w:val="0"/>
          <w:numId w:val="41"/>
        </w:numPr>
      </w:pPr>
      <w:r>
        <w:rPr>
          <w:rFonts w:hint="eastAsia"/>
        </w:rPr>
        <w:t>固模楼承板应板面向下水平放置，堆放时底层固模楼承板应与地面留有一定间隙，各层固模楼承板之间应设置垫木，垫木应上下对齐，不得脱空，堆放层数不宜大于8层，应有防倾覆措施；</w:t>
      </w:r>
    </w:p>
    <w:p w14:paraId="6D026A06">
      <w:pPr>
        <w:pStyle w:val="7"/>
        <w:numPr>
          <w:ilvl w:val="0"/>
          <w:numId w:val="41"/>
        </w:numPr>
      </w:pPr>
      <w:r>
        <w:rPr>
          <w:rFonts w:hint="eastAsia"/>
        </w:rPr>
        <w:t>固模楼承板堆放应有防雨措施，</w:t>
      </w:r>
      <w:r>
        <w:rPr>
          <w:rFonts w:hint="eastAsia" w:ascii="宋体" w:hAnsi="宋体"/>
          <w:szCs w:val="21"/>
        </w:rPr>
        <w:t>必要时应有遮篷，防止受潮及污染；</w:t>
      </w:r>
    </w:p>
    <w:p w14:paraId="2973720A">
      <w:pPr>
        <w:pStyle w:val="7"/>
        <w:numPr>
          <w:ilvl w:val="0"/>
          <w:numId w:val="41"/>
        </w:numPr>
      </w:pPr>
      <w:r>
        <w:rPr>
          <w:rFonts w:hint="eastAsia"/>
        </w:rPr>
        <w:t>固模楼承板堆放次序应与工程项目需求及运输次序相协调。</w:t>
      </w:r>
    </w:p>
    <w:p w14:paraId="6D6650A3">
      <w:pPr>
        <w:pStyle w:val="6"/>
      </w:pPr>
      <w:r>
        <w:rPr>
          <w:rFonts w:hint="eastAsia"/>
        </w:rPr>
        <w:t>固模楼承板的运输应符合下列规定：</w:t>
      </w:r>
    </w:p>
    <w:p w14:paraId="66A4B832">
      <w:pPr>
        <w:pStyle w:val="7"/>
        <w:numPr>
          <w:ilvl w:val="0"/>
          <w:numId w:val="47"/>
        </w:numPr>
      </w:pPr>
      <w:r>
        <w:rPr>
          <w:rFonts w:hint="eastAsia"/>
        </w:rPr>
        <w:t>固模楼承板应采用专用车辆运输，运输过程中，应采取防止固模楼承板受损、破坏的措施；</w:t>
      </w:r>
    </w:p>
    <w:p w14:paraId="0B8D1EBC">
      <w:pPr>
        <w:pStyle w:val="7"/>
      </w:pPr>
      <w:r>
        <w:rPr>
          <w:rFonts w:hint="eastAsia"/>
        </w:rPr>
        <w:t>装车时固模楼承板应平放并用钢丝绳与运输车辆绑扎牢固，固模楼承板边角和绑扎接触部位应采取柔性垫板防护，车厢板和固模楼承板间应放入柔性材料。</w:t>
      </w:r>
    </w:p>
    <w:p w14:paraId="49C629E5">
      <w:pPr>
        <w:pStyle w:val="4"/>
        <w:spacing w:before="156" w:after="156"/>
      </w:pPr>
      <w:r>
        <w:br w:type="page"/>
      </w:r>
      <w:bookmarkStart w:id="285" w:name="_Toc61254085"/>
      <w:bookmarkStart w:id="286" w:name="_Toc61254042"/>
      <w:bookmarkStart w:id="287" w:name="_Toc11911"/>
      <w:bookmarkStart w:id="288" w:name="_Toc129374385"/>
      <w:r>
        <w:rPr>
          <w:rFonts w:hint="eastAsia"/>
        </w:rPr>
        <w:t>结构施工</w:t>
      </w:r>
      <w:bookmarkEnd w:id="285"/>
      <w:bookmarkEnd w:id="286"/>
      <w:bookmarkEnd w:id="287"/>
      <w:bookmarkEnd w:id="288"/>
    </w:p>
    <w:p w14:paraId="28B23216">
      <w:pPr>
        <w:pStyle w:val="5"/>
        <w:numPr>
          <w:ilvl w:val="1"/>
          <w:numId w:val="48"/>
        </w:numPr>
        <w:spacing w:before="156" w:beforeLines="50" w:after="156"/>
      </w:pPr>
      <w:bookmarkStart w:id="289" w:name="_Toc61254086"/>
      <w:bookmarkStart w:id="290" w:name="_Toc15501"/>
      <w:bookmarkStart w:id="291" w:name="_Toc61254043"/>
      <w:bookmarkStart w:id="292" w:name="_Toc129374386"/>
      <w:r>
        <w:t>一般规定</w:t>
      </w:r>
      <w:bookmarkEnd w:id="289"/>
      <w:bookmarkEnd w:id="290"/>
      <w:bookmarkEnd w:id="291"/>
      <w:bookmarkEnd w:id="292"/>
    </w:p>
    <w:p w14:paraId="77D09124">
      <w:pPr>
        <w:pStyle w:val="6"/>
      </w:pPr>
      <w:r>
        <w:rPr>
          <w:rFonts w:hint="eastAsia"/>
        </w:rPr>
        <w:t>固模剪力墙结构</w:t>
      </w:r>
      <w:r>
        <w:t>的施工除应遵守本标准的规定外，尚应符合现行国家标准《混凝土结构工程施工规范》GB 50666</w:t>
      </w:r>
      <w:r>
        <w:rPr>
          <w:rFonts w:hint="eastAsia"/>
        </w:rPr>
        <w:t>、</w:t>
      </w:r>
      <w:r>
        <w:t>《混凝土结构工程施工质量验收规范》GB 50204</w:t>
      </w:r>
      <w:r>
        <w:rPr>
          <w:rFonts w:hint="eastAsia"/>
        </w:rPr>
        <w:t>及现行广东省地方标准《装配式混凝土建筑工程施工质量验收规范》DBJ/</w:t>
      </w:r>
      <w:r>
        <w:t>T 15</w:t>
      </w:r>
      <w:r>
        <w:rPr>
          <w:rFonts w:hint="eastAsia"/>
        </w:rPr>
        <w:t>-</w:t>
      </w:r>
      <w:r>
        <w:t>171</w:t>
      </w:r>
      <w:r>
        <w:rPr>
          <w:rFonts w:hint="eastAsia"/>
        </w:rPr>
        <w:t>等</w:t>
      </w:r>
      <w:r>
        <w:t>的有关规定。</w:t>
      </w:r>
    </w:p>
    <w:p w14:paraId="35C4D310">
      <w:pPr>
        <w:pStyle w:val="6"/>
      </w:pPr>
      <w:r>
        <w:rPr>
          <w:rFonts w:hint="eastAsia"/>
        </w:rPr>
        <w:t>固模剪力墙结构施工前，施工单位应认真熟悉图纸，参加设计交底和图纸会审，准确理解设计图纸的要求，掌</w:t>
      </w:r>
      <w:r>
        <w:t>握有关技术要求及细部构造，</w:t>
      </w:r>
      <w:r>
        <w:rPr>
          <w:rFonts w:hint="eastAsia"/>
        </w:rPr>
        <w:t>根据固模剪力墙结构工程特点和施工规定，进行施工复核及验算。</w:t>
      </w:r>
    </w:p>
    <w:p w14:paraId="6D0F37DF">
      <w:pPr>
        <w:pStyle w:val="6"/>
        <w:numPr>
          <w:ilvl w:val="0"/>
          <w:numId w:val="0"/>
        </w:numPr>
        <w:tabs>
          <w:tab w:val="clear" w:pos="907"/>
        </w:tabs>
        <w:rPr>
          <w:rFonts w:hint="eastAsia"/>
          <w:color w:val="0070C0"/>
        </w:rPr>
      </w:pPr>
      <w:r>
        <w:rPr>
          <w:rFonts w:hint="eastAsia"/>
          <w:color w:val="0070C0"/>
        </w:rPr>
        <w:t>【条文说明】施工单位应组织有关人员熟悉图纸，编制施工组织设计，制定专项工程施工方案，施工方案应结合结构深化设计、构件制作、运输和安装全过程各工况的验算，施工吊装与支撑体系的验算等进行制定。</w:t>
      </w:r>
    </w:p>
    <w:p w14:paraId="2789999E">
      <w:pPr>
        <w:pStyle w:val="6"/>
        <w:numPr>
          <w:ilvl w:val="0"/>
          <w:numId w:val="0"/>
        </w:numPr>
        <w:tabs>
          <w:tab w:val="clear" w:pos="907"/>
        </w:tabs>
        <w:ind w:firstLine="420" w:firstLineChars="200"/>
      </w:pPr>
      <w:r>
        <w:rPr>
          <w:rFonts w:hint="eastAsia"/>
          <w:color w:val="0070C0"/>
        </w:rPr>
        <w:t>结构施工前，施工单位应校核预制构件加工图纸，对预制构件施工预留和预埋进行交底。</w:t>
      </w:r>
    </w:p>
    <w:p w14:paraId="040FF77D">
      <w:pPr>
        <w:pStyle w:val="6"/>
      </w:pPr>
      <w:r>
        <w:t>施工</w:t>
      </w:r>
      <w:r>
        <w:rPr>
          <w:rFonts w:hint="eastAsia"/>
        </w:rPr>
        <w:t>项目部的机构设置和人员组成，应满足固模剪力墙结构施工管理的需要。施工管理人员及操作人员应经过培训，应具备各自岗位需要的基础知识和技能水平</w:t>
      </w:r>
      <w:r>
        <w:t>。</w:t>
      </w:r>
    </w:p>
    <w:p w14:paraId="16EB347A">
      <w:pPr>
        <w:pStyle w:val="6"/>
        <w:numPr>
          <w:ilvl w:val="2"/>
          <w:numId w:val="0"/>
        </w:numPr>
      </w:pPr>
      <w:r>
        <w:rPr>
          <w:rFonts w:hint="eastAsia"/>
          <w:color w:val="0070C0"/>
        </w:rPr>
        <w:t>【条文说明】固模剪力墙结构施工是一种相对新型的施工工艺，需要对操作人员进行专门的培训，经考核合格后方可上岗，以确保施工质量。</w:t>
      </w:r>
    </w:p>
    <w:p w14:paraId="17ADCFB4">
      <w:pPr>
        <w:pStyle w:val="6"/>
      </w:pPr>
      <w:r>
        <w:rPr>
          <w:rFonts w:hint="eastAsia"/>
        </w:rPr>
        <w:t>固模剪力墙结构</w:t>
      </w:r>
      <w:r>
        <w:t>施工前，施工单位应结合工程特点和施工条件，编制施工组织设计</w:t>
      </w:r>
      <w:r>
        <w:rPr>
          <w:rFonts w:hint="eastAsia"/>
        </w:rPr>
        <w:t>并经监理（建设）单位审核批准后组织实施。</w:t>
      </w:r>
      <w:r>
        <w:t>施工组织设计的内容应符合现行国家标准《建筑施工组织设计规范》GB/T</w:t>
      </w:r>
      <w:r>
        <w:rPr>
          <w:rFonts w:hint="eastAsia"/>
        </w:rPr>
        <w:t xml:space="preserve"> </w:t>
      </w:r>
      <w:r>
        <w:t>50502的</w:t>
      </w:r>
      <w:r>
        <w:rPr>
          <w:rFonts w:hint="eastAsia"/>
        </w:rPr>
        <w:t>有关</w:t>
      </w:r>
      <w:r>
        <w:t>规定</w:t>
      </w:r>
      <w:r>
        <w:rPr>
          <w:rFonts w:hint="eastAsia"/>
        </w:rPr>
        <w:t>。</w:t>
      </w:r>
    </w:p>
    <w:p w14:paraId="15F2CF6F">
      <w:pPr>
        <w:pStyle w:val="6"/>
      </w:pPr>
      <w:r>
        <w:rPr>
          <w:rFonts w:hint="eastAsia"/>
        </w:rPr>
        <w:t>固模剪力墙结构施工应制定固模剪力墙及楼承板的专项施工方案，内容宜包括工程概况、编制依据、进度计划、施工场地布置、预制构件运输与存放、安装与连接施工、绿色施工、安全管理、质量管理、信息化管理、应急预案等内容。</w:t>
      </w:r>
    </w:p>
    <w:p w14:paraId="67241B5A">
      <w:pPr>
        <w:pStyle w:val="6"/>
        <w:numPr>
          <w:ilvl w:val="2"/>
          <w:numId w:val="0"/>
        </w:numPr>
      </w:pPr>
      <w:r>
        <w:rPr>
          <w:rFonts w:hint="eastAsia"/>
          <w:color w:val="0070C0"/>
        </w:rPr>
        <w:t>【条文说明】9.1.4~9.1.5固模剪力墙结构工程专项施工方案包括模板与支架体系专项施工方案，钢筋工程专项施工方案，预制构件安装工程及混凝土工程专项施工方案等。当空心墙模根据工程需要做成大板，构件尺寸较大、重量较重时，专项施工方案应符合危险性较大的分部分项工程专项方案编制（住房和城乡建设部建质办〔202</w:t>
      </w:r>
      <w:r>
        <w:rPr>
          <w:rFonts w:hint="eastAsia"/>
          <w:color w:val="0070C0"/>
          <w:lang w:val="en-US" w:eastAsia="zh-CN"/>
        </w:rPr>
        <w:t>1</w:t>
      </w:r>
      <w:r>
        <w:rPr>
          <w:rFonts w:hint="eastAsia"/>
          <w:color w:val="0070C0"/>
        </w:rPr>
        <w:t>〕48号）的规定。</w:t>
      </w:r>
    </w:p>
    <w:p w14:paraId="0CB82859">
      <w:pPr>
        <w:pStyle w:val="6"/>
      </w:pPr>
      <w:r>
        <w:rPr>
          <w:rFonts w:hint="eastAsia"/>
        </w:rPr>
        <w:t>施工单位应规划施工现场预制构件运输路线、存放场地，应根据固模剪力墙结构工程施工组织设计，合理配备吊装设备及工器具，应采取防止预制构件损坏的保护措施。</w:t>
      </w:r>
    </w:p>
    <w:p w14:paraId="0E79DE13">
      <w:pPr>
        <w:pStyle w:val="6"/>
      </w:pPr>
      <w:r>
        <w:rPr>
          <w:rFonts w:hint="eastAsia"/>
        </w:rPr>
        <w:t>固模剪力墙建筑施工宜采用建筑信息模型（BIM）技术对施工全过程及关键工艺进行信息化模拟。</w:t>
      </w:r>
    </w:p>
    <w:p w14:paraId="64D1E58A">
      <w:pPr>
        <w:pStyle w:val="6"/>
        <w:numPr>
          <w:ilvl w:val="2"/>
          <w:numId w:val="0"/>
        </w:numPr>
      </w:pPr>
      <w:r>
        <w:rPr>
          <w:rFonts w:hint="eastAsia"/>
          <w:color w:val="0070C0"/>
        </w:rPr>
        <w:t>【条文说明】施工安装宜采用BIM技术，用BIM模型指导和模拟施工，制定合理的施工工序并精确算量，从而提高施工管理水平和施工效率，减少浪费。</w:t>
      </w:r>
    </w:p>
    <w:p w14:paraId="6DBBC2F9">
      <w:pPr>
        <w:pStyle w:val="6"/>
      </w:pPr>
      <w:r>
        <w:rPr>
          <w:rFonts w:hint="eastAsia"/>
        </w:rPr>
        <w:t>预制构件、安装用材料及配件等应符合国家现行有关标准及产品应用技术手册的规定，应按照国家现行有关标准的规定进行进场验收。</w:t>
      </w:r>
    </w:p>
    <w:p w14:paraId="2DAD021F">
      <w:pPr>
        <w:pStyle w:val="6"/>
      </w:pPr>
      <w:r>
        <w:rPr>
          <w:rFonts w:hint="eastAsia"/>
        </w:rPr>
        <w:t>固模剪力墙结构施工前，施工单位应选择经济合理的模板与支架体系，宜选择复杂特殊节点和有代表性的单元进行构件试安装并根据试安装结果及时调整施工工艺、完善施工方案。</w:t>
      </w:r>
    </w:p>
    <w:p w14:paraId="7483B486">
      <w:pPr>
        <w:pStyle w:val="6"/>
        <w:numPr>
          <w:ilvl w:val="2"/>
          <w:numId w:val="0"/>
        </w:numPr>
      </w:pPr>
      <w:r>
        <w:rPr>
          <w:rFonts w:hint="eastAsia"/>
          <w:color w:val="0070C0"/>
        </w:rPr>
        <w:t>【条文说明】固模剪力墙结构工程中空心墙模和TC板两者安装的模板与支架应协调统一并确保模板与支架体系在施工过程中具有足够的刚度、强度和稳定性。施工前宜选择复杂特殊节点和有代表性的单元进行构件试安装，确保施工方案合理可靠。</w:t>
      </w:r>
    </w:p>
    <w:p w14:paraId="4BF31554">
      <w:pPr>
        <w:pStyle w:val="6"/>
      </w:pPr>
      <w:r>
        <w:rPr>
          <w:rFonts w:hint="eastAsia"/>
        </w:rPr>
        <w:t>预制构件安装前，应进行测量放线、设置构件安装定位标识。测量放线应符合现行国家标准《工程测量标准》GB</w:t>
      </w:r>
      <w:r>
        <w:t xml:space="preserve"> </w:t>
      </w:r>
      <w:r>
        <w:rPr>
          <w:rFonts w:hint="eastAsia"/>
        </w:rPr>
        <w:t>50026的有关规定。</w:t>
      </w:r>
    </w:p>
    <w:p w14:paraId="7C4F89C2">
      <w:pPr>
        <w:pStyle w:val="6"/>
        <w:numPr>
          <w:ilvl w:val="2"/>
          <w:numId w:val="0"/>
        </w:numPr>
      </w:pPr>
      <w:r>
        <w:rPr>
          <w:rFonts w:hint="eastAsia"/>
          <w:color w:val="0070C0"/>
        </w:rPr>
        <w:t>【条文说明】预制构件安装施工前，应制定安装定位标识方案，根据安装连接的精细化要求，控制合理误差。安装定位标识方案应按照一定顺序进行编制，标识点应清晰明确，</w:t>
      </w:r>
      <w:bookmarkStart w:id="404" w:name="_GoBack"/>
      <w:bookmarkEnd w:id="404"/>
      <w:r>
        <w:rPr>
          <w:rFonts w:hint="eastAsia"/>
          <w:color w:val="0070C0"/>
        </w:rPr>
        <w:t>定位顺序应便于查询标识。</w:t>
      </w:r>
    </w:p>
    <w:p w14:paraId="746FD543">
      <w:pPr>
        <w:pStyle w:val="6"/>
      </w:pPr>
      <w:r>
        <w:rPr>
          <w:rFonts w:hint="eastAsia"/>
        </w:rPr>
        <w:t>空心墙模安装前，应核对已施工完成结构、基础的外观质量和尺寸偏差，确认混凝土强度和预留预埋符合设计要求，应核对预制构件的混凝土强度及预制构件和配件的型号、规格、数量等符合设计要求。</w:t>
      </w:r>
    </w:p>
    <w:p w14:paraId="63A960F4">
      <w:pPr>
        <w:pStyle w:val="6"/>
        <w:numPr>
          <w:ilvl w:val="2"/>
          <w:numId w:val="0"/>
        </w:numPr>
      </w:pPr>
      <w:r>
        <w:rPr>
          <w:rFonts w:hint="eastAsia"/>
          <w:color w:val="0070C0"/>
        </w:rPr>
        <w:t>【条文说明】空心墙模安装前，应结合深化设计图纸核对已施工完成结构或基础的外观质量、尺寸偏差、混凝土强度和预留预埋等条件是否具备上层构件的安装条件，应核对待安装预制构件的混凝土强度及预制构件和配件的型号、规格、数量等是否符合设计要求。</w:t>
      </w:r>
    </w:p>
    <w:p w14:paraId="70F39347">
      <w:pPr>
        <w:pStyle w:val="6"/>
      </w:pPr>
      <w:r>
        <w:rPr>
          <w:rFonts w:hint="eastAsia"/>
        </w:rPr>
        <w:t>固模剪力墙结构中的模板与支架、钢筋、混凝土和预制构件安装除应符合本标准和现行国家标准《装配式混凝土建筑技术标准》</w:t>
      </w:r>
      <w:r>
        <w:t>GB</w:t>
      </w:r>
      <w:r>
        <w:rPr>
          <w:rFonts w:hint="eastAsia"/>
        </w:rPr>
        <w:t>/</w:t>
      </w:r>
      <w:r>
        <w:t>T</w:t>
      </w:r>
      <w:r>
        <w:rPr>
          <w:rFonts w:hint="eastAsia"/>
        </w:rPr>
        <w:t xml:space="preserve"> </w:t>
      </w:r>
      <w:r>
        <w:t>5123</w:t>
      </w:r>
      <w:r>
        <w:rPr>
          <w:rFonts w:hint="eastAsia"/>
        </w:rPr>
        <w:t>1的规定外，尚应符合现行国家标准《混凝土结构工程施工规范》GB 506</w:t>
      </w:r>
      <w:r>
        <w:t>66</w:t>
      </w:r>
      <w:r>
        <w:rPr>
          <w:rFonts w:hint="eastAsia"/>
        </w:rPr>
        <w:t xml:space="preserve">及《混凝土结构工程施工质量验收规范》GB </w:t>
      </w:r>
      <w:r>
        <w:t>50204</w:t>
      </w:r>
      <w:r>
        <w:rPr>
          <w:rFonts w:hint="eastAsia"/>
        </w:rPr>
        <w:t>等的有关规定。</w:t>
      </w:r>
    </w:p>
    <w:p w14:paraId="1AF97766">
      <w:pPr>
        <w:pStyle w:val="6"/>
      </w:pPr>
      <w:r>
        <w:t>结构施工过程中应采取必要的安全措施，应符合现行行业标准《建筑施工高处作业安全技术规范》JGJ 80、《建筑机械使用安全技术规程》JGJ 33和《施工现场临时用电安全技术规范》JGJ 46等的有关规定。</w:t>
      </w:r>
    </w:p>
    <w:p w14:paraId="1AFD124E">
      <w:pPr>
        <w:pStyle w:val="6"/>
        <w:numPr>
          <w:ilvl w:val="2"/>
          <w:numId w:val="0"/>
        </w:numPr>
      </w:pPr>
      <w:r>
        <w:rPr>
          <w:rFonts w:hint="eastAsia"/>
          <w:color w:val="0070C0"/>
        </w:rPr>
        <w:t>【条文说明】固模剪力墙结构工程施工中，应建立健全安全管理保障体系和管理制度，对危险性较大的分部分项工程应经专家论证通过后方可进行施工。</w:t>
      </w:r>
    </w:p>
    <w:p w14:paraId="3EA6BD97">
      <w:pPr>
        <w:pStyle w:val="5"/>
        <w:numPr>
          <w:ilvl w:val="1"/>
          <w:numId w:val="48"/>
        </w:numPr>
        <w:spacing w:before="156" w:beforeLines="50" w:after="156"/>
      </w:pPr>
      <w:bookmarkStart w:id="293" w:name="_Toc129374387"/>
      <w:bookmarkStart w:id="294" w:name="_Toc61254044"/>
      <w:bookmarkStart w:id="295" w:name="_Toc61254087"/>
      <w:bookmarkStart w:id="296" w:name="_Toc967"/>
      <w:r>
        <w:rPr>
          <w:rFonts w:hint="eastAsia"/>
        </w:rPr>
        <w:t>预制构件安装工程</w:t>
      </w:r>
      <w:bookmarkEnd w:id="293"/>
      <w:bookmarkEnd w:id="294"/>
      <w:bookmarkEnd w:id="295"/>
      <w:bookmarkEnd w:id="296"/>
    </w:p>
    <w:p w14:paraId="52924545">
      <w:pPr>
        <w:pStyle w:val="6"/>
      </w:pPr>
      <w:r>
        <w:rPr>
          <w:rFonts w:hint="eastAsia"/>
        </w:rPr>
        <w:t>预制构件进场前，应由生产单位根据设计文件对每个构件进行编号，设置起吊方向标示，方便现场存放、检查、验收、吊装顺序的控制。</w:t>
      </w:r>
    </w:p>
    <w:p w14:paraId="08D138E2">
      <w:pPr>
        <w:pStyle w:val="6"/>
      </w:pPr>
      <w:r>
        <w:rPr>
          <w:rFonts w:hint="eastAsia"/>
        </w:rPr>
        <w:t>预制构件进场前应制定运输、进场计划与存放方案。并应符合下列规定：</w:t>
      </w:r>
    </w:p>
    <w:p w14:paraId="51ACE1FA">
      <w:pPr>
        <w:pStyle w:val="7"/>
        <w:numPr>
          <w:ilvl w:val="0"/>
          <w:numId w:val="49"/>
        </w:numPr>
      </w:pPr>
      <w:r>
        <w:rPr>
          <w:rFonts w:hint="eastAsia"/>
        </w:rPr>
        <w:t>施工现场内道路应满足预制构件的运输要求，合理设置转弯半径及道路坡度；</w:t>
      </w:r>
    </w:p>
    <w:p w14:paraId="5D3B96FE">
      <w:pPr>
        <w:pStyle w:val="7"/>
        <w:numPr>
          <w:ilvl w:val="0"/>
          <w:numId w:val="41"/>
        </w:numPr>
      </w:pPr>
      <w:r>
        <w:rPr>
          <w:rFonts w:hint="eastAsia"/>
        </w:rPr>
        <w:t>现场运输道路和存放堆场应平整坚实并有排水措施，地基承载应满足运输和堆放要求。卸放、吊装工作范围内不应有障碍物，宜有满足预制构件周转使用的场地；</w:t>
      </w:r>
    </w:p>
    <w:p w14:paraId="49B0F111">
      <w:pPr>
        <w:pStyle w:val="7"/>
        <w:numPr>
          <w:ilvl w:val="0"/>
          <w:numId w:val="41"/>
        </w:numPr>
      </w:pPr>
      <w:r>
        <w:rPr>
          <w:rFonts w:hint="eastAsia"/>
        </w:rPr>
        <w:t>预制构件装卸时应采取绑扎固定措施；预制构件边角部或与紧固用绳索接触部位，宜采用垫衬加以保护；</w:t>
      </w:r>
    </w:p>
    <w:p w14:paraId="4DBF860F">
      <w:pPr>
        <w:pStyle w:val="7"/>
        <w:numPr>
          <w:ilvl w:val="0"/>
          <w:numId w:val="41"/>
        </w:numPr>
      </w:pPr>
      <w:r>
        <w:rPr>
          <w:rFonts w:hint="eastAsia"/>
        </w:rPr>
        <w:t>预制构件运送到施工现场后，应按规格、品种、使用部位、吊装顺序分别设置存放场地。存放场地应设置在吊装设备有效起重范围内，应在堆垛之间设置通道；</w:t>
      </w:r>
    </w:p>
    <w:p w14:paraId="5EE00EA5">
      <w:pPr>
        <w:pStyle w:val="7"/>
        <w:numPr>
          <w:ilvl w:val="0"/>
          <w:numId w:val="41"/>
        </w:numPr>
      </w:pPr>
      <w:r>
        <w:rPr>
          <w:rFonts w:hint="eastAsia"/>
        </w:rPr>
        <w:t>预制构件可采用分层叠放方式，层与层之间应垫平、垫实，各层支垫应上下对齐。最下面一层支垫应垂直于长边方向通长设置。堆放时间不宜超过两个月。</w:t>
      </w:r>
    </w:p>
    <w:p w14:paraId="55544247">
      <w:pPr>
        <w:pStyle w:val="6"/>
        <w:numPr>
          <w:ilvl w:val="2"/>
          <w:numId w:val="0"/>
        </w:numPr>
      </w:pPr>
      <w:r>
        <w:rPr>
          <w:rFonts w:hint="eastAsia"/>
          <w:color w:val="0070C0"/>
        </w:rPr>
        <w:t>【条文说明】空心墙模及TC板均可叠层堆放及运输，但必须做好成品保护，防止构件损坏或出现裂缝。</w:t>
      </w:r>
    </w:p>
    <w:p w14:paraId="1EB27534">
      <w:pPr>
        <w:pStyle w:val="6"/>
      </w:pPr>
      <w:r>
        <w:rPr>
          <w:rFonts w:hint="eastAsia"/>
        </w:rPr>
        <w:t>预制构件安装前，施工单位应按照本标准及现行广东省地方标准《装配式混凝土建筑工程施工质量验收规范》DBJ/T 15-171的有关规定对进场的预制构件进行验收并查验预制构件相关质量证明材料，未经检验或不合格的产品不得使用。</w:t>
      </w:r>
    </w:p>
    <w:p w14:paraId="2400E564">
      <w:pPr>
        <w:pStyle w:val="6"/>
      </w:pPr>
      <w:r>
        <w:rPr>
          <w:rFonts w:hint="eastAsia"/>
        </w:rPr>
        <w:t>预制构件安装准备应符合下列规定：</w:t>
      </w:r>
    </w:p>
    <w:p w14:paraId="5EA01A81">
      <w:pPr>
        <w:pStyle w:val="7"/>
        <w:numPr>
          <w:ilvl w:val="0"/>
          <w:numId w:val="50"/>
        </w:numPr>
      </w:pPr>
      <w:r>
        <w:rPr>
          <w:rFonts w:hint="eastAsia"/>
        </w:rPr>
        <w:t>施工前，应根据设计文件要求及构件的外形、重量、编号、标识等特点编制专项吊装施工方案、模板支撑方案，方案应明确施工工艺及工序；</w:t>
      </w:r>
    </w:p>
    <w:p w14:paraId="1D107CF8">
      <w:pPr>
        <w:pStyle w:val="7"/>
        <w:numPr>
          <w:ilvl w:val="0"/>
          <w:numId w:val="41"/>
        </w:numPr>
      </w:pPr>
      <w:r>
        <w:rPr>
          <w:rFonts w:hint="eastAsia"/>
        </w:rPr>
        <w:t>应根据荷载计算选择起重设备、吊具和吊索。在吊装前，应由专人检查核对，确保型号、机具与方案一致；</w:t>
      </w:r>
    </w:p>
    <w:p w14:paraId="2CC0AC10">
      <w:pPr>
        <w:pStyle w:val="7"/>
        <w:numPr>
          <w:ilvl w:val="0"/>
          <w:numId w:val="41"/>
        </w:numPr>
      </w:pPr>
      <w:r>
        <w:rPr>
          <w:rFonts w:hint="eastAsia"/>
        </w:rPr>
        <w:t>施工前，宜选择有代表性的单元或构件进行试安装，根据试安装结果及时调整完善施工方案；</w:t>
      </w:r>
    </w:p>
    <w:p w14:paraId="6A38BB39">
      <w:pPr>
        <w:pStyle w:val="7"/>
        <w:numPr>
          <w:ilvl w:val="0"/>
          <w:numId w:val="41"/>
        </w:numPr>
      </w:pPr>
      <w:r>
        <w:rPr>
          <w:rFonts w:hint="eastAsia"/>
        </w:rPr>
        <w:t>安装施工前应按工序要求检查核对已施工完成结构部分的质量，测量放线后，做好安装定位标志，必要时应提前安装限位装置；</w:t>
      </w:r>
    </w:p>
    <w:p w14:paraId="3AA2D82E">
      <w:pPr>
        <w:pStyle w:val="7"/>
        <w:numPr>
          <w:ilvl w:val="0"/>
          <w:numId w:val="41"/>
        </w:numPr>
      </w:pPr>
      <w:r>
        <w:rPr>
          <w:rFonts w:hint="eastAsia"/>
        </w:rPr>
        <w:t>预制构件搁置的底面应清理干净；</w:t>
      </w:r>
    </w:p>
    <w:p w14:paraId="119F0AC2">
      <w:pPr>
        <w:pStyle w:val="7"/>
        <w:numPr>
          <w:ilvl w:val="0"/>
          <w:numId w:val="41"/>
        </w:numPr>
      </w:pPr>
      <w:r>
        <w:rPr>
          <w:rFonts w:hint="eastAsia"/>
        </w:rPr>
        <w:t>吊装机具应满足吊装重量、构件尺寸及作业半径等施工要求并调试合格。</w:t>
      </w:r>
    </w:p>
    <w:p w14:paraId="7905BB4A">
      <w:pPr>
        <w:pStyle w:val="6"/>
      </w:pPr>
      <w:r>
        <w:t>空心墙模安装前的准备工作应符合下列</w:t>
      </w:r>
      <w:r>
        <w:rPr>
          <w:rFonts w:hint="eastAsia"/>
        </w:rPr>
        <w:t>规定</w:t>
      </w:r>
      <w:r>
        <w:t>：</w:t>
      </w:r>
    </w:p>
    <w:p w14:paraId="0A6BA605">
      <w:pPr>
        <w:pStyle w:val="7"/>
        <w:numPr>
          <w:ilvl w:val="0"/>
          <w:numId w:val="51"/>
        </w:numPr>
      </w:pPr>
      <w:r>
        <w:t>按设计要求检查空心墙模的型号、规格、数量、</w:t>
      </w:r>
      <w:r>
        <w:rPr>
          <w:rFonts w:hint="eastAsia"/>
        </w:rPr>
        <w:t>外观</w:t>
      </w:r>
      <w:r>
        <w:t>质量等，其混凝土强度、外观质量、尺寸偏差等应符合现行国家标准《混凝土结构工程施工规范》GB</w:t>
      </w:r>
      <w:r>
        <w:rPr>
          <w:rFonts w:hint="eastAsia"/>
        </w:rPr>
        <w:t xml:space="preserve"> </w:t>
      </w:r>
      <w:r>
        <w:t>50666和本标准</w:t>
      </w:r>
      <w:r>
        <w:rPr>
          <w:rFonts w:hint="eastAsia"/>
        </w:rPr>
        <w:t>第8章</w:t>
      </w:r>
      <w:r>
        <w:t>的有关规定；</w:t>
      </w:r>
    </w:p>
    <w:p w14:paraId="0FD55428">
      <w:pPr>
        <w:pStyle w:val="7"/>
        <w:numPr>
          <w:ilvl w:val="0"/>
          <w:numId w:val="41"/>
        </w:numPr>
      </w:pPr>
      <w:r>
        <w:t>复核空心墙模安装位置、节点连接构造及支撑方案等</w:t>
      </w:r>
      <w:r>
        <w:rPr>
          <w:rFonts w:hint="eastAsia"/>
        </w:rPr>
        <w:t>；</w:t>
      </w:r>
    </w:p>
    <w:p w14:paraId="24907209">
      <w:pPr>
        <w:pStyle w:val="7"/>
        <w:numPr>
          <w:ilvl w:val="0"/>
          <w:numId w:val="41"/>
        </w:numPr>
      </w:pPr>
      <w:r>
        <w:t>空心墙模</w:t>
      </w:r>
      <w:r>
        <w:rPr>
          <w:rFonts w:hint="eastAsia"/>
        </w:rPr>
        <w:t>支撑体系安装完成并应符合本标准第</w:t>
      </w:r>
      <w:r>
        <w:fldChar w:fldCharType="begin"/>
      </w:r>
      <w:r>
        <w:rPr>
          <w:rFonts w:hint="eastAsia"/>
        </w:rPr>
        <w:instrText xml:space="preserve">REF _Ref54619799 \r \h</w:instrText>
      </w:r>
      <w:r>
        <w:instrText xml:space="preserve"> \* MERGEFORMAT </w:instrText>
      </w:r>
      <w:r>
        <w:fldChar w:fldCharType="separate"/>
      </w:r>
      <w:r>
        <w:t>9.3.7</w:t>
      </w:r>
      <w:r>
        <w:fldChar w:fldCharType="end"/>
      </w:r>
      <w:r>
        <w:t>条</w:t>
      </w:r>
      <w:r>
        <w:rPr>
          <w:rFonts w:hint="eastAsia"/>
        </w:rPr>
        <w:t>及9.</w:t>
      </w:r>
      <w:r>
        <w:t>3</w:t>
      </w:r>
      <w:r>
        <w:rPr>
          <w:rFonts w:hint="eastAsia"/>
        </w:rPr>
        <w:t>.</w:t>
      </w:r>
      <w:r>
        <w:t>8</w:t>
      </w:r>
      <w:r>
        <w:rPr>
          <w:rFonts w:hint="eastAsia"/>
        </w:rPr>
        <w:t>条的规定。</w:t>
      </w:r>
    </w:p>
    <w:p w14:paraId="6D677D8C">
      <w:pPr>
        <w:pStyle w:val="6"/>
        <w:numPr>
          <w:ilvl w:val="2"/>
          <w:numId w:val="0"/>
        </w:numPr>
      </w:pPr>
      <w:r>
        <w:rPr>
          <w:rFonts w:hint="eastAsia"/>
          <w:color w:val="0070C0"/>
        </w:rPr>
        <w:t>【条文说明】空心墙模安装前，应做好工序交接检工作并核查支撑体系是否符合安装要求，全部检验合格后方可进行空心墙模安装。</w:t>
      </w:r>
    </w:p>
    <w:p w14:paraId="7E3BD6E6">
      <w:pPr>
        <w:pStyle w:val="6"/>
      </w:pPr>
      <w:r>
        <w:t>空心墙模的安装应</w:t>
      </w:r>
      <w:r>
        <w:rPr>
          <w:rFonts w:hint="eastAsia"/>
        </w:rPr>
        <w:t>符合</w:t>
      </w:r>
      <w:r>
        <w:t>下列</w:t>
      </w:r>
      <w:r>
        <w:rPr>
          <w:rFonts w:hint="eastAsia"/>
        </w:rPr>
        <w:t>要求</w:t>
      </w:r>
      <w:r>
        <w:t>：</w:t>
      </w:r>
    </w:p>
    <w:p w14:paraId="502ECC9C">
      <w:pPr>
        <w:pStyle w:val="7"/>
        <w:numPr>
          <w:ilvl w:val="0"/>
          <w:numId w:val="52"/>
        </w:numPr>
      </w:pPr>
      <w:r>
        <w:t>根据混凝土空心墙模构件排列图，在基础或楼板顶面上标出各空心墙模的位置控制线；</w:t>
      </w:r>
    </w:p>
    <w:p w14:paraId="362C5270">
      <w:pPr>
        <w:pStyle w:val="7"/>
      </w:pPr>
      <w:r>
        <w:rPr>
          <w:rFonts w:hint="eastAsia"/>
        </w:rPr>
        <w:t>安装施工前，应清洁结合面；</w:t>
      </w:r>
    </w:p>
    <w:p w14:paraId="3FAF73CB">
      <w:pPr>
        <w:pStyle w:val="7"/>
      </w:pPr>
      <w:r>
        <w:rPr>
          <w:rFonts w:hint="eastAsia"/>
        </w:rPr>
        <w:t>安装施工前，应检查复核吊装设备及吊具处于安全操作状态。</w:t>
      </w:r>
      <w:r>
        <w:t>空心墙模</w:t>
      </w:r>
      <w:r>
        <w:rPr>
          <w:rFonts w:hint="eastAsia"/>
        </w:rPr>
        <w:t>可在水平孔内贯通穿设横梁进行吊装；</w:t>
      </w:r>
    </w:p>
    <w:p w14:paraId="6CAA78E2">
      <w:pPr>
        <w:pStyle w:val="7"/>
      </w:pPr>
      <w:r>
        <w:rPr>
          <w:rFonts w:hint="eastAsia"/>
        </w:rPr>
        <w:t>安装施工前，空心墙模混凝土强度应符合设计强度；</w:t>
      </w:r>
    </w:p>
    <w:p w14:paraId="736E333D">
      <w:pPr>
        <w:pStyle w:val="7"/>
      </w:pPr>
      <w:r>
        <w:rPr>
          <w:rFonts w:hint="eastAsia"/>
        </w:rPr>
        <w:t>安装时应按照施工方案</w:t>
      </w:r>
      <w:r>
        <w:t>将</w:t>
      </w:r>
      <w:r>
        <w:rPr>
          <w:rFonts w:hint="eastAsia"/>
        </w:rPr>
        <w:t>空心墙模</w:t>
      </w:r>
      <w:r>
        <w:t>依次垂直吊装就位；</w:t>
      </w:r>
    </w:p>
    <w:p w14:paraId="426C1453">
      <w:pPr>
        <w:pStyle w:val="7"/>
      </w:pPr>
      <w:r>
        <w:t>空心墙模就位后，应及时</w:t>
      </w:r>
      <w:r>
        <w:rPr>
          <w:rFonts w:hint="eastAsia"/>
        </w:rPr>
        <w:t>用墙板高度调节装置调整空心墙模底部标高并采用穿墙螺栓将</w:t>
      </w:r>
      <w:r>
        <w:t>空心墙模</w:t>
      </w:r>
      <w:r>
        <w:rPr>
          <w:rFonts w:hint="eastAsia"/>
        </w:rPr>
        <w:t>与支撑架体的墙体龙骨</w:t>
      </w:r>
      <w:r>
        <w:t>固定</w:t>
      </w:r>
      <w:r>
        <w:rPr>
          <w:rFonts w:hint="eastAsia"/>
        </w:rPr>
        <w:t>，检查空心墙模垂直度及墙顶水平标高</w:t>
      </w:r>
      <w:r>
        <w:t>，应符合现行国家标准《混凝土结构工程施工规范》GB</w:t>
      </w:r>
      <w:r>
        <w:rPr>
          <w:rFonts w:hint="eastAsia"/>
        </w:rPr>
        <w:t xml:space="preserve"> </w:t>
      </w:r>
      <w:r>
        <w:t>50666的相关规定。</w:t>
      </w:r>
    </w:p>
    <w:p w14:paraId="4D06BFBD">
      <w:pPr>
        <w:pStyle w:val="6"/>
        <w:numPr>
          <w:ilvl w:val="2"/>
          <w:numId w:val="0"/>
        </w:numPr>
      </w:pPr>
      <w:r>
        <w:rPr>
          <w:rFonts w:hint="eastAsia"/>
          <w:color w:val="0070C0"/>
        </w:rPr>
        <w:t>【条文说明】空心墙模安装时应按照预先制定好的顺序依次吊装，安装时应采取可靠措施控制空心墙模位置，当某一轴线上的空心墙模就位完成后，应统一校正墙体垂直度、平整度，采取可靠的加固支撑措施固定混凝土空心墙模。</w:t>
      </w:r>
    </w:p>
    <w:p w14:paraId="6CC67C96">
      <w:pPr>
        <w:pStyle w:val="6"/>
      </w:pPr>
      <w:r>
        <w:rPr>
          <w:rFonts w:hint="eastAsia"/>
        </w:rPr>
        <w:t>空心墙模之间及其与相邻构件之间的接缝应采用配套模板进行封堵，应在接缝处采取可靠措施，防止空心墙模水平孔内穿设的墙体水平分布钢筋移位。空心墙模之间的接缝可采用</w:t>
      </w:r>
      <w:r>
        <w:fldChar w:fldCharType="begin"/>
      </w:r>
      <w:r>
        <w:instrText xml:space="preserve"> </w:instrText>
      </w:r>
      <w:r>
        <w:rPr>
          <w:rFonts w:hint="eastAsia"/>
        </w:rPr>
        <w:instrText xml:space="preserve">REF _Ref34318201 \h</w:instrText>
      </w:r>
      <w:r>
        <w:instrText xml:space="preserve">  \* MERGEFORMAT </w:instrText>
      </w:r>
      <w:r>
        <w:fldChar w:fldCharType="separate"/>
      </w:r>
      <w:r>
        <w:rPr>
          <w:rFonts w:hint="eastAsia"/>
        </w:rPr>
        <w:t>图</w:t>
      </w:r>
      <w:r>
        <w:t>9.2.7</w:t>
      </w:r>
      <w:r>
        <w:fldChar w:fldCharType="end"/>
      </w:r>
      <w:r>
        <w:rPr>
          <w:rFonts w:hint="eastAsia"/>
        </w:rPr>
        <w:t>所示的措施进行封堵。</w:t>
      </w:r>
    </w:p>
    <w:p w14:paraId="19E42A41">
      <w:pPr>
        <w:spacing w:before="156" w:beforeLines="50" w:line="240" w:lineRule="auto"/>
        <w:jc w:val="center"/>
        <w:rPr>
          <w:sz w:val="18"/>
          <w:szCs w:val="18"/>
        </w:rPr>
      </w:pPr>
      <w:r>
        <w:drawing>
          <wp:inline distT="0" distB="0" distL="114300" distR="114300">
            <wp:extent cx="1741170" cy="845820"/>
            <wp:effectExtent l="0" t="0" r="11430" b="1143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9"/>
                    <a:stretch>
                      <a:fillRect/>
                    </a:stretch>
                  </pic:blipFill>
                  <pic:spPr>
                    <a:xfrm>
                      <a:off x="0" y="0"/>
                      <a:ext cx="1741170" cy="845820"/>
                    </a:xfrm>
                    <a:prstGeom prst="rect">
                      <a:avLst/>
                    </a:prstGeom>
                    <a:noFill/>
                    <a:ln>
                      <a:noFill/>
                    </a:ln>
                  </pic:spPr>
                </pic:pic>
              </a:graphicData>
            </a:graphic>
          </wp:inline>
        </w:drawing>
      </w:r>
    </w:p>
    <w:p w14:paraId="66FCF1E5">
      <w:pPr>
        <w:pStyle w:val="71"/>
        <w:spacing w:before="78" w:after="78"/>
      </w:pPr>
      <w:bookmarkStart w:id="297" w:name="_Ref34318201"/>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9.2.7</w:t>
      </w:r>
      <w:r>
        <w:fldChar w:fldCharType="end"/>
      </w:r>
      <w:bookmarkEnd w:id="297"/>
      <w:r>
        <w:t xml:space="preserve">  </w:t>
      </w:r>
      <w:r>
        <w:rPr>
          <w:rFonts w:hint="eastAsia"/>
        </w:rPr>
        <w:t>空心墙模接缝构造</w:t>
      </w:r>
    </w:p>
    <w:p w14:paraId="72D04890">
      <w:pPr>
        <w:spacing w:before="78" w:beforeLines="25" w:after="78" w:afterLines="25" w:line="240" w:lineRule="auto"/>
        <w:jc w:val="center"/>
        <w:rPr>
          <w:rFonts w:hint="eastAsia"/>
          <w:sz w:val="16"/>
          <w:szCs w:val="21"/>
        </w:rPr>
      </w:pPr>
      <w:r>
        <w:rPr>
          <w:sz w:val="16"/>
          <w:szCs w:val="21"/>
        </w:rPr>
        <w:t>1—</w:t>
      </w:r>
      <w:r>
        <w:rPr>
          <w:rFonts w:hint="eastAsia"/>
          <w:sz w:val="16"/>
          <w:szCs w:val="21"/>
        </w:rPr>
        <w:t>空心墙模；</w:t>
      </w:r>
      <w:r>
        <w:rPr>
          <w:sz w:val="16"/>
          <w:szCs w:val="21"/>
        </w:rPr>
        <w:t>2—PVC</w:t>
      </w:r>
      <w:r>
        <w:rPr>
          <w:rFonts w:hint="eastAsia"/>
          <w:sz w:val="16"/>
          <w:szCs w:val="21"/>
        </w:rPr>
        <w:t>管或钢管；</w:t>
      </w:r>
      <w:r>
        <w:rPr>
          <w:sz w:val="16"/>
          <w:szCs w:val="21"/>
        </w:rPr>
        <w:t>3—</w:t>
      </w:r>
      <w:r>
        <w:rPr>
          <w:rFonts w:hint="eastAsia"/>
          <w:sz w:val="16"/>
          <w:szCs w:val="21"/>
        </w:rPr>
        <w:t>穿设的墙体水平分布钢筋；</w:t>
      </w:r>
      <w:r>
        <w:rPr>
          <w:sz w:val="16"/>
          <w:szCs w:val="21"/>
        </w:rPr>
        <w:t>4—</w:t>
      </w:r>
      <w:r>
        <w:rPr>
          <w:rFonts w:hint="eastAsia"/>
          <w:sz w:val="16"/>
          <w:szCs w:val="21"/>
        </w:rPr>
        <w:t>绑丝</w:t>
      </w:r>
    </w:p>
    <w:p w14:paraId="3F47B1A2">
      <w:pPr>
        <w:pStyle w:val="6"/>
        <w:numPr>
          <w:ilvl w:val="2"/>
          <w:numId w:val="0"/>
        </w:numPr>
        <w:rPr>
          <w:rFonts w:hint="eastAsia"/>
          <w:color w:val="0070C0"/>
        </w:rPr>
      </w:pPr>
      <w:r>
        <w:rPr>
          <w:rFonts w:hint="eastAsia"/>
          <w:color w:val="0070C0"/>
        </w:rPr>
        <w:t>【条文说明】空心墙模中穿设水平分布钢筋位于竖向分布钢筋内侧，因此应采取措施使水平钢筋尽量贴近孔壁并防止混凝土浇筑时钢筋移位。空心墙模之间留设宽20mm的竖向接缝，在接缝处可采用外径25mm圆管或者半圆形钢板等类似模具，用18#绑丝将水平孔内穿设的墙体水平钢筋与圆管或半圆形钢板紧固连接。</w:t>
      </w:r>
    </w:p>
    <w:p w14:paraId="5B5F9492">
      <w:pPr>
        <w:pStyle w:val="6"/>
        <w:numPr>
          <w:ilvl w:val="2"/>
          <w:numId w:val="0"/>
        </w:numPr>
        <w:ind w:firstLine="420" w:firstLineChars="200"/>
        <w:rPr>
          <w:rFonts w:hint="eastAsia"/>
          <w:sz w:val="16"/>
          <w:szCs w:val="21"/>
        </w:rPr>
      </w:pPr>
      <w:r>
        <w:rPr>
          <w:rFonts w:hint="eastAsia"/>
          <w:color w:val="0070C0"/>
        </w:rPr>
        <w:t>当接缝采用铝合金模板封堵时，封模前应在竖向接缝处采用专用卡具固定住墙体水平钢筋。</w:t>
      </w:r>
    </w:p>
    <w:p w14:paraId="46A9E87D">
      <w:pPr>
        <w:pStyle w:val="6"/>
      </w:pPr>
      <w:r>
        <w:rPr>
          <w:rFonts w:hint="eastAsia"/>
        </w:rPr>
        <w:t>固模楼承板安装前的准备应符合下列规定：</w:t>
      </w:r>
    </w:p>
    <w:p w14:paraId="32690A58">
      <w:pPr>
        <w:pStyle w:val="7"/>
        <w:numPr>
          <w:ilvl w:val="0"/>
          <w:numId w:val="53"/>
        </w:numPr>
      </w:pPr>
      <w:r>
        <w:t>固模楼承板安装前，</w:t>
      </w:r>
      <w:r>
        <w:rPr>
          <w:rFonts w:hint="eastAsia"/>
        </w:rPr>
        <w:t>应</w:t>
      </w:r>
      <w:r>
        <w:t>核对固模楼承板的型号、规格、尺寸、位置</w:t>
      </w:r>
      <w:r>
        <w:rPr>
          <w:rFonts w:hint="eastAsia"/>
        </w:rPr>
        <w:t>符合产品</w:t>
      </w:r>
      <w:r>
        <w:t>标准</w:t>
      </w:r>
      <w:r>
        <w:rPr>
          <w:rFonts w:hint="eastAsia"/>
        </w:rPr>
        <w:t>和设计图纸</w:t>
      </w:r>
      <w:r>
        <w:t>的有关规定</w:t>
      </w:r>
      <w:r>
        <w:rPr>
          <w:rFonts w:hint="eastAsia"/>
        </w:rPr>
        <w:t>并</w:t>
      </w:r>
      <w:r>
        <w:t>设置安装定位标识；</w:t>
      </w:r>
    </w:p>
    <w:p w14:paraId="24D8F52A">
      <w:pPr>
        <w:pStyle w:val="7"/>
        <w:numPr>
          <w:ilvl w:val="0"/>
          <w:numId w:val="41"/>
        </w:numPr>
      </w:pPr>
      <w:r>
        <w:rPr>
          <w:rFonts w:hint="eastAsia"/>
        </w:rPr>
        <w:t>固模楼承板铺装前应先对支架及龙骨做现场试验，当不满足施工模板强度和刚度要求时应减小次龙骨间距。当有可靠经验时可适当增大次龙骨间距；</w:t>
      </w:r>
    </w:p>
    <w:p w14:paraId="118710B4">
      <w:pPr>
        <w:pStyle w:val="7"/>
        <w:numPr>
          <w:ilvl w:val="0"/>
          <w:numId w:val="41"/>
        </w:numPr>
      </w:pPr>
      <w:r>
        <w:rPr>
          <w:rFonts w:hint="eastAsia"/>
        </w:rPr>
        <w:t>固模楼承板吊点宜设置在钢筋桁架上弦与腹筋的交叉点上，吊点应对称布置且不应少于4个，吊点间距不应大于2400mm，当吊点数量大于4个时，应采用专用吊具。吊具与固模楼承板重心在垂直方向上应重合，吊索与固模楼承板水平夹角不宜小于60</w:t>
      </w:r>
      <w:r>
        <w:t>°</w:t>
      </w:r>
      <w:r>
        <w:rPr>
          <w:rFonts w:hint="eastAsia"/>
        </w:rPr>
        <w:t>，不应小于45</w:t>
      </w:r>
      <w:r>
        <w:t>°</w:t>
      </w:r>
      <w:r>
        <w:rPr>
          <w:rFonts w:hint="eastAsia"/>
        </w:rPr>
        <w:t>。</w:t>
      </w:r>
    </w:p>
    <w:p w14:paraId="260661F9">
      <w:pPr>
        <w:pStyle w:val="6"/>
        <w:numPr>
          <w:ilvl w:val="2"/>
          <w:numId w:val="0"/>
        </w:numPr>
      </w:pPr>
      <w:r>
        <w:rPr>
          <w:rFonts w:hint="eastAsia"/>
          <w:color w:val="0070C0"/>
        </w:rPr>
        <w:t>【条文说明】TC板支撑龙骨的间距与固模底板的厚度、弹性模量、静曲强度等密切相关，施工前应根据底板的材性做好支撑方案的计算，必要时应进行现场试验验证支撑方案的可行性。</w:t>
      </w:r>
    </w:p>
    <w:p w14:paraId="2DA1FA99">
      <w:pPr>
        <w:pStyle w:val="6"/>
      </w:pPr>
      <w:r>
        <w:t>固模楼承板</w:t>
      </w:r>
      <w:r>
        <w:rPr>
          <w:rFonts w:hint="eastAsia"/>
        </w:rPr>
        <w:t>安装应符合下列规定：</w:t>
      </w:r>
    </w:p>
    <w:p w14:paraId="3E63CC71">
      <w:pPr>
        <w:pStyle w:val="7"/>
        <w:numPr>
          <w:ilvl w:val="0"/>
          <w:numId w:val="54"/>
        </w:numPr>
      </w:pPr>
      <w:r>
        <w:rPr>
          <w:rFonts w:hint="eastAsia"/>
        </w:rPr>
        <w:t>固模楼承板吊装时，吊钩宜同时勾住桁架下弦钢筋和钢筋焊接网片的横筋；当有可靠经验时吊钩可勾住桁架上弦钢筋及腹筋。吊装应慢起慢落，避免与其他物体碰撞；</w:t>
      </w:r>
    </w:p>
    <w:p w14:paraId="6E9E2684">
      <w:pPr>
        <w:pStyle w:val="7"/>
        <w:numPr>
          <w:ilvl w:val="0"/>
          <w:numId w:val="41"/>
        </w:numPr>
      </w:pPr>
      <w:r>
        <w:rPr>
          <w:rFonts w:hint="eastAsia"/>
        </w:rPr>
        <w:t>铺装时根据固模楼承板平面布置图，从房间的一侧开始，沿安装方向逐块密拼铺设，相邻固模楼承板间不留缝隙，将板宽误差集中到一侧支座或现场拼板处。密拼板缝宽度大于3mm时应采用封堵措施防止混凝土浇筑时漏浆；</w:t>
      </w:r>
    </w:p>
    <w:p w14:paraId="297FE3F1">
      <w:pPr>
        <w:pStyle w:val="7"/>
        <w:numPr>
          <w:ilvl w:val="0"/>
          <w:numId w:val="41"/>
        </w:numPr>
      </w:pPr>
      <w:r>
        <w:rPr>
          <w:rFonts w:hint="eastAsia"/>
        </w:rPr>
        <w:t>固模楼承板铺装时，应注意安装方向，避免方向装反。外伸钢筋伸入支座时</w:t>
      </w:r>
      <w:r>
        <w:t>，</w:t>
      </w:r>
      <w:r>
        <w:rPr>
          <w:rFonts w:hint="eastAsia"/>
        </w:rPr>
        <w:t>预留筋不宜弯折</w:t>
      </w:r>
      <w:r>
        <w:t>；</w:t>
      </w:r>
    </w:p>
    <w:p w14:paraId="42FE72BA">
      <w:pPr>
        <w:pStyle w:val="7"/>
        <w:numPr>
          <w:ilvl w:val="0"/>
          <w:numId w:val="41"/>
        </w:numPr>
      </w:pPr>
      <w:r>
        <w:rPr>
          <w:rFonts w:hint="eastAsia"/>
        </w:rPr>
        <w:t>固模楼承板铺装时，应保证同一房间所有固模楼承板的钢筋桁架腹筋的波峰波谷位置对齐，便于横向穿设钢筋或设备管线；</w:t>
      </w:r>
    </w:p>
    <w:p w14:paraId="7F2F74B1">
      <w:pPr>
        <w:pStyle w:val="7"/>
        <w:numPr>
          <w:ilvl w:val="0"/>
          <w:numId w:val="41"/>
        </w:numPr>
      </w:pPr>
      <w:r>
        <w:rPr>
          <w:rFonts w:hint="eastAsia"/>
        </w:rPr>
        <w:t>铺设楼板上筋时，应特别注意根据楼板现浇混凝土层厚度与桁架高度的关系，采用正确的楼板上筋设置方式；</w:t>
      </w:r>
    </w:p>
    <w:p w14:paraId="0DA20298">
      <w:pPr>
        <w:pStyle w:val="7"/>
        <w:numPr>
          <w:ilvl w:val="0"/>
          <w:numId w:val="41"/>
        </w:numPr>
      </w:pPr>
      <w:r>
        <w:rPr>
          <w:rFonts w:hint="eastAsia"/>
        </w:rPr>
        <w:t>风力６级及以上应停止安装，未浇筑混凝土特别是未绑扎上筋的固模楼承板应予以固定或压重，避免固模楼承板被大风掀起，造成安全事故或损坏固模楼承板；</w:t>
      </w:r>
    </w:p>
    <w:p w14:paraId="734BE501">
      <w:pPr>
        <w:pStyle w:val="7"/>
        <w:numPr>
          <w:ilvl w:val="0"/>
          <w:numId w:val="41"/>
        </w:numPr>
      </w:pPr>
      <w:r>
        <w:rPr>
          <w:rFonts w:hint="eastAsia"/>
        </w:rPr>
        <w:t>施工均布荷载不宜大于</w:t>
      </w:r>
      <w:r>
        <w:t>2</w:t>
      </w:r>
      <w:r>
        <w:rPr>
          <w:rFonts w:hint="eastAsia"/>
        </w:rPr>
        <w:t>.</w:t>
      </w:r>
      <w:r>
        <w:t>0</w:t>
      </w:r>
      <w:r>
        <w:rPr>
          <w:rFonts w:hint="eastAsia"/>
        </w:rPr>
        <w:t>kN/m</w:t>
      </w:r>
      <w:r>
        <w:rPr>
          <w:rFonts w:hint="eastAsia"/>
          <w:vertAlign w:val="superscript"/>
        </w:rPr>
        <w:t>2</w:t>
      </w:r>
      <w:r>
        <w:rPr>
          <w:rFonts w:hint="eastAsia"/>
        </w:rPr>
        <w:t>，铺设完成的固模楼承板上，应避免堆积过大的集中荷载。不可避免时应采取加强支撑措施，应征得设计人员同意；</w:t>
      </w:r>
    </w:p>
    <w:p w14:paraId="320FBE69">
      <w:pPr>
        <w:pStyle w:val="7"/>
        <w:numPr>
          <w:ilvl w:val="0"/>
          <w:numId w:val="41"/>
        </w:numPr>
      </w:pPr>
      <w:r>
        <w:rPr>
          <w:rFonts w:hint="eastAsia"/>
        </w:rPr>
        <w:t>宽度小于600mm的非标板宜采用现场拼板方式原位制作；当工厂无条件生产非标板时，宽度不小于600mm的非标板也可在现场拼板。</w:t>
      </w:r>
    </w:p>
    <w:p w14:paraId="13572FDB">
      <w:pPr>
        <w:pStyle w:val="6"/>
        <w:numPr>
          <w:ilvl w:val="2"/>
          <w:numId w:val="0"/>
        </w:numPr>
      </w:pPr>
      <w:r>
        <w:rPr>
          <w:rFonts w:hint="eastAsia"/>
          <w:color w:val="0070C0"/>
        </w:rPr>
        <w:t>【条文说明】当TC板桁架下弦钢筋和钢筋焊接网片的连接牢靠且有工程经验时，TC板吊装时吊钩可勾住桁架上弦钢筋及腹筋。铺设完成的固模楼承板上，应避免堆积过大的集中荷载，如大型构件、大型设备等。</w:t>
      </w:r>
    </w:p>
    <w:p w14:paraId="589445D1">
      <w:pPr>
        <w:pStyle w:val="6"/>
      </w:pPr>
      <w:r>
        <w:rPr>
          <w:rFonts w:hint="eastAsia"/>
        </w:rPr>
        <w:t>施工现场宜利用固模楼承板间的拼缝采用成品线槽布置电气管线。不可避免需要在固模楼承板上开洞时应符合下列要求：</w:t>
      </w:r>
    </w:p>
    <w:p w14:paraId="5E88B0FF">
      <w:pPr>
        <w:pStyle w:val="7"/>
        <w:numPr>
          <w:ilvl w:val="0"/>
          <w:numId w:val="55"/>
        </w:numPr>
      </w:pPr>
      <w:r>
        <w:rPr>
          <w:rFonts w:hint="eastAsia"/>
        </w:rPr>
        <w:t>对于线盒等尺寸较小的洞口，优先设置在网片钢筋的网格之间，用专用开孔器现场开孔，应避免截断钢筋；</w:t>
      </w:r>
    </w:p>
    <w:p w14:paraId="11A8AEE6">
      <w:pPr>
        <w:pStyle w:val="7"/>
        <w:numPr>
          <w:ilvl w:val="0"/>
          <w:numId w:val="55"/>
        </w:numPr>
      </w:pPr>
      <w:r>
        <w:rPr>
          <w:rFonts w:hint="eastAsia"/>
        </w:rPr>
        <w:t>对无法避开钢筋且边长或直径小于300mm的洞口，可在现场用专业工具切断钢筋（包括桁架钢筋）后再切割底板；并在洞口各边设置补强钢筋；</w:t>
      </w:r>
    </w:p>
    <w:p w14:paraId="6B0ED674">
      <w:pPr>
        <w:pStyle w:val="7"/>
        <w:numPr>
          <w:ilvl w:val="0"/>
          <w:numId w:val="55"/>
        </w:numPr>
      </w:pPr>
      <w:r>
        <w:rPr>
          <w:rFonts w:hint="eastAsia"/>
        </w:rPr>
        <w:t>被切断钢筋端头距离洞口边的距离、补强钢筋距离洞口边不应小于15mm；</w:t>
      </w:r>
    </w:p>
    <w:p w14:paraId="2764FAC7">
      <w:pPr>
        <w:pStyle w:val="7"/>
        <w:numPr>
          <w:ilvl w:val="0"/>
          <w:numId w:val="55"/>
        </w:numPr>
      </w:pPr>
      <w:r>
        <w:rPr>
          <w:rFonts w:hint="eastAsia"/>
        </w:rPr>
        <w:t>切割底板应尽量避开连接件位置，当无法避开连接件时，切割洞口后应在洞口四周适当补设连接件；</w:t>
      </w:r>
    </w:p>
    <w:p w14:paraId="2A577442">
      <w:pPr>
        <w:pStyle w:val="7"/>
        <w:numPr>
          <w:ilvl w:val="0"/>
          <w:numId w:val="55"/>
        </w:numPr>
      </w:pPr>
      <w:r>
        <w:rPr>
          <w:rFonts w:hint="eastAsia"/>
        </w:rPr>
        <w:t>当楼板上有开洞且洞口尺寸大于300mm的洞口区域的非标板宜采用现场拼板方式原位制作。</w:t>
      </w:r>
    </w:p>
    <w:p w14:paraId="48236527">
      <w:pPr>
        <w:pStyle w:val="6"/>
        <w:numPr>
          <w:ilvl w:val="2"/>
          <w:numId w:val="0"/>
        </w:numPr>
      </w:pPr>
      <w:r>
        <w:rPr>
          <w:rFonts w:hint="eastAsia"/>
          <w:color w:val="0070C0"/>
        </w:rPr>
        <w:t>【条文说明】装配式建筑设计推荐结构与管线分离的方式，避免在结构构件上打孔开洞，以提高结构构件的使用寿命。对未采用管线分离技术的固模楼承板，宜在工厂预先进行设备管线及线盒的打孔开洞。在施工现场不可避免需要开洞时，应在浇筑混凝土前进行，应尽量避免在TC板浇筑混凝土后进行开洞、开槽。底板开洞、开槽时应防止破坏连接件或形成无连接件的底板区格，严防使用过程中底板脱落。</w:t>
      </w:r>
    </w:p>
    <w:p w14:paraId="3413A411">
      <w:pPr>
        <w:pStyle w:val="6"/>
      </w:pPr>
      <w:r>
        <w:rPr>
          <w:rFonts w:hint="eastAsia"/>
        </w:rPr>
        <w:t>预制阳台、空调机板安装前应设置防倾覆支撑。阳台、空调机板预留锚固钢筋应伸入楼板或墙体后浇部位，与后浇混凝土连成整体。</w:t>
      </w:r>
    </w:p>
    <w:p w14:paraId="0FF81F8F">
      <w:pPr>
        <w:pStyle w:val="6"/>
      </w:pPr>
      <w:r>
        <w:rPr>
          <w:rFonts w:hint="eastAsia"/>
        </w:rPr>
        <w:t>预制楼梯与梁板采用预埋件焊接连接或预留孔连接时，应先施工梁板，后放置楼梯段；采用锚固钢筋连接时，应先放置楼梯段，后施工梁板。</w:t>
      </w:r>
    </w:p>
    <w:p w14:paraId="530D7001">
      <w:pPr>
        <w:pStyle w:val="5"/>
        <w:numPr>
          <w:ilvl w:val="1"/>
          <w:numId w:val="48"/>
        </w:numPr>
        <w:spacing w:before="156" w:beforeLines="50" w:after="156"/>
      </w:pPr>
      <w:bookmarkStart w:id="298" w:name="_Toc129374388"/>
      <w:bookmarkStart w:id="299" w:name="_Toc61254088"/>
      <w:bookmarkStart w:id="300" w:name="_Toc14631"/>
      <w:bookmarkStart w:id="301" w:name="_Toc61254045"/>
      <w:r>
        <w:rPr>
          <w:rFonts w:hint="eastAsia"/>
        </w:rPr>
        <w:t>模板工程</w:t>
      </w:r>
      <w:bookmarkEnd w:id="298"/>
      <w:bookmarkEnd w:id="299"/>
      <w:bookmarkEnd w:id="300"/>
      <w:bookmarkEnd w:id="301"/>
    </w:p>
    <w:p w14:paraId="327D8DAB">
      <w:pPr>
        <w:pStyle w:val="6"/>
      </w:pPr>
      <w:r>
        <w:rPr>
          <w:rFonts w:hint="eastAsia"/>
        </w:rPr>
        <w:t>固模剪力墙结构施工模板与支架应根据施工过程中的各种工况进行设计，应具有足够的承载力、刚度并保证其整体稳定性，确保施工质量和安全。</w:t>
      </w:r>
    </w:p>
    <w:p w14:paraId="7BD211F5">
      <w:pPr>
        <w:pStyle w:val="6"/>
        <w:numPr>
          <w:ilvl w:val="2"/>
          <w:numId w:val="0"/>
        </w:numPr>
      </w:pPr>
      <w:r>
        <w:rPr>
          <w:rFonts w:hint="eastAsia"/>
          <w:color w:val="0070C0"/>
        </w:rPr>
        <w:t>【条文说明】固模剪力墙结构的模板与支架应根据工程结构形式、预制构件类型、荷载大小、施工设备和材料供应等条件确定，本条中所要求的各种工况应由施工单位根据工程具体情况确定，以确保模板与支架稳固可靠。</w:t>
      </w:r>
    </w:p>
    <w:p w14:paraId="7B377C3A">
      <w:pPr>
        <w:pStyle w:val="6"/>
      </w:pPr>
      <w:r>
        <w:rPr>
          <w:rFonts w:hint="eastAsia"/>
        </w:rPr>
        <w:t>固模剪力墙结构施工模板与支架应保证工程结构和构件的各部分形状尺寸、相对位置的准确，应便于钢筋安装和混凝土浇筑、养护。</w:t>
      </w:r>
    </w:p>
    <w:p w14:paraId="30687CC0">
      <w:pPr>
        <w:pStyle w:val="6"/>
      </w:pPr>
      <w:r>
        <w:rPr>
          <w:rFonts w:hint="eastAsia"/>
        </w:rPr>
        <w:t>预制构件宜预留与模板及加固龙骨连接用的孔洞、螺栓，预留位置应与模板模数及加固龙骨位置相符并便于模板安装。</w:t>
      </w:r>
    </w:p>
    <w:p w14:paraId="60382D2F">
      <w:pPr>
        <w:pStyle w:val="6"/>
        <w:numPr>
          <w:ilvl w:val="2"/>
          <w:numId w:val="0"/>
        </w:numPr>
      </w:pPr>
      <w:r>
        <w:rPr>
          <w:rFonts w:hint="eastAsia"/>
          <w:color w:val="0070C0"/>
        </w:rPr>
        <w:t>【条文说明】用立模生产的空心墙模难以预留与模板及支架连接用的孔洞或螺栓，可在空心墙模吊装前进行二次加工。采用平模生产时可在制作的同时预留预埋。</w:t>
      </w:r>
    </w:p>
    <w:p w14:paraId="61F59D43">
      <w:pPr>
        <w:pStyle w:val="6"/>
      </w:pPr>
      <w:r>
        <w:rPr>
          <w:rFonts w:hint="eastAsia"/>
        </w:rPr>
        <w:t>空心墙模底部与楼板之间以及墙体端部现浇边缘构件后浇部位的混凝土模板宜选用工具式定型模板并与预制构件可靠连接，模板安装应牢固，模板拼缝应严密、平整、不漏浆。</w:t>
      </w:r>
    </w:p>
    <w:p w14:paraId="4D4C2739">
      <w:pPr>
        <w:pStyle w:val="6"/>
        <w:numPr>
          <w:ilvl w:val="2"/>
          <w:numId w:val="0"/>
        </w:numPr>
      </w:pPr>
      <w:r>
        <w:rPr>
          <w:rFonts w:hint="eastAsia"/>
          <w:color w:val="0070C0"/>
        </w:rPr>
        <w:t>【条文说明】空心墙模底部及墙体边缘构件模板安装作业面狭小，不易操作，宜使用工具式定型模板，可提高工作效率，定型模板周转次数高，成本低。</w:t>
      </w:r>
    </w:p>
    <w:p w14:paraId="7549C4A9">
      <w:pPr>
        <w:pStyle w:val="6"/>
      </w:pPr>
      <w:r>
        <w:rPr>
          <w:rFonts w:hint="eastAsia"/>
        </w:rPr>
        <w:t>墙体后浇部位的混凝土模板表面应涂刷脱模剂，宜选用水性脱模剂，严禁脱模剂污染钢筋及混凝土接茬处，脱模剂不应影响脱模后混凝土的表面观感及饰面施工。</w:t>
      </w:r>
    </w:p>
    <w:p w14:paraId="02DCF26B">
      <w:pPr>
        <w:pStyle w:val="6"/>
      </w:pPr>
      <w:r>
        <w:rPr>
          <w:rFonts w:hint="eastAsia"/>
        </w:rPr>
        <w:t>固模剪力墙结构在现场浇筑混凝土前，应将空心墙模内、墙体边缘构件模板内以及固模楼承板表面的杂物清理干净。</w:t>
      </w:r>
    </w:p>
    <w:p w14:paraId="3251E50B">
      <w:pPr>
        <w:pStyle w:val="6"/>
      </w:pPr>
      <w:bookmarkStart w:id="302" w:name="_Ref54619799"/>
      <w:r>
        <w:t>固模</w:t>
      </w:r>
      <w:r>
        <w:rPr>
          <w:rFonts w:hint="eastAsia"/>
        </w:rPr>
        <w:t>剪力墙结构及楼承板支撑体系宜选用铝合金模板支撑体系，也可采用切实可行的其它支撑方案。当选用铝合金模板支撑体系（图9.</w:t>
      </w:r>
      <w:r>
        <w:t>3</w:t>
      </w:r>
      <w:r>
        <w:rPr>
          <w:rFonts w:hint="eastAsia"/>
        </w:rPr>
        <w:t>.</w:t>
      </w:r>
      <w:r>
        <w:t>7</w:t>
      </w:r>
      <w:r>
        <w:rPr>
          <w:rFonts w:hint="eastAsia"/>
        </w:rPr>
        <w:t>-1）时，应符合下列要求：</w:t>
      </w:r>
      <w:bookmarkEnd w:id="302"/>
    </w:p>
    <w:p w14:paraId="36782BCD">
      <w:pPr>
        <w:pStyle w:val="86"/>
        <w:spacing w:before="156"/>
        <w:rPr>
          <w:lang w:eastAsia="zh-CN"/>
        </w:rPr>
      </w:pPr>
      <w:r>
        <w:rPr>
          <w:lang w:eastAsia="zh-CN"/>
        </w:rPr>
        <w:drawing>
          <wp:inline distT="0" distB="0" distL="114300" distR="114300">
            <wp:extent cx="3739515" cy="1982470"/>
            <wp:effectExtent l="0" t="0" r="13335" b="17780"/>
            <wp:docPr id="85"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1"/>
                    <pic:cNvPicPr>
                      <a:picLocks noChangeAspect="1"/>
                    </pic:cNvPicPr>
                  </pic:nvPicPr>
                  <pic:blipFill>
                    <a:blip r:embed="rId90"/>
                    <a:stretch>
                      <a:fillRect/>
                    </a:stretch>
                  </pic:blipFill>
                  <pic:spPr>
                    <a:xfrm>
                      <a:off x="0" y="0"/>
                      <a:ext cx="3739515" cy="1982470"/>
                    </a:xfrm>
                    <a:prstGeom prst="rect">
                      <a:avLst/>
                    </a:prstGeom>
                    <a:noFill/>
                    <a:ln>
                      <a:noFill/>
                    </a:ln>
                  </pic:spPr>
                </pic:pic>
              </a:graphicData>
            </a:graphic>
          </wp:inline>
        </w:drawing>
      </w:r>
    </w:p>
    <w:p w14:paraId="52BA07D5">
      <w:pPr>
        <w:pStyle w:val="71"/>
        <w:spacing w:before="78" w:after="78"/>
      </w:pPr>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9.3.7</w:t>
      </w:r>
      <w:r>
        <w:fldChar w:fldCharType="end"/>
      </w:r>
      <w:r>
        <w:noBreakHyphen/>
      </w:r>
      <w:r>
        <w:rPr>
          <w:rFonts w:hint="eastAsia"/>
        </w:rPr>
        <w:t>1铝合金模板支撑体系示意图</w:t>
      </w:r>
    </w:p>
    <w:p w14:paraId="780B892F">
      <w:pPr>
        <w:pStyle w:val="7"/>
        <w:numPr>
          <w:ilvl w:val="0"/>
          <w:numId w:val="56"/>
        </w:numPr>
      </w:pPr>
      <w:r>
        <w:rPr>
          <w:rFonts w:hint="eastAsia"/>
        </w:rPr>
        <w:t>立杆宜选用盘扣式自稳定脚手架体系并将其作为支撑系统的安装基准；</w:t>
      </w:r>
    </w:p>
    <w:p w14:paraId="7752250B">
      <w:pPr>
        <w:pStyle w:val="7"/>
      </w:pPr>
      <w:r>
        <w:rPr>
          <w:rFonts w:hint="eastAsia"/>
        </w:rPr>
        <w:t>安装各房间的盘扣脚手架立杆体系和墙线地面投影外廓线位置的底部铝角；然后分区域依次按顺序（</w:t>
      </w:r>
      <w:r>
        <w:fldChar w:fldCharType="begin"/>
      </w:r>
      <w:r>
        <w:rPr>
          <w:rFonts w:hint="eastAsia"/>
        </w:rPr>
        <w:instrText xml:space="preserve">REF _Ref54624425 \h</w:instrText>
      </w:r>
      <w:r>
        <w:instrText xml:space="preserve"> \* MERGEFORMAT </w:instrText>
      </w:r>
      <w:r>
        <w:fldChar w:fldCharType="separate"/>
      </w:r>
      <w:r>
        <w:rPr>
          <w:rFonts w:hint="eastAsia"/>
        </w:rPr>
        <w:t>图</w:t>
      </w:r>
      <w:r>
        <w:t>9.3.7</w:t>
      </w:r>
      <w:r>
        <w:noBreakHyphen/>
      </w:r>
      <w:r>
        <w:fldChar w:fldCharType="end"/>
      </w:r>
      <w:r>
        <w:rPr>
          <w:rFonts w:hint="eastAsia"/>
        </w:rPr>
        <w:t>2）安装支撑部件和墙体构件；</w:t>
      </w:r>
    </w:p>
    <w:p w14:paraId="385BDD5F">
      <w:pPr>
        <w:pStyle w:val="7"/>
      </w:pPr>
      <w:r>
        <w:rPr>
          <w:rFonts w:hint="eastAsia"/>
        </w:rPr>
        <w:t>以铝合金墙模板的底部铝角作为</w:t>
      </w:r>
      <w:r>
        <w:t>空心墙模</w:t>
      </w:r>
      <w:r>
        <w:rPr>
          <w:rFonts w:hint="eastAsia"/>
        </w:rPr>
        <w:t>的底部平面限位装置，用来精确定位</w:t>
      </w:r>
      <w:r>
        <w:t>空心墙模</w:t>
      </w:r>
      <w:r>
        <w:rPr>
          <w:rFonts w:hint="eastAsia"/>
        </w:rPr>
        <w:t>的平面位置；底部铝角通过垫木和膨胀螺栓与基层固定；</w:t>
      </w:r>
    </w:p>
    <w:p w14:paraId="39ED09AE">
      <w:pPr>
        <w:pStyle w:val="7"/>
      </w:pPr>
      <w:r>
        <w:rPr>
          <w:rFonts w:hint="eastAsia"/>
        </w:rPr>
        <w:t>以铝合金墙模板的顶部铝合金阴角模板作为</w:t>
      </w:r>
      <w:r>
        <w:t>空心墙模</w:t>
      </w:r>
      <w:r>
        <w:rPr>
          <w:rFonts w:hint="eastAsia"/>
        </w:rPr>
        <w:t>的顶部平面限位装置和固模楼承板的底部支撑，用来精确定位</w:t>
      </w:r>
      <w:r>
        <w:t>空心墙模</w:t>
      </w:r>
      <w:r>
        <w:rPr>
          <w:rFonts w:hint="eastAsia"/>
        </w:rPr>
        <w:t>的顶部平面位置和支撑顶面固模楼承板，空心墙模顶部两侧均应设置铝合金阴角模板，采用穿墙栓对拉方式连接；</w:t>
      </w:r>
    </w:p>
    <w:p w14:paraId="29F36B7E">
      <w:pPr>
        <w:pStyle w:val="86"/>
        <w:spacing w:before="156"/>
      </w:pPr>
      <w:r>
        <w:rPr>
          <w:lang w:val="en-US" w:eastAsia="zh-CN"/>
        </w:rPr>
        <w:drawing>
          <wp:inline distT="0" distB="0" distL="114300" distR="114300">
            <wp:extent cx="3744595" cy="1559560"/>
            <wp:effectExtent l="0" t="0" r="8255" b="254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91"/>
                    <a:stretch>
                      <a:fillRect/>
                    </a:stretch>
                  </pic:blipFill>
                  <pic:spPr>
                    <a:xfrm>
                      <a:off x="0" y="0"/>
                      <a:ext cx="3744595" cy="1559560"/>
                    </a:xfrm>
                    <a:prstGeom prst="rect">
                      <a:avLst/>
                    </a:prstGeom>
                    <a:noFill/>
                    <a:ln>
                      <a:noFill/>
                    </a:ln>
                  </pic:spPr>
                </pic:pic>
              </a:graphicData>
            </a:graphic>
          </wp:inline>
        </w:drawing>
      </w:r>
    </w:p>
    <w:p w14:paraId="3FE56C55">
      <w:pPr>
        <w:pStyle w:val="64"/>
        <w:spacing w:before="78" w:after="78"/>
      </w:pPr>
      <w:bookmarkStart w:id="303" w:name="_Ref54624425"/>
      <w:bookmarkStart w:id="304" w:name="_Ref54624129"/>
      <w:r>
        <w:rPr>
          <w:rFonts w:hint="eastAsia"/>
        </w:rPr>
        <w:t>图</w:t>
      </w:r>
      <w:r>
        <w:fldChar w:fldCharType="begin"/>
      </w:r>
      <w:r>
        <w:instrText xml:space="preserve"> </w:instrText>
      </w:r>
      <w:r>
        <w:rPr>
          <w:rFonts w:hint="eastAsia"/>
        </w:rPr>
        <w:instrText xml:space="preserve">STYLEREF 3 \s</w:instrText>
      </w:r>
      <w:r>
        <w:instrText xml:space="preserve"> </w:instrText>
      </w:r>
      <w:r>
        <w:fldChar w:fldCharType="separate"/>
      </w:r>
      <w:r>
        <w:t>9.3.7</w:t>
      </w:r>
      <w:r>
        <w:fldChar w:fldCharType="end"/>
      </w:r>
      <w:r>
        <w:noBreakHyphen/>
      </w:r>
      <w:bookmarkEnd w:id="303"/>
      <w:r>
        <w:rPr>
          <w:rFonts w:hint="eastAsia"/>
        </w:rPr>
        <w:t>2</w:t>
      </w:r>
      <w:r>
        <w:t xml:space="preserve"> </w:t>
      </w:r>
      <w:r>
        <w:rPr>
          <w:rFonts w:hint="eastAsia"/>
        </w:rPr>
        <w:t>铝合金模板支撑体系安装顺序</w:t>
      </w:r>
      <w:bookmarkEnd w:id="304"/>
    </w:p>
    <w:p w14:paraId="39321BA4">
      <w:pPr>
        <w:pStyle w:val="7"/>
      </w:pPr>
      <w:r>
        <w:rPr>
          <w:rFonts w:hint="eastAsia"/>
        </w:rPr>
        <w:t>在铝合金墙模板的底角与铝合金墙模板的顶部阴角之间，在空心墙模拼缝处最大间隔1</w:t>
      </w:r>
      <w:r>
        <w:t>200</w:t>
      </w:r>
      <w:r>
        <w:rPr>
          <w:rFonts w:hint="eastAsia"/>
        </w:rPr>
        <w:t>mm安装一道100mm宽铝合金墙模，用穿墙螺栓拉紧，作为贴墙的竖向支撑和</w:t>
      </w:r>
      <w:r>
        <w:t>空心墙模</w:t>
      </w:r>
      <w:r>
        <w:rPr>
          <w:rFonts w:hint="eastAsia"/>
        </w:rPr>
        <w:t>间拼缝的封堵模板；</w:t>
      </w:r>
    </w:p>
    <w:p w14:paraId="241DD5E4">
      <w:pPr>
        <w:pStyle w:val="7"/>
      </w:pPr>
      <w:r>
        <w:rPr>
          <w:rFonts w:hint="eastAsia"/>
        </w:rPr>
        <w:t>房间的角部，根据需要，配置相应尺寸的铝合金角模，作为角部的竖向支撑和边缘构件模板；</w:t>
      </w:r>
    </w:p>
    <w:p w14:paraId="2BE75630">
      <w:pPr>
        <w:pStyle w:val="7"/>
      </w:pPr>
      <w:r>
        <w:rPr>
          <w:rFonts w:hint="eastAsia"/>
        </w:rPr>
        <w:t>水平支撑方案采用铝合金模板水平支撑系统，快拆梁轴线间距1200mm，根据需要，在必要部位安装铝合金模板顶板作为封堵；</w:t>
      </w:r>
    </w:p>
    <w:p w14:paraId="1CFCCD87">
      <w:pPr>
        <w:pStyle w:val="7"/>
      </w:pPr>
      <w:r>
        <w:rPr>
          <w:rFonts w:hint="eastAsia"/>
        </w:rPr>
        <w:t>在墙体模板的中间偏上位置安装一道通长的水平龙骨，每道水平龙骨安装至少两件斜支撑，斜支撑最大间距不应大于2000mm，用来调整墙体的平整度和整体垂直度。边缘构件部位的模板背楞不少于4道。</w:t>
      </w:r>
    </w:p>
    <w:p w14:paraId="232BC5D2">
      <w:pPr>
        <w:pStyle w:val="6"/>
        <w:numPr>
          <w:ilvl w:val="2"/>
          <w:numId w:val="0"/>
        </w:numPr>
        <w:rPr>
          <w:rFonts w:hint="eastAsia"/>
          <w:color w:val="0070C0"/>
        </w:rPr>
      </w:pPr>
      <w:r>
        <w:rPr>
          <w:rFonts w:hint="eastAsia"/>
          <w:color w:val="0070C0"/>
        </w:rPr>
        <w:t>【条文说明】在装配式建筑及绿色建筑评价标准中都规定应选用高精度、高周转率、高回收率的模板和支撑体系，铝合金模板体系是满足上述要求的一种很好的模板和支撑体系，而它又能很好满足混凝土浇筑工艺所需的力学性能要求和混凝土成品质量的要求，因此推荐采用铝合金模板体系。</w:t>
      </w:r>
    </w:p>
    <w:p w14:paraId="316E7A42">
      <w:pPr>
        <w:pStyle w:val="6"/>
        <w:numPr>
          <w:ilvl w:val="2"/>
          <w:numId w:val="0"/>
        </w:numPr>
        <w:ind w:firstLine="420" w:firstLineChars="200"/>
      </w:pPr>
      <w:r>
        <w:rPr>
          <w:rFonts w:hint="eastAsia"/>
          <w:color w:val="0070C0"/>
        </w:rPr>
        <w:t>当空心墙模接缝处采用铝合金模板封堵时，封模前应在竖向接缝处采用专用卡具固定住墙体穿设的水平分布钢筋。</w:t>
      </w:r>
    </w:p>
    <w:p w14:paraId="2DF4E5D0">
      <w:pPr>
        <w:pStyle w:val="6"/>
      </w:pPr>
      <w:bookmarkStart w:id="305" w:name="_Ref62639853"/>
      <w:r>
        <w:rPr>
          <w:rFonts w:hint="eastAsia"/>
        </w:rPr>
        <w:t>固模剪力墙结构的模板也可采用其他满足要求的模板，墙体及楼承板的支撑可选用扣件式钢管脚手架支撑体系或盘销式钢管脚手架支撑体系（图9.</w:t>
      </w:r>
      <w:r>
        <w:t>3</w:t>
      </w:r>
      <w:r>
        <w:rPr>
          <w:rFonts w:hint="eastAsia"/>
        </w:rPr>
        <w:t>.</w:t>
      </w:r>
      <w:r>
        <w:t>8</w:t>
      </w:r>
      <w:r>
        <w:rPr>
          <w:rFonts w:hint="eastAsia"/>
        </w:rPr>
        <w:t>）。</w:t>
      </w:r>
      <w:bookmarkEnd w:id="305"/>
    </w:p>
    <w:p w14:paraId="6F24E9B6">
      <w:pPr>
        <w:pStyle w:val="86"/>
        <w:spacing w:before="156"/>
      </w:pPr>
      <w:r>
        <w:drawing>
          <wp:inline distT="0" distB="0" distL="114300" distR="114300">
            <wp:extent cx="3739515" cy="1980565"/>
            <wp:effectExtent l="0" t="0" r="0" b="635"/>
            <wp:docPr id="87"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2"/>
                    <pic:cNvPicPr>
                      <a:picLocks noChangeAspect="1"/>
                    </pic:cNvPicPr>
                  </pic:nvPicPr>
                  <pic:blipFill>
                    <a:blip r:embed="rId92"/>
                    <a:stretch>
                      <a:fillRect/>
                    </a:stretch>
                  </pic:blipFill>
                  <pic:spPr>
                    <a:xfrm>
                      <a:off x="0" y="0"/>
                      <a:ext cx="3739515" cy="1980565"/>
                    </a:xfrm>
                    <a:prstGeom prst="rect">
                      <a:avLst/>
                    </a:prstGeom>
                    <a:noFill/>
                    <a:ln>
                      <a:noFill/>
                    </a:ln>
                  </pic:spPr>
                </pic:pic>
              </a:graphicData>
            </a:graphic>
          </wp:inline>
        </w:drawing>
      </w:r>
    </w:p>
    <w:p w14:paraId="6B1F6160">
      <w:pPr>
        <w:pStyle w:val="71"/>
        <w:spacing w:before="78" w:after="78"/>
        <w:rPr>
          <w:rFonts w:hint="eastAsia"/>
        </w:rPr>
      </w:pPr>
      <w:r>
        <w:rPr>
          <w:rFonts w:hint="eastAsia"/>
        </w:rPr>
        <w:t>图9.</w:t>
      </w:r>
      <w:r>
        <w:t>3</w:t>
      </w:r>
      <w:r>
        <w:rPr>
          <w:rFonts w:hint="eastAsia"/>
        </w:rPr>
        <w:t>.</w:t>
      </w:r>
      <w:r>
        <w:t xml:space="preserve">8  </w:t>
      </w:r>
      <w:r>
        <w:rPr>
          <w:rFonts w:hint="eastAsia"/>
        </w:rPr>
        <w:t>盘销式支撑体系示意图</w:t>
      </w:r>
    </w:p>
    <w:p w14:paraId="67B7D8A5">
      <w:pPr>
        <w:pStyle w:val="6"/>
        <w:numPr>
          <w:ilvl w:val="2"/>
          <w:numId w:val="0"/>
        </w:numPr>
      </w:pPr>
      <w:r>
        <w:rPr>
          <w:rFonts w:hint="eastAsia"/>
          <w:color w:val="0070C0"/>
        </w:rPr>
        <w:t>【条文说明】用于固模剪力墙结构的模板除采用铝模板外尚可采用其他满足要求的模板，架体可选用扣件式、盘销式支撑体系。</w:t>
      </w:r>
    </w:p>
    <w:p w14:paraId="3B17D8BA">
      <w:pPr>
        <w:pStyle w:val="6"/>
      </w:pPr>
      <w:r>
        <w:rPr>
          <w:rFonts w:hint="eastAsia"/>
        </w:rPr>
        <w:t>固模楼承板支撑应符合下列规定：</w:t>
      </w:r>
    </w:p>
    <w:p w14:paraId="30FC4CF4">
      <w:pPr>
        <w:pStyle w:val="7"/>
        <w:numPr>
          <w:ilvl w:val="0"/>
          <w:numId w:val="57"/>
        </w:numPr>
      </w:pPr>
      <w:r>
        <w:rPr>
          <w:rFonts w:hint="eastAsia"/>
        </w:rPr>
        <w:t>固模楼承板支撑形式应与预制构件匹配并符合施工方案要求；</w:t>
      </w:r>
    </w:p>
    <w:p w14:paraId="73FF94D2">
      <w:pPr>
        <w:pStyle w:val="7"/>
        <w:numPr>
          <w:ilvl w:val="0"/>
          <w:numId w:val="41"/>
        </w:numPr>
      </w:pPr>
      <w:r>
        <w:t>固模楼承板</w:t>
      </w:r>
      <w:r>
        <w:rPr>
          <w:rFonts w:hint="eastAsia"/>
        </w:rPr>
        <w:t>下部支撑宜选用定型独立钢支柱，竖向支撑间距应根据设计及施工荷载验算确定，立杆间距不应大于2</w:t>
      </w:r>
      <w:r>
        <w:t>000</w:t>
      </w:r>
      <w:r>
        <w:rPr>
          <w:rFonts w:hint="eastAsia"/>
        </w:rPr>
        <w:t>mm。固模楼承板边缘悬挑部位，应增设竖向支撑杆件；固模楼承板竖向支撑点位置应靠近起吊点；</w:t>
      </w:r>
    </w:p>
    <w:p w14:paraId="33591BC1">
      <w:pPr>
        <w:pStyle w:val="7"/>
        <w:numPr>
          <w:ilvl w:val="0"/>
          <w:numId w:val="41"/>
        </w:numPr>
      </w:pPr>
      <w:r>
        <w:rPr>
          <w:rFonts w:hint="eastAsia"/>
        </w:rPr>
        <w:t>用于支撑固模楼承板的主龙骨间距不应大于</w:t>
      </w:r>
      <w:r>
        <w:t>2000</w:t>
      </w:r>
      <w:r>
        <w:rPr>
          <w:rFonts w:hint="eastAsia"/>
        </w:rPr>
        <w:t>mm，次龙骨间距不宜大于6</w:t>
      </w:r>
      <w:r>
        <w:t>00</w:t>
      </w:r>
      <w:r>
        <w:rPr>
          <w:rFonts w:hint="eastAsia"/>
        </w:rPr>
        <w:t>mm。次龙骨应垂直于钢筋桁架方向架设，边龙骨距板端宜为1</w:t>
      </w:r>
      <w:r>
        <w:t>50</w:t>
      </w:r>
      <w:r>
        <w:rPr>
          <w:rFonts w:hint="eastAsia"/>
        </w:rPr>
        <w:t>mm~</w:t>
      </w:r>
      <w:r>
        <w:t>250</w:t>
      </w:r>
      <w:r>
        <w:rPr>
          <w:rFonts w:hint="eastAsia"/>
        </w:rPr>
        <w:t>mm，不应大于3</w:t>
      </w:r>
      <w:r>
        <w:t>00</w:t>
      </w:r>
      <w:r>
        <w:rPr>
          <w:rFonts w:hint="eastAsia"/>
        </w:rPr>
        <w:t>mm；</w:t>
      </w:r>
    </w:p>
    <w:p w14:paraId="475FCA80">
      <w:pPr>
        <w:pStyle w:val="7"/>
        <w:numPr>
          <w:ilvl w:val="0"/>
          <w:numId w:val="41"/>
        </w:numPr>
      </w:pPr>
      <w:r>
        <w:rPr>
          <w:rFonts w:hint="eastAsia"/>
        </w:rPr>
        <w:t>在水平支架上安装固模楼承板时，应按顺序铺设，避免集中堆载、机械振动影响支撑体系；</w:t>
      </w:r>
    </w:p>
    <w:p w14:paraId="4B00E398">
      <w:pPr>
        <w:pStyle w:val="7"/>
        <w:numPr>
          <w:ilvl w:val="0"/>
          <w:numId w:val="41"/>
        </w:numPr>
      </w:pPr>
      <w:r>
        <w:rPr>
          <w:rFonts w:hint="eastAsia"/>
        </w:rPr>
        <w:t>固模楼承板安装时，应采取控制固模楼承板板底标高的技术措施，浇筑混凝土前应按设计标高进行调整后可靠固定。</w:t>
      </w:r>
    </w:p>
    <w:p w14:paraId="36A014CA">
      <w:pPr>
        <w:pStyle w:val="6"/>
        <w:numPr>
          <w:ilvl w:val="2"/>
          <w:numId w:val="0"/>
        </w:numPr>
        <w:rPr>
          <w:rFonts w:hint="eastAsia"/>
          <w:color w:val="0070C0"/>
        </w:rPr>
      </w:pPr>
      <w:r>
        <w:rPr>
          <w:rFonts w:hint="eastAsia"/>
          <w:color w:val="0070C0"/>
        </w:rPr>
        <w:t>【条文说明】TC板支撑的间距与固模底板的厚度、弹性模量、静曲强度等材料性能密切相关，施工前应根据底板的材性做好支撑方案的计算，应满足《建筑施工模板安全技术规范》JGJ162的规定，必要时应进行现场试验验证支撑方案的可行性。</w:t>
      </w:r>
    </w:p>
    <w:p w14:paraId="6D0C6252">
      <w:pPr>
        <w:pStyle w:val="6"/>
        <w:numPr>
          <w:ilvl w:val="2"/>
          <w:numId w:val="0"/>
        </w:numPr>
        <w:ind w:firstLine="420" w:firstLineChars="200"/>
        <w:rPr>
          <w:rFonts w:hint="eastAsia"/>
        </w:rPr>
      </w:pPr>
      <w:r>
        <w:rPr>
          <w:rFonts w:hint="eastAsia"/>
          <w:color w:val="0070C0"/>
        </w:rPr>
        <w:t>TC板安装施工一定要确保板底有可靠支撑，应保证TC板下表面的平整度，以达到免抹灰要求。</w:t>
      </w:r>
    </w:p>
    <w:p w14:paraId="0D952BDD">
      <w:pPr>
        <w:pStyle w:val="6"/>
      </w:pPr>
      <w:r>
        <w:rPr>
          <w:rFonts w:hint="eastAsia"/>
        </w:rPr>
        <w:t>当固模剪力墙结构中采用预制叠合梁时，预制叠合梁支撑应符合下列规定：</w:t>
      </w:r>
    </w:p>
    <w:p w14:paraId="765531AD">
      <w:pPr>
        <w:pStyle w:val="7"/>
        <w:numPr>
          <w:ilvl w:val="0"/>
          <w:numId w:val="58"/>
        </w:numPr>
      </w:pPr>
      <w:r>
        <w:rPr>
          <w:rFonts w:hint="eastAsia"/>
        </w:rPr>
        <w:t>预制叠合梁下部的竖向支撑可采取点式支撑，支撑间距应根据设计及施工荷载验算确定；叠合梁与现浇部位的交接处，应增设竖向支撑杆件；</w:t>
      </w:r>
    </w:p>
    <w:p w14:paraId="69606EE0">
      <w:pPr>
        <w:pStyle w:val="7"/>
        <w:numPr>
          <w:ilvl w:val="0"/>
          <w:numId w:val="41"/>
        </w:numPr>
      </w:pPr>
      <w:r>
        <w:rPr>
          <w:rFonts w:hint="eastAsia"/>
        </w:rPr>
        <w:t>预制叠合梁竖向支撑宜选用定型独立钢支柱。</w:t>
      </w:r>
    </w:p>
    <w:p w14:paraId="3435F362">
      <w:pPr>
        <w:pStyle w:val="6"/>
        <w:numPr>
          <w:ilvl w:val="2"/>
          <w:numId w:val="0"/>
        </w:numPr>
        <w:rPr>
          <w:rFonts w:hint="eastAsia"/>
          <w:color w:val="0070C0"/>
        </w:rPr>
      </w:pPr>
      <w:r>
        <w:rPr>
          <w:rFonts w:hint="eastAsia"/>
          <w:color w:val="0070C0"/>
        </w:rPr>
        <w:t>【条文说明】预制叠合梁主要指预制叠合连梁，也包括大进深房间可能出现的预制叠合框架梁、预制叠合楼梯平台梁。</w:t>
      </w:r>
    </w:p>
    <w:p w14:paraId="6354A6F7">
      <w:pPr>
        <w:pStyle w:val="6"/>
      </w:pPr>
      <w:r>
        <w:rPr>
          <w:rFonts w:hint="eastAsia"/>
        </w:rPr>
        <w:t>固模剪力墙结构模板安装偏差应符合</w:t>
      </w:r>
      <w:r>
        <w:fldChar w:fldCharType="begin"/>
      </w:r>
      <w:r>
        <w:rPr>
          <w:rFonts w:hint="eastAsia"/>
        </w:rPr>
        <w:instrText xml:space="preserve">REF _Ref54626100 \h</w:instrText>
      </w:r>
      <w:r>
        <w:instrText xml:space="preserve"> \* MERGEFORMAT </w:instrText>
      </w:r>
      <w:r>
        <w:fldChar w:fldCharType="separate"/>
      </w:r>
      <w:r>
        <w:rPr>
          <w:rFonts w:hint="eastAsia"/>
        </w:rPr>
        <w:t>表</w:t>
      </w:r>
      <w:r>
        <w:t>9.3.11</w:t>
      </w:r>
      <w:r>
        <w:fldChar w:fldCharType="end"/>
      </w:r>
      <w:r>
        <w:rPr>
          <w:rFonts w:hint="eastAsia"/>
        </w:rPr>
        <w:t>的规定。</w:t>
      </w:r>
    </w:p>
    <w:p w14:paraId="03B77FCA">
      <w:pPr>
        <w:pStyle w:val="64"/>
        <w:spacing w:before="78" w:after="78"/>
      </w:pPr>
      <w:bookmarkStart w:id="306" w:name="_Ref54626100"/>
      <w:r>
        <w:rPr>
          <w:rFonts w:hint="eastAsia"/>
        </w:rPr>
        <w:t>表</w:t>
      </w:r>
      <w:r>
        <w:fldChar w:fldCharType="begin"/>
      </w:r>
      <w:r>
        <w:rPr>
          <w:rFonts w:hint="eastAsia"/>
        </w:rPr>
        <w:instrText xml:space="preserve">STYLEREF 3 \s</w:instrText>
      </w:r>
      <w:r>
        <w:fldChar w:fldCharType="separate"/>
      </w:r>
      <w:r>
        <w:t>9.3.11</w:t>
      </w:r>
      <w:r>
        <w:fldChar w:fldCharType="end"/>
      </w:r>
      <w:bookmarkEnd w:id="306"/>
      <w:r>
        <w:t xml:space="preserve"> </w:t>
      </w:r>
      <w:r>
        <w:rPr>
          <w:rFonts w:hint="eastAsia"/>
        </w:rPr>
        <w:t>固模剪力墙结构模板安装允许偏差</w:t>
      </w:r>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8"/>
        <w:gridCol w:w="1374"/>
        <w:gridCol w:w="1443"/>
        <w:gridCol w:w="1811"/>
      </w:tblGrid>
      <w:tr w14:paraId="607F8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blHeader/>
        </w:trPr>
        <w:tc>
          <w:tcPr>
            <w:tcW w:w="2349" w:type="pct"/>
            <w:gridSpan w:val="2"/>
            <w:noWrap w:val="0"/>
            <w:vAlign w:val="center"/>
          </w:tcPr>
          <w:p w14:paraId="5A7632AE">
            <w:pPr>
              <w:pStyle w:val="95"/>
              <w:spacing w:before="78" w:after="78"/>
            </w:pPr>
            <w:r>
              <w:rPr>
                <w:rFonts w:hint="eastAsia"/>
              </w:rPr>
              <w:t>项目</w:t>
            </w:r>
          </w:p>
        </w:tc>
        <w:tc>
          <w:tcPr>
            <w:tcW w:w="1176" w:type="pct"/>
            <w:noWrap w:val="0"/>
            <w:vAlign w:val="center"/>
          </w:tcPr>
          <w:p w14:paraId="0CFA4712">
            <w:pPr>
              <w:pStyle w:val="95"/>
              <w:spacing w:before="78" w:after="78"/>
            </w:pPr>
            <w:r>
              <w:rPr>
                <w:rFonts w:hint="eastAsia"/>
              </w:rPr>
              <w:t>允许偏差（mm）</w:t>
            </w:r>
          </w:p>
        </w:tc>
        <w:tc>
          <w:tcPr>
            <w:tcW w:w="1475" w:type="pct"/>
            <w:noWrap w:val="0"/>
            <w:vAlign w:val="center"/>
          </w:tcPr>
          <w:p w14:paraId="1E21E536">
            <w:pPr>
              <w:pStyle w:val="95"/>
              <w:spacing w:before="78" w:after="78"/>
            </w:pPr>
            <w:r>
              <w:rPr>
                <w:rFonts w:hint="eastAsia"/>
              </w:rPr>
              <w:t>检验方法</w:t>
            </w:r>
          </w:p>
        </w:tc>
      </w:tr>
      <w:tr w14:paraId="779F4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49" w:type="pct"/>
            <w:gridSpan w:val="2"/>
            <w:noWrap w:val="0"/>
            <w:vAlign w:val="center"/>
          </w:tcPr>
          <w:p w14:paraId="099550D5">
            <w:pPr>
              <w:pStyle w:val="95"/>
              <w:spacing w:before="78" w:after="78"/>
            </w:pPr>
            <w:r>
              <w:rPr>
                <w:rFonts w:hint="eastAsia"/>
              </w:rPr>
              <w:t>轴线位置</w:t>
            </w:r>
          </w:p>
        </w:tc>
        <w:tc>
          <w:tcPr>
            <w:tcW w:w="1176" w:type="pct"/>
            <w:noWrap w:val="0"/>
            <w:vAlign w:val="center"/>
          </w:tcPr>
          <w:p w14:paraId="574D815B">
            <w:pPr>
              <w:pStyle w:val="95"/>
              <w:spacing w:before="78" w:after="78"/>
            </w:pPr>
            <w:r>
              <w:rPr>
                <w:rFonts w:hint="eastAsia"/>
              </w:rPr>
              <w:t>5</w:t>
            </w:r>
          </w:p>
        </w:tc>
        <w:tc>
          <w:tcPr>
            <w:tcW w:w="1475" w:type="pct"/>
            <w:noWrap w:val="0"/>
            <w:vAlign w:val="center"/>
          </w:tcPr>
          <w:p w14:paraId="4B3C46F4">
            <w:pPr>
              <w:pStyle w:val="95"/>
              <w:spacing w:before="78" w:after="78"/>
            </w:pPr>
            <w:r>
              <w:rPr>
                <w:rFonts w:hint="eastAsia"/>
              </w:rPr>
              <w:t>尺量</w:t>
            </w:r>
          </w:p>
        </w:tc>
      </w:tr>
      <w:tr w14:paraId="18E8D9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49" w:type="pct"/>
            <w:gridSpan w:val="2"/>
            <w:noWrap w:val="0"/>
            <w:vAlign w:val="center"/>
          </w:tcPr>
          <w:p w14:paraId="079EC74E">
            <w:pPr>
              <w:pStyle w:val="95"/>
              <w:spacing w:before="78" w:after="78"/>
            </w:pPr>
            <w:r>
              <w:rPr>
                <w:rFonts w:hint="eastAsia"/>
              </w:rPr>
              <w:t>固模底板上表面标高</w:t>
            </w:r>
          </w:p>
        </w:tc>
        <w:tc>
          <w:tcPr>
            <w:tcW w:w="1176" w:type="pct"/>
            <w:noWrap w:val="0"/>
            <w:vAlign w:val="center"/>
          </w:tcPr>
          <w:p w14:paraId="57495729">
            <w:pPr>
              <w:pStyle w:val="95"/>
              <w:spacing w:before="78" w:after="78"/>
            </w:pPr>
            <w:r>
              <w:rPr>
                <w:rFonts w:hint="eastAsia" w:ascii="宋体" w:hAnsi="宋体"/>
              </w:rPr>
              <w:t>±</w:t>
            </w:r>
            <w:r>
              <w:rPr>
                <w:rFonts w:hint="eastAsia"/>
              </w:rPr>
              <w:t>5</w:t>
            </w:r>
          </w:p>
        </w:tc>
        <w:tc>
          <w:tcPr>
            <w:tcW w:w="1475" w:type="pct"/>
            <w:noWrap w:val="0"/>
            <w:vAlign w:val="center"/>
          </w:tcPr>
          <w:p w14:paraId="478FD22A">
            <w:pPr>
              <w:pStyle w:val="95"/>
              <w:spacing w:before="78" w:after="78"/>
            </w:pPr>
            <w:r>
              <w:rPr>
                <w:rFonts w:hint="eastAsia"/>
              </w:rPr>
              <w:t>水准仪或拉线、尺量</w:t>
            </w:r>
          </w:p>
        </w:tc>
      </w:tr>
      <w:tr w14:paraId="1739D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9" w:type="pct"/>
            <w:vMerge w:val="restart"/>
            <w:noWrap w:val="0"/>
            <w:vAlign w:val="center"/>
          </w:tcPr>
          <w:p w14:paraId="390D7838">
            <w:pPr>
              <w:pStyle w:val="95"/>
              <w:spacing w:before="78" w:after="78"/>
            </w:pPr>
            <w:r>
              <w:rPr>
                <w:rFonts w:hint="eastAsia"/>
              </w:rPr>
              <w:t>截面内部尺寸</w:t>
            </w:r>
          </w:p>
        </w:tc>
        <w:tc>
          <w:tcPr>
            <w:tcW w:w="1120" w:type="pct"/>
            <w:noWrap w:val="0"/>
            <w:vAlign w:val="center"/>
          </w:tcPr>
          <w:p w14:paraId="6575DDA7">
            <w:pPr>
              <w:pStyle w:val="95"/>
              <w:spacing w:before="78" w:after="78"/>
            </w:pPr>
            <w:r>
              <w:rPr>
                <w:rFonts w:hint="eastAsia"/>
              </w:rPr>
              <w:t>基础</w:t>
            </w:r>
          </w:p>
        </w:tc>
        <w:tc>
          <w:tcPr>
            <w:tcW w:w="1176" w:type="pct"/>
            <w:noWrap w:val="0"/>
            <w:vAlign w:val="center"/>
          </w:tcPr>
          <w:p w14:paraId="03238191">
            <w:pPr>
              <w:pStyle w:val="95"/>
              <w:spacing w:before="78" w:after="78"/>
            </w:pPr>
            <w:r>
              <w:rPr>
                <w:rFonts w:hint="eastAsia" w:ascii="宋体" w:hAnsi="宋体"/>
              </w:rPr>
              <w:t>±</w:t>
            </w:r>
            <w:r>
              <w:rPr>
                <w:rFonts w:hint="eastAsia"/>
              </w:rPr>
              <w:t>1</w:t>
            </w:r>
            <w:r>
              <w:t>0</w:t>
            </w:r>
          </w:p>
        </w:tc>
        <w:tc>
          <w:tcPr>
            <w:tcW w:w="1475" w:type="pct"/>
            <w:noWrap w:val="0"/>
            <w:vAlign w:val="center"/>
          </w:tcPr>
          <w:p w14:paraId="4B872228">
            <w:pPr>
              <w:pStyle w:val="95"/>
              <w:spacing w:before="78" w:after="78"/>
            </w:pPr>
            <w:r>
              <w:rPr>
                <w:rFonts w:hint="eastAsia"/>
              </w:rPr>
              <w:t>尺量</w:t>
            </w:r>
          </w:p>
        </w:tc>
      </w:tr>
      <w:tr w14:paraId="4490E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29" w:type="pct"/>
            <w:vMerge w:val="continue"/>
            <w:noWrap w:val="0"/>
            <w:vAlign w:val="center"/>
          </w:tcPr>
          <w:p w14:paraId="300B9C41">
            <w:pPr>
              <w:pStyle w:val="95"/>
              <w:spacing w:before="78" w:after="78"/>
            </w:pPr>
          </w:p>
        </w:tc>
        <w:tc>
          <w:tcPr>
            <w:tcW w:w="1120" w:type="pct"/>
            <w:noWrap w:val="0"/>
            <w:vAlign w:val="center"/>
          </w:tcPr>
          <w:p w14:paraId="3C93A976">
            <w:pPr>
              <w:pStyle w:val="95"/>
              <w:spacing w:before="78" w:after="78"/>
            </w:pPr>
            <w:r>
              <w:rPr>
                <w:rFonts w:hint="eastAsia"/>
              </w:rPr>
              <w:t>墙、梁</w:t>
            </w:r>
          </w:p>
        </w:tc>
        <w:tc>
          <w:tcPr>
            <w:tcW w:w="1176" w:type="pct"/>
            <w:noWrap w:val="0"/>
            <w:vAlign w:val="center"/>
          </w:tcPr>
          <w:p w14:paraId="6CFBB232">
            <w:pPr>
              <w:pStyle w:val="95"/>
              <w:spacing w:before="78" w:after="78"/>
            </w:pPr>
            <w:r>
              <w:rPr>
                <w:rFonts w:hint="eastAsia" w:ascii="宋体" w:hAnsi="宋体"/>
              </w:rPr>
              <w:t>±</w:t>
            </w:r>
            <w:r>
              <w:rPr>
                <w:rFonts w:hint="eastAsia"/>
              </w:rPr>
              <w:t>5</w:t>
            </w:r>
          </w:p>
        </w:tc>
        <w:tc>
          <w:tcPr>
            <w:tcW w:w="1475" w:type="pct"/>
            <w:noWrap w:val="0"/>
            <w:vAlign w:val="center"/>
          </w:tcPr>
          <w:p w14:paraId="4745DC7D">
            <w:pPr>
              <w:pStyle w:val="95"/>
              <w:spacing w:before="78" w:after="78"/>
            </w:pPr>
            <w:r>
              <w:rPr>
                <w:rFonts w:hint="eastAsia"/>
              </w:rPr>
              <w:t>尺量</w:t>
            </w:r>
          </w:p>
        </w:tc>
      </w:tr>
      <w:tr w14:paraId="4B4B1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2349" w:type="pct"/>
            <w:gridSpan w:val="2"/>
            <w:noWrap w:val="0"/>
            <w:vAlign w:val="center"/>
          </w:tcPr>
          <w:p w14:paraId="2DFC3322">
            <w:pPr>
              <w:pStyle w:val="95"/>
              <w:spacing w:before="78" w:after="78"/>
              <w:rPr>
                <w:rFonts w:hint="eastAsia"/>
              </w:rPr>
            </w:pPr>
            <w:r>
              <w:rPr>
                <w:rFonts w:hint="eastAsia"/>
              </w:rPr>
              <w:t>层高垂直度</w:t>
            </w:r>
          </w:p>
        </w:tc>
        <w:tc>
          <w:tcPr>
            <w:tcW w:w="1176" w:type="pct"/>
            <w:noWrap w:val="0"/>
            <w:vAlign w:val="center"/>
          </w:tcPr>
          <w:p w14:paraId="30A66440">
            <w:pPr>
              <w:pStyle w:val="95"/>
              <w:spacing w:before="78" w:after="78"/>
            </w:pPr>
            <w:r>
              <w:t>5</w:t>
            </w:r>
          </w:p>
        </w:tc>
        <w:tc>
          <w:tcPr>
            <w:tcW w:w="1475" w:type="pct"/>
            <w:noWrap w:val="0"/>
            <w:vAlign w:val="center"/>
          </w:tcPr>
          <w:p w14:paraId="1A19ACE4">
            <w:pPr>
              <w:pStyle w:val="95"/>
              <w:spacing w:before="78" w:after="78"/>
            </w:pPr>
            <w:r>
              <w:rPr>
                <w:rFonts w:hint="eastAsia"/>
              </w:rPr>
              <w:t>经纬仪或吊线、钢尺检验</w:t>
            </w:r>
          </w:p>
        </w:tc>
      </w:tr>
      <w:tr w14:paraId="0B2EE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49" w:type="pct"/>
            <w:gridSpan w:val="2"/>
            <w:noWrap w:val="0"/>
            <w:vAlign w:val="center"/>
          </w:tcPr>
          <w:p w14:paraId="372F7070">
            <w:pPr>
              <w:pStyle w:val="95"/>
              <w:spacing w:before="78" w:after="78"/>
            </w:pPr>
            <w:r>
              <w:rPr>
                <w:rFonts w:hint="eastAsia"/>
              </w:rPr>
              <w:t>相邻两板表面平整度</w:t>
            </w:r>
          </w:p>
          <w:p w14:paraId="1B539509">
            <w:pPr>
              <w:pStyle w:val="95"/>
              <w:spacing w:before="78" w:after="78"/>
            </w:pPr>
            <w:r>
              <w:rPr>
                <w:rFonts w:hint="eastAsia"/>
              </w:rPr>
              <w:t>（预制构件之间）</w:t>
            </w:r>
          </w:p>
        </w:tc>
        <w:tc>
          <w:tcPr>
            <w:tcW w:w="1176" w:type="pct"/>
            <w:noWrap w:val="0"/>
            <w:vAlign w:val="center"/>
          </w:tcPr>
          <w:p w14:paraId="709692E0">
            <w:pPr>
              <w:pStyle w:val="95"/>
              <w:spacing w:before="78" w:after="78"/>
            </w:pPr>
            <w:r>
              <w:rPr>
                <w:rFonts w:hint="eastAsia"/>
              </w:rPr>
              <w:t>2</w:t>
            </w:r>
          </w:p>
        </w:tc>
        <w:tc>
          <w:tcPr>
            <w:tcW w:w="1475" w:type="pct"/>
            <w:noWrap w:val="0"/>
            <w:vAlign w:val="center"/>
          </w:tcPr>
          <w:p w14:paraId="3E360F22">
            <w:pPr>
              <w:pStyle w:val="95"/>
              <w:spacing w:before="78" w:after="78"/>
            </w:pPr>
            <w:r>
              <w:rPr>
                <w:rFonts w:hint="eastAsia"/>
              </w:rPr>
              <w:t>尺量</w:t>
            </w:r>
          </w:p>
        </w:tc>
      </w:tr>
      <w:tr w14:paraId="1C160F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49" w:type="pct"/>
            <w:gridSpan w:val="2"/>
            <w:noWrap w:val="0"/>
            <w:vAlign w:val="center"/>
          </w:tcPr>
          <w:p w14:paraId="160CCF05">
            <w:pPr>
              <w:pStyle w:val="95"/>
              <w:spacing w:before="78" w:after="78"/>
            </w:pPr>
            <w:r>
              <w:rPr>
                <w:rFonts w:hint="eastAsia"/>
              </w:rPr>
              <w:t>相邻两板表面平整度</w:t>
            </w:r>
          </w:p>
          <w:p w14:paraId="53045721">
            <w:pPr>
              <w:pStyle w:val="95"/>
              <w:spacing w:before="78" w:after="78"/>
            </w:pPr>
            <w:r>
              <w:rPr>
                <w:rFonts w:hint="eastAsia"/>
              </w:rPr>
              <w:t>（现浇与预制之间）</w:t>
            </w:r>
          </w:p>
        </w:tc>
        <w:tc>
          <w:tcPr>
            <w:tcW w:w="1176" w:type="pct"/>
            <w:noWrap w:val="0"/>
            <w:vAlign w:val="center"/>
          </w:tcPr>
          <w:p w14:paraId="6D52521D">
            <w:pPr>
              <w:pStyle w:val="95"/>
              <w:spacing w:before="78" w:after="78"/>
            </w:pPr>
            <w:r>
              <w:t>5</w:t>
            </w:r>
          </w:p>
        </w:tc>
        <w:tc>
          <w:tcPr>
            <w:tcW w:w="1475" w:type="pct"/>
            <w:noWrap w:val="0"/>
            <w:vAlign w:val="center"/>
          </w:tcPr>
          <w:p w14:paraId="70852D46">
            <w:pPr>
              <w:pStyle w:val="95"/>
              <w:spacing w:before="78" w:after="78"/>
            </w:pPr>
            <w:r>
              <w:rPr>
                <w:rFonts w:hint="eastAsia"/>
              </w:rPr>
              <w:t>尺量</w:t>
            </w:r>
          </w:p>
        </w:tc>
      </w:tr>
      <w:tr w14:paraId="369E1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49" w:type="pct"/>
            <w:gridSpan w:val="2"/>
            <w:noWrap w:val="0"/>
            <w:vAlign w:val="center"/>
          </w:tcPr>
          <w:p w14:paraId="3FF5B775">
            <w:pPr>
              <w:pStyle w:val="95"/>
              <w:spacing w:before="78" w:after="78"/>
            </w:pPr>
            <w:r>
              <w:rPr>
                <w:rFonts w:hint="eastAsia"/>
              </w:rPr>
              <w:t>表面平整度</w:t>
            </w:r>
          </w:p>
        </w:tc>
        <w:tc>
          <w:tcPr>
            <w:tcW w:w="1176" w:type="pct"/>
            <w:noWrap w:val="0"/>
            <w:vAlign w:val="center"/>
          </w:tcPr>
          <w:p w14:paraId="44E61A77">
            <w:pPr>
              <w:pStyle w:val="95"/>
              <w:spacing w:before="78" w:after="78"/>
            </w:pPr>
            <w:r>
              <w:rPr>
                <w:rFonts w:hint="eastAsia"/>
              </w:rPr>
              <w:t>5</w:t>
            </w:r>
          </w:p>
        </w:tc>
        <w:tc>
          <w:tcPr>
            <w:tcW w:w="1475" w:type="pct"/>
            <w:noWrap w:val="0"/>
            <w:vAlign w:val="center"/>
          </w:tcPr>
          <w:p w14:paraId="65583942">
            <w:pPr>
              <w:pStyle w:val="95"/>
              <w:spacing w:before="78" w:after="78"/>
            </w:pPr>
            <w:r>
              <w:rPr>
                <w:rFonts w:hint="eastAsia"/>
              </w:rPr>
              <w:t>2m靠尺和塞尺检查</w:t>
            </w:r>
          </w:p>
        </w:tc>
      </w:tr>
    </w:tbl>
    <w:p w14:paraId="671DBD9A">
      <w:pPr>
        <w:pStyle w:val="80"/>
        <w:spacing w:before="78" w:after="78"/>
      </w:pPr>
      <w:r>
        <w:rPr>
          <w:rFonts w:hint="eastAsia"/>
        </w:rPr>
        <w:t>注：检查轴线位置时，应沿纵、横两个方向量测并取其中的较大值。</w:t>
      </w:r>
    </w:p>
    <w:p w14:paraId="79DBC5FC">
      <w:pPr>
        <w:pStyle w:val="6"/>
      </w:pPr>
      <w:r>
        <w:rPr>
          <w:rFonts w:hint="eastAsia"/>
        </w:rPr>
        <w:t>后浇部位混凝土模板和支架拆除应符合现行国家标准《混凝土结构工程施工规范》GB</w:t>
      </w:r>
      <w:r>
        <w:t xml:space="preserve"> </w:t>
      </w:r>
      <w:r>
        <w:rPr>
          <w:rFonts w:hint="eastAsia"/>
        </w:rPr>
        <w:t>50666及下列规定：</w:t>
      </w:r>
    </w:p>
    <w:p w14:paraId="6A724A3B">
      <w:pPr>
        <w:pStyle w:val="7"/>
        <w:numPr>
          <w:ilvl w:val="0"/>
          <w:numId w:val="59"/>
        </w:numPr>
      </w:pPr>
      <w:r>
        <w:rPr>
          <w:rFonts w:hint="eastAsia"/>
        </w:rPr>
        <w:t>应遵循“先支的后拆、后支的先拆；先拆非承重模板、后拆承重模板”的原则，应自上而下进行模板和支撑的拆除；</w:t>
      </w:r>
    </w:p>
    <w:p w14:paraId="5A7826F4">
      <w:pPr>
        <w:pStyle w:val="7"/>
        <w:numPr>
          <w:ilvl w:val="0"/>
          <w:numId w:val="41"/>
        </w:numPr>
      </w:pPr>
      <w:r>
        <w:rPr>
          <w:rFonts w:hint="eastAsia"/>
        </w:rPr>
        <w:t>模板和支撑拆除时，混凝土强度应符合现行国家标准《混凝土结构工程施工规范》GB 50666相关规定；</w:t>
      </w:r>
    </w:p>
    <w:p w14:paraId="4F17EABA">
      <w:pPr>
        <w:pStyle w:val="7"/>
        <w:numPr>
          <w:ilvl w:val="0"/>
          <w:numId w:val="41"/>
        </w:numPr>
      </w:pPr>
      <w:r>
        <w:rPr>
          <w:rFonts w:hint="eastAsia"/>
        </w:rPr>
        <w:t>模板和支撑拆除时，不应对楼板形成冲击荷载，拆除的模板和支架应及时清运、不得集中堆放；</w:t>
      </w:r>
    </w:p>
    <w:p w14:paraId="7CDD4BE6">
      <w:pPr>
        <w:pStyle w:val="7"/>
        <w:numPr>
          <w:ilvl w:val="0"/>
          <w:numId w:val="41"/>
        </w:numPr>
      </w:pPr>
      <w:r>
        <w:rPr>
          <w:rFonts w:hint="eastAsia"/>
        </w:rPr>
        <w:t>多个楼层间连续支模的底层支架拆除时间，应根据连续支模的楼层间荷载分配和混凝土强度的增长情况确定；</w:t>
      </w:r>
    </w:p>
    <w:p w14:paraId="74D6C2AC">
      <w:pPr>
        <w:pStyle w:val="7"/>
        <w:numPr>
          <w:ilvl w:val="0"/>
          <w:numId w:val="41"/>
        </w:numPr>
      </w:pPr>
      <w:r>
        <w:rPr>
          <w:rFonts w:hint="eastAsia"/>
        </w:rPr>
        <w:t>快拆支架体系拆模时应保留立杆与顶托支承楼板，楼板混凝土强度应符合现行国家标准《混凝土结构工程施工规范》GB 50666的相关规定；保留的立杆与顶托，应根据模架施工方案的要求，在满足结构安全的情况下及时拆除，以便为后续施工提供工作面；</w:t>
      </w:r>
    </w:p>
    <w:p w14:paraId="1C03282C">
      <w:pPr>
        <w:pStyle w:val="7"/>
        <w:numPr>
          <w:ilvl w:val="0"/>
          <w:numId w:val="41"/>
        </w:numPr>
      </w:pPr>
      <w:r>
        <w:rPr>
          <w:rFonts w:hint="eastAsia"/>
        </w:rPr>
        <w:t>空心墙模斜支撑在上部构件吊装完成后方可拆除，宜在现浇墙体混凝土模板拆除前拆除。</w:t>
      </w:r>
    </w:p>
    <w:p w14:paraId="67546588">
      <w:pPr>
        <w:pStyle w:val="5"/>
        <w:numPr>
          <w:ilvl w:val="1"/>
          <w:numId w:val="48"/>
        </w:numPr>
        <w:spacing w:before="156" w:beforeLines="50" w:after="156"/>
      </w:pPr>
      <w:bookmarkStart w:id="307" w:name="_Toc6923"/>
      <w:bookmarkStart w:id="308" w:name="_Toc61254046"/>
      <w:bookmarkStart w:id="309" w:name="_Toc61254089"/>
      <w:bookmarkStart w:id="310" w:name="_Toc129374389"/>
      <w:r>
        <w:rPr>
          <w:rFonts w:hint="eastAsia"/>
        </w:rPr>
        <w:t>钢筋工程</w:t>
      </w:r>
      <w:bookmarkEnd w:id="307"/>
      <w:bookmarkEnd w:id="308"/>
      <w:bookmarkEnd w:id="309"/>
      <w:bookmarkEnd w:id="310"/>
    </w:p>
    <w:p w14:paraId="40361AB3">
      <w:pPr>
        <w:pStyle w:val="6"/>
      </w:pPr>
      <w:r>
        <w:rPr>
          <w:rFonts w:hint="eastAsia"/>
        </w:rPr>
        <w:t>固模剪力墙结构所采用钢筋宜选用专业化加工的成型钢筋。固模混凝土板上筋可采用成品钢筋焊接网进行整体安装。</w:t>
      </w:r>
    </w:p>
    <w:p w14:paraId="0BF32C79">
      <w:pPr>
        <w:pStyle w:val="6"/>
        <w:numPr>
          <w:ilvl w:val="2"/>
          <w:numId w:val="0"/>
        </w:numPr>
      </w:pPr>
      <w:r>
        <w:rPr>
          <w:rFonts w:hint="eastAsia"/>
          <w:color w:val="0070C0"/>
        </w:rPr>
        <w:t>【条文说明】装配式建筑工程提倡使用成型钢筋。TC板上部钢筋可在工厂按照施工图纸加工成钢筋网片，再将加工成型的钢筋网片按照编号现场拼装绑扎，可提高工作效率。</w:t>
      </w:r>
    </w:p>
    <w:p w14:paraId="1A17A87F">
      <w:pPr>
        <w:pStyle w:val="6"/>
      </w:pPr>
      <w:r>
        <w:rPr>
          <w:rFonts w:hint="eastAsia"/>
        </w:rPr>
        <w:t>固模剪力墙结构所采用钢筋选用牌号、品种、级别、规格、数量和材质应符合设计要求，钢筋连接方式除应符合设计要求外，尚应符合现行国家标准《混凝土结构工程施工规范》GB 50666及《混凝土结构工程施工质量验收规范》GB</w:t>
      </w:r>
      <w:r>
        <w:t xml:space="preserve"> </w:t>
      </w:r>
      <w:r>
        <w:rPr>
          <w:rFonts w:hint="eastAsia"/>
        </w:rPr>
        <w:t>50204的有关规定。当钢筋的品种、级别或规格需作变更时，应完善设计变更文件。</w:t>
      </w:r>
    </w:p>
    <w:p w14:paraId="7F3C95B7">
      <w:pPr>
        <w:pStyle w:val="6"/>
      </w:pPr>
      <w:r>
        <w:rPr>
          <w:rFonts w:hint="eastAsia"/>
        </w:rPr>
        <w:t>钢筋进场时，应按钢筋的品种、规格、批次等分别堆放，应按国家现行有关标准的规定抽取试件做力学性能试验和重量偏差检验，检验结果应符合有关标准的规定。</w:t>
      </w:r>
    </w:p>
    <w:p w14:paraId="72CD75DE">
      <w:pPr>
        <w:pStyle w:val="6"/>
      </w:pPr>
      <w:r>
        <w:rPr>
          <w:rFonts w:hint="eastAsia"/>
        </w:rPr>
        <w:t>钢筋焊接网应符合现行行业标准《钢筋焊接网混凝土结构技术规程》JGJ 114的规定。</w:t>
      </w:r>
    </w:p>
    <w:p w14:paraId="2E246276">
      <w:pPr>
        <w:pStyle w:val="6"/>
      </w:pPr>
      <w:r>
        <w:rPr>
          <w:rFonts w:hint="eastAsia"/>
        </w:rPr>
        <w:t>固模剪力墙结构钢筋连接应符合下列规定：</w:t>
      </w:r>
    </w:p>
    <w:p w14:paraId="65F4E597">
      <w:pPr>
        <w:pStyle w:val="7"/>
        <w:numPr>
          <w:ilvl w:val="0"/>
          <w:numId w:val="60"/>
        </w:numPr>
      </w:pPr>
      <w:r>
        <w:rPr>
          <w:rFonts w:hint="eastAsia"/>
        </w:rPr>
        <w:t>钢筋连接可选用搭接连接、焊接连接或机械连接。钢筋连接接头设置应符合现行有关标准规定；</w:t>
      </w:r>
    </w:p>
    <w:p w14:paraId="2DA66CCF">
      <w:pPr>
        <w:pStyle w:val="7"/>
        <w:numPr>
          <w:ilvl w:val="0"/>
          <w:numId w:val="60"/>
        </w:numPr>
      </w:pPr>
      <w:r>
        <w:rPr>
          <w:rFonts w:hint="eastAsia"/>
        </w:rPr>
        <w:t>空心墙模内水平钢筋安装应制定合理的工艺安装顺序及卡固措施，保证水平钢筋在施工过程中位置准确；</w:t>
      </w:r>
    </w:p>
    <w:p w14:paraId="3B92F9C3">
      <w:pPr>
        <w:pStyle w:val="7"/>
        <w:numPr>
          <w:ilvl w:val="0"/>
          <w:numId w:val="60"/>
        </w:numPr>
      </w:pPr>
      <w:r>
        <w:rPr>
          <w:rFonts w:hint="eastAsia"/>
        </w:rPr>
        <w:t>上下层空心墙模的竖向钢筋宜采用竖向连接钢筋，连接接头宜设置在楼层处，连接筋数量、连接筋末端形状及搭接长度应符合设计要求，应采取卡固措施保证连接钢筋位置准确；</w:t>
      </w:r>
    </w:p>
    <w:p w14:paraId="1B96B89A">
      <w:pPr>
        <w:pStyle w:val="7"/>
        <w:numPr>
          <w:ilvl w:val="0"/>
          <w:numId w:val="41"/>
        </w:numPr>
      </w:pPr>
      <w:r>
        <w:rPr>
          <w:rFonts w:hint="eastAsia"/>
        </w:rPr>
        <w:t>固模楼承板吊装前，宜采取有效措施避免连梁上层受力钢筋影响固模楼承板外伸钢筋的安装就位；</w:t>
      </w:r>
    </w:p>
    <w:p w14:paraId="5979A2E2">
      <w:pPr>
        <w:pStyle w:val="7"/>
        <w:numPr>
          <w:ilvl w:val="0"/>
          <w:numId w:val="41"/>
        </w:numPr>
      </w:pPr>
      <w:r>
        <w:rPr>
          <w:rFonts w:hint="eastAsia"/>
        </w:rPr>
        <w:t>固模楼承板上层钢筋绑扎前，应检查桁架钢筋的位置并在垂直于桁架筋方向设置支撑“马凳”，固模楼承板上的钢筋桁架可作为支撑上层钢筋的“马凳”；</w:t>
      </w:r>
    </w:p>
    <w:p w14:paraId="50F0BD5A">
      <w:pPr>
        <w:pStyle w:val="7"/>
        <w:numPr>
          <w:ilvl w:val="0"/>
          <w:numId w:val="41"/>
        </w:numPr>
      </w:pPr>
      <w:r>
        <w:rPr>
          <w:rFonts w:hint="eastAsia"/>
        </w:rPr>
        <w:t>固模楼承板拼接处应按设计要求采用钢筋网片搭接或钢筋搭接连接；</w:t>
      </w:r>
    </w:p>
    <w:p w14:paraId="4FEDF4F9">
      <w:pPr>
        <w:pStyle w:val="7"/>
        <w:numPr>
          <w:ilvl w:val="0"/>
          <w:numId w:val="41"/>
        </w:numPr>
      </w:pPr>
      <w:r>
        <w:rPr>
          <w:rFonts w:hint="eastAsia"/>
        </w:rPr>
        <w:t>楼板浇筑混凝土前应预先安装用于固定预制墙板斜支撑的预埋件，预埋件定位应准确并在其丝扣连接部位应做好防污染措施；</w:t>
      </w:r>
    </w:p>
    <w:p w14:paraId="7331B9D9">
      <w:pPr>
        <w:pStyle w:val="7"/>
        <w:numPr>
          <w:ilvl w:val="0"/>
          <w:numId w:val="41"/>
        </w:numPr>
      </w:pPr>
      <w:r>
        <w:rPr>
          <w:rFonts w:hint="eastAsia"/>
        </w:rPr>
        <w:t>当预制构件锚筋与现浇混凝土钢筋有冲突时，应由设计单位采取相应措施进行处理，不得随意切割、弯折钢筋。</w:t>
      </w:r>
    </w:p>
    <w:p w14:paraId="1878CBCB">
      <w:pPr>
        <w:pStyle w:val="6"/>
        <w:numPr>
          <w:ilvl w:val="2"/>
          <w:numId w:val="0"/>
        </w:numPr>
        <w:rPr>
          <w:rFonts w:hint="eastAsia"/>
          <w:color w:val="0070C0"/>
        </w:rPr>
      </w:pPr>
      <w:r>
        <w:rPr>
          <w:rFonts w:hint="eastAsia"/>
          <w:color w:val="0070C0"/>
        </w:rPr>
        <w:t>【条文说明】空心墙模内水平钢筋采用现场穿设的方式安装，穿设水平筋属于关键工序，应预先制定合理的安装顺序及固定水平筋位置的措施；空心墙模的竖向连接钢筋，应与空心墙模上部凹槽内水平筋绑扎并在顶板上层钢筋位置与顶板上筋绑扎牢固。</w:t>
      </w:r>
    </w:p>
    <w:p w14:paraId="1F8776DB">
      <w:pPr>
        <w:pStyle w:val="6"/>
        <w:numPr>
          <w:ilvl w:val="2"/>
          <w:numId w:val="0"/>
        </w:numPr>
        <w:ind w:firstLine="420" w:firstLineChars="200"/>
      </w:pPr>
      <w:r>
        <w:rPr>
          <w:rFonts w:hint="eastAsia"/>
          <w:color w:val="0070C0"/>
        </w:rPr>
        <w:t>当连梁上层受力钢筋影响TC板外伸钢筋安装就位时，可先将连梁上层受力筋集中绑扎在梁中心位置，TC板安装完毕后，再将梁上受力筋按图纸要求绑扎。</w:t>
      </w:r>
    </w:p>
    <w:p w14:paraId="379399E6">
      <w:pPr>
        <w:pStyle w:val="6"/>
      </w:pPr>
      <w:r>
        <w:rPr>
          <w:rFonts w:hint="eastAsia"/>
        </w:rPr>
        <w:t>构件交接处的钢筋位置应符合设计要求。当设计无具体要求时，应保证主要受力构件和构件中主要受力方向的钢筋位置准确，应符合下列规定：</w:t>
      </w:r>
    </w:p>
    <w:p w14:paraId="31946192">
      <w:pPr>
        <w:pStyle w:val="7"/>
        <w:numPr>
          <w:ilvl w:val="0"/>
          <w:numId w:val="61"/>
        </w:numPr>
      </w:pPr>
      <w:r>
        <w:rPr>
          <w:rFonts w:hint="eastAsia"/>
        </w:rPr>
        <w:t>梁墙交接处梁纵向受力钢筋宜置于暗柱纵向钢筋内侧；</w:t>
      </w:r>
    </w:p>
    <w:p w14:paraId="18A7305C">
      <w:pPr>
        <w:pStyle w:val="7"/>
        <w:numPr>
          <w:ilvl w:val="0"/>
          <w:numId w:val="41"/>
        </w:numPr>
      </w:pPr>
      <w:r>
        <w:rPr>
          <w:rFonts w:hint="eastAsia"/>
        </w:rPr>
        <w:t>当主次梁底部标高相同时，次梁下部钢筋应放在主梁钢筋下部钢筋之上；</w:t>
      </w:r>
    </w:p>
    <w:p w14:paraId="7E80A131">
      <w:pPr>
        <w:pStyle w:val="7"/>
        <w:numPr>
          <w:ilvl w:val="0"/>
          <w:numId w:val="41"/>
        </w:numPr>
      </w:pPr>
      <w:r>
        <w:rPr>
          <w:rFonts w:hint="eastAsia"/>
        </w:rPr>
        <w:t>空心墙模中穿设水平分布钢筋两端应伸入边缘构件纵向钢筋内侧并紧贴纵向钢筋固定就位，伸入边缘构件的长度应符合设计要求；</w:t>
      </w:r>
    </w:p>
    <w:p w14:paraId="3BD75C8C">
      <w:pPr>
        <w:pStyle w:val="7"/>
        <w:numPr>
          <w:ilvl w:val="0"/>
          <w:numId w:val="41"/>
        </w:numPr>
      </w:pPr>
      <w:r>
        <w:rPr>
          <w:rFonts w:hint="eastAsia"/>
        </w:rPr>
        <w:t>现浇剪力墙中水平分布钢筋宜放在竖向受力筋外侧，宜在墙端弯折锚固。</w:t>
      </w:r>
    </w:p>
    <w:p w14:paraId="7E8E3669">
      <w:pPr>
        <w:pStyle w:val="6"/>
        <w:numPr>
          <w:ilvl w:val="2"/>
          <w:numId w:val="0"/>
        </w:numPr>
      </w:pPr>
      <w:r>
        <w:rPr>
          <w:rFonts w:hint="eastAsia"/>
          <w:color w:val="0070C0"/>
        </w:rPr>
        <w:t>【条文说明】空心墙模中穿设的水平分布钢筋位于竖向分布钢筋内侧，因此墙体水平分布钢筋伸入两端边缘构件时位于边缘构件核心区内，这对墙体水平分布钢筋的锚固或连接有利。</w:t>
      </w:r>
    </w:p>
    <w:p w14:paraId="334034A1">
      <w:pPr>
        <w:pStyle w:val="6"/>
      </w:pPr>
      <w:r>
        <w:rPr>
          <w:rFonts w:hint="eastAsia"/>
        </w:rPr>
        <w:t>位于现浇混凝土内的连接钢筋应埋设准确，锚固方式应符合设计要求。现浇混凝土内钢筋连接接头的预留钢筋定位应满足下列要求：</w:t>
      </w:r>
    </w:p>
    <w:p w14:paraId="287960AC">
      <w:pPr>
        <w:pStyle w:val="7"/>
        <w:numPr>
          <w:ilvl w:val="0"/>
          <w:numId w:val="62"/>
        </w:numPr>
      </w:pPr>
      <w:r>
        <w:rPr>
          <w:rFonts w:hint="eastAsia"/>
        </w:rPr>
        <w:t>位于现浇混凝土内的连接接头的预留钢筋应采用专用定位模具对其中心位置和外露长度进行控制，防止混凝土浇筑时定位钢筋整体偏移；</w:t>
      </w:r>
    </w:p>
    <w:p w14:paraId="0A50A0B4">
      <w:pPr>
        <w:pStyle w:val="7"/>
        <w:numPr>
          <w:ilvl w:val="0"/>
          <w:numId w:val="41"/>
        </w:numPr>
      </w:pPr>
      <w:r>
        <w:rPr>
          <w:rFonts w:hint="eastAsia"/>
        </w:rPr>
        <w:t>定位钢筋中心位置存在细微偏差时，可采用套管方式进行细微调整；</w:t>
      </w:r>
    </w:p>
    <w:p w14:paraId="26FF7209">
      <w:pPr>
        <w:pStyle w:val="7"/>
        <w:numPr>
          <w:ilvl w:val="0"/>
          <w:numId w:val="41"/>
        </w:numPr>
      </w:pPr>
      <w:r>
        <w:rPr>
          <w:rFonts w:hint="eastAsia"/>
        </w:rPr>
        <w:t>定位钢筋中心位置存在严重偏差影响预制构件安装时，应会同设计单位制定专项处理方案，严禁切割或强行调整定位钢筋。</w:t>
      </w:r>
    </w:p>
    <w:p w14:paraId="775BD1B0">
      <w:pPr>
        <w:pStyle w:val="5"/>
        <w:numPr>
          <w:ilvl w:val="1"/>
          <w:numId w:val="48"/>
        </w:numPr>
        <w:spacing w:before="156" w:beforeLines="50" w:after="156"/>
      </w:pPr>
      <w:bookmarkStart w:id="311" w:name="_Toc129374390"/>
      <w:bookmarkStart w:id="312" w:name="_Toc17862"/>
      <w:bookmarkStart w:id="313" w:name="_Toc61254090"/>
      <w:bookmarkStart w:id="314" w:name="_Toc61254047"/>
      <w:r>
        <w:rPr>
          <w:rFonts w:hint="eastAsia"/>
        </w:rPr>
        <w:t>混凝土工程</w:t>
      </w:r>
      <w:bookmarkEnd w:id="311"/>
      <w:bookmarkEnd w:id="312"/>
      <w:bookmarkEnd w:id="313"/>
      <w:bookmarkEnd w:id="314"/>
    </w:p>
    <w:p w14:paraId="303966ED">
      <w:pPr>
        <w:pStyle w:val="6"/>
      </w:pPr>
      <w:r>
        <w:rPr>
          <w:rFonts w:hint="eastAsia"/>
        </w:rPr>
        <w:t>固模剪力墙结构中现浇混凝土应采用预拌混凝土，混凝土强度等级应符合设计要求。预拌混凝土应符合现行国家标准《预拌混凝土》GB/T 14902的有关规定；预拌混凝土宜采用泵送入模方式连续浇筑，应符合现行行业标准《混凝土泵送施工技术规程》J</w:t>
      </w:r>
      <w:r>
        <w:t>GJ/T</w:t>
      </w:r>
      <w:r>
        <w:rPr>
          <w:rFonts w:hint="eastAsia"/>
        </w:rPr>
        <w:t xml:space="preserve"> </w:t>
      </w:r>
      <w:r>
        <w:t>10</w:t>
      </w:r>
      <w:r>
        <w:rPr>
          <w:rFonts w:hint="eastAsia"/>
        </w:rPr>
        <w:t>的有关规定。</w:t>
      </w:r>
    </w:p>
    <w:p w14:paraId="130ACA2C">
      <w:pPr>
        <w:pStyle w:val="6"/>
      </w:pPr>
      <w:r>
        <w:rPr>
          <w:rFonts w:hint="eastAsia"/>
        </w:rPr>
        <w:t>混凝土的配合比应符合现行国家标准《普通混凝土配合比设计规程》JGJ 55的规定。混凝土所用的水泥、砂石骨料、外加剂及掺合料等应符合现行相关国家标准的规定。</w:t>
      </w:r>
    </w:p>
    <w:p w14:paraId="1D699BB7">
      <w:pPr>
        <w:pStyle w:val="6"/>
        <w:numPr>
          <w:ilvl w:val="0"/>
          <w:numId w:val="0"/>
        </w:numPr>
        <w:tabs>
          <w:tab w:val="clear" w:pos="907"/>
        </w:tabs>
      </w:pPr>
      <w:r>
        <w:rPr>
          <w:rFonts w:hint="eastAsia"/>
        </w:rPr>
        <w:t>【条文说明】为保证灌孔混凝土的浇筑质量和密实度，后现浇混凝土应采用大流动性补偿收缩混凝土，粗骨料最大公称粒径不宜大于20mm并严格控制水胶比。</w:t>
      </w:r>
    </w:p>
    <w:p w14:paraId="61C9F8B7">
      <w:pPr>
        <w:pStyle w:val="6"/>
      </w:pPr>
      <w:r>
        <w:rPr>
          <w:rFonts w:hint="eastAsia"/>
        </w:rPr>
        <w:t>固模剪力墙结构施工中的边缘构件部位、空心墙模内现浇</w:t>
      </w:r>
      <w:r>
        <w:t>混凝土应采用大流动性</w:t>
      </w:r>
      <w:r>
        <w:rPr>
          <w:rFonts w:hint="eastAsia"/>
        </w:rPr>
        <w:t>补偿收缩混凝土，严格控制水胶比。当采用自密实混凝土时，混凝土扩展度不宜小于6</w:t>
      </w:r>
      <w:r>
        <w:t>00</w:t>
      </w:r>
      <w:r>
        <w:rPr>
          <w:rFonts w:hint="eastAsia"/>
        </w:rPr>
        <w:t>mm，应符合现行行业标准《自密实混凝土应用技术规程》JGJ/T 283的有关规定；当采用普通混凝土时，混凝土拌合物应在满足施工要求的前提下，坍落度设计值宜控制在1</w:t>
      </w:r>
      <w:r>
        <w:t>60</w:t>
      </w:r>
      <w:r>
        <w:rPr>
          <w:rFonts w:hint="eastAsia"/>
        </w:rPr>
        <w:t>~180mm，应符合现行国家标准《混凝土质量控制标准》GB</w:t>
      </w:r>
      <w:r>
        <w:t xml:space="preserve"> </w:t>
      </w:r>
      <w:r>
        <w:rPr>
          <w:rFonts w:hint="eastAsia"/>
        </w:rPr>
        <w:t>50164的有关规定。</w:t>
      </w:r>
    </w:p>
    <w:p w14:paraId="5A50C1DF">
      <w:pPr>
        <w:pStyle w:val="6"/>
      </w:pPr>
      <w:r>
        <w:rPr>
          <w:rFonts w:hint="eastAsia"/>
        </w:rPr>
        <w:t>混凝土运输应符合下列规定：</w:t>
      </w:r>
    </w:p>
    <w:p w14:paraId="2CCA6CE5">
      <w:pPr>
        <w:pStyle w:val="7"/>
        <w:numPr>
          <w:ilvl w:val="0"/>
          <w:numId w:val="63"/>
        </w:numPr>
      </w:pPr>
      <w:r>
        <w:rPr>
          <w:rFonts w:hint="eastAsia"/>
        </w:rPr>
        <w:t>预拌混凝土运输车辆应符合国家现行有关标准的规定；</w:t>
      </w:r>
    </w:p>
    <w:p w14:paraId="111BDB33">
      <w:pPr>
        <w:pStyle w:val="7"/>
        <w:numPr>
          <w:ilvl w:val="0"/>
          <w:numId w:val="41"/>
        </w:numPr>
      </w:pPr>
      <w:r>
        <w:rPr>
          <w:rFonts w:hint="eastAsia"/>
        </w:rPr>
        <w:t>运输过程中应保证混凝土拌合物的均匀性和工作性；</w:t>
      </w:r>
    </w:p>
    <w:p w14:paraId="7D9633F6">
      <w:pPr>
        <w:pStyle w:val="7"/>
        <w:numPr>
          <w:ilvl w:val="0"/>
          <w:numId w:val="41"/>
        </w:numPr>
      </w:pPr>
      <w:r>
        <w:rPr>
          <w:rFonts w:hint="eastAsia"/>
        </w:rPr>
        <w:t>应采取措施保证混凝土连续供应，应满足现场施工的需要。</w:t>
      </w:r>
    </w:p>
    <w:p w14:paraId="11F896CF">
      <w:pPr>
        <w:pStyle w:val="6"/>
      </w:pPr>
      <w:r>
        <w:rPr>
          <w:rFonts w:hint="eastAsia"/>
        </w:rPr>
        <w:t>固模剪力墙结构连接节点、空心墙模孔内及固模楼承板浇筑混凝土前，应进行隐蔽工程验收。</w:t>
      </w:r>
    </w:p>
    <w:p w14:paraId="6EC8B28A">
      <w:pPr>
        <w:pStyle w:val="6"/>
      </w:pPr>
      <w:r>
        <w:rPr>
          <w:rFonts w:hint="eastAsia"/>
        </w:rPr>
        <w:t>固模楼承板混凝土浇筑应符合下列规定：</w:t>
      </w:r>
    </w:p>
    <w:p w14:paraId="18E88D1F">
      <w:pPr>
        <w:pStyle w:val="7"/>
        <w:numPr>
          <w:ilvl w:val="0"/>
          <w:numId w:val="64"/>
        </w:numPr>
      </w:pPr>
      <w:r>
        <w:rPr>
          <w:rFonts w:hint="eastAsia"/>
        </w:rPr>
        <w:t>固模楼承板混凝土浇筑前应清除板面上的杂物，表面干燥时应洒水润湿，洒水后不得留有积水；</w:t>
      </w:r>
    </w:p>
    <w:p w14:paraId="5565EF99">
      <w:pPr>
        <w:pStyle w:val="7"/>
        <w:numPr>
          <w:ilvl w:val="0"/>
          <w:numId w:val="41"/>
        </w:numPr>
      </w:pPr>
      <w:r>
        <w:rPr>
          <w:rFonts w:hint="eastAsia"/>
        </w:rPr>
        <w:t>固模楼承板混凝土应布料均衡，避免局部混凝土堆积。宜采取由一端到另一端连续浇筑的方式，混凝土分段浇筑应符合设计及施工方案要求；</w:t>
      </w:r>
    </w:p>
    <w:p w14:paraId="7B34FA95">
      <w:pPr>
        <w:pStyle w:val="7"/>
        <w:numPr>
          <w:ilvl w:val="0"/>
          <w:numId w:val="41"/>
        </w:numPr>
      </w:pPr>
      <w:r>
        <w:rPr>
          <w:rFonts w:hint="eastAsia"/>
        </w:rPr>
        <w:t>固模楼承板与现浇构件交接处混凝土应加密振捣点并适当延长振捣时间；</w:t>
      </w:r>
    </w:p>
    <w:p w14:paraId="7BF9DBB5">
      <w:pPr>
        <w:pStyle w:val="7"/>
        <w:numPr>
          <w:ilvl w:val="0"/>
          <w:numId w:val="41"/>
        </w:numPr>
      </w:pPr>
      <w:r>
        <w:rPr>
          <w:rFonts w:hint="eastAsia"/>
        </w:rPr>
        <w:t>固模楼承板混凝土浇筑时，不应移动预埋件的位置，不得污染预埋件连接部位。</w:t>
      </w:r>
    </w:p>
    <w:p w14:paraId="045FF708">
      <w:pPr>
        <w:pStyle w:val="6"/>
      </w:pPr>
      <w:r>
        <w:rPr>
          <w:rFonts w:hint="eastAsia"/>
        </w:rPr>
        <w:t>固模楼承板混凝土同条件养护试件抗压强度符合现行国家标准《混凝土结构工程施工规范》GB 50666相关规定后，方可拆除下层支撑架体。</w:t>
      </w:r>
    </w:p>
    <w:p w14:paraId="2C80786D">
      <w:pPr>
        <w:pStyle w:val="6"/>
      </w:pPr>
      <w:r>
        <w:rPr>
          <w:rFonts w:hint="eastAsia"/>
        </w:rPr>
        <w:t>固模剪力墙现浇混凝土施工应符合下列规定：</w:t>
      </w:r>
    </w:p>
    <w:p w14:paraId="1D2F5EBA">
      <w:pPr>
        <w:pStyle w:val="7"/>
        <w:numPr>
          <w:ilvl w:val="0"/>
          <w:numId w:val="65"/>
        </w:numPr>
      </w:pPr>
      <w:r>
        <w:rPr>
          <w:rFonts w:hint="eastAsia"/>
        </w:rPr>
        <w:t>空心墙模孔内现浇</w:t>
      </w:r>
      <w:r>
        <w:t>混凝土浇筑前，应对</w:t>
      </w:r>
      <w:r>
        <w:rPr>
          <w:rFonts w:hint="eastAsia"/>
        </w:rPr>
        <w:t>底部结合面及</w:t>
      </w:r>
      <w:r>
        <w:t>空心墙模孔洞进行清理</w:t>
      </w:r>
      <w:r>
        <w:rPr>
          <w:rFonts w:hint="eastAsia"/>
        </w:rPr>
        <w:t>、</w:t>
      </w:r>
      <w:r>
        <w:t>润湿</w:t>
      </w:r>
      <w:r>
        <w:rPr>
          <w:rFonts w:hint="eastAsia"/>
        </w:rPr>
        <w:t>；</w:t>
      </w:r>
    </w:p>
    <w:p w14:paraId="53FE51A4">
      <w:pPr>
        <w:pStyle w:val="7"/>
        <w:numPr>
          <w:ilvl w:val="0"/>
          <w:numId w:val="65"/>
        </w:numPr>
      </w:pPr>
      <w:r>
        <w:rPr>
          <w:rFonts w:hint="eastAsia"/>
        </w:rPr>
        <w:t>空心墙模孔内、接缝及连接节点处的后浇混凝土应采用补偿收缩混凝土，应</w:t>
      </w:r>
      <w:r>
        <w:t>采用插入式振捣棒按混凝土浇筑方向逐孔</w:t>
      </w:r>
      <w:r>
        <w:rPr>
          <w:rFonts w:hint="eastAsia"/>
        </w:rPr>
        <w:t>充分</w:t>
      </w:r>
      <w:r>
        <w:t>振捣</w:t>
      </w:r>
      <w:r>
        <w:rPr>
          <w:rFonts w:hint="eastAsia"/>
        </w:rPr>
        <w:t>，</w:t>
      </w:r>
      <w:r>
        <w:t>必要时可采用人工辅助振捣</w:t>
      </w:r>
      <w:r>
        <w:rPr>
          <w:rFonts w:hint="eastAsia"/>
        </w:rPr>
        <w:t>，保证混凝土浇筑密实；</w:t>
      </w:r>
    </w:p>
    <w:p w14:paraId="1CAA10C7">
      <w:pPr>
        <w:pStyle w:val="7"/>
        <w:numPr>
          <w:ilvl w:val="0"/>
          <w:numId w:val="41"/>
        </w:numPr>
      </w:pPr>
      <w:r>
        <w:rPr>
          <w:rFonts w:hint="eastAsia"/>
        </w:rPr>
        <w:t>空心墙模接缝处及与现浇段连接节点处混凝土浇筑时应加密振捣点并适当延长振捣时间；</w:t>
      </w:r>
    </w:p>
    <w:p w14:paraId="43E23FA8">
      <w:pPr>
        <w:pStyle w:val="7"/>
        <w:numPr>
          <w:ilvl w:val="0"/>
          <w:numId w:val="41"/>
        </w:numPr>
      </w:pPr>
      <w:r>
        <w:rPr>
          <w:rFonts w:hint="eastAsia"/>
        </w:rPr>
        <w:t>应由墙的一端到另一端一次连续浇筑，混凝土浇筑应均匀下料，下料高度应由计算确定，应符合《混凝土结构工程施工规范》GB</w:t>
      </w:r>
      <w:r>
        <w:t xml:space="preserve"> 50666</w:t>
      </w:r>
      <w:r>
        <w:rPr>
          <w:rFonts w:hint="eastAsia"/>
        </w:rPr>
        <w:t>的规定；</w:t>
      </w:r>
    </w:p>
    <w:p w14:paraId="3409598D">
      <w:pPr>
        <w:pStyle w:val="7"/>
        <w:numPr>
          <w:ilvl w:val="0"/>
          <w:numId w:val="41"/>
        </w:numPr>
      </w:pPr>
      <w:r>
        <w:rPr>
          <w:rFonts w:hint="eastAsia"/>
        </w:rPr>
        <w:t>混凝土强度达到设计要求后，方可拆除空心墙模及楼板的支撑架体。</w:t>
      </w:r>
    </w:p>
    <w:p w14:paraId="5C2766C8">
      <w:pPr>
        <w:pStyle w:val="6"/>
        <w:numPr>
          <w:ilvl w:val="2"/>
          <w:numId w:val="0"/>
        </w:numPr>
        <w:rPr>
          <w:rFonts w:hint="eastAsia"/>
          <w:color w:val="0070C0"/>
        </w:rPr>
      </w:pPr>
      <w:r>
        <w:rPr>
          <w:rFonts w:hint="eastAsia"/>
          <w:color w:val="0070C0"/>
        </w:rPr>
        <w:t>【条文说明】空心墙模孔内现浇混凝土浇筑时，混凝土（特别要注意空心墙模水平孔内的现浇混凝土）振捣密实至关重要，本标准在以下几个方面做了规定，以保证混凝土能浇筑密实：</w:t>
      </w:r>
    </w:p>
    <w:p w14:paraId="5089BE2C">
      <w:pPr>
        <w:pStyle w:val="6"/>
        <w:numPr>
          <w:ilvl w:val="2"/>
          <w:numId w:val="0"/>
        </w:numPr>
        <w:ind w:firstLine="422" w:firstLineChars="200"/>
        <w:rPr>
          <w:rFonts w:hint="eastAsia"/>
          <w:color w:val="0070C0"/>
        </w:rPr>
      </w:pPr>
      <w:r>
        <w:rPr>
          <w:rFonts w:hint="eastAsia"/>
          <w:b/>
          <w:bCs w:val="0"/>
          <w:color w:val="0070C0"/>
        </w:rPr>
        <w:t xml:space="preserve">1 </w:t>
      </w:r>
      <w:r>
        <w:rPr>
          <w:rFonts w:hint="eastAsia"/>
          <w:color w:val="0070C0"/>
        </w:rPr>
        <w:t>为保障墙体混凝土浇筑质量，空心墙模孔内现浇混凝土浇筑前，应对墙体底部结合面及空心墙模孔洞进行清理、润湿；</w:t>
      </w:r>
    </w:p>
    <w:p w14:paraId="33550E2B">
      <w:pPr>
        <w:pStyle w:val="6"/>
        <w:numPr>
          <w:ilvl w:val="2"/>
          <w:numId w:val="0"/>
        </w:numPr>
        <w:ind w:firstLine="422" w:firstLineChars="200"/>
        <w:rPr>
          <w:rFonts w:hint="eastAsia"/>
          <w:color w:val="0070C0"/>
        </w:rPr>
      </w:pPr>
      <w:r>
        <w:rPr>
          <w:rFonts w:hint="eastAsia"/>
          <w:b/>
          <w:bCs w:val="0"/>
          <w:color w:val="0070C0"/>
        </w:rPr>
        <w:t xml:space="preserve">2 </w:t>
      </w:r>
      <w:r>
        <w:rPr>
          <w:rFonts w:hint="eastAsia"/>
          <w:color w:val="0070C0"/>
        </w:rPr>
        <w:t>应采用预拌混凝土，要求采用大流动性补偿收缩混凝土，应严格控制水胶比。</w:t>
      </w:r>
    </w:p>
    <w:p w14:paraId="3FF2F41A">
      <w:pPr>
        <w:pStyle w:val="6"/>
        <w:numPr>
          <w:ilvl w:val="2"/>
          <w:numId w:val="0"/>
        </w:numPr>
        <w:ind w:firstLine="420" w:firstLineChars="200"/>
        <w:rPr>
          <w:rFonts w:hint="eastAsia"/>
          <w:color w:val="0070C0"/>
        </w:rPr>
      </w:pPr>
      <w:r>
        <w:rPr>
          <w:rFonts w:hint="eastAsia"/>
          <w:color w:val="0070C0"/>
        </w:rPr>
        <w:t>根据现行行业标准《普通混凝土配合比设计规程》JGJ 55的有关规定，大流动性混凝土是指拌合物坍落度不小于160mm的混凝土。为了使固模剪力墙混凝土浇筑密实，也可采用自密实混凝土。采用自密实混凝土时，应适当添加膨胀剂严格控制现浇混凝土的收缩；</w:t>
      </w:r>
    </w:p>
    <w:p w14:paraId="22E9C54C">
      <w:pPr>
        <w:pStyle w:val="6"/>
        <w:numPr>
          <w:ilvl w:val="2"/>
          <w:numId w:val="0"/>
        </w:numPr>
        <w:ind w:firstLine="422" w:firstLineChars="200"/>
        <w:rPr>
          <w:rFonts w:hint="eastAsia"/>
          <w:color w:val="0070C0"/>
        </w:rPr>
      </w:pPr>
      <w:r>
        <w:rPr>
          <w:rFonts w:hint="eastAsia"/>
          <w:b/>
          <w:bCs w:val="0"/>
          <w:color w:val="0070C0"/>
        </w:rPr>
        <w:t xml:space="preserve">3 </w:t>
      </w:r>
      <w:r>
        <w:rPr>
          <w:rFonts w:hint="eastAsia"/>
          <w:color w:val="0070C0"/>
        </w:rPr>
        <w:t>混凝土浇筑时应分层进行、均匀下料，应一次性连续浇筑完成；</w:t>
      </w:r>
    </w:p>
    <w:p w14:paraId="3753F46B">
      <w:pPr>
        <w:pStyle w:val="6"/>
        <w:numPr>
          <w:ilvl w:val="2"/>
          <w:numId w:val="0"/>
        </w:numPr>
        <w:ind w:firstLine="422" w:firstLineChars="200"/>
      </w:pPr>
      <w:r>
        <w:rPr>
          <w:rFonts w:hint="eastAsia"/>
          <w:b/>
          <w:bCs w:val="0"/>
          <w:color w:val="0070C0"/>
        </w:rPr>
        <w:t xml:space="preserve">4 </w:t>
      </w:r>
      <w:r>
        <w:rPr>
          <w:rFonts w:hint="eastAsia"/>
          <w:color w:val="0070C0"/>
        </w:rPr>
        <w:t>加强振捣措施，混凝土振捣应采用插入式振捣棒，按混凝土浇筑方向逐孔振捣，必要时可采用人工辅助振捣，拼缝及现浇节点处混凝土应加密振捣点并适当延长振捣时间。</w:t>
      </w:r>
    </w:p>
    <w:p w14:paraId="312FDC77">
      <w:pPr>
        <w:pStyle w:val="6"/>
      </w:pPr>
      <w:r>
        <w:rPr>
          <w:rFonts w:hint="eastAsia"/>
        </w:rPr>
        <w:t>混凝土浇筑和振捣时，应对模板及支架进行观察和维护，发生异常情况应及时进行处理。构件接缝混凝土浇筑和振捣应采取措施防止模板及支架、相连接构件、钢筋、预埋件及其定位件移位或变形。</w:t>
      </w:r>
    </w:p>
    <w:p w14:paraId="0EB2583C">
      <w:pPr>
        <w:pStyle w:val="6"/>
      </w:pPr>
      <w:r>
        <w:rPr>
          <w:rFonts w:hint="eastAsia"/>
        </w:rPr>
        <w:t>固模剪力墙混凝土设计强度等级高于楼板混凝土设计强度等级时，现浇混凝土浇筑应符合下列规定：</w:t>
      </w:r>
    </w:p>
    <w:p w14:paraId="5D0E5EB7">
      <w:pPr>
        <w:pStyle w:val="7"/>
        <w:numPr>
          <w:ilvl w:val="0"/>
          <w:numId w:val="66"/>
        </w:numPr>
        <w:rPr>
          <w:rFonts w:hint="eastAsia"/>
        </w:rPr>
      </w:pPr>
      <w:r>
        <w:rPr>
          <w:rFonts w:hint="eastAsia"/>
        </w:rPr>
        <w:t>墙混凝土设计强度比楼板混凝土设计强度高一个等级时，墙顶位于楼板高度范围内的混凝土经设计单位确认，可采用与楼板混凝土设计强度等级相同的混凝土进行浇筑；</w:t>
      </w:r>
    </w:p>
    <w:p w14:paraId="4F6EAC87">
      <w:pPr>
        <w:pStyle w:val="7"/>
        <w:numPr>
          <w:ilvl w:val="0"/>
          <w:numId w:val="66"/>
        </w:numPr>
        <w:rPr>
          <w:rFonts w:hint="eastAsia"/>
        </w:rPr>
      </w:pPr>
      <w:r>
        <w:rPr>
          <w:rFonts w:hint="eastAsia"/>
        </w:rPr>
        <w:t>墙混凝土设计强度比楼板混凝土设计强度高两个等级及以上时，应在交界区域采取分隔措施；分隔位置应设在楼板中，距墙边缘不应小于500mm；</w:t>
      </w:r>
    </w:p>
    <w:p w14:paraId="7B820156">
      <w:pPr>
        <w:pStyle w:val="7"/>
        <w:numPr>
          <w:ilvl w:val="0"/>
          <w:numId w:val="66"/>
        </w:numPr>
      </w:pPr>
      <w:r>
        <w:rPr>
          <w:rFonts w:hint="eastAsia"/>
        </w:rPr>
        <w:t>宜先浇筑墙的混凝土，后浇筑楼板混凝土。</w:t>
      </w:r>
    </w:p>
    <w:p w14:paraId="3850709F">
      <w:pPr>
        <w:pStyle w:val="6"/>
        <w:numPr>
          <w:ilvl w:val="2"/>
          <w:numId w:val="0"/>
        </w:numPr>
        <w:rPr>
          <w:color w:val="0070C0"/>
        </w:rPr>
      </w:pPr>
      <w:r>
        <w:rPr>
          <w:rFonts w:hint="eastAsia"/>
          <w:color w:val="0070C0"/>
        </w:rPr>
        <w:t>【条文说明】装配式固模剪力墙结构空心墙模内混凝土一般与楼板混凝土同时浇筑，故墙混凝土设计强度等级高于楼板混凝土设计强度等级时，施工应采用必要措施分两次浇筑，防止固模剪力墙在楼板高度范围内出现薄弱环节。本条规定参考了《混凝土结构工程施工规范》GB 50666的相关规定。</w:t>
      </w:r>
    </w:p>
    <w:p w14:paraId="46FF28E7">
      <w:pPr>
        <w:pStyle w:val="6"/>
        <w:rPr>
          <w:rFonts w:hint="eastAsia"/>
          <w:color w:val="FF0000"/>
        </w:rPr>
      </w:pPr>
      <w:r>
        <w:rPr>
          <w:rFonts w:hint="eastAsia"/>
          <w:color w:val="FF0000"/>
        </w:rPr>
        <w:t>当固模剪力墙采用补偿收缩混凝土时，宜先浇筑墙的混凝土，后浇筑楼板混凝土，并应在墙板交界区域采取分隔措施，分隔位置应设在楼板中，距墙边缘不应小于500mm。</w:t>
      </w:r>
    </w:p>
    <w:p w14:paraId="28342E83">
      <w:pPr>
        <w:pStyle w:val="6"/>
      </w:pPr>
      <w:r>
        <w:rPr>
          <w:rFonts w:hint="eastAsia"/>
        </w:rPr>
        <w:t>现场混凝土浇筑完成后可采取洒水、覆膜、喷涂养护剂等养护方式，养护时间不宜少于14d。当气温低于5℃时，不得进行洒水养护。</w:t>
      </w:r>
    </w:p>
    <w:p w14:paraId="62206B1A">
      <w:pPr>
        <w:pStyle w:val="4"/>
        <w:tabs>
          <w:tab w:val="left" w:pos="420"/>
          <w:tab w:val="clear" w:pos="315"/>
        </w:tabs>
        <w:spacing w:before="156" w:after="156"/>
      </w:pPr>
      <w:r>
        <w:br w:type="page"/>
      </w:r>
      <w:bookmarkStart w:id="315" w:name="_Toc61254048"/>
      <w:bookmarkStart w:id="316" w:name="_Toc61254091"/>
      <w:bookmarkStart w:id="317" w:name="_Toc129374391"/>
      <w:bookmarkStart w:id="318" w:name="_Toc4367"/>
      <w:r>
        <w:rPr>
          <w:rFonts w:hint="eastAsia"/>
        </w:rPr>
        <w:t>工程验收</w:t>
      </w:r>
      <w:bookmarkEnd w:id="315"/>
      <w:bookmarkEnd w:id="316"/>
      <w:bookmarkEnd w:id="317"/>
      <w:bookmarkEnd w:id="318"/>
    </w:p>
    <w:p w14:paraId="76BCC6FE">
      <w:pPr>
        <w:pStyle w:val="5"/>
        <w:numPr>
          <w:ilvl w:val="1"/>
          <w:numId w:val="67"/>
        </w:numPr>
        <w:spacing w:before="156" w:beforeLines="50" w:after="156"/>
      </w:pPr>
      <w:bookmarkStart w:id="319" w:name="_Toc61254092"/>
      <w:bookmarkStart w:id="320" w:name="_Toc129374392"/>
      <w:bookmarkStart w:id="321" w:name="_Toc61254049"/>
      <w:bookmarkStart w:id="322" w:name="_Toc22198"/>
      <w:r>
        <w:rPr>
          <w:rFonts w:hint="eastAsia"/>
        </w:rPr>
        <w:t>一般规定</w:t>
      </w:r>
      <w:bookmarkEnd w:id="319"/>
      <w:bookmarkEnd w:id="320"/>
      <w:bookmarkEnd w:id="321"/>
      <w:bookmarkEnd w:id="322"/>
    </w:p>
    <w:p w14:paraId="28AF2488">
      <w:pPr>
        <w:pStyle w:val="6"/>
      </w:pPr>
      <w:r>
        <w:rPr>
          <w:rFonts w:hint="eastAsia"/>
        </w:rPr>
        <w:t>固模剪力墙结构施工应按现行国家标准《建筑与市政工程施工质量控制通用规范》GB 55032、</w:t>
      </w:r>
      <w:r>
        <w:t>《混凝土结构工程施工质量验收规范》GB 50204</w:t>
      </w:r>
      <w:r>
        <w:rPr>
          <w:rFonts w:hint="eastAsia"/>
        </w:rPr>
        <w:t>、</w:t>
      </w:r>
      <w:r>
        <w:t>《装配式混凝土</w:t>
      </w:r>
      <w:r>
        <w:rPr>
          <w:rFonts w:hint="eastAsia"/>
        </w:rPr>
        <w:t>建筑</w:t>
      </w:r>
      <w:r>
        <w:t>技术</w:t>
      </w:r>
      <w:r>
        <w:rPr>
          <w:rFonts w:hint="eastAsia"/>
        </w:rPr>
        <w:t>标准</w:t>
      </w:r>
      <w:r>
        <w:t>》</w:t>
      </w:r>
      <w:r>
        <w:rPr>
          <w:rFonts w:hint="eastAsia"/>
        </w:rPr>
        <w:t>GB/T</w:t>
      </w:r>
      <w:r>
        <w:t xml:space="preserve"> </w:t>
      </w:r>
      <w:r>
        <w:rPr>
          <w:rFonts w:hint="eastAsia"/>
        </w:rPr>
        <w:t>51231及现行广东省地方标准《装配式混凝土建筑工程施工质量验收规范》DBJ/</w:t>
      </w:r>
      <w:r>
        <w:t>T 15</w:t>
      </w:r>
      <w:r>
        <w:rPr>
          <w:rFonts w:hint="eastAsia"/>
        </w:rPr>
        <w:t>-</w:t>
      </w:r>
      <w:r>
        <w:t>171</w:t>
      </w:r>
      <w:r>
        <w:rPr>
          <w:rFonts w:hint="eastAsia"/>
        </w:rPr>
        <w:t>的相关规定进行子分部工程、分项工程和检验批的划分和质量验收。</w:t>
      </w:r>
    </w:p>
    <w:p w14:paraId="686A935C">
      <w:pPr>
        <w:pStyle w:val="6"/>
        <w:numPr>
          <w:ilvl w:val="2"/>
          <w:numId w:val="0"/>
        </w:numPr>
      </w:pPr>
      <w:r>
        <w:rPr>
          <w:rFonts w:hint="eastAsia"/>
          <w:color w:val="0070C0"/>
        </w:rPr>
        <w:t>【条文说明】工程的分部工程、分项工程划分应符合现行国家标准《建筑工程施工质量验收统一标准》GB 50300和《混凝土结构工程施工质量验收规范》GB 50204的规定。固模剪力墙结构作为一种新型装配式结构，应作为混凝土结构子分部工程进行验收，应符合现行国家标准《装配式混凝土建筑技术标准》GB/T 51231及现行广东省地方标准《装配式混凝土建筑工程施工质量验收规范》DBJ/T 15-171的规定。</w:t>
      </w:r>
    </w:p>
    <w:p w14:paraId="05F390C0">
      <w:pPr>
        <w:pStyle w:val="6"/>
      </w:pPr>
      <w:r>
        <w:rPr>
          <w:rFonts w:hint="eastAsia"/>
        </w:rPr>
        <w:t>固模剪力墙结构工程</w:t>
      </w:r>
      <w:r>
        <w:t>应按混凝土结构子分部工程进行验收，</w:t>
      </w:r>
      <w:r>
        <w:rPr>
          <w:rFonts w:hint="eastAsia"/>
        </w:rPr>
        <w:t>主要包含模板、钢筋、混凝土、现浇结构和装配式预制构件安装等分项工程。</w:t>
      </w:r>
    </w:p>
    <w:p w14:paraId="307FB70E">
      <w:pPr>
        <w:pStyle w:val="6"/>
        <w:numPr>
          <w:ilvl w:val="2"/>
          <w:numId w:val="0"/>
        </w:numPr>
        <w:rPr>
          <w:rFonts w:hint="eastAsia"/>
          <w:color w:val="0070C0"/>
        </w:rPr>
      </w:pPr>
      <w:r>
        <w:rPr>
          <w:rFonts w:hint="eastAsia"/>
          <w:color w:val="0070C0"/>
        </w:rPr>
        <w:t>【条文说明】固模剪力墙结构工程采用预制空心墙模、TC板等与后浇混凝土相结合使用的装配式混凝土结构，后浇混凝土仍占一定比例，因此对于本标准与装配式结构工程相关的模板与支架、钢筋、混凝土、预制构件安装施工及质量验收应与《混凝土结构工程施工规范》GB 50666和《混凝土结构工程施工质量验收规范》GB 50204配合使用。</w:t>
      </w:r>
    </w:p>
    <w:p w14:paraId="5D2EE276">
      <w:pPr>
        <w:pStyle w:val="6"/>
        <w:numPr>
          <w:ilvl w:val="2"/>
          <w:numId w:val="0"/>
        </w:numPr>
        <w:ind w:firstLine="420" w:firstLineChars="200"/>
        <w:rPr>
          <w:rFonts w:hint="eastAsia"/>
          <w:color w:val="0070C0"/>
        </w:rPr>
      </w:pPr>
      <w:r>
        <w:rPr>
          <w:rFonts w:hint="eastAsia"/>
          <w:color w:val="0070C0"/>
        </w:rPr>
        <w:t>按照本标准进行验收时，与装配式结构工程直接相关的模板与支架，钢筋，混凝土工程检验批验收可分别归入现行国家标准《混凝土结构工程施工质量验收规范》GB 50204相对应的各分项工程验收中。</w:t>
      </w:r>
    </w:p>
    <w:p w14:paraId="4A51099D">
      <w:pPr>
        <w:pStyle w:val="6"/>
        <w:numPr>
          <w:ilvl w:val="2"/>
          <w:numId w:val="0"/>
        </w:numPr>
        <w:ind w:firstLine="420" w:firstLineChars="200"/>
        <w:rPr>
          <w:rFonts w:hint="eastAsia"/>
          <w:color w:val="0070C0"/>
        </w:rPr>
      </w:pPr>
      <w:r>
        <w:rPr>
          <w:rFonts w:hint="eastAsia"/>
          <w:color w:val="0070C0"/>
        </w:rPr>
        <w:t>按照本标准规定对预制构件安装进行验收时，应包括预制构件进场，预制构件安装，连接接缝处理等检验批，应符合现行国家标准《混凝土结构工程施工质量验收规范》GB 50204中装配式结构分项工程的规定。</w:t>
      </w:r>
    </w:p>
    <w:p w14:paraId="664E0A2A">
      <w:pPr>
        <w:pStyle w:val="6"/>
        <w:numPr>
          <w:ilvl w:val="2"/>
          <w:numId w:val="0"/>
        </w:numPr>
        <w:ind w:firstLine="420" w:firstLineChars="200"/>
      </w:pPr>
      <w:r>
        <w:rPr>
          <w:rFonts w:hint="eastAsia"/>
          <w:color w:val="0070C0"/>
        </w:rPr>
        <w:t>检验批和分项工程验收合格后，可以统一归入混凝土结构子分部工程验收。</w:t>
      </w:r>
    </w:p>
    <w:p w14:paraId="1810187B">
      <w:pPr>
        <w:pStyle w:val="6"/>
      </w:pPr>
      <w:r>
        <w:rPr>
          <w:rFonts w:hint="eastAsia"/>
        </w:rPr>
        <w:t>固模剪力墙结构各分项工程可根据与生产和施工方式相一致且便于控制施工质量的原则，按进场批次、工作班、楼层、结构缝或施工段划分为若干检验批。</w:t>
      </w:r>
    </w:p>
    <w:p w14:paraId="34C8AF7B">
      <w:pPr>
        <w:pStyle w:val="6"/>
      </w:pPr>
      <w:r>
        <w:rPr>
          <w:rFonts w:hint="eastAsia"/>
        </w:rPr>
        <w:t>对混凝土结构子分部工程的质量验收，应在钢筋、混凝土、现浇结构或装配式预制构件安装等相关分项工程验收合格的基础上，进行质量控制资料检查及观感质量验收，应对涉及结构安全的部位进行实体检验。</w:t>
      </w:r>
    </w:p>
    <w:p w14:paraId="3F9B98BE">
      <w:pPr>
        <w:pStyle w:val="6"/>
        <w:numPr>
          <w:ilvl w:val="2"/>
          <w:numId w:val="0"/>
        </w:numPr>
      </w:pPr>
      <w:r>
        <w:rPr>
          <w:rFonts w:hint="eastAsia"/>
          <w:color w:val="0070C0"/>
        </w:rPr>
        <w:t>【条文说明】现行国家标准《混凝土结构工程施工质量验收规范》GB 50204规定对涉及结构安全的有代表性的部位应进行结构实体检验，检验内容应包括混凝土强度、钢筋保护层厚度、结构位置与尺寸偏差等。现行广东省地方标准《装配式混凝土建筑工程施工质量验收规范》DBJ/T 15-171中对预制悬挑构件、隔墙抗冲击性能、外墙淋水试验等实体试验进行了更详细的规定。</w:t>
      </w:r>
    </w:p>
    <w:p w14:paraId="381812D1">
      <w:pPr>
        <w:pStyle w:val="6"/>
      </w:pPr>
      <w:r>
        <w:rPr>
          <w:rFonts w:hint="eastAsia"/>
        </w:rPr>
        <w:t>分项工程所含检验批的质量均应验收合格；所含检验批的质量验收记录应完整。</w:t>
      </w:r>
    </w:p>
    <w:p w14:paraId="57251900">
      <w:pPr>
        <w:pStyle w:val="6"/>
      </w:pPr>
      <w:r>
        <w:rPr>
          <w:rFonts w:hint="eastAsia"/>
        </w:rPr>
        <w:t>检验批的验收应包括实物检查和资料检查，应符合下列规定：</w:t>
      </w:r>
    </w:p>
    <w:p w14:paraId="7EA91746">
      <w:pPr>
        <w:pStyle w:val="7"/>
        <w:numPr>
          <w:ilvl w:val="0"/>
          <w:numId w:val="68"/>
        </w:numPr>
      </w:pPr>
      <w:r>
        <w:rPr>
          <w:rFonts w:hint="eastAsia"/>
        </w:rPr>
        <w:t>主控项目的质量经抽样检验应合格；</w:t>
      </w:r>
    </w:p>
    <w:p w14:paraId="5BF6C947">
      <w:pPr>
        <w:pStyle w:val="7"/>
        <w:numPr>
          <w:ilvl w:val="0"/>
          <w:numId w:val="41"/>
        </w:numPr>
      </w:pPr>
      <w:r>
        <w:rPr>
          <w:rFonts w:hint="eastAsia"/>
        </w:rPr>
        <w:t>一般项目的质量经抽样检验应合格；当采用计数抽样检验时，除有专门要求外，其合格点率应达到8</w:t>
      </w:r>
      <w:r>
        <w:t>0</w:t>
      </w:r>
      <w:r>
        <w:rPr>
          <w:rFonts w:hint="eastAsia"/>
        </w:rPr>
        <w:t>%及以上，不得有严重缺陷；</w:t>
      </w:r>
    </w:p>
    <w:p w14:paraId="4420D71D">
      <w:pPr>
        <w:pStyle w:val="7"/>
        <w:numPr>
          <w:ilvl w:val="0"/>
          <w:numId w:val="41"/>
        </w:numPr>
      </w:pPr>
      <w:r>
        <w:rPr>
          <w:rFonts w:hint="eastAsia"/>
        </w:rPr>
        <w:t>应具有完整的质量检验记录，重要工序应具有完整的施工操作记录；</w:t>
      </w:r>
    </w:p>
    <w:p w14:paraId="6A516175">
      <w:pPr>
        <w:pStyle w:val="7"/>
        <w:numPr>
          <w:ilvl w:val="0"/>
          <w:numId w:val="41"/>
        </w:numPr>
      </w:pPr>
      <w:r>
        <w:rPr>
          <w:rFonts w:hint="eastAsia"/>
        </w:rPr>
        <w:t>对验收合格的检验批，宜作出合格标志。</w:t>
      </w:r>
    </w:p>
    <w:p w14:paraId="2B138343">
      <w:pPr>
        <w:pStyle w:val="6"/>
        <w:numPr>
          <w:ilvl w:val="2"/>
          <w:numId w:val="0"/>
        </w:numPr>
      </w:pPr>
      <w:r>
        <w:rPr>
          <w:rFonts w:hint="eastAsia"/>
          <w:color w:val="0070C0"/>
        </w:rPr>
        <w:t>【条文说明】10.1.5~10.1.6分项工程的验收是以检验批为基础进行的。分项工程质量合格的条件是构成分项工程的各检验批验收资料齐全完整，各检验批均已验收合格。</w:t>
      </w:r>
    </w:p>
    <w:p w14:paraId="27E39663">
      <w:pPr>
        <w:pStyle w:val="6"/>
      </w:pPr>
      <w:r>
        <w:rPr>
          <w:rFonts w:hint="eastAsia"/>
        </w:rPr>
        <w:t>固模剪力墙结构工程施工用的原材料、部品、构配件均应按检验批进行进场验收。属于同一工程项目且同期施工的多个单位工程，对同一厂家生产的同批材料、构配件、器具及半成品，可统一划分检验批进行验收。</w:t>
      </w:r>
    </w:p>
    <w:p w14:paraId="4D843B29">
      <w:pPr>
        <w:pStyle w:val="6"/>
        <w:numPr>
          <w:ilvl w:val="2"/>
          <w:numId w:val="0"/>
        </w:numPr>
      </w:pPr>
      <w:r>
        <w:rPr>
          <w:rFonts w:hint="eastAsia"/>
          <w:color w:val="0070C0"/>
        </w:rPr>
        <w:t>【条文说明】同一工程项目且同期施工的多个单位工程统一划分检验批的目的是解决同一施工单位施工的工程中，同批进场材料可能用于多个单位工程的情况，避免由于单位工程规模较小，出现针对同批材料多次重复验收的情况。</w:t>
      </w:r>
    </w:p>
    <w:p w14:paraId="26080CEB">
      <w:pPr>
        <w:pStyle w:val="6"/>
      </w:pPr>
      <w:r>
        <w:rPr>
          <w:rFonts w:hint="eastAsia"/>
        </w:rPr>
        <w:t>固模剪力墙结构连接节点、空心墙模孔内及固模楼承板浇筑混凝土前，应进行隐蔽工程验收。隐蔽工程验收包括下列主要内容：</w:t>
      </w:r>
    </w:p>
    <w:p w14:paraId="2D67EEAC">
      <w:pPr>
        <w:pStyle w:val="7"/>
        <w:numPr>
          <w:ilvl w:val="0"/>
          <w:numId w:val="69"/>
        </w:numPr>
        <w:rPr>
          <w:rStyle w:val="139"/>
          <w:rFonts w:hint="eastAsia"/>
          <w:bCs w:val="0"/>
          <w:kern w:val="0"/>
        </w:rPr>
      </w:pPr>
      <w:r>
        <w:rPr>
          <w:rStyle w:val="139"/>
          <w:rFonts w:hint="eastAsia"/>
          <w:bCs w:val="0"/>
          <w:kern w:val="0"/>
        </w:rPr>
        <w:t>混凝土粗糙面的质量，键槽的尺寸、数量及位置；</w:t>
      </w:r>
    </w:p>
    <w:p w14:paraId="12E1A5F9">
      <w:pPr>
        <w:pStyle w:val="7"/>
        <w:rPr>
          <w:rStyle w:val="139"/>
          <w:rFonts w:hint="eastAsia"/>
          <w:bCs w:val="0"/>
          <w:kern w:val="0"/>
        </w:rPr>
      </w:pPr>
      <w:r>
        <w:rPr>
          <w:rStyle w:val="139"/>
          <w:rFonts w:hint="eastAsia"/>
          <w:bCs w:val="0"/>
          <w:kern w:val="0"/>
        </w:rPr>
        <w:t>钢筋的牌号、规格、数量、位置、间距，箍筋弯钩的弯折角度及平直长度；</w:t>
      </w:r>
    </w:p>
    <w:p w14:paraId="04F8F8B5">
      <w:pPr>
        <w:pStyle w:val="7"/>
        <w:rPr>
          <w:rStyle w:val="139"/>
          <w:rFonts w:hint="eastAsia"/>
          <w:bCs w:val="0"/>
          <w:kern w:val="0"/>
        </w:rPr>
      </w:pPr>
      <w:r>
        <w:rPr>
          <w:rStyle w:val="139"/>
          <w:rFonts w:hint="eastAsia"/>
          <w:bCs w:val="0"/>
          <w:kern w:val="0"/>
        </w:rPr>
        <w:t>钢筋的连接方式、接头位置、接头数量、接头面积百分率、搭接长度、锚固方式及锚固长度；</w:t>
      </w:r>
    </w:p>
    <w:p w14:paraId="6217CE2F">
      <w:pPr>
        <w:pStyle w:val="7"/>
        <w:rPr>
          <w:rStyle w:val="139"/>
          <w:rFonts w:hint="eastAsia"/>
          <w:bCs w:val="0"/>
          <w:kern w:val="0"/>
        </w:rPr>
      </w:pPr>
      <w:r>
        <w:rPr>
          <w:rStyle w:val="139"/>
          <w:rFonts w:hint="eastAsia"/>
          <w:bCs w:val="0"/>
          <w:kern w:val="0"/>
        </w:rPr>
        <w:t>预埋件、预留管线的规格、数量、位置等；</w:t>
      </w:r>
    </w:p>
    <w:p w14:paraId="20EB7199">
      <w:pPr>
        <w:pStyle w:val="7"/>
        <w:rPr>
          <w:rStyle w:val="139"/>
          <w:rFonts w:hint="eastAsia"/>
          <w:bCs w:val="0"/>
          <w:kern w:val="0"/>
        </w:rPr>
      </w:pPr>
      <w:r>
        <w:rPr>
          <w:rStyle w:val="139"/>
          <w:rFonts w:hint="eastAsia"/>
          <w:bCs w:val="0"/>
          <w:kern w:val="0"/>
        </w:rPr>
        <w:t>预制混凝土构件接缝处防水、防火等构造做法；</w:t>
      </w:r>
    </w:p>
    <w:p w14:paraId="385DE86E">
      <w:pPr>
        <w:pStyle w:val="7"/>
        <w:rPr>
          <w:rStyle w:val="139"/>
          <w:rFonts w:hint="eastAsia"/>
          <w:bCs w:val="0"/>
          <w:kern w:val="0"/>
        </w:rPr>
      </w:pPr>
      <w:r>
        <w:rPr>
          <w:rStyle w:val="139"/>
          <w:rFonts w:hint="eastAsia"/>
          <w:bCs w:val="0"/>
          <w:kern w:val="0"/>
        </w:rPr>
        <w:t>保温及其节点施工；</w:t>
      </w:r>
    </w:p>
    <w:p w14:paraId="5029848F">
      <w:pPr>
        <w:pStyle w:val="7"/>
        <w:rPr>
          <w:rStyle w:val="139"/>
          <w:bCs w:val="0"/>
          <w:kern w:val="0"/>
        </w:rPr>
      </w:pPr>
      <w:r>
        <w:rPr>
          <w:rStyle w:val="139"/>
          <w:rFonts w:hint="eastAsia"/>
          <w:bCs w:val="0"/>
          <w:kern w:val="0"/>
        </w:rPr>
        <w:t>其他隐蔽项目。</w:t>
      </w:r>
    </w:p>
    <w:p w14:paraId="485B6E93">
      <w:pPr>
        <w:pStyle w:val="7"/>
        <w:numPr>
          <w:ilvl w:val="0"/>
          <w:numId w:val="0"/>
        </w:numPr>
        <w:rPr>
          <w:rFonts w:hint="eastAsia"/>
          <w:bCs/>
          <w:color w:val="0070C0"/>
          <w:kern w:val="2"/>
        </w:rPr>
      </w:pPr>
      <w:r>
        <w:rPr>
          <w:rFonts w:hint="eastAsia"/>
          <w:bCs/>
          <w:color w:val="0070C0"/>
          <w:kern w:val="2"/>
        </w:rPr>
        <w:t>【条文说明】隐蔽工程反映钢筋、现浇结构分项工程施工的综合质量，后浇混凝土处的钢筋既包括空心墙模孔道中放置的水平分布钢筋、纵向和水平向连接钢筋，固模楼承板中预置的钢筋网片，也包括后浇混凝土中设置的纵筋、箍筋、钢筋网片等。在浇筑混凝土之前进行隐蔽工程验收是为了确保其连接构造性能满足设计要求，必要时可摄取照片、视频等资料留存备查。</w:t>
      </w:r>
    </w:p>
    <w:p w14:paraId="6FFEC1D3">
      <w:pPr>
        <w:pStyle w:val="6"/>
      </w:pPr>
      <w:bookmarkStart w:id="323" w:name="_Toc32678553"/>
      <w:bookmarkStart w:id="324" w:name="_Ref61193343"/>
      <w:r>
        <w:rPr>
          <w:rFonts w:hint="eastAsia"/>
        </w:rPr>
        <w:t>混凝土结构子分部</w:t>
      </w:r>
      <w:r>
        <w:t>验收时，除应按现行国家标准《混凝土结构工程施工质量验收规范》GB 50204的要求提供文件和记录外，尚应提供下列文件和记录：</w:t>
      </w:r>
      <w:bookmarkEnd w:id="323"/>
      <w:bookmarkEnd w:id="324"/>
    </w:p>
    <w:p w14:paraId="7278EB7A">
      <w:pPr>
        <w:pStyle w:val="7"/>
        <w:numPr>
          <w:ilvl w:val="0"/>
          <w:numId w:val="70"/>
        </w:numPr>
      </w:pPr>
      <w:bookmarkStart w:id="325" w:name="_Toc32678554"/>
      <w:r>
        <w:rPr>
          <w:rFonts w:hint="eastAsia"/>
        </w:rPr>
        <w:t>工程设计文件、预制构件安装施工图和</w:t>
      </w:r>
      <w:r>
        <w:t>构件制作的深化设计图；</w:t>
      </w:r>
      <w:bookmarkEnd w:id="325"/>
    </w:p>
    <w:p w14:paraId="46A6A0AC">
      <w:pPr>
        <w:pStyle w:val="7"/>
        <w:numPr>
          <w:ilvl w:val="0"/>
          <w:numId w:val="41"/>
        </w:numPr>
      </w:pPr>
      <w:bookmarkStart w:id="326" w:name="_Toc32678555"/>
      <w:r>
        <w:rPr>
          <w:rFonts w:hint="eastAsia"/>
        </w:rPr>
        <w:t>预制</w:t>
      </w:r>
      <w:r>
        <w:t>构件、主要材料及配件的质量证明文件、进场验收记录、抽样复验报告；</w:t>
      </w:r>
      <w:bookmarkEnd w:id="326"/>
    </w:p>
    <w:p w14:paraId="7980A37C">
      <w:pPr>
        <w:pStyle w:val="7"/>
        <w:numPr>
          <w:ilvl w:val="0"/>
          <w:numId w:val="41"/>
        </w:numPr>
      </w:pPr>
      <w:bookmarkStart w:id="327" w:name="_Toc32678556"/>
      <w:r>
        <w:rPr>
          <w:rFonts w:hint="eastAsia"/>
        </w:rPr>
        <w:t>预制</w:t>
      </w:r>
      <w:r>
        <w:t>构件安装施工记录；</w:t>
      </w:r>
      <w:bookmarkEnd w:id="327"/>
    </w:p>
    <w:p w14:paraId="1AAA15CC">
      <w:pPr>
        <w:pStyle w:val="7"/>
        <w:numPr>
          <w:ilvl w:val="0"/>
          <w:numId w:val="41"/>
        </w:numPr>
      </w:pPr>
      <w:bookmarkStart w:id="328" w:name="_Toc32678557"/>
      <w:r>
        <w:rPr>
          <w:rFonts w:hint="eastAsia"/>
        </w:rPr>
        <w:t>现浇混凝土部位的</w:t>
      </w:r>
      <w:r>
        <w:t>隐蔽工程验收文件；</w:t>
      </w:r>
      <w:bookmarkEnd w:id="328"/>
    </w:p>
    <w:p w14:paraId="6139AABE">
      <w:pPr>
        <w:pStyle w:val="7"/>
        <w:numPr>
          <w:ilvl w:val="0"/>
          <w:numId w:val="41"/>
        </w:numPr>
      </w:pPr>
      <w:bookmarkStart w:id="329" w:name="_Toc32678558"/>
      <w:r>
        <w:t>现浇混凝土</w:t>
      </w:r>
      <w:r>
        <w:rPr>
          <w:rFonts w:hint="eastAsia"/>
        </w:rPr>
        <w:t>、座浆料</w:t>
      </w:r>
      <w:r>
        <w:t>强度检测报告</w:t>
      </w:r>
      <w:r>
        <w:rPr>
          <w:rFonts w:hint="eastAsia"/>
        </w:rPr>
        <w:t>；</w:t>
      </w:r>
      <w:bookmarkEnd w:id="329"/>
    </w:p>
    <w:p w14:paraId="359B061C">
      <w:pPr>
        <w:pStyle w:val="7"/>
        <w:numPr>
          <w:ilvl w:val="0"/>
          <w:numId w:val="41"/>
        </w:numPr>
      </w:pPr>
      <w:r>
        <w:rPr>
          <w:rFonts w:hint="eastAsia"/>
        </w:rPr>
        <w:t>外墙防水施工质量检验记录；</w:t>
      </w:r>
    </w:p>
    <w:p w14:paraId="2ED3D8B2">
      <w:pPr>
        <w:pStyle w:val="7"/>
        <w:numPr>
          <w:ilvl w:val="0"/>
          <w:numId w:val="41"/>
        </w:numPr>
      </w:pPr>
      <w:r>
        <w:rPr>
          <w:rFonts w:hint="eastAsia"/>
        </w:rPr>
        <w:t>工程质量验收文件；</w:t>
      </w:r>
    </w:p>
    <w:p w14:paraId="594A57CE">
      <w:pPr>
        <w:pStyle w:val="7"/>
        <w:numPr>
          <w:ilvl w:val="0"/>
          <w:numId w:val="41"/>
        </w:numPr>
      </w:pPr>
      <w:r>
        <w:rPr>
          <w:rFonts w:hint="eastAsia"/>
        </w:rPr>
        <w:t>工程的重大质量问题的处理方案和验收记录；</w:t>
      </w:r>
    </w:p>
    <w:p w14:paraId="2B61A67A">
      <w:pPr>
        <w:pStyle w:val="7"/>
        <w:numPr>
          <w:ilvl w:val="0"/>
          <w:numId w:val="41"/>
        </w:numPr>
      </w:pPr>
      <w:bookmarkStart w:id="330" w:name="_Toc32678559"/>
      <w:r>
        <w:rPr>
          <w:rFonts w:hint="eastAsia"/>
        </w:rPr>
        <w:t>工程的其他必要文件和记录。</w:t>
      </w:r>
      <w:bookmarkEnd w:id="330"/>
    </w:p>
    <w:p w14:paraId="58A49C62">
      <w:pPr>
        <w:pStyle w:val="6"/>
        <w:numPr>
          <w:ilvl w:val="2"/>
          <w:numId w:val="0"/>
        </w:numPr>
      </w:pPr>
      <w:r>
        <w:rPr>
          <w:rFonts w:hint="eastAsia"/>
          <w:color w:val="0070C0"/>
        </w:rPr>
        <w:t>【条文说明】现行国家标准《混凝土结构工程施工质量验收规范》GB 50204规定了混凝土结构子分部工程施工质量验收应提供的文件和记录，本条规定了采用固模剪力墙结构时，验收时应补充的相关文件和记录。</w:t>
      </w:r>
    </w:p>
    <w:p w14:paraId="040EBCE7">
      <w:pPr>
        <w:pStyle w:val="6"/>
      </w:pPr>
      <w:bookmarkStart w:id="331" w:name="_Toc32678551"/>
      <w:r>
        <w:rPr>
          <w:rFonts w:hint="eastAsia"/>
        </w:rPr>
        <w:t xml:space="preserve"> </w:t>
      </w:r>
      <w:r>
        <w:t>固模楼承板</w:t>
      </w:r>
      <w:r>
        <w:rPr>
          <w:rFonts w:hint="eastAsia"/>
        </w:rPr>
        <w:t>上、</w:t>
      </w:r>
      <w:r>
        <w:t>空心墙模孔内及其他部位现浇部分的外观质量、位置偏差、尺寸偏差验收应符合现行国家标准《混凝土结构工程施工质量验收规范》GB 50204</w:t>
      </w:r>
      <w:r>
        <w:rPr>
          <w:rFonts w:hint="eastAsia"/>
        </w:rPr>
        <w:t>中关于现浇混凝土结构的</w:t>
      </w:r>
      <w:r>
        <w:t>有关规定。</w:t>
      </w:r>
      <w:bookmarkEnd w:id="331"/>
    </w:p>
    <w:p w14:paraId="1470113F">
      <w:pPr>
        <w:pStyle w:val="6"/>
      </w:pPr>
      <w:r>
        <w:rPr>
          <w:rFonts w:hint="eastAsia"/>
        </w:rPr>
        <w:t xml:space="preserve"> </w:t>
      </w:r>
      <w:r>
        <w:t>结构实体混凝土强度检验方法宜采用同条件养护试件方法。</w:t>
      </w:r>
      <w:r>
        <w:rPr>
          <w:rFonts w:hint="eastAsia"/>
        </w:rPr>
        <w:t>需要</w:t>
      </w:r>
      <w:r>
        <w:t>对空心墙模孔内的现浇混凝土浇筑质量</w:t>
      </w:r>
      <w:r>
        <w:rPr>
          <w:rFonts w:hint="eastAsia"/>
        </w:rPr>
        <w:t>做进一步检查</w:t>
      </w:r>
      <w:r>
        <w:t>时，可采用超声法、</w:t>
      </w:r>
      <w:r>
        <w:rPr>
          <w:rFonts w:hint="eastAsia"/>
        </w:rPr>
        <w:t>阵列超声成像法、</w:t>
      </w:r>
      <w:r>
        <w:t>超声回弹综合法、回弹-取芯法等进行缺陷和强度检验。</w:t>
      </w:r>
    </w:p>
    <w:p w14:paraId="5458AD20">
      <w:pPr>
        <w:pStyle w:val="6"/>
        <w:numPr>
          <w:ilvl w:val="2"/>
          <w:numId w:val="0"/>
        </w:numPr>
      </w:pPr>
      <w:r>
        <w:rPr>
          <w:rFonts w:hint="eastAsia"/>
          <w:color w:val="0070C0"/>
        </w:rPr>
        <w:t>【条文说明】对空心墙模孔内的现浇混凝土，难以取得相应的同条件养护试件强度，因此需通过确保混凝土浇筑密实来保证强度。现浇混凝土的浇筑应符合本标准第9章的有关规定，固模剪力墙的抗震性能试验结果表明，现浇混凝土浇筑密实时可以保证固模剪力墙的受力及抗震性能。当对现浇混凝土浇筑质量有怀疑，可以对空心墙模孔内或外墙板凹槽内的现浇混凝土浇筑质量做进一步检查。</w:t>
      </w:r>
    </w:p>
    <w:p w14:paraId="22C4B843">
      <w:pPr>
        <w:pStyle w:val="6"/>
      </w:pPr>
      <w:r>
        <w:rPr>
          <w:rFonts w:hint="eastAsia"/>
        </w:rPr>
        <w:t xml:space="preserve"> 检验批、分项工程、混凝土结构子分部工程的质量验收可按本标准和现行国家标准《混凝土结构工程施工质量验收规范》GB</w:t>
      </w:r>
      <w:r>
        <w:t xml:space="preserve"> </w:t>
      </w:r>
      <w:r>
        <w:rPr>
          <w:rFonts w:hint="eastAsia"/>
        </w:rPr>
        <w:t>50</w:t>
      </w:r>
      <w:r>
        <w:t>20</w:t>
      </w:r>
      <w:r>
        <w:rPr>
          <w:rFonts w:hint="eastAsia"/>
        </w:rPr>
        <w:t>4附录A记录验收，质量验收程序和组织应符合现行国家标准《建筑与市政工程施工质量控制通用规范》GB 55032的有关规定。</w:t>
      </w:r>
    </w:p>
    <w:p w14:paraId="1DFDF302">
      <w:pPr>
        <w:pStyle w:val="5"/>
        <w:numPr>
          <w:ilvl w:val="1"/>
          <w:numId w:val="67"/>
        </w:numPr>
        <w:spacing w:before="156" w:beforeLines="50" w:after="156"/>
      </w:pPr>
      <w:bookmarkStart w:id="332" w:name="_Toc61254093"/>
      <w:bookmarkStart w:id="333" w:name="_Toc129374393"/>
      <w:bookmarkStart w:id="334" w:name="_Toc12651"/>
      <w:bookmarkStart w:id="335" w:name="_Toc61254050"/>
      <w:r>
        <w:rPr>
          <w:rFonts w:hint="eastAsia"/>
        </w:rPr>
        <w:t>空心墙模</w:t>
      </w:r>
      <w:bookmarkEnd w:id="332"/>
      <w:bookmarkEnd w:id="333"/>
      <w:bookmarkEnd w:id="334"/>
      <w:bookmarkEnd w:id="335"/>
    </w:p>
    <w:p w14:paraId="712F4CF2"/>
    <w:p w14:paraId="0C7CA965">
      <w:pPr>
        <w:pStyle w:val="120"/>
        <w:spacing w:after="156"/>
        <w:ind w:firstLine="400"/>
        <w:rPr>
          <w:rFonts w:hint="eastAsia"/>
        </w:rPr>
      </w:pPr>
      <w:r>
        <w:rPr>
          <w:rFonts w:hint="eastAsia" w:ascii="宋体" w:hAnsi="宋体" w:cs="宋体"/>
        </w:rPr>
        <w:t>Ⅰ</w:t>
      </w:r>
      <w:r>
        <w:t>主控项目</w:t>
      </w:r>
    </w:p>
    <w:p w14:paraId="7A40F019">
      <w:pPr>
        <w:pStyle w:val="6"/>
      </w:pPr>
      <w:bookmarkStart w:id="336" w:name="_Toc32678568"/>
      <w:r>
        <w:rPr>
          <w:rFonts w:hint="eastAsia"/>
        </w:rPr>
        <w:t>专业企业生产的</w:t>
      </w:r>
      <w:r>
        <w:t>空心墙模</w:t>
      </w:r>
      <w:r>
        <w:rPr>
          <w:rFonts w:hint="eastAsia"/>
        </w:rPr>
        <w:t>，进场时应检查质量证明文件</w:t>
      </w:r>
      <w:bookmarkEnd w:id="336"/>
      <w:r>
        <w:rPr>
          <w:rFonts w:hint="eastAsia"/>
        </w:rPr>
        <w:t>。</w:t>
      </w:r>
    </w:p>
    <w:p w14:paraId="70F90063">
      <w:pPr>
        <w:pStyle w:val="84"/>
        <w:ind w:firstLine="420"/>
      </w:pPr>
      <w:r>
        <w:t>检查数量：全数检查。</w:t>
      </w:r>
    </w:p>
    <w:p w14:paraId="4E9E53A0">
      <w:pPr>
        <w:pStyle w:val="84"/>
        <w:ind w:firstLine="420"/>
      </w:pPr>
      <w:r>
        <w:t>检验方法：检查质量证明文件或质量验收记录</w:t>
      </w:r>
      <w:r>
        <w:rPr>
          <w:rFonts w:hint="eastAsia"/>
        </w:rPr>
        <w:t>、观察预制构件的标识</w:t>
      </w:r>
      <w:r>
        <w:t>。</w:t>
      </w:r>
    </w:p>
    <w:p w14:paraId="40655FB2">
      <w:pPr>
        <w:pStyle w:val="6"/>
        <w:numPr>
          <w:ilvl w:val="2"/>
          <w:numId w:val="0"/>
        </w:numPr>
        <w:rPr>
          <w:rFonts w:hint="eastAsia"/>
          <w:color w:val="0070C0"/>
        </w:rPr>
      </w:pPr>
      <w:r>
        <w:rPr>
          <w:rFonts w:hint="eastAsia"/>
          <w:color w:val="0070C0"/>
        </w:rPr>
        <w:t>【条文说明】本条参考了现行国家标准《混凝土结构工程施工质量验收规范》GB 50204及现行广东省地方标准《装配式混凝土建筑工程施工质量验收规范》DBJ/T 15-171对预制构件的有关规定，是对空心墙模质量的基本要求。</w:t>
      </w:r>
    </w:p>
    <w:p w14:paraId="4D411D40">
      <w:pPr>
        <w:pStyle w:val="6"/>
        <w:numPr>
          <w:ilvl w:val="2"/>
          <w:numId w:val="0"/>
        </w:numPr>
        <w:ind w:firstLine="420" w:firstLineChars="200"/>
        <w:rPr>
          <w:rFonts w:hint="eastAsia"/>
          <w:color w:val="0070C0"/>
        </w:rPr>
      </w:pPr>
      <w:r>
        <w:rPr>
          <w:rFonts w:hint="eastAsia"/>
          <w:color w:val="0070C0"/>
        </w:rPr>
        <w:t>对专业生产单位制作的空心墙模，进场时应检查质量证明文件。质量证明文件包括混凝土强度检验报告及其他重要检验报告、制作过程的关键验收记录等。</w:t>
      </w:r>
    </w:p>
    <w:p w14:paraId="09D0F2B0">
      <w:pPr>
        <w:pStyle w:val="6"/>
        <w:numPr>
          <w:ilvl w:val="2"/>
          <w:numId w:val="0"/>
        </w:numPr>
        <w:ind w:firstLine="420" w:firstLineChars="200"/>
      </w:pPr>
      <w:r>
        <w:rPr>
          <w:rFonts w:hint="eastAsia"/>
          <w:color w:val="0070C0"/>
        </w:rPr>
        <w:t>对于在施工现场制作的空心墙模，没有“进场”的验收环节，其材料和制作质量应按本标准第8章的有关规定进行验收，验收方式为检查制作中的质量验收记录。</w:t>
      </w:r>
    </w:p>
    <w:p w14:paraId="73740AE2">
      <w:pPr>
        <w:pStyle w:val="6"/>
      </w:pPr>
      <w:bookmarkStart w:id="337" w:name="_Toc32678569"/>
      <w:r>
        <w:rPr>
          <w:rFonts w:hint="eastAsia"/>
        </w:rPr>
        <w:t>除设计有专门要求外，空心墙模可不做结构性能检验，此时施工单位或监理单位应派代表驻厂监督空心墙模生产过程。当无驻厂监督时，空心墙模进场时应对其主要受力钢筋数量、规格、间距、保护层厚度及混凝土强度等进行实体检验。</w:t>
      </w:r>
    </w:p>
    <w:p w14:paraId="4C1F237D">
      <w:pPr>
        <w:pStyle w:val="84"/>
        <w:ind w:firstLine="456" w:firstLineChars="0"/>
        <w:rPr>
          <w:rFonts w:hint="eastAsia"/>
        </w:rPr>
      </w:pPr>
      <w:r>
        <w:t>检查数量：</w:t>
      </w:r>
      <w:r>
        <w:rPr>
          <w:rFonts w:hint="eastAsia"/>
        </w:rPr>
        <w:t>结构性能检验时，同一类型空心墙模不超过1</w:t>
      </w:r>
      <w:r>
        <w:t>000</w:t>
      </w:r>
      <w:r>
        <w:rPr>
          <w:rFonts w:hint="eastAsia"/>
        </w:rPr>
        <w:t>个为一批，每批随机抽取1个构件进行检验；实体检验时，同一类型空心墙模不超过1</w:t>
      </w:r>
      <w:r>
        <w:t>000</w:t>
      </w:r>
      <w:r>
        <w:rPr>
          <w:rFonts w:hint="eastAsia"/>
        </w:rPr>
        <w:t>个为一批，每批随机抽构件数量的2%且不少于5个构件进行检验</w:t>
      </w:r>
      <w:r>
        <w:t>。</w:t>
      </w:r>
    </w:p>
    <w:p w14:paraId="69231724">
      <w:pPr>
        <w:pStyle w:val="84"/>
        <w:ind w:firstLine="456" w:firstLineChars="0"/>
      </w:pPr>
      <w:r>
        <w:t>检验方法：</w:t>
      </w:r>
      <w:r>
        <w:rPr>
          <w:rFonts w:hint="eastAsia"/>
        </w:rPr>
        <w:t>检查结构性能检验报告或实体检验报告</w:t>
      </w:r>
      <w:r>
        <w:t>。</w:t>
      </w:r>
    </w:p>
    <w:p w14:paraId="7E3858F5">
      <w:pPr>
        <w:pStyle w:val="6"/>
        <w:numPr>
          <w:ilvl w:val="2"/>
          <w:numId w:val="0"/>
        </w:numPr>
      </w:pPr>
      <w:r>
        <w:rPr>
          <w:rFonts w:hint="eastAsia"/>
          <w:color w:val="0070C0"/>
        </w:rPr>
        <w:t>【条文说明】本条参考了现行国家标准《混凝土结构工程施工质量验收规范》GB 50204第9.2.2条第2款及第3款。</w:t>
      </w:r>
    </w:p>
    <w:p w14:paraId="65C2D98F">
      <w:pPr>
        <w:pStyle w:val="6"/>
      </w:pPr>
      <w:r>
        <w:t>空心墙模的型号、规格应符合设计要求。</w:t>
      </w:r>
      <w:bookmarkEnd w:id="337"/>
    </w:p>
    <w:p w14:paraId="3D338043">
      <w:pPr>
        <w:pStyle w:val="84"/>
        <w:ind w:firstLine="420"/>
      </w:pPr>
      <w:r>
        <w:t>检查数量：全数检查。</w:t>
      </w:r>
    </w:p>
    <w:p w14:paraId="283EA592">
      <w:pPr>
        <w:pStyle w:val="84"/>
        <w:ind w:firstLine="420"/>
      </w:pPr>
      <w:r>
        <w:t>检验方法：观察，尺量。</w:t>
      </w:r>
    </w:p>
    <w:p w14:paraId="63E95259">
      <w:pPr>
        <w:pStyle w:val="6"/>
      </w:pPr>
      <w:bookmarkStart w:id="338" w:name="_Toc32678570"/>
      <w:r>
        <w:t>空心墙模的外观质量不应有严重缺陷</w:t>
      </w:r>
      <w:r>
        <w:rPr>
          <w:rFonts w:hint="eastAsia"/>
        </w:rPr>
        <w:t>，不应</w:t>
      </w:r>
      <w:r>
        <w:t>有影响结构性能和安装、使用功能的尺寸偏差。</w:t>
      </w:r>
      <w:bookmarkEnd w:id="338"/>
    </w:p>
    <w:p w14:paraId="0453A309">
      <w:pPr>
        <w:pStyle w:val="84"/>
        <w:ind w:firstLine="420"/>
      </w:pPr>
      <w:r>
        <w:t>检查数量：全数检查。</w:t>
      </w:r>
    </w:p>
    <w:p w14:paraId="648EBBAB">
      <w:pPr>
        <w:pStyle w:val="84"/>
        <w:ind w:firstLine="420"/>
      </w:pPr>
      <w:r>
        <w:t>检验方法：观察，尺量；检查处理记录。</w:t>
      </w:r>
    </w:p>
    <w:p w14:paraId="0BBA6A3D">
      <w:pPr>
        <w:pStyle w:val="6"/>
        <w:numPr>
          <w:ilvl w:val="2"/>
          <w:numId w:val="0"/>
        </w:numPr>
      </w:pPr>
      <w:r>
        <w:rPr>
          <w:rFonts w:hint="eastAsia"/>
          <w:color w:val="0070C0"/>
        </w:rPr>
        <w:t>【条文说明】空心墙模的外观质量缺陷判断和尺寸偏差检验应符合本标准第8章的有关规定，有严重缺陷时应做退场处理。</w:t>
      </w:r>
    </w:p>
    <w:p w14:paraId="440D60CC">
      <w:pPr>
        <w:pStyle w:val="6"/>
      </w:pPr>
      <w:bookmarkStart w:id="339" w:name="_Toc32678571"/>
      <w:r>
        <w:t>空心墙模支撑系统的安装质量应符合施工方案的要求。</w:t>
      </w:r>
      <w:bookmarkEnd w:id="339"/>
    </w:p>
    <w:p w14:paraId="79256E40">
      <w:pPr>
        <w:pStyle w:val="84"/>
        <w:ind w:firstLine="420"/>
      </w:pPr>
      <w:r>
        <w:t>检查数量：全数检查。</w:t>
      </w:r>
    </w:p>
    <w:p w14:paraId="659B6E4D">
      <w:pPr>
        <w:pStyle w:val="84"/>
        <w:ind w:firstLine="420"/>
      </w:pPr>
      <w:r>
        <w:t>检验方法：观察。</w:t>
      </w:r>
    </w:p>
    <w:p w14:paraId="39E6551F">
      <w:pPr>
        <w:pStyle w:val="84"/>
        <w:ind w:firstLine="0" w:firstLineChars="0"/>
      </w:pPr>
    </w:p>
    <w:p w14:paraId="74F5DF13">
      <w:pPr>
        <w:pStyle w:val="120"/>
        <w:spacing w:after="156"/>
        <w:ind w:firstLine="400"/>
        <w:rPr>
          <w:rFonts w:eastAsia="FangSong_GB2312"/>
        </w:rPr>
      </w:pPr>
      <w:r>
        <w:rPr>
          <w:rFonts w:hint="eastAsia" w:ascii="宋体" w:hAnsi="宋体" w:cs="宋体"/>
        </w:rPr>
        <w:t>Ⅱ</w:t>
      </w:r>
      <w:r>
        <w:t>一般项目</w:t>
      </w:r>
    </w:p>
    <w:p w14:paraId="32D3DB94">
      <w:pPr>
        <w:pStyle w:val="6"/>
        <w:rPr>
          <w:rFonts w:hint="eastAsia"/>
        </w:rPr>
      </w:pPr>
      <w:bookmarkStart w:id="340" w:name="_Toc32678572"/>
      <w:r>
        <w:rPr>
          <w:rFonts w:hint="eastAsia"/>
        </w:rPr>
        <w:t>空心墙模的标识应完整。</w:t>
      </w:r>
    </w:p>
    <w:p w14:paraId="765D8FAF">
      <w:pPr>
        <w:pStyle w:val="84"/>
        <w:ind w:firstLine="420"/>
        <w:rPr>
          <w:rFonts w:hint="eastAsia"/>
        </w:rPr>
      </w:pPr>
      <w:r>
        <w:rPr>
          <w:rFonts w:hint="eastAsia"/>
        </w:rPr>
        <w:t>检查数量：全数检查。</w:t>
      </w:r>
    </w:p>
    <w:p w14:paraId="227060F1">
      <w:pPr>
        <w:pStyle w:val="84"/>
        <w:ind w:firstLine="420"/>
      </w:pPr>
      <w:r>
        <w:rPr>
          <w:rFonts w:hint="eastAsia"/>
        </w:rPr>
        <w:t>检验方法：观察。</w:t>
      </w:r>
    </w:p>
    <w:p w14:paraId="4397B190">
      <w:pPr>
        <w:pStyle w:val="6"/>
      </w:pPr>
      <w:r>
        <w:t>空心墙模的外观质量不</w:t>
      </w:r>
      <w:r>
        <w:rPr>
          <w:rFonts w:hint="eastAsia"/>
        </w:rPr>
        <w:t>宜</w:t>
      </w:r>
      <w:r>
        <w:t>有一般缺陷</w:t>
      </w:r>
      <w:r>
        <w:rPr>
          <w:rFonts w:hint="eastAsia"/>
        </w:rPr>
        <w:t>，对出现一般缺陷的构件，生产单位应按技术处理方案进行修补并重新检查验收</w:t>
      </w:r>
      <w:r>
        <w:t>。</w:t>
      </w:r>
      <w:bookmarkEnd w:id="340"/>
    </w:p>
    <w:p w14:paraId="41F18A69">
      <w:pPr>
        <w:pStyle w:val="84"/>
        <w:ind w:firstLine="420"/>
      </w:pPr>
      <w:r>
        <w:t>检查数量：全数检查。</w:t>
      </w:r>
    </w:p>
    <w:p w14:paraId="080C9396">
      <w:pPr>
        <w:pStyle w:val="84"/>
        <w:ind w:firstLine="420"/>
      </w:pPr>
      <w:r>
        <w:t>检验方法：观察，检查处理</w:t>
      </w:r>
      <w:r>
        <w:rPr>
          <w:rFonts w:hint="eastAsia"/>
        </w:rPr>
        <w:t>方案和处理</w:t>
      </w:r>
      <w:r>
        <w:t>记录。</w:t>
      </w:r>
    </w:p>
    <w:p w14:paraId="551D224E">
      <w:pPr>
        <w:pStyle w:val="6"/>
      </w:pPr>
      <w:bookmarkStart w:id="341" w:name="_Toc32678573"/>
      <w:r>
        <w:t>空心墙模尺寸允许偏差及检验方法应符合本标准第</w:t>
      </w:r>
      <w:r>
        <w:rPr>
          <w:rFonts w:hint="eastAsia"/>
        </w:rPr>
        <w:t>8.</w:t>
      </w:r>
      <w:r>
        <w:t>2</w:t>
      </w:r>
      <w:r>
        <w:rPr>
          <w:rFonts w:hint="eastAsia"/>
        </w:rPr>
        <w:t>.</w:t>
      </w:r>
      <w:r>
        <w:t>10条的规定。</w:t>
      </w:r>
      <w:bookmarkEnd w:id="341"/>
    </w:p>
    <w:p w14:paraId="193409FB">
      <w:pPr>
        <w:pStyle w:val="84"/>
        <w:ind w:firstLine="420"/>
      </w:pPr>
      <w:r>
        <w:t>检查数量：</w:t>
      </w:r>
      <w:r>
        <w:rPr>
          <w:rFonts w:hint="eastAsia"/>
        </w:rPr>
        <w:t>同一规格的构件，</w:t>
      </w:r>
      <w:r>
        <w:t>不超过100件为一批，每批应抽查空心墙模数量的5%，不应少于3件。</w:t>
      </w:r>
    </w:p>
    <w:p w14:paraId="52ADA2E1">
      <w:pPr>
        <w:pStyle w:val="84"/>
        <w:ind w:firstLine="420"/>
        <w:rPr>
          <w:rFonts w:hint="eastAsia"/>
        </w:rPr>
      </w:pPr>
      <w:r>
        <w:rPr>
          <w:rFonts w:hint="eastAsia"/>
        </w:rPr>
        <w:t>检验方法：观察、尺量；检查处理记录。</w:t>
      </w:r>
    </w:p>
    <w:p w14:paraId="7D7AECCC">
      <w:pPr>
        <w:pStyle w:val="6"/>
      </w:pPr>
      <w:bookmarkStart w:id="342" w:name="_Toc32678574"/>
      <w:r>
        <w:rPr>
          <w:rFonts w:hint="eastAsia"/>
        </w:rPr>
        <w:t>空心墙模安装及现浇混凝土施工后，</w:t>
      </w:r>
      <w:r>
        <w:t>固模剪力墙位置和尺寸允许偏差及检验方法应符合</w:t>
      </w:r>
      <w:r>
        <w:fldChar w:fldCharType="begin"/>
      </w:r>
      <w:r>
        <w:instrText xml:space="preserve"> REF _Ref54640144 \h  \* MERGEFORMAT </w:instrText>
      </w:r>
      <w:r>
        <w:fldChar w:fldCharType="separate"/>
      </w:r>
      <w:r>
        <w:rPr>
          <w:rFonts w:hint="eastAsia"/>
        </w:rPr>
        <w:t>表</w:t>
      </w:r>
      <w:r>
        <w:t>10.2.9</w:t>
      </w:r>
      <w:r>
        <w:fldChar w:fldCharType="end"/>
      </w:r>
      <w:r>
        <w:t>的规定。固模剪力墙与相邻现浇部位的表面平整度应符合</w:t>
      </w:r>
      <w:r>
        <w:fldChar w:fldCharType="begin"/>
      </w:r>
      <w:r>
        <w:instrText xml:space="preserve"> REF _Ref54640144 \h  \* MERGEFORMAT </w:instrText>
      </w:r>
      <w:r>
        <w:fldChar w:fldCharType="separate"/>
      </w:r>
      <w:r>
        <w:rPr>
          <w:rFonts w:hint="eastAsia"/>
        </w:rPr>
        <w:t>表</w:t>
      </w:r>
      <w:r>
        <w:t>10.2.9</w:t>
      </w:r>
      <w:r>
        <w:fldChar w:fldCharType="end"/>
      </w:r>
      <w:r>
        <w:t>的规定。</w:t>
      </w:r>
      <w:bookmarkEnd w:id="342"/>
    </w:p>
    <w:p w14:paraId="12432C62">
      <w:pPr>
        <w:pStyle w:val="84"/>
        <w:ind w:firstLine="420"/>
      </w:pPr>
      <w:r>
        <w:t>检查数量：按楼层、结构缝或施工段划分检验批。在同一检验批内，应按有代表性的自然间抽查10%，不应少于3</w:t>
      </w:r>
      <w:r>
        <w:rPr>
          <w:rFonts w:hint="eastAsia"/>
        </w:rPr>
        <w:t>间</w:t>
      </w:r>
      <w:r>
        <w:t>。</w:t>
      </w:r>
    </w:p>
    <w:p w14:paraId="4E020767">
      <w:pPr>
        <w:pStyle w:val="84"/>
        <w:ind w:firstLine="420"/>
        <w:rPr>
          <w:rFonts w:hint="eastAsia"/>
        </w:rPr>
      </w:pPr>
      <w:r>
        <w:rPr>
          <w:rFonts w:hint="eastAsia"/>
        </w:rPr>
        <w:t>检验方法：观察、尺量；检查处理记录。</w:t>
      </w:r>
    </w:p>
    <w:p w14:paraId="58772B22">
      <w:pPr>
        <w:pStyle w:val="64"/>
        <w:spacing w:before="78" w:after="78"/>
      </w:pPr>
      <w:bookmarkStart w:id="343" w:name="_Ref54640144"/>
      <w:r>
        <w:rPr>
          <w:rFonts w:hint="eastAsia"/>
        </w:rPr>
        <w:t>表</w:t>
      </w:r>
      <w:r>
        <w:fldChar w:fldCharType="begin"/>
      </w:r>
      <w:r>
        <w:rPr>
          <w:rFonts w:hint="eastAsia"/>
        </w:rPr>
        <w:instrText xml:space="preserve">STYLEREF 3 \s</w:instrText>
      </w:r>
      <w:r>
        <w:fldChar w:fldCharType="separate"/>
      </w:r>
      <w:r>
        <w:t>10.2.9</w:t>
      </w:r>
      <w:r>
        <w:fldChar w:fldCharType="end"/>
      </w:r>
      <w:bookmarkEnd w:id="343"/>
      <w:r>
        <w:t xml:space="preserve"> 固模剪力墙位置和尺寸允许偏差及检验方法</w:t>
      </w:r>
    </w:p>
    <w:tbl>
      <w:tblPr>
        <w:tblStyle w:val="3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44"/>
        <w:gridCol w:w="1454"/>
        <w:gridCol w:w="2438"/>
      </w:tblGrid>
      <w:tr w14:paraId="1B74C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828" w:type="pct"/>
            <w:noWrap w:val="0"/>
            <w:vAlign w:val="center"/>
          </w:tcPr>
          <w:p w14:paraId="0AB5CDC6">
            <w:pPr>
              <w:pStyle w:val="95"/>
              <w:spacing w:before="78" w:after="78"/>
            </w:pPr>
            <w:r>
              <w:t>项目</w:t>
            </w:r>
          </w:p>
        </w:tc>
        <w:tc>
          <w:tcPr>
            <w:tcW w:w="1185" w:type="pct"/>
            <w:noWrap w:val="0"/>
            <w:vAlign w:val="center"/>
          </w:tcPr>
          <w:p w14:paraId="12A7BE85">
            <w:pPr>
              <w:pStyle w:val="95"/>
              <w:spacing w:before="78" w:after="78"/>
            </w:pPr>
            <w:r>
              <w:t>允许偏差（mm</w:t>
            </w:r>
            <w:r>
              <w:rPr>
                <w:rFonts w:hint="eastAsia"/>
              </w:rPr>
              <w:t>）</w:t>
            </w:r>
          </w:p>
        </w:tc>
        <w:tc>
          <w:tcPr>
            <w:tcW w:w="1986" w:type="pct"/>
            <w:noWrap w:val="0"/>
            <w:vAlign w:val="center"/>
          </w:tcPr>
          <w:p w14:paraId="1F506941">
            <w:pPr>
              <w:pStyle w:val="95"/>
              <w:spacing w:before="78" w:after="78"/>
            </w:pPr>
            <w:r>
              <w:t>检验方法</w:t>
            </w:r>
          </w:p>
        </w:tc>
      </w:tr>
      <w:tr w14:paraId="2210D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8" w:type="pct"/>
            <w:noWrap w:val="0"/>
            <w:vAlign w:val="center"/>
          </w:tcPr>
          <w:p w14:paraId="376A9B40">
            <w:pPr>
              <w:pStyle w:val="95"/>
              <w:spacing w:before="78" w:after="78"/>
            </w:pPr>
            <w:r>
              <w:t>轴线位置</w:t>
            </w:r>
          </w:p>
        </w:tc>
        <w:tc>
          <w:tcPr>
            <w:tcW w:w="1185" w:type="pct"/>
            <w:noWrap w:val="0"/>
            <w:vAlign w:val="center"/>
          </w:tcPr>
          <w:p w14:paraId="4BE1879C">
            <w:pPr>
              <w:pStyle w:val="95"/>
              <w:spacing w:before="78" w:after="78"/>
            </w:pPr>
            <w:r>
              <w:t>8</w:t>
            </w:r>
          </w:p>
        </w:tc>
        <w:tc>
          <w:tcPr>
            <w:tcW w:w="1986" w:type="pct"/>
            <w:noWrap w:val="0"/>
            <w:vAlign w:val="center"/>
          </w:tcPr>
          <w:p w14:paraId="2C97D30D">
            <w:pPr>
              <w:pStyle w:val="95"/>
              <w:spacing w:before="78" w:after="78"/>
            </w:pPr>
            <w:r>
              <w:t>经纬仪及尺量</w:t>
            </w:r>
          </w:p>
        </w:tc>
      </w:tr>
      <w:tr w14:paraId="67D49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28" w:type="pct"/>
            <w:noWrap w:val="0"/>
            <w:vAlign w:val="center"/>
          </w:tcPr>
          <w:p w14:paraId="593A740A">
            <w:pPr>
              <w:pStyle w:val="95"/>
              <w:spacing w:before="78" w:after="78"/>
            </w:pPr>
            <w:r>
              <w:t>顶面标高</w:t>
            </w:r>
          </w:p>
        </w:tc>
        <w:tc>
          <w:tcPr>
            <w:tcW w:w="1185" w:type="pct"/>
            <w:noWrap w:val="0"/>
            <w:vAlign w:val="center"/>
          </w:tcPr>
          <w:p w14:paraId="1BEFEDAC">
            <w:pPr>
              <w:pStyle w:val="95"/>
              <w:spacing w:before="78" w:after="78"/>
            </w:pPr>
            <w:r>
              <w:t>±5</w:t>
            </w:r>
          </w:p>
        </w:tc>
        <w:tc>
          <w:tcPr>
            <w:tcW w:w="1986" w:type="pct"/>
            <w:noWrap w:val="0"/>
            <w:vAlign w:val="center"/>
          </w:tcPr>
          <w:p w14:paraId="474567D6">
            <w:pPr>
              <w:pStyle w:val="95"/>
              <w:spacing w:before="78" w:after="78"/>
            </w:pPr>
            <w:r>
              <w:t>水准仪或拉线、尺量</w:t>
            </w:r>
          </w:p>
        </w:tc>
      </w:tr>
      <w:tr w14:paraId="00889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828" w:type="pct"/>
            <w:noWrap w:val="0"/>
            <w:vAlign w:val="center"/>
          </w:tcPr>
          <w:p w14:paraId="7A3037D1">
            <w:pPr>
              <w:pStyle w:val="95"/>
              <w:spacing w:before="78" w:after="78"/>
            </w:pPr>
            <w:r>
              <w:t>垂直度</w:t>
            </w:r>
          </w:p>
        </w:tc>
        <w:tc>
          <w:tcPr>
            <w:tcW w:w="1185" w:type="pct"/>
            <w:noWrap w:val="0"/>
            <w:vAlign w:val="center"/>
          </w:tcPr>
          <w:p w14:paraId="25D0B453">
            <w:pPr>
              <w:pStyle w:val="95"/>
              <w:spacing w:before="78" w:after="78"/>
            </w:pPr>
            <w:r>
              <w:t>5</w:t>
            </w:r>
          </w:p>
        </w:tc>
        <w:tc>
          <w:tcPr>
            <w:tcW w:w="1986" w:type="pct"/>
            <w:noWrap w:val="0"/>
            <w:vAlign w:val="center"/>
          </w:tcPr>
          <w:p w14:paraId="3D64CDD9">
            <w:pPr>
              <w:pStyle w:val="95"/>
              <w:spacing w:before="78" w:after="78"/>
            </w:pPr>
            <w:r>
              <w:t>经纬仪或吊线、尺量</w:t>
            </w:r>
          </w:p>
        </w:tc>
      </w:tr>
      <w:tr w14:paraId="2338E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jc w:val="center"/>
        </w:trPr>
        <w:tc>
          <w:tcPr>
            <w:tcW w:w="1828" w:type="pct"/>
            <w:noWrap w:val="0"/>
            <w:vAlign w:val="center"/>
          </w:tcPr>
          <w:p w14:paraId="61C905EF">
            <w:pPr>
              <w:pStyle w:val="95"/>
              <w:spacing w:before="78" w:after="78"/>
            </w:pPr>
            <w:r>
              <w:t>相邻空心墙模平整度</w:t>
            </w:r>
          </w:p>
        </w:tc>
        <w:tc>
          <w:tcPr>
            <w:tcW w:w="1185" w:type="pct"/>
            <w:noWrap w:val="0"/>
            <w:vAlign w:val="center"/>
          </w:tcPr>
          <w:p w14:paraId="69DBD5FD">
            <w:pPr>
              <w:pStyle w:val="95"/>
              <w:spacing w:before="78" w:after="78"/>
            </w:pPr>
            <w:r>
              <w:rPr>
                <w:rFonts w:hint="eastAsia"/>
              </w:rPr>
              <w:t>5</w:t>
            </w:r>
          </w:p>
        </w:tc>
        <w:tc>
          <w:tcPr>
            <w:tcW w:w="1986" w:type="pct"/>
            <w:noWrap w:val="0"/>
            <w:vAlign w:val="center"/>
          </w:tcPr>
          <w:p w14:paraId="53E0930F">
            <w:pPr>
              <w:pStyle w:val="95"/>
              <w:spacing w:before="78" w:after="78"/>
            </w:pPr>
            <w:r>
              <w:t>2m靠尺和塞尺量测</w:t>
            </w:r>
          </w:p>
        </w:tc>
      </w:tr>
    </w:tbl>
    <w:p w14:paraId="216FF273">
      <w:pPr>
        <w:pStyle w:val="6"/>
        <w:numPr>
          <w:ilvl w:val="2"/>
          <w:numId w:val="0"/>
        </w:numPr>
      </w:pPr>
      <w:bookmarkStart w:id="344" w:name="_Toc129374394"/>
      <w:bookmarkStart w:id="345" w:name="_Toc35789996"/>
      <w:bookmarkStart w:id="346" w:name="_Toc25414983"/>
      <w:bookmarkStart w:id="347" w:name="_Toc61254051"/>
      <w:bookmarkStart w:id="348" w:name="_Toc475644195"/>
      <w:bookmarkStart w:id="349" w:name="_Toc38028355"/>
      <w:bookmarkStart w:id="350" w:name="_Toc475644079"/>
      <w:bookmarkStart w:id="351" w:name="_Toc30661"/>
      <w:bookmarkStart w:id="352" w:name="_Toc35605550"/>
      <w:bookmarkStart w:id="353" w:name="_Toc32679556"/>
      <w:bookmarkStart w:id="354" w:name="_Toc32678560"/>
      <w:bookmarkStart w:id="355" w:name="_Toc475644472"/>
      <w:bookmarkStart w:id="356" w:name="_Toc475644664"/>
      <w:bookmarkStart w:id="357" w:name="_Toc61254094"/>
      <w:r>
        <w:rPr>
          <w:rFonts w:hint="eastAsia"/>
          <w:color w:val="0070C0"/>
        </w:rPr>
        <w:t>【条文说明】本条参考了现行国家标准《混凝土结构工程施工质量验收规范》GB 50204对装配式结构件的有关规定并从严要求。空心墙模安装的位置和尺寸允许偏差可根据表10.2.8适当从严要求，以保证现浇混凝土施工后符合要求。</w:t>
      </w:r>
    </w:p>
    <w:p w14:paraId="045394BB">
      <w:pPr>
        <w:pStyle w:val="5"/>
        <w:numPr>
          <w:ilvl w:val="1"/>
          <w:numId w:val="67"/>
        </w:numPr>
        <w:spacing w:before="156" w:beforeLines="50" w:after="156"/>
      </w:pPr>
      <w:r>
        <w:rPr>
          <w:rFonts w:hint="eastAsia"/>
        </w:rPr>
        <w:t>固模楼承板</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898B6BE">
      <w:pPr>
        <w:pStyle w:val="120"/>
        <w:spacing w:after="156"/>
        <w:ind w:firstLine="400"/>
      </w:pPr>
      <w:r>
        <w:t>Ⅰ  主控项目</w:t>
      </w:r>
    </w:p>
    <w:p w14:paraId="75A103A7">
      <w:pPr>
        <w:pStyle w:val="6"/>
      </w:pPr>
      <w:bookmarkStart w:id="358" w:name="_Toc32678561"/>
      <w:r>
        <w:rPr>
          <w:rFonts w:hint="eastAsia"/>
        </w:rPr>
        <w:t>专业企业生产的固模楼承板，进场时应检查质量证明文件；</w:t>
      </w:r>
    </w:p>
    <w:p w14:paraId="3BF61859">
      <w:pPr>
        <w:pStyle w:val="84"/>
        <w:ind w:firstLine="420"/>
      </w:pPr>
      <w:r>
        <w:t>检查数量：全数检查。</w:t>
      </w:r>
    </w:p>
    <w:p w14:paraId="55540C59">
      <w:pPr>
        <w:pStyle w:val="84"/>
        <w:ind w:firstLine="420"/>
      </w:pPr>
      <w:r>
        <w:t>检验方法：检查质量证明文件或质量验收记录</w:t>
      </w:r>
      <w:r>
        <w:rPr>
          <w:rFonts w:hint="eastAsia"/>
        </w:rPr>
        <w:t>、观察预制构件的标识</w:t>
      </w:r>
      <w:r>
        <w:t>。</w:t>
      </w:r>
    </w:p>
    <w:p w14:paraId="4B9D974D">
      <w:pPr>
        <w:pStyle w:val="6"/>
      </w:pPr>
      <w:r>
        <w:t>固模楼承板的型号、规格及外观质量应符合设计和</w:t>
      </w:r>
      <w:r>
        <w:rPr>
          <w:rFonts w:hint="eastAsia"/>
        </w:rPr>
        <w:t>相应标准</w:t>
      </w:r>
      <w:r>
        <w:t>要求。</w:t>
      </w:r>
    </w:p>
    <w:p w14:paraId="12CC5D0D">
      <w:pPr>
        <w:pStyle w:val="84"/>
        <w:tabs>
          <w:tab w:val="left" w:pos="420"/>
          <w:tab w:val="right" w:leader="dot" w:pos="6960"/>
        </w:tabs>
        <w:ind w:firstLine="420"/>
      </w:pPr>
      <w:r>
        <w:t>检查数量：</w:t>
      </w:r>
      <w:r>
        <w:rPr>
          <w:rFonts w:hint="eastAsia"/>
        </w:rPr>
        <w:t>按照出厂检验批或每批进场数量，</w:t>
      </w:r>
      <w:r>
        <w:t>每批抽查数量不少于1%，不得少于3张；质量证明文件应按照其出厂检验批核查。</w:t>
      </w:r>
    </w:p>
    <w:p w14:paraId="15FB9FD0">
      <w:pPr>
        <w:pStyle w:val="84"/>
        <w:tabs>
          <w:tab w:val="left" w:pos="420"/>
          <w:tab w:val="right" w:leader="dot" w:pos="6960"/>
        </w:tabs>
        <w:ind w:firstLine="420"/>
      </w:pPr>
      <w:r>
        <w:t>检验方法：观察，尺量。</w:t>
      </w:r>
    </w:p>
    <w:p w14:paraId="5C7FDC2D">
      <w:pPr>
        <w:pStyle w:val="6"/>
      </w:pPr>
      <w:r>
        <w:t>固模楼承板应进行下列性能复验，复验应为见证取样送检。</w:t>
      </w:r>
    </w:p>
    <w:p w14:paraId="6E999EAF">
      <w:pPr>
        <w:pStyle w:val="7"/>
        <w:numPr>
          <w:ilvl w:val="0"/>
          <w:numId w:val="71"/>
        </w:numPr>
        <w:rPr>
          <w:rStyle w:val="62"/>
          <w:bCs w:val="0"/>
          <w:kern w:val="0"/>
          <w:sz w:val="21"/>
        </w:rPr>
      </w:pPr>
      <w:r>
        <w:rPr>
          <w:rStyle w:val="62"/>
          <w:bCs w:val="0"/>
          <w:kern w:val="0"/>
          <w:sz w:val="21"/>
        </w:rPr>
        <w:t>固模底板的</w:t>
      </w:r>
      <w:r>
        <w:rPr>
          <w:rStyle w:val="62"/>
          <w:rFonts w:hint="eastAsia"/>
          <w:bCs w:val="0"/>
          <w:kern w:val="0"/>
          <w:sz w:val="21"/>
        </w:rPr>
        <w:t>静曲</w:t>
      </w:r>
      <w:r>
        <w:rPr>
          <w:rStyle w:val="62"/>
          <w:bCs w:val="0"/>
          <w:kern w:val="0"/>
          <w:sz w:val="21"/>
        </w:rPr>
        <w:t>强度、弹性模量；</w:t>
      </w:r>
    </w:p>
    <w:p w14:paraId="70B0464D">
      <w:pPr>
        <w:pStyle w:val="7"/>
        <w:numPr>
          <w:ilvl w:val="0"/>
          <w:numId w:val="41"/>
        </w:numPr>
        <w:rPr>
          <w:rStyle w:val="62"/>
          <w:bCs w:val="0"/>
          <w:kern w:val="0"/>
          <w:sz w:val="21"/>
          <w:szCs w:val="21"/>
        </w:rPr>
      </w:pPr>
      <w:r>
        <w:rPr>
          <w:rStyle w:val="62"/>
          <w:bCs w:val="0"/>
          <w:kern w:val="0"/>
          <w:sz w:val="21"/>
        </w:rPr>
        <w:t>固模底板及垫块的握钉力</w:t>
      </w:r>
      <w:r>
        <w:rPr>
          <w:rStyle w:val="62"/>
          <w:rFonts w:hint="eastAsia"/>
          <w:bCs w:val="0"/>
          <w:kern w:val="0"/>
          <w:sz w:val="21"/>
        </w:rPr>
        <w:t>。</w:t>
      </w:r>
    </w:p>
    <w:p w14:paraId="756940D1">
      <w:pPr>
        <w:tabs>
          <w:tab w:val="left" w:pos="420"/>
          <w:tab w:val="right" w:leader="dot" w:pos="6960"/>
        </w:tabs>
        <w:ind w:firstLine="456"/>
        <w:rPr>
          <w:szCs w:val="21"/>
        </w:rPr>
      </w:pPr>
      <w:r>
        <w:t>检验数量：同一厂家同一品种的产品，实际使用面积每5000m</w:t>
      </w:r>
      <w:r>
        <w:rPr>
          <w:vertAlign w:val="superscript"/>
        </w:rPr>
        <w:t>2</w:t>
      </w:r>
      <w:r>
        <w:t>为1个检验批，不足5000m</w:t>
      </w:r>
      <w:r>
        <w:rPr>
          <w:vertAlign w:val="superscript"/>
        </w:rPr>
        <w:t>2</w:t>
      </w:r>
      <w:r>
        <w:t>时，应划为一个检验批</w:t>
      </w:r>
      <w:r>
        <w:rPr>
          <w:rFonts w:hint="eastAsia"/>
        </w:rPr>
        <w:t>；当连续3批一次检验合格时，可改为每10000m</w:t>
      </w:r>
      <w:r>
        <w:rPr>
          <w:rFonts w:hint="eastAsia"/>
          <w:vertAlign w:val="superscript"/>
        </w:rPr>
        <w:t>2</w:t>
      </w:r>
      <w:r>
        <w:rPr>
          <w:rFonts w:hint="eastAsia"/>
        </w:rPr>
        <w:t>为一个检验批。</w:t>
      </w:r>
      <w:r>
        <w:t>同工程项目，同施工单位且同期施工的多个单位工程，可合并计算实际使用面积抽检</w:t>
      </w:r>
      <w:r>
        <w:rPr>
          <w:szCs w:val="21"/>
        </w:rPr>
        <w:t>。</w:t>
      </w:r>
    </w:p>
    <w:p w14:paraId="182364A7">
      <w:pPr>
        <w:tabs>
          <w:tab w:val="left" w:pos="420"/>
          <w:tab w:val="right" w:leader="dot" w:pos="6960"/>
        </w:tabs>
        <w:ind w:firstLine="456"/>
        <w:rPr>
          <w:rFonts w:hint="eastAsia"/>
        </w:rPr>
      </w:pPr>
      <w:r>
        <w:t>检验方法：随机抽样送检，核查质量证明文件和复验报告</w:t>
      </w:r>
      <w:r>
        <w:rPr>
          <w:rFonts w:hint="eastAsia"/>
        </w:rPr>
        <w:t>。</w:t>
      </w:r>
    </w:p>
    <w:p w14:paraId="0C7DB179">
      <w:pPr>
        <w:pStyle w:val="6"/>
        <w:numPr>
          <w:ilvl w:val="2"/>
          <w:numId w:val="0"/>
        </w:numPr>
        <w:rPr>
          <w:rFonts w:hint="eastAsia"/>
          <w:color w:val="0070C0"/>
        </w:rPr>
      </w:pPr>
      <w:r>
        <w:rPr>
          <w:rFonts w:hint="eastAsia"/>
          <w:color w:val="0070C0"/>
        </w:rPr>
        <w:t>【条文说明】TC板的底板及连接件的性能直接影响TC板施工支撑的间距及正常使用功能及耐久性，因此必须确保TC板质量合格。以下项目为TC板进场复验的必要项目，其它项目可核验材料供应商提供的质量证明文件、性能检测报告。</w:t>
      </w:r>
    </w:p>
    <w:p w14:paraId="3EBFCD60">
      <w:pPr>
        <w:pStyle w:val="6"/>
        <w:numPr>
          <w:ilvl w:val="2"/>
          <w:numId w:val="0"/>
        </w:numPr>
        <w:ind w:firstLine="422" w:firstLineChars="200"/>
        <w:rPr>
          <w:rFonts w:hint="eastAsia"/>
          <w:color w:val="0070C0"/>
        </w:rPr>
      </w:pPr>
      <w:r>
        <w:rPr>
          <w:rFonts w:hint="eastAsia"/>
          <w:b/>
          <w:bCs w:val="0"/>
          <w:color w:val="0070C0"/>
        </w:rPr>
        <w:t>1</w:t>
      </w:r>
      <w:r>
        <w:rPr>
          <w:rFonts w:hint="eastAsia"/>
          <w:color w:val="0070C0"/>
        </w:rPr>
        <w:t xml:space="preserve">  固模底板的静曲强度、弹性模量应满足表4.3.2的要求；</w:t>
      </w:r>
    </w:p>
    <w:p w14:paraId="2E0D7953">
      <w:pPr>
        <w:pStyle w:val="6"/>
        <w:numPr>
          <w:ilvl w:val="2"/>
          <w:numId w:val="0"/>
        </w:numPr>
        <w:ind w:firstLine="422" w:firstLineChars="200"/>
      </w:pPr>
      <w:r>
        <w:rPr>
          <w:rFonts w:hint="eastAsia"/>
          <w:b/>
          <w:bCs w:val="0"/>
          <w:color w:val="0070C0"/>
        </w:rPr>
        <w:t>2</w:t>
      </w:r>
      <w:r>
        <w:rPr>
          <w:rFonts w:hint="eastAsia"/>
          <w:color w:val="0070C0"/>
        </w:rPr>
        <w:t xml:space="preserve">  固模底板及垫块的握钉力应满足表4.3.4的要求。</w:t>
      </w:r>
    </w:p>
    <w:p w14:paraId="23E44D17">
      <w:pPr>
        <w:pStyle w:val="6"/>
      </w:pPr>
      <w:r>
        <w:t>固模楼承板的平整度及支撑系统的安装质量，应符合国家现行有关标准的规定。</w:t>
      </w:r>
    </w:p>
    <w:bookmarkEnd w:id="358"/>
    <w:p w14:paraId="1684CE65">
      <w:pPr>
        <w:pStyle w:val="84"/>
        <w:tabs>
          <w:tab w:val="left" w:pos="420"/>
          <w:tab w:val="right" w:leader="dot" w:pos="6960"/>
        </w:tabs>
        <w:ind w:firstLine="420"/>
      </w:pPr>
      <w:r>
        <w:t>检验数量：全数检查。</w:t>
      </w:r>
    </w:p>
    <w:p w14:paraId="1C373FDD">
      <w:pPr>
        <w:pStyle w:val="84"/>
        <w:tabs>
          <w:tab w:val="left" w:pos="420"/>
          <w:tab w:val="right" w:leader="dot" w:pos="6960"/>
        </w:tabs>
        <w:ind w:firstLine="420"/>
      </w:pPr>
      <w:r>
        <w:t>检验方法：观察。</w:t>
      </w:r>
    </w:p>
    <w:p w14:paraId="5D6B936F">
      <w:pPr>
        <w:pStyle w:val="6"/>
      </w:pPr>
      <w:bookmarkStart w:id="359" w:name="_Toc32678563"/>
      <w:r>
        <w:t>固模楼承板上的连接件、预埋件、预埋管线等的材料质量、规格和数量以及预留孔洞的数量应符合设计要求。</w:t>
      </w:r>
      <w:bookmarkEnd w:id="359"/>
    </w:p>
    <w:p w14:paraId="1263AD9D">
      <w:pPr>
        <w:pStyle w:val="84"/>
        <w:tabs>
          <w:tab w:val="left" w:pos="420"/>
          <w:tab w:val="right" w:leader="dot" w:pos="6960"/>
        </w:tabs>
        <w:ind w:firstLine="420"/>
      </w:pPr>
      <w:r>
        <w:t>检查数量：全数检查。</w:t>
      </w:r>
    </w:p>
    <w:p w14:paraId="4035F008">
      <w:pPr>
        <w:pStyle w:val="84"/>
        <w:tabs>
          <w:tab w:val="left" w:pos="420"/>
          <w:tab w:val="right" w:leader="dot" w:pos="6960"/>
        </w:tabs>
        <w:ind w:firstLine="420"/>
      </w:pPr>
      <w:r>
        <w:t>检验方法：检查质量证明文件；观察。</w:t>
      </w:r>
    </w:p>
    <w:p w14:paraId="46C4F427">
      <w:pPr>
        <w:pStyle w:val="6"/>
      </w:pPr>
      <w:r>
        <w:t>固模楼承板拼缝的密封及防止漏浆的封堵措施应符合设计要求。</w:t>
      </w:r>
    </w:p>
    <w:p w14:paraId="4A3753DA">
      <w:pPr>
        <w:pStyle w:val="84"/>
        <w:tabs>
          <w:tab w:val="left" w:pos="420"/>
          <w:tab w:val="right" w:leader="dot" w:pos="6960"/>
        </w:tabs>
        <w:ind w:firstLine="420"/>
      </w:pPr>
      <w:r>
        <w:t>检查数量：</w:t>
      </w:r>
      <w:r>
        <w:rPr>
          <w:color w:val="FF0000"/>
        </w:rPr>
        <w:t>全数检查</w:t>
      </w:r>
      <w:r>
        <w:t>。</w:t>
      </w:r>
    </w:p>
    <w:p w14:paraId="6AD673F3">
      <w:pPr>
        <w:pStyle w:val="84"/>
        <w:tabs>
          <w:tab w:val="left" w:pos="420"/>
          <w:tab w:val="right" w:leader="dot" w:pos="6960"/>
        </w:tabs>
        <w:ind w:firstLine="420"/>
      </w:pPr>
      <w:r>
        <w:t>检验方法：观察。</w:t>
      </w:r>
    </w:p>
    <w:p w14:paraId="7793A991">
      <w:pPr>
        <w:pStyle w:val="84"/>
        <w:ind w:firstLine="0" w:firstLineChars="0"/>
      </w:pPr>
    </w:p>
    <w:p w14:paraId="392132F7">
      <w:pPr>
        <w:pStyle w:val="120"/>
        <w:spacing w:after="156"/>
        <w:ind w:firstLine="400"/>
        <w:rPr>
          <w:rFonts w:eastAsia="FangSong_GB2312"/>
        </w:rPr>
      </w:pPr>
      <w:r>
        <w:rPr>
          <w:rFonts w:hint="eastAsia" w:ascii="宋体" w:hAnsi="宋体" w:cs="宋体"/>
        </w:rPr>
        <w:t>Ⅱ</w:t>
      </w:r>
      <w:r>
        <w:t>一般项目</w:t>
      </w:r>
    </w:p>
    <w:p w14:paraId="4CA8B83A">
      <w:pPr>
        <w:pStyle w:val="6"/>
        <w:rPr>
          <w:rStyle w:val="62"/>
          <w:bCs/>
          <w:sz w:val="21"/>
        </w:rPr>
      </w:pPr>
      <w:bookmarkStart w:id="360" w:name="_Toc32678564"/>
      <w:r>
        <w:rPr>
          <w:rStyle w:val="62"/>
          <w:rFonts w:hint="eastAsia"/>
          <w:bCs/>
          <w:sz w:val="21"/>
        </w:rPr>
        <w:t>固模楼承板的标识应完整。</w:t>
      </w:r>
    </w:p>
    <w:p w14:paraId="0A8AE69B">
      <w:pPr>
        <w:pStyle w:val="84"/>
        <w:tabs>
          <w:tab w:val="left" w:pos="420"/>
          <w:tab w:val="right" w:leader="dot" w:pos="6960"/>
        </w:tabs>
        <w:ind w:firstLine="420"/>
      </w:pPr>
      <w:r>
        <w:t>检查数量：全数检查。</w:t>
      </w:r>
    </w:p>
    <w:p w14:paraId="0F8D9540">
      <w:pPr>
        <w:pStyle w:val="84"/>
        <w:tabs>
          <w:tab w:val="left" w:pos="420"/>
          <w:tab w:val="right" w:leader="dot" w:pos="6960"/>
        </w:tabs>
        <w:ind w:firstLine="420"/>
        <w:rPr>
          <w:rStyle w:val="62"/>
          <w:bCs w:val="0"/>
          <w:sz w:val="21"/>
        </w:rPr>
      </w:pPr>
      <w:r>
        <w:t>检验方法：观察。</w:t>
      </w:r>
    </w:p>
    <w:p w14:paraId="22478747">
      <w:pPr>
        <w:pStyle w:val="6"/>
        <w:rPr>
          <w:rStyle w:val="62"/>
          <w:bCs/>
          <w:sz w:val="21"/>
        </w:rPr>
      </w:pPr>
      <w:r>
        <w:rPr>
          <w:rStyle w:val="62"/>
          <w:bCs/>
          <w:sz w:val="21"/>
        </w:rPr>
        <w:t>固模楼承板</w:t>
      </w:r>
      <w:r>
        <w:rPr>
          <w:rStyle w:val="62"/>
          <w:rFonts w:hint="eastAsia"/>
          <w:bCs/>
          <w:sz w:val="21"/>
        </w:rPr>
        <w:t>所用</w:t>
      </w:r>
      <w:r>
        <w:rPr>
          <w:rStyle w:val="62"/>
          <w:bCs/>
          <w:sz w:val="21"/>
        </w:rPr>
        <w:t>桁架钢筋应平直、无损伤，表面不应有裂纹、油污、颗粒状或片状老锈。</w:t>
      </w:r>
      <w:bookmarkEnd w:id="360"/>
    </w:p>
    <w:p w14:paraId="37ADE555">
      <w:pPr>
        <w:pStyle w:val="84"/>
        <w:tabs>
          <w:tab w:val="left" w:pos="420"/>
          <w:tab w:val="right" w:leader="dot" w:pos="6960"/>
        </w:tabs>
        <w:ind w:firstLine="420"/>
      </w:pPr>
      <w:r>
        <w:t>检查数量：全数检查。</w:t>
      </w:r>
    </w:p>
    <w:p w14:paraId="3A0C27A5">
      <w:pPr>
        <w:pStyle w:val="84"/>
        <w:tabs>
          <w:tab w:val="left" w:pos="420"/>
          <w:tab w:val="right" w:leader="dot" w:pos="6960"/>
        </w:tabs>
        <w:ind w:firstLine="420"/>
      </w:pPr>
      <w:r>
        <w:t>检验方法：观察。</w:t>
      </w:r>
    </w:p>
    <w:p w14:paraId="43E1FF63">
      <w:pPr>
        <w:pStyle w:val="6"/>
      </w:pPr>
      <w:bookmarkStart w:id="361" w:name="_Toc32678565"/>
      <w:r>
        <w:t>固模楼承板的尺寸偏差应符合设计要求和本标准的规定。</w:t>
      </w:r>
      <w:bookmarkEnd w:id="361"/>
    </w:p>
    <w:p w14:paraId="4127ABA4">
      <w:pPr>
        <w:tabs>
          <w:tab w:val="left" w:pos="420"/>
          <w:tab w:val="right" w:leader="dot" w:pos="6960"/>
        </w:tabs>
        <w:ind w:firstLine="420" w:firstLineChars="200"/>
        <w:rPr>
          <w:szCs w:val="21"/>
        </w:rPr>
      </w:pPr>
      <w:r>
        <w:t>检查数量：</w:t>
      </w:r>
      <w:r>
        <w:rPr>
          <w:szCs w:val="21"/>
        </w:rPr>
        <w:t>首批500张为一个检验批，检验合格后，检验批量可扩大至每1000张为一批。不足1000张时，应划为一个检验批。每批应抽查数量不少于1%，不得少于3张。</w:t>
      </w:r>
    </w:p>
    <w:p w14:paraId="358E19EC">
      <w:pPr>
        <w:pStyle w:val="84"/>
        <w:tabs>
          <w:tab w:val="left" w:pos="420"/>
          <w:tab w:val="right" w:leader="dot" w:pos="6960"/>
        </w:tabs>
        <w:ind w:firstLine="420"/>
      </w:pPr>
      <w:r>
        <w:t>检查方法：尺量。</w:t>
      </w:r>
    </w:p>
    <w:p w14:paraId="70452203">
      <w:pPr>
        <w:pStyle w:val="6"/>
      </w:pPr>
      <w:r>
        <w:t>固模楼承板的起拱应符合现行国家标准《混凝土结构工程施工规范》GB 50666的</w:t>
      </w:r>
      <w:r>
        <w:rPr>
          <w:rFonts w:hint="eastAsia"/>
        </w:rPr>
        <w:t>有关</w:t>
      </w:r>
      <w:r>
        <w:t>规定</w:t>
      </w:r>
      <w:r>
        <w:rPr>
          <w:rFonts w:hint="eastAsia"/>
        </w:rPr>
        <w:t>，应</w:t>
      </w:r>
      <w:r>
        <w:t>符合设计及施工</w:t>
      </w:r>
      <w:r>
        <w:rPr>
          <w:rFonts w:hint="eastAsia"/>
        </w:rPr>
        <w:t>方案</w:t>
      </w:r>
      <w:r>
        <w:t>的要求。</w:t>
      </w:r>
    </w:p>
    <w:p w14:paraId="5302F0C9">
      <w:pPr>
        <w:tabs>
          <w:tab w:val="left" w:pos="420"/>
          <w:tab w:val="right" w:leader="dot" w:pos="6960"/>
        </w:tabs>
        <w:ind w:firstLine="420" w:firstLineChars="200"/>
        <w:rPr>
          <w:szCs w:val="21"/>
        </w:rPr>
      </w:pPr>
      <w:r>
        <w:rPr>
          <w:szCs w:val="21"/>
        </w:rPr>
        <w:t>检查数量：应按有代表性的自然间抽查10%，不应少于3间；对大空间结构，可按纵、横轴线划分检查面，抽查10%，不应少于3面。</w:t>
      </w:r>
    </w:p>
    <w:p w14:paraId="619A4AD2">
      <w:pPr>
        <w:pStyle w:val="84"/>
        <w:tabs>
          <w:tab w:val="left" w:pos="420"/>
          <w:tab w:val="right" w:leader="dot" w:pos="6960"/>
        </w:tabs>
        <w:ind w:firstLine="420"/>
      </w:pPr>
      <w:r>
        <w:t>检查方法：水准仪或尺量。</w:t>
      </w:r>
    </w:p>
    <w:p w14:paraId="4F1C82FD">
      <w:pPr>
        <w:pStyle w:val="6"/>
        <w:numPr>
          <w:ilvl w:val="2"/>
          <w:numId w:val="0"/>
        </w:numPr>
      </w:pPr>
      <w:r>
        <w:rPr>
          <w:rFonts w:hint="eastAsia"/>
          <w:color w:val="0070C0"/>
        </w:rPr>
        <w:t>【条文说明】对跨度较大的TC板，由于其施工阶段自重作用，竖向支撑出现变形和下沉，如果不起拱可能造成跨间明显变形，严重时可能影响装饰和美观，故TC板在安装时适度起拱有利于保证构件的形状和尺寸。</w:t>
      </w:r>
    </w:p>
    <w:p w14:paraId="4667B5A2">
      <w:pPr>
        <w:pStyle w:val="6"/>
      </w:pPr>
      <w:bookmarkStart w:id="362" w:name="_Toc32678566"/>
      <w:bookmarkStart w:id="363" w:name="_Toc475644667"/>
      <w:bookmarkStart w:id="364" w:name="_Toc32678585"/>
      <w:bookmarkStart w:id="365" w:name="_Toc475644082"/>
      <w:bookmarkStart w:id="366" w:name="_Toc35605553"/>
      <w:bookmarkStart w:id="367" w:name="_Toc475644198"/>
      <w:bookmarkStart w:id="368" w:name="_Toc25414986"/>
      <w:bookmarkStart w:id="369" w:name="_Toc475644475"/>
      <w:bookmarkStart w:id="370" w:name="_Toc38028356"/>
      <w:bookmarkStart w:id="371" w:name="_Toc32679559"/>
      <w:bookmarkStart w:id="372" w:name="_Toc35789999"/>
      <w:r>
        <w:rPr>
          <w:rFonts w:hint="eastAsia"/>
        </w:rPr>
        <w:t xml:space="preserve"> </w:t>
      </w:r>
      <w:r>
        <w:t>固模楼承板安装后，固模楼承板中纵向受力</w:t>
      </w:r>
      <w:r>
        <w:rPr>
          <w:rFonts w:hint="eastAsia"/>
        </w:rPr>
        <w:t>钢筋桁架</w:t>
      </w:r>
      <w:r>
        <w:t>或钢筋的混凝土保护层厚度的允许偏差为±3mm，固模楼承板上部受力</w:t>
      </w:r>
      <w:r>
        <w:rPr>
          <w:rFonts w:hint="eastAsia"/>
        </w:rPr>
        <w:t>钢筋桁架</w:t>
      </w:r>
      <w:r>
        <w:t>或钢筋保护层厚度的合格点率应达到90%及以上，最大偏差不应超过允许偏差的1.5倍。</w:t>
      </w:r>
      <w:bookmarkEnd w:id="362"/>
    </w:p>
    <w:p w14:paraId="75981716">
      <w:pPr>
        <w:pStyle w:val="84"/>
        <w:ind w:firstLine="420"/>
      </w:pPr>
      <w:r>
        <w:t>检查数量：按楼层、结构缝或施工段划分检验批。在同一检验批内，应按有代表性的自然间抽查10%，不应少于3间。</w:t>
      </w:r>
    </w:p>
    <w:p w14:paraId="77197C3A">
      <w:pPr>
        <w:pStyle w:val="84"/>
        <w:ind w:firstLine="420"/>
      </w:pPr>
      <w:r>
        <w:t>检验方法：尺量。</w:t>
      </w:r>
    </w:p>
    <w:p w14:paraId="68570D8D">
      <w:pPr>
        <w:pStyle w:val="5"/>
        <w:numPr>
          <w:ilvl w:val="1"/>
          <w:numId w:val="67"/>
        </w:numPr>
        <w:spacing w:before="156" w:beforeLines="50" w:after="156"/>
      </w:pPr>
      <w:bookmarkStart w:id="373" w:name="_Toc21755"/>
      <w:bookmarkStart w:id="374" w:name="_Toc61254052"/>
      <w:bookmarkStart w:id="375" w:name="_Toc61254095"/>
      <w:bookmarkStart w:id="376" w:name="_Toc129374395"/>
      <w:r>
        <w:rPr>
          <w:rFonts w:hint="eastAsia"/>
        </w:rPr>
        <w:t>现浇</w:t>
      </w:r>
      <w:r>
        <w:t>混凝土</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78A8D0DF">
      <w:pPr>
        <w:pStyle w:val="120"/>
        <w:spacing w:after="156"/>
        <w:ind w:firstLine="400"/>
        <w:rPr>
          <w:rFonts w:eastAsia="FangSong_GB2312"/>
        </w:rPr>
      </w:pPr>
      <w:r>
        <w:rPr>
          <w:rFonts w:hint="eastAsia" w:ascii="宋体" w:hAnsi="宋体" w:cs="宋体"/>
        </w:rPr>
        <w:t>Ⅰ</w:t>
      </w:r>
      <w:r>
        <w:t>主控项目</w:t>
      </w:r>
    </w:p>
    <w:p w14:paraId="5497AEDE">
      <w:pPr>
        <w:pStyle w:val="6"/>
      </w:pPr>
      <w:bookmarkStart w:id="377" w:name="_Toc32678586"/>
      <w:r>
        <w:t>固模剪力墙结构现浇混凝土</w:t>
      </w:r>
      <w:r>
        <w:rPr>
          <w:rFonts w:hint="eastAsia"/>
        </w:rPr>
        <w:t>的外观质量不应有严重缺陷。</w:t>
      </w:r>
    </w:p>
    <w:p w14:paraId="36A7AFFE">
      <w:pPr>
        <w:pStyle w:val="84"/>
        <w:ind w:firstLine="420"/>
      </w:pPr>
      <w:r>
        <w:rPr>
          <w:rFonts w:hint="eastAsia"/>
        </w:rPr>
        <w:t>对已经出现的严重缺陷，应由施工单位提出技术处理方案并经监理（建设）单位认可后进行处理；对裂缝或连接部位的严重缺陷及其他影响结构安全的严重缺陷，技术处理方案尚应经设计单位认可。对经处理的部位，应重新检查验收。</w:t>
      </w:r>
    </w:p>
    <w:p w14:paraId="5378138A">
      <w:pPr>
        <w:pStyle w:val="84"/>
        <w:ind w:firstLine="420"/>
      </w:pPr>
      <w:r>
        <w:rPr>
          <w:rFonts w:hint="eastAsia"/>
        </w:rPr>
        <w:t>检查数量：全数检查。</w:t>
      </w:r>
    </w:p>
    <w:p w14:paraId="044BBEB6">
      <w:pPr>
        <w:pStyle w:val="84"/>
        <w:ind w:firstLine="420"/>
        <w:rPr>
          <w:rFonts w:hint="eastAsia"/>
        </w:rPr>
      </w:pPr>
      <w:r>
        <w:rPr>
          <w:rFonts w:hint="eastAsia"/>
        </w:rPr>
        <w:t>检验方法：观察，检查技术处理方案。</w:t>
      </w:r>
    </w:p>
    <w:p w14:paraId="4E252400">
      <w:pPr>
        <w:pStyle w:val="6"/>
      </w:pPr>
      <w:r>
        <w:t>固模剪力墙结构现浇混凝土</w:t>
      </w:r>
      <w:r>
        <w:rPr>
          <w:rFonts w:hint="eastAsia"/>
        </w:rPr>
        <w:t>的</w:t>
      </w:r>
      <w:r>
        <w:t>强度应符合设计要求。</w:t>
      </w:r>
      <w:bookmarkEnd w:id="377"/>
    </w:p>
    <w:p w14:paraId="264AC28D">
      <w:pPr>
        <w:pStyle w:val="84"/>
        <w:ind w:firstLine="420"/>
      </w:pPr>
      <w:r>
        <w:t>检查数量：按批检验，同一配合比的混凝土，每工作班且不超过100m</w:t>
      </w:r>
      <w:r>
        <w:rPr>
          <w:rFonts w:hint="eastAsia"/>
          <w:vertAlign w:val="superscript"/>
        </w:rPr>
        <w:t>3</w:t>
      </w:r>
      <w:r>
        <w:t>应制作1组标准养护试件。</w:t>
      </w:r>
    </w:p>
    <w:p w14:paraId="265C67AD">
      <w:pPr>
        <w:pStyle w:val="84"/>
        <w:ind w:firstLine="420"/>
      </w:pPr>
      <w:r>
        <w:t>检验方法：检查质量证明文件；按现行国家标准《混凝土强度检验评定标准》GB/T 50107的要求进行</w:t>
      </w:r>
      <w:r>
        <w:rPr>
          <w:rFonts w:hint="eastAsia"/>
        </w:rPr>
        <w:t>检验</w:t>
      </w:r>
      <w:r>
        <w:t>。</w:t>
      </w:r>
    </w:p>
    <w:p w14:paraId="4B73C527">
      <w:pPr>
        <w:pStyle w:val="6"/>
      </w:pPr>
      <w:bookmarkStart w:id="378" w:name="_Toc32678587"/>
      <w:r>
        <w:t>空心墙模孔内的现浇混凝土，浇筑方法应符合施工方案要求，浇筑应保证混凝土的均匀性和密实性。现浇混凝土浇筑质量的检查数量及检验方法应符合</w:t>
      </w:r>
      <w:r>
        <w:fldChar w:fldCharType="begin"/>
      </w:r>
      <w:r>
        <w:instrText xml:space="preserve"> REF _Ref54641289 \h  \* MERGEFORMAT </w:instrText>
      </w:r>
      <w:r>
        <w:fldChar w:fldCharType="separate"/>
      </w:r>
      <w:r>
        <w:rPr>
          <w:rFonts w:hint="eastAsia"/>
        </w:rPr>
        <w:t>表</w:t>
      </w:r>
      <w:r>
        <w:t>10.4.3</w:t>
      </w:r>
      <w:r>
        <w:fldChar w:fldCharType="end"/>
      </w:r>
      <w:r>
        <w:t>的规定。</w:t>
      </w:r>
      <w:bookmarkEnd w:id="378"/>
    </w:p>
    <w:p w14:paraId="30737BCC">
      <w:pPr>
        <w:pStyle w:val="64"/>
        <w:spacing w:before="78" w:after="78"/>
      </w:pPr>
      <w:bookmarkStart w:id="379" w:name="_Ref54641289"/>
      <w:r>
        <w:rPr>
          <w:rFonts w:hint="eastAsia"/>
        </w:rPr>
        <w:t>表</w:t>
      </w:r>
      <w:r>
        <w:fldChar w:fldCharType="begin"/>
      </w:r>
      <w:r>
        <w:rPr>
          <w:rFonts w:hint="eastAsia"/>
        </w:rPr>
        <w:instrText xml:space="preserve">STYLEREF 3 \s</w:instrText>
      </w:r>
      <w:r>
        <w:fldChar w:fldCharType="separate"/>
      </w:r>
      <w:r>
        <w:t>10.4.3</w:t>
      </w:r>
      <w:r>
        <w:fldChar w:fldCharType="end"/>
      </w:r>
      <w:bookmarkEnd w:id="379"/>
      <w:r>
        <w:t xml:space="preserve"> 现浇混凝土浇筑质量的检查数量</w:t>
      </w:r>
      <w:r>
        <w:rPr>
          <w:rFonts w:hint="eastAsia"/>
        </w:rPr>
        <w:t>或部位</w:t>
      </w:r>
      <w:r>
        <w:t>及检验方法</w:t>
      </w:r>
    </w:p>
    <w:tbl>
      <w:tblPr>
        <w:tblStyle w:val="34"/>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3318"/>
        <w:gridCol w:w="2818"/>
      </w:tblGrid>
      <w:tr w14:paraId="6D656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noWrap w:val="0"/>
            <w:vAlign w:val="center"/>
          </w:tcPr>
          <w:p w14:paraId="07FD27BD">
            <w:pPr>
              <w:pStyle w:val="95"/>
              <w:spacing w:before="78" w:after="78"/>
            </w:pPr>
            <w:r>
              <w:t>检查数量</w:t>
            </w:r>
            <w:r>
              <w:rPr>
                <w:rFonts w:hint="eastAsia"/>
              </w:rPr>
              <w:t>或部位</w:t>
            </w:r>
          </w:p>
        </w:tc>
        <w:tc>
          <w:tcPr>
            <w:tcW w:w="0" w:type="auto"/>
            <w:noWrap w:val="0"/>
            <w:vAlign w:val="center"/>
          </w:tcPr>
          <w:p w14:paraId="269E1F8F">
            <w:pPr>
              <w:pStyle w:val="95"/>
              <w:spacing w:before="78" w:after="78"/>
            </w:pPr>
            <w:r>
              <w:t>检验方法</w:t>
            </w:r>
          </w:p>
        </w:tc>
      </w:tr>
      <w:tr w14:paraId="1BCA6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noWrap w:val="0"/>
            <w:vAlign w:val="center"/>
          </w:tcPr>
          <w:p w14:paraId="7019197C">
            <w:pPr>
              <w:pStyle w:val="95"/>
              <w:spacing w:before="78" w:after="78"/>
            </w:pPr>
            <w:r>
              <w:t>全数检查</w:t>
            </w:r>
          </w:p>
        </w:tc>
        <w:tc>
          <w:tcPr>
            <w:tcW w:w="0" w:type="auto"/>
            <w:noWrap w:val="0"/>
            <w:vAlign w:val="center"/>
          </w:tcPr>
          <w:p w14:paraId="3097EDE2">
            <w:pPr>
              <w:pStyle w:val="95"/>
              <w:spacing w:before="78" w:after="78"/>
            </w:pPr>
            <w:r>
              <w:t>检查现浇混凝土施工记录</w:t>
            </w:r>
          </w:p>
        </w:tc>
      </w:tr>
      <w:tr w14:paraId="6E4CC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0" w:type="auto"/>
            <w:noWrap w:val="0"/>
            <w:vAlign w:val="center"/>
          </w:tcPr>
          <w:p w14:paraId="4C77B50D">
            <w:pPr>
              <w:pStyle w:val="95"/>
              <w:spacing w:before="78" w:after="78"/>
            </w:pPr>
            <w:r>
              <w:t>全数检查</w:t>
            </w:r>
          </w:p>
        </w:tc>
        <w:tc>
          <w:tcPr>
            <w:tcW w:w="0" w:type="auto"/>
            <w:noWrap w:val="0"/>
            <w:vAlign w:val="center"/>
          </w:tcPr>
          <w:p w14:paraId="51F7CF7F">
            <w:pPr>
              <w:pStyle w:val="95"/>
              <w:spacing w:before="78" w:after="78"/>
              <w:jc w:val="left"/>
            </w:pPr>
            <w:r>
              <w:t>观察接缝</w:t>
            </w:r>
            <w:r>
              <w:rPr>
                <w:rFonts w:hint="eastAsia"/>
              </w:rPr>
              <w:t>、齿脚</w:t>
            </w:r>
            <w:r>
              <w:t>及顶面凹槽处外露的现浇混凝土外观质量</w:t>
            </w:r>
          </w:p>
        </w:tc>
      </w:tr>
      <w:tr w14:paraId="0BAA0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0" w:type="auto"/>
            <w:noWrap w:val="0"/>
            <w:vAlign w:val="center"/>
          </w:tcPr>
          <w:p w14:paraId="73E17749">
            <w:pPr>
              <w:pStyle w:val="95"/>
              <w:spacing w:before="78" w:after="78"/>
            </w:pPr>
            <w:r>
              <w:t xml:space="preserve">混凝土为同一工作班浇筑的同类型构件为一批，每批应抽查构件数量的30% </w:t>
            </w:r>
          </w:p>
        </w:tc>
        <w:tc>
          <w:tcPr>
            <w:tcW w:w="0" w:type="auto"/>
            <w:noWrap w:val="0"/>
            <w:vAlign w:val="center"/>
          </w:tcPr>
          <w:p w14:paraId="09D7B3B2">
            <w:pPr>
              <w:pStyle w:val="95"/>
              <w:spacing w:before="78" w:after="78"/>
              <w:jc w:val="left"/>
            </w:pPr>
            <w:r>
              <w:t>用小锤轻击检查现浇混凝土与空心墙模之间是否有空鼓缺陷</w:t>
            </w:r>
          </w:p>
        </w:tc>
      </w:tr>
      <w:tr w14:paraId="2A0AF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50" w:hRule="atLeast"/>
          <w:jc w:val="center"/>
        </w:trPr>
        <w:tc>
          <w:tcPr>
            <w:tcW w:w="0" w:type="auto"/>
            <w:noWrap w:val="0"/>
            <w:vAlign w:val="center"/>
          </w:tcPr>
          <w:p w14:paraId="5B908407">
            <w:pPr>
              <w:pStyle w:val="95"/>
              <w:spacing w:before="78" w:after="78"/>
            </w:pPr>
            <w:r>
              <w:t>全数检查无法辨别的存疑部位</w:t>
            </w:r>
          </w:p>
        </w:tc>
        <w:tc>
          <w:tcPr>
            <w:tcW w:w="0" w:type="auto"/>
            <w:noWrap w:val="0"/>
            <w:vAlign w:val="center"/>
          </w:tcPr>
          <w:p w14:paraId="4376E077">
            <w:pPr>
              <w:pStyle w:val="95"/>
              <w:spacing w:before="78" w:after="78"/>
              <w:jc w:val="both"/>
            </w:pPr>
            <w:r>
              <w:t>1</w:t>
            </w:r>
            <w:r>
              <w:rPr>
                <w:rFonts w:hint="eastAsia"/>
              </w:rPr>
              <w:t>）</w:t>
            </w:r>
            <w:r>
              <w:t>进行局部开孔，使现浇混凝土外露后，观察混凝土表面质量</w:t>
            </w:r>
          </w:p>
          <w:p w14:paraId="762B9561">
            <w:pPr>
              <w:pStyle w:val="95"/>
              <w:spacing w:before="78" w:after="78"/>
              <w:jc w:val="left"/>
              <w:rPr>
                <w:rFonts w:hint="eastAsia"/>
              </w:rPr>
            </w:pPr>
            <w:r>
              <w:t>2</w:t>
            </w:r>
            <w:r>
              <w:rPr>
                <w:rFonts w:hint="eastAsia"/>
              </w:rPr>
              <w:t>）</w:t>
            </w:r>
            <w:r>
              <w:t>回弹-取芯法等进行强度检验</w:t>
            </w:r>
          </w:p>
        </w:tc>
      </w:tr>
    </w:tbl>
    <w:p w14:paraId="381301C3">
      <w:pPr>
        <w:pStyle w:val="6"/>
        <w:numPr>
          <w:ilvl w:val="2"/>
          <w:numId w:val="0"/>
        </w:numPr>
        <w:rPr>
          <w:rFonts w:hint="eastAsia"/>
          <w:color w:val="0070C0"/>
        </w:rPr>
      </w:pPr>
      <w:r>
        <w:rPr>
          <w:rFonts w:hint="eastAsia"/>
          <w:color w:val="0070C0"/>
        </w:rPr>
        <w:t>【条文说明】</w:t>
      </w:r>
      <w:r>
        <w:rPr>
          <w:rFonts w:hint="eastAsia"/>
          <w:color w:val="FF0000"/>
        </w:rPr>
        <w:t>对空心墙模孔内现浇混凝土浇筑质量进行验收时，应全数检查混凝土施工记录，并观察接缝及顶面凹槽处外露的现浇混凝土外观质量；抽查现浇混凝土与预制部分之间是否有空鼓缺陷；对于无法辨别的存疑部位，应全数进行局部开孔检查或使用回弹-取芯法等进行强度检验。</w:t>
      </w:r>
    </w:p>
    <w:p w14:paraId="72699A62">
      <w:pPr>
        <w:pStyle w:val="120"/>
        <w:spacing w:before="312" w:beforeLines="100" w:after="156"/>
        <w:ind w:firstLine="400"/>
        <w:rPr>
          <w:rFonts w:eastAsia="FangSong_GB2312"/>
        </w:rPr>
      </w:pPr>
      <w:r>
        <w:rPr>
          <w:rFonts w:hint="eastAsia" w:ascii="宋体" w:hAnsi="宋体" w:cs="宋体"/>
        </w:rPr>
        <w:t>Ⅱ</w:t>
      </w:r>
      <w:r>
        <w:t>一般项目</w:t>
      </w:r>
    </w:p>
    <w:p w14:paraId="636F5397">
      <w:pPr>
        <w:pStyle w:val="6"/>
      </w:pPr>
      <w:bookmarkStart w:id="380" w:name="_Toc32678588"/>
      <w:r>
        <w:t>固模剪力墙结构现浇混凝土</w:t>
      </w:r>
      <w:r>
        <w:rPr>
          <w:rFonts w:hint="eastAsia"/>
        </w:rPr>
        <w:t>的外观质量不宜有一般缺陷。</w:t>
      </w:r>
    </w:p>
    <w:p w14:paraId="4B8F4066">
      <w:pPr>
        <w:pStyle w:val="84"/>
        <w:ind w:firstLine="420"/>
      </w:pPr>
      <w:r>
        <w:rPr>
          <w:rFonts w:hint="eastAsia"/>
        </w:rPr>
        <w:t>对已经出现的一般缺陷，应由施工单位按技术处理方案进行处理并重新检查验收。</w:t>
      </w:r>
    </w:p>
    <w:p w14:paraId="464D6DB0">
      <w:pPr>
        <w:pStyle w:val="84"/>
        <w:ind w:firstLine="420"/>
      </w:pPr>
      <w:r>
        <w:rPr>
          <w:rFonts w:hint="eastAsia"/>
        </w:rPr>
        <w:t>检查数量：全数检查。</w:t>
      </w:r>
    </w:p>
    <w:p w14:paraId="1101FAF3">
      <w:pPr>
        <w:pStyle w:val="84"/>
        <w:ind w:firstLine="420"/>
        <w:rPr>
          <w:rFonts w:hint="eastAsia"/>
        </w:rPr>
      </w:pPr>
      <w:r>
        <w:rPr>
          <w:rFonts w:hint="eastAsia"/>
        </w:rPr>
        <w:t>检验方法：观察，检查技术处理方案。</w:t>
      </w:r>
    </w:p>
    <w:p w14:paraId="7ACE1C87">
      <w:pPr>
        <w:pStyle w:val="6"/>
      </w:pPr>
      <w:r>
        <w:t>现浇混凝土与</w:t>
      </w:r>
      <w:r>
        <w:rPr>
          <w:rFonts w:hint="eastAsia"/>
        </w:rPr>
        <w:t>预制构件的接触</w:t>
      </w:r>
      <w:r>
        <w:t>面处理方法应符合施工方案要求。</w:t>
      </w:r>
      <w:bookmarkEnd w:id="380"/>
    </w:p>
    <w:p w14:paraId="4A4849DD">
      <w:pPr>
        <w:pStyle w:val="84"/>
        <w:ind w:firstLine="420"/>
      </w:pPr>
      <w:r>
        <w:t>检查数量：全数检查。</w:t>
      </w:r>
    </w:p>
    <w:p w14:paraId="1DD007AE">
      <w:pPr>
        <w:pStyle w:val="84"/>
        <w:ind w:firstLine="420"/>
      </w:pPr>
      <w:r>
        <w:t>检验方法：观察。</w:t>
      </w:r>
    </w:p>
    <w:p w14:paraId="54E26F56">
      <w:pPr>
        <w:pStyle w:val="6"/>
      </w:pPr>
      <w:bookmarkStart w:id="381" w:name="_Toc32678589"/>
      <w:r>
        <w:rPr>
          <w:rFonts w:hint="eastAsia"/>
        </w:rPr>
        <w:t>空心墙模孔内现浇</w:t>
      </w:r>
      <w:r>
        <w:t>混凝土浇筑前，应对</w:t>
      </w:r>
      <w:r>
        <w:rPr>
          <w:rFonts w:hint="eastAsia"/>
        </w:rPr>
        <w:t>底部结合面及</w:t>
      </w:r>
      <w:r>
        <w:t>空心墙模孔洞进行清理</w:t>
      </w:r>
      <w:r>
        <w:rPr>
          <w:rFonts w:hint="eastAsia"/>
        </w:rPr>
        <w:t>、</w:t>
      </w:r>
      <w:r>
        <w:t>润湿。</w:t>
      </w:r>
      <w:bookmarkEnd w:id="381"/>
    </w:p>
    <w:p w14:paraId="432B3CAC">
      <w:pPr>
        <w:pStyle w:val="84"/>
        <w:ind w:firstLine="420"/>
      </w:pPr>
      <w:r>
        <w:t>检查数量：全数检查。</w:t>
      </w:r>
    </w:p>
    <w:p w14:paraId="1D485E7F">
      <w:pPr>
        <w:pStyle w:val="84"/>
        <w:ind w:firstLine="420"/>
      </w:pPr>
      <w:r>
        <w:t>检验方法：观察。</w:t>
      </w:r>
    </w:p>
    <w:p w14:paraId="5AA1E545">
      <w:pPr>
        <w:pStyle w:val="6"/>
        <w:numPr>
          <w:ilvl w:val="2"/>
          <w:numId w:val="0"/>
        </w:numPr>
      </w:pPr>
      <w:r>
        <w:rPr>
          <w:rFonts w:hint="eastAsia"/>
          <w:color w:val="0070C0"/>
        </w:rPr>
        <w:t>【条文说明】空心墙模安装时其齿脚直接墩在基础梁或下层楼板上，不需要座浆，因此空心墙模孔内现浇混凝土与基础梁或下层楼板混凝土的紧密结合非常重要。混凝土浇筑前，应清理结合面上的杂物并洒水润湿。</w:t>
      </w:r>
    </w:p>
    <w:p w14:paraId="17D6A30E">
      <w:pPr>
        <w:pStyle w:val="5"/>
        <w:numPr>
          <w:ilvl w:val="1"/>
          <w:numId w:val="67"/>
        </w:numPr>
        <w:spacing w:before="156" w:beforeLines="50" w:after="156"/>
      </w:pPr>
      <w:bookmarkStart w:id="382" w:name="_Toc20858"/>
      <w:bookmarkStart w:id="383" w:name="_Toc61254096"/>
      <w:bookmarkStart w:id="384" w:name="_Toc61254053"/>
      <w:bookmarkStart w:id="385" w:name="_Toc129374396"/>
      <w:r>
        <w:rPr>
          <w:rFonts w:hint="eastAsia"/>
        </w:rPr>
        <w:t>结构实体检验</w:t>
      </w:r>
      <w:bookmarkEnd w:id="382"/>
      <w:bookmarkEnd w:id="383"/>
      <w:bookmarkEnd w:id="384"/>
      <w:bookmarkEnd w:id="385"/>
    </w:p>
    <w:p w14:paraId="7B9B4F69">
      <w:pPr>
        <w:pStyle w:val="6"/>
      </w:pPr>
      <w:r>
        <w:rPr>
          <w:rFonts w:hint="eastAsia"/>
        </w:rPr>
        <w:t>对涉及固模剪力墙结构安全的重要部位，应进行结构实体检验，结构实体检验应由监理单位组织施工单位实施并见证实施过程。施工单位应制定结构实体检验专项方案并经监理单位审核批准后实施。除结构位置与尺寸偏差外的结构实体检验项目，应由具有相应资质的第三方检测机构完成。</w:t>
      </w:r>
    </w:p>
    <w:p w14:paraId="5C5F8080">
      <w:pPr>
        <w:pStyle w:val="6"/>
        <w:numPr>
          <w:ilvl w:val="2"/>
          <w:numId w:val="0"/>
        </w:numPr>
      </w:pPr>
      <w:r>
        <w:rPr>
          <w:rFonts w:hint="eastAsia"/>
          <w:color w:val="0070C0"/>
        </w:rPr>
        <w:t>【条文说明】结构实体进行检验，是在相应分项工程验收合格的基础上，对重要项目进行的验证性检验，其目的是为了强化混凝土结构的施工质量验收，真实地反映结构混凝土强度、受力钢筋位置、结构位置与尺寸等质量指标，确保结构安全。</w:t>
      </w:r>
    </w:p>
    <w:p w14:paraId="478FDC4B">
      <w:pPr>
        <w:pStyle w:val="6"/>
      </w:pPr>
      <w:r>
        <w:rPr>
          <w:rFonts w:hint="eastAsia"/>
        </w:rPr>
        <w:t>结构实体检验内容包括空心墙模及固模楼承板现浇混凝土强度、钢筋保护层厚度、结构位置与尺寸偏差及工程合同约定的其他检验项目，其检验方法及标准应按现行国家、行业标准的有关规定执行。</w:t>
      </w:r>
    </w:p>
    <w:p w14:paraId="47B41EA1">
      <w:pPr>
        <w:pStyle w:val="6"/>
        <w:numPr>
          <w:ilvl w:val="2"/>
          <w:numId w:val="0"/>
        </w:numPr>
      </w:pPr>
      <w:r>
        <w:rPr>
          <w:rFonts w:hint="eastAsia"/>
          <w:color w:val="0070C0"/>
        </w:rPr>
        <w:t>【条文说明】现行国家标准《混凝土结构工程施工质量验收规范》GB 50204中规定了3个结构实体检验项目。当工程合同有约定时，可根据合同确定其他检验项目和相应的检验方法、检验数量以及合格条件。</w:t>
      </w:r>
    </w:p>
    <w:p w14:paraId="726042FD">
      <w:pPr>
        <w:pStyle w:val="6"/>
      </w:pPr>
      <w:r>
        <w:rPr>
          <w:rFonts w:hint="eastAsia"/>
        </w:rPr>
        <w:t>结构实体混凝土强度的检验，应以在混凝土浇筑地点制备、并与结构实体同条件养护的试件强度为依据；混凝土强度检验用同条件养护试件的留置、养护和强度代表值应符合现行国家标准《混凝土结构工程施工质量验收规范》GB</w:t>
      </w:r>
      <w:r>
        <w:t xml:space="preserve"> 50204</w:t>
      </w:r>
      <w:r>
        <w:rPr>
          <w:rFonts w:hint="eastAsia"/>
        </w:rPr>
        <w:t>附录C的有关规定。</w:t>
      </w:r>
    </w:p>
    <w:p w14:paraId="1B701673">
      <w:pPr>
        <w:pStyle w:val="6"/>
      </w:pPr>
      <w:r>
        <w:rPr>
          <w:rFonts w:hint="eastAsia"/>
        </w:rPr>
        <w:t>结构实体钢筋保护层厚度的检验，抽样数量、检验方法、允许偏差和合格条件应符合现行国家标准《混凝土结构工程施工质量验收规范》GB</w:t>
      </w:r>
      <w:r>
        <w:t xml:space="preserve"> 50204</w:t>
      </w:r>
      <w:r>
        <w:rPr>
          <w:rFonts w:hint="eastAsia"/>
        </w:rPr>
        <w:t>附录E的有关规定。</w:t>
      </w:r>
    </w:p>
    <w:p w14:paraId="3011695E">
      <w:pPr>
        <w:pStyle w:val="6"/>
      </w:pPr>
      <w:r>
        <w:rPr>
          <w:rFonts w:hint="eastAsia"/>
        </w:rPr>
        <w:t>结构位置与尺寸偏差检验应符合现行国家标准《混凝土结构工程施工质量验收规范》GB</w:t>
      </w:r>
      <w:r>
        <w:t xml:space="preserve"> 50204</w:t>
      </w:r>
      <w:r>
        <w:rPr>
          <w:rFonts w:hint="eastAsia"/>
        </w:rPr>
        <w:t>附录F的有关规定。</w:t>
      </w:r>
    </w:p>
    <w:p w14:paraId="78145961">
      <w:pPr>
        <w:pStyle w:val="6"/>
      </w:pPr>
      <w:r>
        <w:rPr>
          <w:rFonts w:hint="eastAsia"/>
        </w:rPr>
        <w:t>当未取得同条件养护试件强度或同条件养护试件强度不符合要求、对空心墙模内后浇混凝土的密实度等质量存疑时，可委托具有资质的检测机构采用回弹-取芯法等进行检验。结构实体混凝土回弹-取芯法检验应符合现行国家标准《混凝土结构工程施工质量验收规范》GB</w:t>
      </w:r>
      <w:r>
        <w:t xml:space="preserve"> 50204</w:t>
      </w:r>
      <w:r>
        <w:rPr>
          <w:rFonts w:hint="eastAsia"/>
        </w:rPr>
        <w:t>附录D的有关规定。</w:t>
      </w:r>
    </w:p>
    <w:p w14:paraId="6D245C4D">
      <w:pPr>
        <w:pStyle w:val="5"/>
        <w:numPr>
          <w:ilvl w:val="1"/>
          <w:numId w:val="67"/>
        </w:numPr>
        <w:spacing w:before="156" w:beforeLines="50" w:after="156"/>
      </w:pPr>
      <w:bookmarkStart w:id="386" w:name="_Toc129374397"/>
      <w:bookmarkStart w:id="387" w:name="_Toc61254097"/>
      <w:bookmarkStart w:id="388" w:name="_Toc28871"/>
      <w:bookmarkStart w:id="389" w:name="_Toc61254054"/>
      <w:r>
        <w:rPr>
          <w:rFonts w:hint="eastAsia"/>
        </w:rPr>
        <w:t>子分部工程验收</w:t>
      </w:r>
      <w:bookmarkEnd w:id="386"/>
      <w:bookmarkEnd w:id="387"/>
      <w:bookmarkEnd w:id="388"/>
      <w:bookmarkEnd w:id="389"/>
    </w:p>
    <w:p w14:paraId="55AEDDB4">
      <w:pPr>
        <w:pStyle w:val="6"/>
      </w:pPr>
      <w:r>
        <w:rPr>
          <w:rFonts w:hint="eastAsia"/>
        </w:rPr>
        <w:t>固模剪力墙结构子分部工程验收时，除应按现行国家标准《混凝土结构工程施工质量验收规范》GB 50204的要求提供文件和记录外，尚应按本标准第</w:t>
      </w:r>
      <w:r>
        <w:fldChar w:fldCharType="begin"/>
      </w:r>
      <w:r>
        <w:instrText xml:space="preserve"> </w:instrText>
      </w:r>
      <w:r>
        <w:rPr>
          <w:rFonts w:hint="eastAsia"/>
        </w:rPr>
        <w:instrText xml:space="preserve">REF _Ref61193343 \r \h</w:instrText>
      </w:r>
      <w:r>
        <w:instrText xml:space="preserve">  \* MERGEFORMAT </w:instrText>
      </w:r>
      <w:r>
        <w:fldChar w:fldCharType="separate"/>
      </w:r>
      <w:r>
        <w:t>10.1.9</w:t>
      </w:r>
      <w:r>
        <w:fldChar w:fldCharType="end"/>
      </w:r>
      <w:r>
        <w:rPr>
          <w:rFonts w:hint="eastAsia"/>
        </w:rPr>
        <w:t>条的要求提交资料。</w:t>
      </w:r>
    </w:p>
    <w:p w14:paraId="0D30C375">
      <w:pPr>
        <w:pStyle w:val="6"/>
        <w:numPr>
          <w:ilvl w:val="2"/>
          <w:numId w:val="0"/>
        </w:numPr>
      </w:pPr>
      <w:r>
        <w:rPr>
          <w:rFonts w:hint="eastAsia"/>
          <w:color w:val="0070C0"/>
        </w:rPr>
        <w:t>【条文说明】现行国家标准《混凝土结构工程施工质量验收规范》GB 50204中规定了3个结构实体检验项目。当工程合同有约定时，可根据合同确定其他检验项目和相应的检验方法、检验数量以及合格条件。</w:t>
      </w:r>
    </w:p>
    <w:p w14:paraId="05951377">
      <w:pPr>
        <w:pStyle w:val="6"/>
      </w:pPr>
      <w:r>
        <w:rPr>
          <w:rFonts w:hint="eastAsia"/>
        </w:rPr>
        <w:t>固模剪力墙结构子分部工程施工质量验收合格应符合下列规定：</w:t>
      </w:r>
    </w:p>
    <w:p w14:paraId="30966CBC">
      <w:pPr>
        <w:pStyle w:val="7"/>
        <w:numPr>
          <w:ilvl w:val="0"/>
          <w:numId w:val="72"/>
        </w:numPr>
      </w:pPr>
      <w:r>
        <w:rPr>
          <w:rFonts w:hint="eastAsia"/>
        </w:rPr>
        <w:t>有关分项工程施工质量验收合格；</w:t>
      </w:r>
    </w:p>
    <w:p w14:paraId="528EA64A">
      <w:pPr>
        <w:pStyle w:val="7"/>
        <w:numPr>
          <w:ilvl w:val="0"/>
          <w:numId w:val="41"/>
        </w:numPr>
      </w:pPr>
      <w:r>
        <w:rPr>
          <w:rFonts w:hint="eastAsia"/>
        </w:rPr>
        <w:t>质量控制资料完整且符合要求；</w:t>
      </w:r>
    </w:p>
    <w:p w14:paraId="401057B7">
      <w:pPr>
        <w:pStyle w:val="7"/>
        <w:numPr>
          <w:ilvl w:val="0"/>
          <w:numId w:val="41"/>
        </w:numPr>
      </w:pPr>
      <w:r>
        <w:rPr>
          <w:rFonts w:hint="eastAsia"/>
        </w:rPr>
        <w:t>观感质量验收合格；</w:t>
      </w:r>
    </w:p>
    <w:p w14:paraId="77D94D7E">
      <w:pPr>
        <w:pStyle w:val="7"/>
        <w:numPr>
          <w:ilvl w:val="0"/>
          <w:numId w:val="41"/>
        </w:numPr>
      </w:pPr>
      <w:r>
        <w:rPr>
          <w:rFonts w:hint="eastAsia"/>
        </w:rPr>
        <w:t>结构实体检验满足设计和标准的要求。</w:t>
      </w:r>
    </w:p>
    <w:p w14:paraId="7663E26C">
      <w:pPr>
        <w:pStyle w:val="6"/>
        <w:numPr>
          <w:ilvl w:val="2"/>
          <w:numId w:val="0"/>
        </w:numPr>
      </w:pPr>
      <w:r>
        <w:rPr>
          <w:rFonts w:hint="eastAsia"/>
          <w:color w:val="0070C0"/>
        </w:rPr>
        <w:t>【条文说明】本条给出了固模剪力墙结构子分部工程质量的合格条件。其中观感质量验收应按本标准第8章、第9章的有关预制构件和现浇混凝土外观质量的规定检查。</w:t>
      </w:r>
    </w:p>
    <w:p w14:paraId="1AA27BBB">
      <w:pPr>
        <w:pStyle w:val="6"/>
      </w:pPr>
      <w:r>
        <w:rPr>
          <w:rFonts w:hint="eastAsia"/>
        </w:rPr>
        <w:t>当固模剪力墙结构施工质量不符合要求时，应按下列规定进行处理：</w:t>
      </w:r>
    </w:p>
    <w:p w14:paraId="01694B16">
      <w:pPr>
        <w:pStyle w:val="7"/>
        <w:numPr>
          <w:ilvl w:val="0"/>
          <w:numId w:val="73"/>
        </w:numPr>
      </w:pPr>
      <w:r>
        <w:rPr>
          <w:rFonts w:hint="eastAsia"/>
        </w:rPr>
        <w:t>经返工、返修或更换构件、部件的检验批，应重新进行验收；</w:t>
      </w:r>
    </w:p>
    <w:p w14:paraId="5702BE0B">
      <w:pPr>
        <w:pStyle w:val="7"/>
        <w:numPr>
          <w:ilvl w:val="0"/>
          <w:numId w:val="41"/>
        </w:numPr>
      </w:pPr>
      <w:r>
        <w:rPr>
          <w:rFonts w:hint="eastAsia"/>
        </w:rPr>
        <w:t>经有资质的检测单位按国家现行有关标准检测鉴定达到设计要求的检验批，应予以验收；</w:t>
      </w:r>
    </w:p>
    <w:p w14:paraId="3FD64213">
      <w:pPr>
        <w:pStyle w:val="7"/>
        <w:numPr>
          <w:ilvl w:val="0"/>
          <w:numId w:val="41"/>
        </w:numPr>
      </w:pPr>
      <w:r>
        <w:rPr>
          <w:rFonts w:hint="eastAsia"/>
        </w:rPr>
        <w:t>经有资质的检测单位按国家现行有关标准检测鉴定达不到设计要求，但经原设计单位核算并确认仍可满足结构安全和使用功能的检验批，可予以验收；</w:t>
      </w:r>
    </w:p>
    <w:p w14:paraId="669A37EA">
      <w:pPr>
        <w:pStyle w:val="7"/>
        <w:numPr>
          <w:ilvl w:val="0"/>
          <w:numId w:val="41"/>
        </w:numPr>
      </w:pPr>
      <w:r>
        <w:rPr>
          <w:rFonts w:hint="eastAsia"/>
        </w:rPr>
        <w:t>经返修或加固处理能够满足结构安全使用要求的分项工程，可根据技术处理方案和协商文件进行验收。</w:t>
      </w:r>
    </w:p>
    <w:p w14:paraId="19679136">
      <w:pPr>
        <w:pStyle w:val="6"/>
        <w:numPr>
          <w:ilvl w:val="2"/>
          <w:numId w:val="0"/>
        </w:numPr>
      </w:pPr>
      <w:r>
        <w:rPr>
          <w:rFonts w:hint="eastAsia"/>
          <w:color w:val="0070C0"/>
        </w:rPr>
        <w:t>【条文说明】本条给出了当检验批、分项工程、子分部实体检验项目质量不符合要求时的处理方法。这些不同的验收处理方式是为了适应广东省目前的经济技术发展水平，在保证结构安全和基本使用功能的前提下，避免造成不必要的经济损失和资源浪费。</w:t>
      </w:r>
    </w:p>
    <w:p w14:paraId="6699B102">
      <w:pPr>
        <w:pStyle w:val="6"/>
      </w:pPr>
      <w:r>
        <w:rPr>
          <w:rFonts w:hint="eastAsia"/>
        </w:rPr>
        <w:t>固模剪力墙结构的子分部工程施工质量验收合格后，应将所有验收文件归入混凝土结构子分部工程存档备案。</w:t>
      </w:r>
    </w:p>
    <w:p w14:paraId="2C509D04">
      <w:pPr>
        <w:pStyle w:val="6"/>
        <w:numPr>
          <w:ilvl w:val="2"/>
          <w:numId w:val="0"/>
        </w:numPr>
      </w:pPr>
      <w:r>
        <w:rPr>
          <w:rFonts w:hint="eastAsia"/>
          <w:color w:val="0070C0"/>
        </w:rPr>
        <w:t>【条文说明】本条对验收文件的存档提出了要求，目的不仅是为了落实在设计使用年限内的责任，而且在有必要进行维护、修理、检测、加固或改变使用功能时，可以提供有效的依据。</w:t>
      </w:r>
    </w:p>
    <w:p w14:paraId="2F490D81">
      <w:pPr>
        <w:pStyle w:val="6"/>
        <w:numPr>
          <w:ilvl w:val="0"/>
          <w:numId w:val="0"/>
        </w:numPr>
        <w:tabs>
          <w:tab w:val="clear" w:pos="907"/>
        </w:tabs>
      </w:pPr>
    </w:p>
    <w:p w14:paraId="4604D614">
      <w:pPr>
        <w:pStyle w:val="4"/>
        <w:numPr>
          <w:ilvl w:val="0"/>
          <w:numId w:val="0"/>
        </w:numPr>
        <w:spacing w:before="156" w:after="156"/>
      </w:pPr>
      <w:r>
        <w:br w:type="page"/>
      </w:r>
      <w:bookmarkStart w:id="390" w:name="_Toc61254098"/>
      <w:bookmarkStart w:id="391" w:name="_Toc129374398"/>
      <w:bookmarkStart w:id="392" w:name="_Toc61254055"/>
      <w:bookmarkStart w:id="393" w:name="_Toc8439"/>
      <w:r>
        <w:t>本标准用词说明</w:t>
      </w:r>
      <w:bookmarkEnd w:id="390"/>
      <w:bookmarkEnd w:id="391"/>
      <w:bookmarkEnd w:id="392"/>
      <w:bookmarkEnd w:id="393"/>
    </w:p>
    <w:p w14:paraId="3073C2A5">
      <w:pPr>
        <w:pStyle w:val="7"/>
        <w:numPr>
          <w:ilvl w:val="0"/>
          <w:numId w:val="74"/>
        </w:numPr>
      </w:pPr>
      <w:r>
        <w:t>为便于在执行本标准条文时区别对待，对于要求严格程度不同的用词说明如下：</w:t>
      </w:r>
    </w:p>
    <w:p w14:paraId="37A6E957">
      <w:pPr>
        <w:numPr>
          <w:ilvl w:val="0"/>
          <w:numId w:val="75"/>
        </w:numPr>
        <w:adjustRightInd/>
        <w:snapToGrid/>
      </w:pPr>
      <w:r>
        <w:t>表示很严格，非这样做不可的：</w:t>
      </w:r>
    </w:p>
    <w:p w14:paraId="64B2D9F7">
      <w:pPr>
        <w:ind w:left="300" w:firstLine="420"/>
        <w:rPr>
          <w:rFonts w:ascii="宋体" w:hAnsi="宋体"/>
        </w:rPr>
      </w:pPr>
      <w:r>
        <w:rPr>
          <w:rFonts w:ascii="宋体" w:hAnsi="宋体"/>
        </w:rPr>
        <w:t>正面词采用“必须”；反面词采用“严禁”。</w:t>
      </w:r>
    </w:p>
    <w:p w14:paraId="63C097ED">
      <w:pPr>
        <w:numPr>
          <w:ilvl w:val="0"/>
          <w:numId w:val="75"/>
        </w:numPr>
        <w:adjustRightInd/>
        <w:snapToGrid/>
      </w:pPr>
      <w:r>
        <w:t>表示严格，在正常情况下均应这样做的：</w:t>
      </w:r>
    </w:p>
    <w:p w14:paraId="1A72E6F2">
      <w:pPr>
        <w:ind w:left="720"/>
        <w:rPr>
          <w:rFonts w:ascii="宋体" w:hAnsi="宋体"/>
        </w:rPr>
      </w:pPr>
      <w:r>
        <w:rPr>
          <w:rFonts w:ascii="宋体" w:hAnsi="宋体"/>
        </w:rPr>
        <w:t>正面词采用“应”；反面词采用“不应”或“不得”。</w:t>
      </w:r>
    </w:p>
    <w:p w14:paraId="2BF9C8C1">
      <w:pPr>
        <w:numPr>
          <w:ilvl w:val="0"/>
          <w:numId w:val="75"/>
        </w:numPr>
        <w:adjustRightInd/>
        <w:snapToGrid/>
      </w:pPr>
      <w:r>
        <w:t>表示允许稍有选择，在条件许可时首先应这样做的：</w:t>
      </w:r>
    </w:p>
    <w:p w14:paraId="044B7C0B">
      <w:pPr>
        <w:ind w:left="720"/>
        <w:rPr>
          <w:rFonts w:ascii="宋体" w:hAnsi="宋体"/>
        </w:rPr>
      </w:pPr>
      <w:r>
        <w:rPr>
          <w:rFonts w:ascii="宋体" w:hAnsi="宋体"/>
        </w:rPr>
        <w:t>正面词采用“宜”；反面词采用“不宜”。</w:t>
      </w:r>
    </w:p>
    <w:p w14:paraId="4A019A73">
      <w:pPr>
        <w:numPr>
          <w:ilvl w:val="0"/>
          <w:numId w:val="75"/>
        </w:numPr>
        <w:adjustRightInd/>
        <w:snapToGrid/>
        <w:rPr>
          <w:rFonts w:ascii="宋体" w:hAnsi="宋体"/>
        </w:rPr>
      </w:pPr>
      <w:r>
        <w:t>表示有选择，在一定条件下可以这样做的，</w:t>
      </w:r>
      <w:r>
        <w:rPr>
          <w:rFonts w:ascii="宋体" w:hAnsi="宋体"/>
        </w:rPr>
        <w:t>采用“可”。</w:t>
      </w:r>
    </w:p>
    <w:p w14:paraId="4F6453B2">
      <w:pPr>
        <w:pStyle w:val="7"/>
        <w:numPr>
          <w:ilvl w:val="0"/>
          <w:numId w:val="76"/>
        </w:numPr>
        <w:rPr>
          <w:vertAlign w:val="subscript"/>
        </w:rPr>
      </w:pPr>
      <w:r>
        <w:t>条文中指明应按其他有关标准执行的写法为：</w:t>
      </w:r>
      <w:r>
        <w:rPr>
          <w:rFonts w:ascii="宋体" w:hAnsi="宋体"/>
        </w:rPr>
        <w:t>“</w:t>
      </w:r>
      <w:r>
        <w:t>应符合……的规定</w:t>
      </w:r>
      <w:r>
        <w:rPr>
          <w:rFonts w:ascii="宋体" w:hAnsi="宋体"/>
        </w:rPr>
        <w:t>”</w:t>
      </w:r>
      <w:r>
        <w:t>或</w:t>
      </w:r>
      <w:r>
        <w:rPr>
          <w:rFonts w:ascii="宋体" w:hAnsi="宋体"/>
        </w:rPr>
        <w:t>“</w:t>
      </w:r>
      <w:r>
        <w:t>应按……执行</w:t>
      </w:r>
      <w:r>
        <w:rPr>
          <w:rFonts w:ascii="宋体" w:hAnsi="宋体"/>
        </w:rPr>
        <w:t>”</w:t>
      </w:r>
      <w:r>
        <w:t>。</w:t>
      </w:r>
    </w:p>
    <w:p w14:paraId="7C444152">
      <w:pPr>
        <w:pStyle w:val="4"/>
        <w:numPr>
          <w:ilvl w:val="0"/>
          <w:numId w:val="0"/>
        </w:numPr>
        <w:spacing w:before="156" w:after="156"/>
      </w:pPr>
      <w:r>
        <w:br w:type="page"/>
      </w:r>
      <w:bookmarkStart w:id="394" w:name="_Toc61254099"/>
      <w:bookmarkStart w:id="395" w:name="_Toc129374399"/>
      <w:bookmarkStart w:id="396" w:name="_Toc61254056"/>
      <w:bookmarkStart w:id="397" w:name="_Toc475644200"/>
      <w:bookmarkStart w:id="398" w:name="_Toc475644084"/>
      <w:bookmarkStart w:id="399" w:name="_Toc475644477"/>
      <w:bookmarkStart w:id="400" w:name="_Toc16593"/>
      <w:bookmarkStart w:id="401" w:name="_Toc475644669"/>
      <w:r>
        <w:t>引用标准名录</w:t>
      </w:r>
      <w:bookmarkEnd w:id="394"/>
      <w:bookmarkEnd w:id="395"/>
      <w:bookmarkEnd w:id="396"/>
      <w:bookmarkEnd w:id="397"/>
      <w:bookmarkEnd w:id="398"/>
      <w:bookmarkEnd w:id="399"/>
      <w:bookmarkEnd w:id="400"/>
      <w:bookmarkEnd w:id="401"/>
    </w:p>
    <w:p w14:paraId="531873DA">
      <w:pPr>
        <w:pStyle w:val="7"/>
        <w:numPr>
          <w:ilvl w:val="0"/>
          <w:numId w:val="0"/>
        </w:numPr>
        <w:ind w:left="482"/>
      </w:pPr>
      <w:r>
        <w:t>《建筑材料及制品燃烧性能分级》GB 8624</w:t>
      </w:r>
    </w:p>
    <w:p w14:paraId="1CBE0E70">
      <w:pPr>
        <w:pStyle w:val="7"/>
        <w:numPr>
          <w:ilvl w:val="0"/>
          <w:numId w:val="0"/>
        </w:numPr>
        <w:ind w:left="482"/>
      </w:pPr>
      <w:r>
        <w:t>《建筑结构荷载规范》GB 50009</w:t>
      </w:r>
    </w:p>
    <w:p w14:paraId="42EA5D3D">
      <w:pPr>
        <w:pStyle w:val="7"/>
        <w:numPr>
          <w:ilvl w:val="0"/>
          <w:numId w:val="0"/>
        </w:numPr>
        <w:ind w:left="482"/>
      </w:pPr>
      <w:r>
        <w:t>《混凝土结构设计</w:t>
      </w:r>
      <w:r>
        <w:rPr>
          <w:rFonts w:hint="eastAsia"/>
        </w:rPr>
        <w:t>标准</w:t>
      </w:r>
      <w:r>
        <w:t>》GB</w:t>
      </w:r>
      <w:r>
        <w:rPr>
          <w:rFonts w:hint="eastAsia"/>
        </w:rPr>
        <w:t>/T</w:t>
      </w:r>
      <w:r>
        <w:t xml:space="preserve"> 50010</w:t>
      </w:r>
    </w:p>
    <w:p w14:paraId="52868F15">
      <w:pPr>
        <w:pStyle w:val="7"/>
        <w:numPr>
          <w:ilvl w:val="0"/>
          <w:numId w:val="0"/>
        </w:numPr>
        <w:ind w:left="482"/>
        <w:rPr>
          <w:rFonts w:hint="eastAsia"/>
          <w:szCs w:val="21"/>
        </w:rPr>
      </w:pPr>
      <w:r>
        <w:t>《建筑抗震设计</w:t>
      </w:r>
      <w:r>
        <w:rPr>
          <w:rFonts w:hint="eastAsia"/>
        </w:rPr>
        <w:t>标准</w:t>
      </w:r>
      <w:r>
        <w:t>》GB</w:t>
      </w:r>
      <w:r>
        <w:rPr>
          <w:rFonts w:hint="eastAsia"/>
        </w:rPr>
        <w:t>/T</w:t>
      </w:r>
      <w:r>
        <w:t xml:space="preserve"> 5001</w:t>
      </w:r>
      <w:r>
        <w:rPr>
          <w:rFonts w:hint="eastAsia"/>
        </w:rPr>
        <w:t>1</w:t>
      </w:r>
    </w:p>
    <w:p w14:paraId="4FA6DE14">
      <w:pPr>
        <w:pStyle w:val="7"/>
        <w:numPr>
          <w:ilvl w:val="0"/>
          <w:numId w:val="0"/>
        </w:numPr>
        <w:ind w:left="482"/>
        <w:rPr>
          <w:szCs w:val="21"/>
        </w:rPr>
      </w:pPr>
      <w:r>
        <w:rPr>
          <w:rFonts w:hint="eastAsia"/>
          <w:szCs w:val="21"/>
        </w:rPr>
        <w:t>《建筑设计防火规范》GB 50016</w:t>
      </w:r>
    </w:p>
    <w:p w14:paraId="20BB9BD4">
      <w:pPr>
        <w:pStyle w:val="7"/>
        <w:numPr>
          <w:ilvl w:val="0"/>
          <w:numId w:val="0"/>
        </w:numPr>
        <w:ind w:left="482"/>
      </w:pPr>
      <w:r>
        <w:t>《钢结构设计标准》GB 50017</w:t>
      </w:r>
    </w:p>
    <w:p w14:paraId="3A8BF6BA">
      <w:pPr>
        <w:pStyle w:val="7"/>
        <w:numPr>
          <w:ilvl w:val="0"/>
          <w:numId w:val="0"/>
        </w:numPr>
        <w:ind w:left="482"/>
      </w:pPr>
      <w:r>
        <w:t>《工程测量</w:t>
      </w:r>
      <w:r>
        <w:rPr>
          <w:rFonts w:hint="eastAsia"/>
        </w:rPr>
        <w:t>标准</w:t>
      </w:r>
      <w:r>
        <w:t>》GB 50026</w:t>
      </w:r>
    </w:p>
    <w:p w14:paraId="4B0A32AA">
      <w:pPr>
        <w:pStyle w:val="7"/>
        <w:numPr>
          <w:ilvl w:val="0"/>
          <w:numId w:val="0"/>
        </w:numPr>
        <w:ind w:left="482"/>
      </w:pPr>
      <w:r>
        <w:t>《混凝土质量控制标准》GB 50164</w:t>
      </w:r>
    </w:p>
    <w:p w14:paraId="3EFA1438">
      <w:pPr>
        <w:pStyle w:val="7"/>
        <w:numPr>
          <w:ilvl w:val="0"/>
          <w:numId w:val="0"/>
        </w:numPr>
        <w:ind w:left="482"/>
      </w:pPr>
      <w:r>
        <w:rPr>
          <w:rFonts w:hint="eastAsia"/>
        </w:rPr>
        <w:t>《民用建筑隔声设计规范》GB 50118</w:t>
      </w:r>
    </w:p>
    <w:p w14:paraId="3184D683">
      <w:pPr>
        <w:pStyle w:val="7"/>
        <w:numPr>
          <w:ilvl w:val="0"/>
          <w:numId w:val="0"/>
        </w:numPr>
        <w:ind w:left="482"/>
      </w:pPr>
      <w:r>
        <w:rPr>
          <w:rFonts w:hint="eastAsia"/>
        </w:rPr>
        <w:t>《民用建筑热工设计规范》GB</w:t>
      </w:r>
      <w:r>
        <w:t xml:space="preserve"> 50176</w:t>
      </w:r>
    </w:p>
    <w:p w14:paraId="5F21514F">
      <w:pPr>
        <w:pStyle w:val="7"/>
        <w:numPr>
          <w:ilvl w:val="0"/>
          <w:numId w:val="0"/>
        </w:numPr>
        <w:ind w:left="482"/>
      </w:pPr>
      <w:r>
        <w:rPr>
          <w:rFonts w:hint="eastAsia"/>
        </w:rPr>
        <w:t>《混凝土结构工程施工质量验收规范》GB 50204</w:t>
      </w:r>
    </w:p>
    <w:p w14:paraId="76D2CD32">
      <w:pPr>
        <w:pStyle w:val="7"/>
        <w:numPr>
          <w:ilvl w:val="0"/>
          <w:numId w:val="0"/>
        </w:numPr>
        <w:ind w:left="482"/>
      </w:pPr>
      <w:r>
        <w:t>《建筑内部装修设计防火规范》GB 50222</w:t>
      </w:r>
    </w:p>
    <w:p w14:paraId="1DCE1BE0">
      <w:pPr>
        <w:pStyle w:val="7"/>
        <w:numPr>
          <w:ilvl w:val="0"/>
          <w:numId w:val="0"/>
        </w:numPr>
        <w:ind w:left="482"/>
      </w:pPr>
      <w:r>
        <w:t>《建筑工程施工质量验收统一标准》GB 50300</w:t>
      </w:r>
    </w:p>
    <w:p w14:paraId="76F90A27">
      <w:pPr>
        <w:pStyle w:val="7"/>
        <w:numPr>
          <w:ilvl w:val="0"/>
          <w:numId w:val="0"/>
        </w:numPr>
        <w:ind w:left="482"/>
      </w:pPr>
      <w:r>
        <w:t>《民用建筑工程室内环境污染控制</w:t>
      </w:r>
      <w:r>
        <w:rPr>
          <w:rFonts w:hint="eastAsia"/>
        </w:rPr>
        <w:t>标准</w:t>
      </w:r>
      <w:r>
        <w:t>》GB 50325</w:t>
      </w:r>
    </w:p>
    <w:p w14:paraId="4D7B71FD">
      <w:pPr>
        <w:pStyle w:val="7"/>
        <w:numPr>
          <w:ilvl w:val="0"/>
          <w:numId w:val="0"/>
        </w:numPr>
        <w:ind w:left="482"/>
        <w:rPr>
          <w:color w:val="FF0000"/>
        </w:rPr>
      </w:pPr>
      <w:r>
        <w:rPr>
          <w:color w:val="FF0000"/>
        </w:rPr>
        <w:t>《</w:t>
      </w:r>
      <w:r>
        <w:rPr>
          <w:rFonts w:hint="eastAsia"/>
          <w:color w:val="FF0000"/>
        </w:rPr>
        <w:t>混凝土结构耐久性设计标准》</w:t>
      </w:r>
      <w:r>
        <w:rPr>
          <w:color w:val="FF0000"/>
        </w:rPr>
        <w:t>GB</w:t>
      </w:r>
      <w:r>
        <w:rPr>
          <w:rFonts w:hint="eastAsia"/>
          <w:color w:val="FF0000"/>
        </w:rPr>
        <w:t>/T</w:t>
      </w:r>
      <w:r>
        <w:rPr>
          <w:color w:val="FF0000"/>
        </w:rPr>
        <w:t xml:space="preserve"> 50</w:t>
      </w:r>
      <w:r>
        <w:rPr>
          <w:rFonts w:hint="eastAsia"/>
          <w:color w:val="FF0000"/>
        </w:rPr>
        <w:t>476</w:t>
      </w:r>
    </w:p>
    <w:p w14:paraId="6952853A">
      <w:pPr>
        <w:pStyle w:val="7"/>
        <w:numPr>
          <w:ilvl w:val="0"/>
          <w:numId w:val="0"/>
        </w:numPr>
        <w:ind w:left="482"/>
      </w:pPr>
      <w:r>
        <w:t>《钢结构焊接规范》GB 50661</w:t>
      </w:r>
    </w:p>
    <w:p w14:paraId="096A4AED">
      <w:pPr>
        <w:pStyle w:val="7"/>
        <w:numPr>
          <w:ilvl w:val="0"/>
          <w:numId w:val="0"/>
        </w:numPr>
        <w:ind w:left="482"/>
      </w:pPr>
      <w:r>
        <w:t>《混凝土结构工程施工规范》GB 50666</w:t>
      </w:r>
    </w:p>
    <w:p w14:paraId="7E9062BA">
      <w:pPr>
        <w:pStyle w:val="7"/>
        <w:numPr>
          <w:ilvl w:val="0"/>
          <w:numId w:val="0"/>
        </w:numPr>
        <w:ind w:left="482"/>
      </w:pPr>
      <w:r>
        <w:rPr>
          <w:rFonts w:hint="eastAsia"/>
        </w:rPr>
        <w:t>《工程结构通用规范》GB 55001</w:t>
      </w:r>
    </w:p>
    <w:p w14:paraId="349C4F06">
      <w:pPr>
        <w:pStyle w:val="7"/>
        <w:numPr>
          <w:ilvl w:val="0"/>
          <w:numId w:val="0"/>
        </w:numPr>
        <w:ind w:left="482"/>
      </w:pPr>
      <w:r>
        <w:rPr>
          <w:rFonts w:hint="eastAsia"/>
        </w:rPr>
        <w:t>《室内装饰装修材料 人造板及其制品中甲醛释放限量》GB</w:t>
      </w:r>
      <w:r>
        <w:t xml:space="preserve"> </w:t>
      </w:r>
      <w:r>
        <w:rPr>
          <w:rFonts w:hint="eastAsia"/>
        </w:rPr>
        <w:t>18580</w:t>
      </w:r>
    </w:p>
    <w:p w14:paraId="2ABF9F91">
      <w:pPr>
        <w:pStyle w:val="7"/>
        <w:numPr>
          <w:ilvl w:val="0"/>
          <w:numId w:val="0"/>
        </w:numPr>
        <w:ind w:left="482"/>
        <w:rPr>
          <w:szCs w:val="21"/>
        </w:rPr>
      </w:pPr>
      <w:r>
        <w:rPr>
          <w:rFonts w:hint="eastAsia"/>
          <w:szCs w:val="21"/>
        </w:rPr>
        <w:t>《十字槽沉头自攻钉》GB/T 846</w:t>
      </w:r>
    </w:p>
    <w:p w14:paraId="7B651AD0">
      <w:pPr>
        <w:pStyle w:val="7"/>
        <w:numPr>
          <w:ilvl w:val="0"/>
          <w:numId w:val="0"/>
        </w:numPr>
        <w:ind w:left="482"/>
      </w:pPr>
      <w:r>
        <w:rPr>
          <w:rFonts w:hint="eastAsia"/>
        </w:rPr>
        <w:t>《冷轧带肋钢筋》GB/T 13788</w:t>
      </w:r>
    </w:p>
    <w:p w14:paraId="712EDEB7">
      <w:pPr>
        <w:pStyle w:val="7"/>
        <w:numPr>
          <w:ilvl w:val="0"/>
          <w:numId w:val="0"/>
        </w:numPr>
        <w:ind w:left="482"/>
      </w:pPr>
      <w:r>
        <w:t>《预拌混凝土》GB/T 14902</w:t>
      </w:r>
    </w:p>
    <w:p w14:paraId="0565C5FD">
      <w:pPr>
        <w:pStyle w:val="7"/>
        <w:numPr>
          <w:ilvl w:val="0"/>
          <w:numId w:val="0"/>
        </w:numPr>
        <w:ind w:left="482"/>
      </w:pPr>
      <w:r>
        <w:rPr>
          <w:rFonts w:hint="eastAsia"/>
        </w:rPr>
        <w:t>《钢筋混凝土用钢第1部分：热轧光圆钢筋》GB/T 1499.1</w:t>
      </w:r>
    </w:p>
    <w:p w14:paraId="223D0016">
      <w:pPr>
        <w:pStyle w:val="7"/>
        <w:numPr>
          <w:ilvl w:val="0"/>
          <w:numId w:val="0"/>
        </w:numPr>
        <w:ind w:left="482"/>
      </w:pPr>
      <w:r>
        <w:rPr>
          <w:rFonts w:hint="eastAsia"/>
        </w:rPr>
        <w:t>《钢筋混凝土用钢第2部分：热轧带肋钢筋》GB/T 1499.2</w:t>
      </w:r>
    </w:p>
    <w:p w14:paraId="069283E2">
      <w:pPr>
        <w:pStyle w:val="7"/>
        <w:numPr>
          <w:ilvl w:val="0"/>
          <w:numId w:val="0"/>
        </w:numPr>
        <w:ind w:left="482"/>
      </w:pPr>
      <w:r>
        <w:t>《钢筋混凝土用钢第3部分：钢筋焊接网》GB/T 1499.3</w:t>
      </w:r>
    </w:p>
    <w:p w14:paraId="743C6252">
      <w:pPr>
        <w:pStyle w:val="7"/>
        <w:numPr>
          <w:ilvl w:val="0"/>
          <w:numId w:val="0"/>
        </w:numPr>
        <w:ind w:left="482"/>
      </w:pPr>
      <w:r>
        <w:rPr>
          <w:rFonts w:hint="eastAsia"/>
        </w:rPr>
        <w:t>《紧固件机械性能 不锈钢自攻螺钉》GB/T 3098.21</w:t>
      </w:r>
    </w:p>
    <w:p w14:paraId="3C1BE65B">
      <w:pPr>
        <w:pStyle w:val="7"/>
        <w:numPr>
          <w:ilvl w:val="0"/>
          <w:numId w:val="0"/>
        </w:numPr>
        <w:ind w:left="482"/>
        <w:rPr>
          <w:szCs w:val="21"/>
        </w:rPr>
      </w:pPr>
      <w:r>
        <w:rPr>
          <w:rFonts w:hint="eastAsia"/>
          <w:szCs w:val="21"/>
        </w:rPr>
        <w:t>《纤维水泥制品试验方法》GB/T 7019</w:t>
      </w:r>
    </w:p>
    <w:p w14:paraId="5ED745AB">
      <w:pPr>
        <w:pStyle w:val="7"/>
        <w:numPr>
          <w:ilvl w:val="0"/>
          <w:numId w:val="0"/>
        </w:numPr>
        <w:ind w:left="482"/>
        <w:rPr>
          <w:szCs w:val="21"/>
        </w:rPr>
      </w:pPr>
      <w:r>
        <w:rPr>
          <w:rFonts w:hint="eastAsia"/>
          <w:szCs w:val="21"/>
        </w:rPr>
        <w:t>《人造板及饰面人造板理化性能试验方法》GB/T 17657</w:t>
      </w:r>
    </w:p>
    <w:p w14:paraId="2CF7840C">
      <w:pPr>
        <w:pStyle w:val="7"/>
        <w:numPr>
          <w:ilvl w:val="0"/>
          <w:numId w:val="0"/>
        </w:numPr>
        <w:ind w:left="482"/>
        <w:rPr>
          <w:szCs w:val="21"/>
        </w:rPr>
      </w:pPr>
      <w:r>
        <w:rPr>
          <w:rFonts w:hint="eastAsia"/>
          <w:szCs w:val="21"/>
        </w:rPr>
        <w:t>《建筑模数协调标准》GB/T 50002</w:t>
      </w:r>
    </w:p>
    <w:p w14:paraId="7417E5DD">
      <w:pPr>
        <w:pStyle w:val="7"/>
        <w:numPr>
          <w:ilvl w:val="0"/>
          <w:numId w:val="0"/>
        </w:numPr>
        <w:ind w:left="482"/>
        <w:rPr>
          <w:szCs w:val="21"/>
        </w:rPr>
      </w:pPr>
      <w:r>
        <w:t>《混凝土强度检验评定标准》GB/T 50107</w:t>
      </w:r>
    </w:p>
    <w:p w14:paraId="25BCB92C">
      <w:pPr>
        <w:pStyle w:val="7"/>
        <w:numPr>
          <w:ilvl w:val="0"/>
          <w:numId w:val="0"/>
        </w:numPr>
        <w:ind w:left="482"/>
      </w:pPr>
      <w:r>
        <w:rPr>
          <w:rFonts w:hint="eastAsia"/>
        </w:rPr>
        <w:t>《建筑结构检测技术标准》GB/</w:t>
      </w:r>
      <w:r>
        <w:t>T 50344</w:t>
      </w:r>
    </w:p>
    <w:p w14:paraId="50E798E6">
      <w:pPr>
        <w:pStyle w:val="7"/>
        <w:numPr>
          <w:ilvl w:val="0"/>
          <w:numId w:val="0"/>
        </w:numPr>
        <w:ind w:left="482"/>
      </w:pPr>
      <w:r>
        <w:t>《建筑施工组织设计规范》GB/T 50502</w:t>
      </w:r>
    </w:p>
    <w:p w14:paraId="625AB3B9">
      <w:pPr>
        <w:pStyle w:val="7"/>
        <w:numPr>
          <w:ilvl w:val="0"/>
          <w:numId w:val="0"/>
        </w:numPr>
        <w:ind w:left="482"/>
      </w:pPr>
      <w:r>
        <w:rPr>
          <w:rFonts w:hint="eastAsia"/>
        </w:rPr>
        <w:t>《装配式混凝土建筑技术标准》G</w:t>
      </w:r>
      <w:r>
        <w:t>B</w:t>
      </w:r>
      <w:r>
        <w:rPr>
          <w:rFonts w:hint="eastAsia"/>
        </w:rPr>
        <w:t>/</w:t>
      </w:r>
      <w:r>
        <w:t>T 51231</w:t>
      </w:r>
    </w:p>
    <w:p w14:paraId="0A07BB39">
      <w:pPr>
        <w:pStyle w:val="7"/>
        <w:numPr>
          <w:ilvl w:val="0"/>
          <w:numId w:val="0"/>
        </w:numPr>
        <w:ind w:left="482"/>
      </w:pPr>
      <w:r>
        <w:t>《装配式混凝土结构技术规程》JGJ 1</w:t>
      </w:r>
    </w:p>
    <w:p w14:paraId="27C647C2">
      <w:pPr>
        <w:pStyle w:val="7"/>
        <w:numPr>
          <w:ilvl w:val="0"/>
          <w:numId w:val="0"/>
        </w:numPr>
        <w:ind w:left="482"/>
      </w:pPr>
      <w:r>
        <w:rPr>
          <w:rFonts w:hint="eastAsia"/>
        </w:rPr>
        <w:t>《高层建筑混凝土结构技术规程》JGJ 3</w:t>
      </w:r>
    </w:p>
    <w:p w14:paraId="45B98424">
      <w:pPr>
        <w:pStyle w:val="7"/>
        <w:numPr>
          <w:ilvl w:val="0"/>
          <w:numId w:val="0"/>
        </w:numPr>
        <w:ind w:left="482"/>
      </w:pPr>
      <w:r>
        <w:t>《钢筋焊接及验收规程》JGJ 18</w:t>
      </w:r>
    </w:p>
    <w:p w14:paraId="13C6721A">
      <w:pPr>
        <w:pStyle w:val="7"/>
        <w:numPr>
          <w:ilvl w:val="0"/>
          <w:numId w:val="0"/>
        </w:numPr>
        <w:ind w:left="482"/>
      </w:pPr>
      <w:r>
        <w:t>《建筑机械使用安全技术规程》JGJ 33</w:t>
      </w:r>
    </w:p>
    <w:p w14:paraId="77BAB8F6">
      <w:pPr>
        <w:pStyle w:val="7"/>
        <w:numPr>
          <w:ilvl w:val="0"/>
          <w:numId w:val="0"/>
        </w:numPr>
        <w:ind w:left="482"/>
      </w:pPr>
      <w:r>
        <w:t>《施工现场临时用电安全技术规范》JGJ 46</w:t>
      </w:r>
    </w:p>
    <w:p w14:paraId="7A1004D3">
      <w:pPr>
        <w:pStyle w:val="7"/>
        <w:numPr>
          <w:ilvl w:val="0"/>
          <w:numId w:val="0"/>
        </w:numPr>
        <w:ind w:left="482"/>
      </w:pPr>
      <w:r>
        <w:t>《普通混凝土配合比设计规程》JGJ 55</w:t>
      </w:r>
    </w:p>
    <w:p w14:paraId="1BCDAFE9">
      <w:pPr>
        <w:pStyle w:val="7"/>
        <w:numPr>
          <w:ilvl w:val="0"/>
          <w:numId w:val="0"/>
        </w:numPr>
        <w:ind w:left="482"/>
      </w:pPr>
      <w:r>
        <w:t>《建筑施工高处作业安全技术规范》JGJ 80</w:t>
      </w:r>
    </w:p>
    <w:p w14:paraId="66D67E32">
      <w:pPr>
        <w:pStyle w:val="7"/>
        <w:numPr>
          <w:ilvl w:val="0"/>
          <w:numId w:val="0"/>
        </w:numPr>
        <w:ind w:left="482"/>
      </w:pPr>
      <w:r>
        <w:rPr>
          <w:rFonts w:hint="eastAsia"/>
        </w:rPr>
        <w:t>《钢筋机械连接技术规程》JGJ</w:t>
      </w:r>
      <w:r>
        <w:t xml:space="preserve"> 107</w:t>
      </w:r>
    </w:p>
    <w:p w14:paraId="7BB2F014">
      <w:pPr>
        <w:pStyle w:val="7"/>
        <w:numPr>
          <w:ilvl w:val="0"/>
          <w:numId w:val="0"/>
        </w:numPr>
        <w:ind w:left="482"/>
      </w:pPr>
      <w:r>
        <w:t>《钢筋焊接网混凝土结构技术规程》JGJ 114</w:t>
      </w:r>
    </w:p>
    <w:p w14:paraId="6AF47741">
      <w:pPr>
        <w:pStyle w:val="7"/>
        <w:numPr>
          <w:ilvl w:val="0"/>
          <w:numId w:val="0"/>
        </w:numPr>
        <w:ind w:left="482"/>
      </w:pPr>
      <w:r>
        <w:t>《混凝土泵送施工技术规程》JGJ/T 10</w:t>
      </w:r>
    </w:p>
    <w:p w14:paraId="04BAC86A">
      <w:pPr>
        <w:pStyle w:val="7"/>
        <w:numPr>
          <w:ilvl w:val="0"/>
          <w:numId w:val="0"/>
        </w:numPr>
        <w:ind w:left="482"/>
      </w:pPr>
      <w:r>
        <w:rPr>
          <w:rFonts w:hint="eastAsia"/>
        </w:rPr>
        <w:t>《自密实混凝土应用技术规程》JGJ/T 283</w:t>
      </w:r>
    </w:p>
    <w:p w14:paraId="237D5ECC">
      <w:pPr>
        <w:pStyle w:val="7"/>
        <w:numPr>
          <w:ilvl w:val="0"/>
          <w:numId w:val="0"/>
        </w:numPr>
        <w:ind w:left="482"/>
      </w:pPr>
      <w:r>
        <w:rPr>
          <w:rFonts w:hint="eastAsia"/>
        </w:rPr>
        <w:t>《建筑室内用腻子》JG/T 298</w:t>
      </w:r>
    </w:p>
    <w:p w14:paraId="46D6248B">
      <w:pPr>
        <w:pStyle w:val="7"/>
        <w:numPr>
          <w:ilvl w:val="0"/>
          <w:numId w:val="0"/>
        </w:numPr>
        <w:ind w:left="482"/>
      </w:pPr>
      <w:r>
        <w:rPr>
          <w:rFonts w:hint="eastAsia"/>
        </w:rPr>
        <w:t>《纤维水泥平板 第1部分：无石棉纤维水泥平板》JC/T 412.1</w:t>
      </w:r>
    </w:p>
    <w:p w14:paraId="5E7D398A">
      <w:pPr>
        <w:pStyle w:val="7"/>
        <w:numPr>
          <w:ilvl w:val="0"/>
          <w:numId w:val="0"/>
        </w:numPr>
        <w:ind w:left="482"/>
      </w:pPr>
      <w:r>
        <w:rPr>
          <w:rFonts w:hint="eastAsia"/>
        </w:rPr>
        <w:t>《钢筋混凝土用钢筋桁架》YB/T 4262</w:t>
      </w:r>
    </w:p>
    <w:p w14:paraId="4E66DE30">
      <w:pPr>
        <w:pStyle w:val="7"/>
        <w:numPr>
          <w:ilvl w:val="0"/>
          <w:numId w:val="0"/>
        </w:numPr>
        <w:ind w:left="482"/>
      </w:pPr>
      <w:bookmarkStart w:id="402" w:name="_Hlk129369453"/>
      <w:r>
        <w:rPr>
          <w:rFonts w:hint="eastAsia"/>
        </w:rPr>
        <w:t>《装配式混凝土建筑工程施工质量验收规范》DBJ/T 15-171</w:t>
      </w:r>
    </w:p>
    <w:p w14:paraId="679DED03">
      <w:pPr>
        <w:pStyle w:val="7"/>
        <w:numPr>
          <w:ilvl w:val="0"/>
          <w:numId w:val="0"/>
        </w:numPr>
        <w:ind w:left="482"/>
      </w:pPr>
      <w:r>
        <w:rPr>
          <w:rFonts w:hint="eastAsia"/>
          <w:color w:val="FF0000"/>
        </w:rPr>
        <w:t>《建筑室内装配式轻质隔墙技术规程》</w:t>
      </w:r>
      <w:r>
        <w:rPr>
          <w:rFonts w:hint="eastAsia"/>
        </w:rPr>
        <w:t>DBJ/T 15-208</w:t>
      </w:r>
    </w:p>
    <w:p w14:paraId="59B1C85C">
      <w:pPr>
        <w:pStyle w:val="7"/>
        <w:numPr>
          <w:ilvl w:val="0"/>
          <w:numId w:val="0"/>
        </w:numPr>
        <w:ind w:left="482"/>
      </w:pPr>
      <w:r>
        <w:rPr>
          <w:rFonts w:hint="eastAsia"/>
        </w:rPr>
        <w:t>《广东省公共建筑节能设计标准》</w:t>
      </w:r>
      <w:r>
        <w:t>DBJ 15-51</w:t>
      </w:r>
    </w:p>
    <w:p w14:paraId="550C9D3B">
      <w:pPr>
        <w:pStyle w:val="7"/>
        <w:numPr>
          <w:ilvl w:val="0"/>
          <w:numId w:val="0"/>
        </w:numPr>
        <w:ind w:left="482"/>
      </w:pPr>
      <w:r>
        <w:rPr>
          <w:rFonts w:hint="eastAsia"/>
        </w:rPr>
        <w:t>《广东省居住建筑节能设计标准》</w:t>
      </w:r>
      <w:r>
        <w:t>DBJ/T 15-133</w:t>
      </w:r>
    </w:p>
    <w:bookmarkEnd w:id="402"/>
    <w:p w14:paraId="50FF9F36">
      <w:pPr>
        <w:jc w:val="center"/>
        <w:rPr>
          <w:bCs/>
          <w:sz w:val="32"/>
          <w:szCs w:val="32"/>
        </w:rPr>
      </w:pPr>
      <w:r>
        <w:br w:type="page"/>
      </w:r>
    </w:p>
    <w:p w14:paraId="3018C7E5">
      <w:pPr>
        <w:jc w:val="center"/>
        <w:rPr>
          <w:bCs/>
          <w:sz w:val="32"/>
          <w:szCs w:val="32"/>
        </w:rPr>
      </w:pPr>
    </w:p>
    <w:p w14:paraId="7CCBD552">
      <w:pPr>
        <w:jc w:val="center"/>
        <w:rPr>
          <w:bCs/>
          <w:sz w:val="32"/>
          <w:szCs w:val="32"/>
        </w:rPr>
      </w:pPr>
      <w:r>
        <w:rPr>
          <w:rFonts w:hint="eastAsia"/>
          <w:bCs/>
          <w:sz w:val="32"/>
          <w:szCs w:val="32"/>
        </w:rPr>
        <w:t>广东省标准</w:t>
      </w:r>
    </w:p>
    <w:p w14:paraId="41D45815">
      <w:pPr>
        <w:spacing w:line="851" w:lineRule="exact"/>
        <w:rPr>
          <w:bCs/>
        </w:rPr>
      </w:pPr>
    </w:p>
    <w:p w14:paraId="7BE5B6F2">
      <w:pPr>
        <w:jc w:val="center"/>
        <w:rPr>
          <w:rFonts w:hint="eastAsia" w:eastAsia="黑体"/>
          <w:bCs/>
          <w:sz w:val="32"/>
          <w:szCs w:val="32"/>
        </w:rPr>
      </w:pPr>
      <w:r>
        <w:rPr>
          <w:rFonts w:hint="eastAsia" w:eastAsia="黑体"/>
          <w:bCs/>
          <w:sz w:val="32"/>
          <w:szCs w:val="32"/>
        </w:rPr>
        <w:t>广东省装配式固模剪力墙结构及</w:t>
      </w:r>
    </w:p>
    <w:p w14:paraId="64A7349B">
      <w:pPr>
        <w:jc w:val="center"/>
        <w:rPr>
          <w:rFonts w:eastAsia="黑体"/>
          <w:bCs/>
          <w:sz w:val="32"/>
          <w:szCs w:val="32"/>
        </w:rPr>
      </w:pPr>
      <w:r>
        <w:rPr>
          <w:rFonts w:hint="eastAsia" w:eastAsia="黑体"/>
          <w:bCs/>
          <w:sz w:val="32"/>
          <w:szCs w:val="32"/>
        </w:rPr>
        <w:t>楼承板技术标准</w:t>
      </w:r>
    </w:p>
    <w:p w14:paraId="678034E6">
      <w:pPr>
        <w:spacing w:line="567" w:lineRule="exact"/>
        <w:jc w:val="center"/>
        <w:rPr>
          <w:rFonts w:eastAsia="黑体"/>
          <w:bCs/>
          <w:sz w:val="32"/>
          <w:szCs w:val="32"/>
        </w:rPr>
      </w:pPr>
    </w:p>
    <w:p w14:paraId="79690EF2">
      <w:pPr>
        <w:jc w:val="center"/>
        <w:rPr>
          <w:b/>
          <w:bCs/>
        </w:rPr>
      </w:pPr>
      <w:r>
        <w:rPr>
          <w:b/>
          <w:bCs/>
        </w:rPr>
        <w:t>DBJ/T XX-XXX-20</w:t>
      </w:r>
      <w:r>
        <w:rPr>
          <w:rFonts w:hint="eastAsia"/>
          <w:b/>
          <w:bCs/>
        </w:rPr>
        <w:t>1</w:t>
      </w:r>
      <w:r>
        <w:rPr>
          <w:b/>
          <w:bCs/>
        </w:rPr>
        <w:t>X</w:t>
      </w:r>
    </w:p>
    <w:p w14:paraId="29569CCD">
      <w:pPr>
        <w:spacing w:line="454" w:lineRule="exact"/>
        <w:jc w:val="center"/>
        <w:rPr>
          <w:b/>
          <w:bCs/>
        </w:rPr>
      </w:pPr>
    </w:p>
    <w:p w14:paraId="36159EAE">
      <w:pPr>
        <w:pStyle w:val="4"/>
        <w:numPr>
          <w:ilvl w:val="0"/>
          <w:numId w:val="0"/>
        </w:numPr>
        <w:spacing w:before="156" w:after="156" w:line="288" w:lineRule="auto"/>
        <w:rPr>
          <w:rFonts w:eastAsia="宋体"/>
        </w:rPr>
      </w:pPr>
      <w:bookmarkStart w:id="403" w:name="_Toc12613"/>
      <w:r>
        <w:rPr>
          <w:rFonts w:hint="eastAsia" w:eastAsia="宋体"/>
        </w:rPr>
        <w:t>条文说明</w:t>
      </w:r>
      <w:bookmarkEnd w:id="403"/>
    </w:p>
    <w:p w14:paraId="0E1A3F25">
      <w:pPr>
        <w:jc w:val="right"/>
        <w:rPr>
          <w:bCs/>
        </w:rPr>
      </w:pPr>
    </w:p>
    <w:p w14:paraId="7407A018">
      <w:pPr>
        <w:rPr>
          <w:bCs/>
        </w:rPr>
        <w:sectPr>
          <w:footerReference r:id="rId14" w:type="default"/>
          <w:footerReference r:id="rId15" w:type="even"/>
          <w:pgSz w:w="7938" w:h="11510"/>
          <w:pgMar w:top="1083" w:right="1009" w:bottom="1083" w:left="1009" w:header="851" w:footer="992" w:gutter="0"/>
          <w:cols w:space="720" w:num="1"/>
          <w:docGrid w:type="lines" w:linePitch="312" w:charSpace="0"/>
        </w:sectPr>
      </w:pPr>
    </w:p>
    <w:p w14:paraId="6043E063">
      <w:pPr>
        <w:spacing w:before="964" w:after="567" w:line="240" w:lineRule="auto"/>
        <w:jc w:val="center"/>
        <w:rPr>
          <w:rFonts w:eastAsia="黑体"/>
          <w:bCs/>
          <w:sz w:val="30"/>
          <w:szCs w:val="30"/>
        </w:rPr>
      </w:pPr>
      <w:r>
        <w:rPr>
          <w:rFonts w:hint="eastAsia" w:eastAsia="黑体"/>
          <w:bCs/>
          <w:sz w:val="30"/>
          <w:szCs w:val="30"/>
        </w:rPr>
        <w:t>制 定 说 明</w:t>
      </w:r>
    </w:p>
    <w:p w14:paraId="52B2D601">
      <w:pPr>
        <w:ind w:firstLine="420" w:firstLineChars="200"/>
        <w:rPr>
          <w:bCs/>
        </w:rPr>
      </w:pPr>
      <w:r>
        <w:rPr>
          <w:rFonts w:hint="eastAsia"/>
          <w:bCs/>
        </w:rPr>
        <w:t>《广东省装配式固模剪力墙结构及楼承板技术标准》</w:t>
      </w:r>
      <w:r>
        <w:rPr>
          <w:bCs/>
        </w:rPr>
        <w:t>DBJ/T XX-XXX-20</w:t>
      </w:r>
      <w:r>
        <w:rPr>
          <w:rFonts w:hint="eastAsia"/>
          <w:bCs/>
        </w:rPr>
        <w:t>2X，经广东省住房和城乡建设厅</w:t>
      </w:r>
      <w:r>
        <w:rPr>
          <w:bCs/>
        </w:rPr>
        <w:t>202</w:t>
      </w:r>
      <w:r>
        <w:rPr>
          <w:rFonts w:hint="eastAsia"/>
          <w:bCs/>
        </w:rPr>
        <w:t>X年X月X日以第XXX号公告批准、发布。</w:t>
      </w:r>
    </w:p>
    <w:p w14:paraId="2EA38291">
      <w:pPr>
        <w:ind w:firstLine="420" w:firstLineChars="200"/>
        <w:rPr>
          <w:bCs/>
        </w:rPr>
      </w:pPr>
      <w:r>
        <w:rPr>
          <w:rFonts w:hint="eastAsia"/>
          <w:bCs/>
        </w:rPr>
        <w:t>本标准在编制过程中，编制组进行了广泛的调查研究，认真总结工程实践经验，参考有关国内外先进标准，在广泛征求意见的基础上，对主要问题进行了反复讨论、协调，最终确定各项技术要求。</w:t>
      </w:r>
    </w:p>
    <w:p w14:paraId="0209764F">
      <w:pPr>
        <w:ind w:firstLine="420" w:firstLineChars="200"/>
        <w:rPr>
          <w:bCs/>
        </w:rPr>
        <w:sectPr>
          <w:pgSz w:w="7938" w:h="11510"/>
          <w:pgMar w:top="1083" w:right="1009" w:bottom="1083" w:left="1009" w:header="851" w:footer="992" w:gutter="0"/>
          <w:cols w:space="720" w:num="1"/>
          <w:docGrid w:type="lines" w:linePitch="312" w:charSpace="0"/>
        </w:sectPr>
      </w:pPr>
      <w:r>
        <w:rPr>
          <w:rFonts w:hint="eastAsia"/>
          <w:bCs/>
        </w:rPr>
        <w:t>为了便于广大设计、施工、科研、学校等单位有关人员在使用本标准时正确理解和执行条文规定，《广东省装配式固模剪力墙结构及楼承板技术标准》编制组按章、节、条顺序编制了本标准的条文说明，对条文规定的目的、依据以及执行中需注意的有关事项进行了说明。但是，本条文说明不具备与标准正文同等的法律效力，仅作为使用者理解和把握标准规定的参考。</w:t>
      </w:r>
    </w:p>
    <w:p w14:paraId="45CA383C">
      <w:pPr>
        <w:rPr>
          <w:rFonts w:hint="eastAsia"/>
        </w:rPr>
      </w:pPr>
    </w:p>
    <w:sectPr>
      <w:headerReference r:id="rId16" w:type="default"/>
      <w:footerReference r:id="rId17" w:type="default"/>
      <w:pgSz w:w="7938" w:h="11510"/>
      <w:pgMar w:top="1247" w:right="1021" w:bottom="907" w:left="1021" w:header="851" w:footer="850" w:gutter="0"/>
      <w:cols w:space="720"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Vineta BT">
    <w:altName w:val="Gabriola"/>
    <w:panose1 w:val="04020906050602070202"/>
    <w:charset w:val="00"/>
    <w:family w:val="decorative"/>
    <w:pitch w:val="default"/>
    <w:sig w:usb0="00000000" w:usb1="00000000" w:usb2="00000000" w:usb3="00000000" w:csb0="0000001B" w:csb1="00000000"/>
  </w:font>
  <w:font w:name="Gabriola">
    <w:panose1 w:val="04040605051002020D02"/>
    <w:charset w:val="00"/>
    <w:family w:val="auto"/>
    <w:pitch w:val="default"/>
    <w:sig w:usb0="E00002EF" w:usb1="5000204B" w:usb2="00000000" w:usb3="00000000" w:csb0="2000009F" w:csb1="00000000"/>
  </w:font>
  <w:font w:name="等线">
    <w:panose1 w:val="02010600030101010101"/>
    <w:charset w:val="86"/>
    <w:family w:val="auto"/>
    <w:pitch w:val="default"/>
    <w:sig w:usb0="A00002BF" w:usb1="38CF7CFA" w:usb2="00000016" w:usb3="00000000" w:csb0="0004000F" w:csb1="00000000"/>
  </w:font>
  <w:font w:name="FangSong_GB2312">
    <w:altName w:val="仿宋"/>
    <w:panose1 w:val="02010609060101010101"/>
    <w:charset w:val="86"/>
    <w:family w:val="modern"/>
    <w:pitch w:val="default"/>
    <w:sig w:usb0="00000000" w:usb1="00000000" w:usb2="0000001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3AD87">
    <w:pPr>
      <w:pStyle w:val="2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B824A">
    <w:pPr>
      <w:pStyle w:val="23"/>
      <w:spacing w:line="240" w:lineRule="auto"/>
      <w:ind w:left="482"/>
      <w:jc w:val="right"/>
      <w:rPr>
        <w:rFonts w:ascii="Times New Roman" w:hAnsi="Times New Roma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629920" cy="269240"/>
              <wp:effectExtent l="0" t="0" r="0" b="0"/>
              <wp:wrapNone/>
              <wp:docPr id="89" name="文本框 5"/>
              <wp:cNvGraphicFramePr/>
              <a:graphic xmlns:a="http://schemas.openxmlformats.org/drawingml/2006/main">
                <a:graphicData uri="http://schemas.microsoft.com/office/word/2010/wordprocessingShape">
                  <wps:wsp>
                    <wps:cNvSpPr txBox="1"/>
                    <wps:spPr>
                      <a:xfrm>
                        <a:off x="0" y="0"/>
                        <a:ext cx="629920" cy="269240"/>
                      </a:xfrm>
                      <a:prstGeom prst="rect">
                        <a:avLst/>
                      </a:prstGeom>
                      <a:noFill/>
                      <a:ln>
                        <a:noFill/>
                      </a:ln>
                    </wps:spPr>
                    <wps:txbx>
                      <w:txbxContent>
                        <w:p w14:paraId="01EF8BF5">
                          <w:pPr>
                            <w:pStyle w:val="23"/>
                            <w:spacing w:line="240" w:lineRule="auto"/>
                            <w:ind w:left="482"/>
                            <w:jc w:val="right"/>
                          </w:pPr>
                          <w:r>
                            <w:rPr>
                              <w:rFonts w:ascii="Times New Roman" w:hAnsi="Times New Roman"/>
                              <w:lang w:val="zh-CN"/>
                            </w:rPr>
                            <w:fldChar w:fldCharType="begin"/>
                          </w:r>
                          <w:r>
                            <w:rPr>
                              <w:rFonts w:ascii="Times New Roman" w:hAnsi="Times New Roman"/>
                              <w:lang w:val="zh-CN"/>
                            </w:rPr>
                            <w:instrText xml:space="preserve"> PAGE   \* MERGEFORMAT </w:instrText>
                          </w:r>
                          <w:r>
                            <w:rPr>
                              <w:rFonts w:ascii="Times New Roman" w:hAnsi="Times New Roman"/>
                              <w:lang w:val="zh-CN"/>
                            </w:rPr>
                            <w:fldChar w:fldCharType="separate"/>
                          </w:r>
                          <w:r>
                            <w:rPr>
                              <w:rFonts w:ascii="Times New Roman" w:hAnsi="Times New Roman"/>
                              <w:lang w:val="zh-CN"/>
                            </w:rPr>
                            <w:t>99</w:t>
                          </w:r>
                          <w:r>
                            <w:rPr>
                              <w:rFonts w:ascii="Times New Roman" w:hAnsi="Times New Roman"/>
                              <w:lang w:val="zh-CN"/>
                            </w:rPr>
                            <w:fldChar w:fldCharType="end"/>
                          </w:r>
                        </w:p>
                      </w:txbxContent>
                    </wps:txbx>
                    <wps:bodyPr wrap="square" lIns="0" tIns="0" rIns="0" bIns="0" upright="0">
                      <a:spAutoFit/>
                    </wps:bodyPr>
                  </wps:wsp>
                </a:graphicData>
              </a:graphic>
            </wp:anchor>
          </w:drawing>
        </mc:Choice>
        <mc:Fallback>
          <w:pict>
            <v:shape id="文本框 5" o:spid="_x0000_s1026" o:spt="202" type="#_x0000_t202" style="position:absolute;left:0pt;margin-top:0pt;height:21.2pt;width:49.6pt;mso-position-horizontal:right;mso-position-horizontal-relative:margin;z-index:251660288;mso-width-relative:page;mso-height-relative:page;" filled="f" stroked="f" coordsize="21600,21600" o:gfxdata="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3wlCG0gAAAAMBAAAPAAAAAAAAAAEAIAAAACIAAABkcnMv&#10;ZG93bnJldi54bWxQSwECFAAUAAAACACHTuJAKMoI29ABAACaAwAADgAAAAAAAAABACAAAAAhAQAA&#10;ZHJzL2Uyb0RvYy54bWxQSwUGAAAAAAYABgBZAQAAYwUAAAAA&#10;">
              <v:fill on="f" focussize="0,0"/>
              <v:stroke on="f"/>
              <v:imagedata o:title=""/>
              <o:lock v:ext="edit" aspectratio="f"/>
              <v:textbox inset="0mm,0mm,0mm,0mm" style="mso-fit-shape-to-text:t;">
                <w:txbxContent>
                  <w:p w14:paraId="01EF8BF5">
                    <w:pPr>
                      <w:pStyle w:val="23"/>
                      <w:spacing w:line="240" w:lineRule="auto"/>
                      <w:ind w:left="482"/>
                      <w:jc w:val="right"/>
                    </w:pPr>
                    <w:r>
                      <w:rPr>
                        <w:rFonts w:ascii="Times New Roman" w:hAnsi="Times New Roman"/>
                        <w:lang w:val="zh-CN"/>
                      </w:rPr>
                      <w:fldChar w:fldCharType="begin"/>
                    </w:r>
                    <w:r>
                      <w:rPr>
                        <w:rFonts w:ascii="Times New Roman" w:hAnsi="Times New Roman"/>
                        <w:lang w:val="zh-CN"/>
                      </w:rPr>
                      <w:instrText xml:space="preserve"> PAGE   \* MERGEFORMAT </w:instrText>
                    </w:r>
                    <w:r>
                      <w:rPr>
                        <w:rFonts w:ascii="Times New Roman" w:hAnsi="Times New Roman"/>
                        <w:lang w:val="zh-CN"/>
                      </w:rPr>
                      <w:fldChar w:fldCharType="separate"/>
                    </w:r>
                    <w:r>
                      <w:rPr>
                        <w:rFonts w:ascii="Times New Roman" w:hAnsi="Times New Roman"/>
                        <w:lang w:val="zh-CN"/>
                      </w:rPr>
                      <w:t>99</w:t>
                    </w:r>
                    <w:r>
                      <w:rPr>
                        <w:rFonts w:ascii="Times New Roman" w:hAnsi="Times New Roman"/>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EAFDC">
    <w:pPr>
      <w:pStyle w:val="23"/>
      <w:jc w:val="right"/>
    </w:pPr>
    <w:r>
      <w:fldChar w:fldCharType="begin"/>
    </w:r>
    <w:r>
      <w:instrText xml:space="preserve">PAGE   \* MERGEFORMAT</w:instrText>
    </w:r>
    <w:r>
      <w:fldChar w:fldCharType="separate"/>
    </w:r>
    <w:r>
      <w:rPr>
        <w:lang w:val="zh-CN"/>
      </w:rPr>
      <w:t>11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8C3C0">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D7B5">
    <w:pPr>
      <w:pStyle w:val="23"/>
    </w:pPr>
    <w:r>
      <w:fldChar w:fldCharType="begin"/>
    </w:r>
    <w:r>
      <w:instrText xml:space="preserve">PAGE   \* MERGEFORMAT</w:instrText>
    </w:r>
    <w:r>
      <w:fldChar w:fldCharType="separate"/>
    </w:r>
    <w:r>
      <w:rPr>
        <w:lang w:val="zh-CN"/>
      </w:rPr>
      <w:t>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BCBE3">
    <w:pPr>
      <w:pStyle w:val="23"/>
      <w:spacing w:line="240" w:lineRule="auto"/>
      <w:ind w:left="482"/>
      <w:jc w:val="right"/>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DF1AB">
    <w:pPr>
      <w:pStyle w:val="23"/>
      <w:spacing w:line="240" w:lineRule="auto"/>
      <w:rPr>
        <w:rFonts w:ascii="Times New Roman" w:hAnsi="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0E325">
    <w:pPr>
      <w:pStyle w:val="23"/>
      <w:spacing w:line="240" w:lineRule="auto"/>
      <w:ind w:left="482"/>
      <w:jc w:val="right"/>
      <w:rPr>
        <w:rFonts w:ascii="Times New Roman" w:hAnsi="Times New Roman"/>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B07276">
                          <w:pPr>
                            <w:pStyle w:val="23"/>
                            <w:spacing w:line="240" w:lineRule="auto"/>
                            <w:ind w:left="482"/>
                            <w:jc w:val="right"/>
                          </w:pPr>
                          <w:r>
                            <w:rPr>
                              <w:rFonts w:ascii="Times New Roman" w:hAnsi="Times New Roman"/>
                              <w:lang w:val="zh-CN"/>
                            </w:rPr>
                            <w:fldChar w:fldCharType="begin"/>
                          </w:r>
                          <w:r>
                            <w:rPr>
                              <w:rFonts w:ascii="Times New Roman" w:hAnsi="Times New Roman"/>
                              <w:lang w:val="zh-CN"/>
                            </w:rPr>
                            <w:instrText xml:space="preserve"> PAGE   \* MERGEFORMAT </w:instrText>
                          </w:r>
                          <w:r>
                            <w:rPr>
                              <w:rFonts w:ascii="Times New Roman" w:hAnsi="Times New Roman"/>
                              <w:lang w:val="zh-CN"/>
                            </w:rPr>
                            <w:fldChar w:fldCharType="separate"/>
                          </w:r>
                          <w:r>
                            <w:rPr>
                              <w:rFonts w:ascii="Times New Roman" w:hAnsi="Times New Roman"/>
                              <w:lang w:val="zh-CN"/>
                            </w:rPr>
                            <w:t>4</w:t>
                          </w:r>
                          <w:r>
                            <w:rPr>
                              <w:rFonts w:ascii="Times New Roman" w:hAnsi="Times New Roman"/>
                              <w:lang w:val="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5AgsgBAACaAwAADgAAAGRycy9lMm9Eb2MueG1srVPNjtMwEL4j8Q6W&#10;79TZIqE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WuPcHbc48cv3b5cfvy4/v5KX&#10;WZ8hQINp9wET0/jGj7g1ix/QmWmPKtr8RUIE46ju+aquHBMR+VG9rusKQwJjywXx2cPzECG9ld6S&#10;bLQ04viKqvz0HtKUuqTkas7faWPKCI37y4GY2cNy71OP2UrjfpwJ7X13Rj4DTr6lDhedEvPOobB5&#10;SRYjLsZ+MY4h6kNftijXg/D6mLCJ0luuMMHOhXFkhd28Xnkn/ryXrIdfavs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AreQILIAQAAmgMAAA4AAAAAAAAAAQAgAAAAHgEAAGRycy9lMm9Eb2Mu&#10;eG1sUEsFBgAAAAAGAAYAWQEAAFgFAAAAAA==&#10;">
              <v:fill on="f" focussize="0,0"/>
              <v:stroke on="f"/>
              <v:imagedata o:title=""/>
              <o:lock v:ext="edit" aspectratio="f"/>
              <v:textbox inset="0mm,0mm,0mm,0mm" style="mso-fit-shape-to-text:t;">
                <w:txbxContent>
                  <w:p w14:paraId="40B07276">
                    <w:pPr>
                      <w:pStyle w:val="23"/>
                      <w:spacing w:line="240" w:lineRule="auto"/>
                      <w:ind w:left="482"/>
                      <w:jc w:val="right"/>
                    </w:pPr>
                    <w:r>
                      <w:rPr>
                        <w:rFonts w:ascii="Times New Roman" w:hAnsi="Times New Roman"/>
                        <w:lang w:val="zh-CN"/>
                      </w:rPr>
                      <w:fldChar w:fldCharType="begin"/>
                    </w:r>
                    <w:r>
                      <w:rPr>
                        <w:rFonts w:ascii="Times New Roman" w:hAnsi="Times New Roman"/>
                        <w:lang w:val="zh-CN"/>
                      </w:rPr>
                      <w:instrText xml:space="preserve"> PAGE   \* MERGEFORMAT </w:instrText>
                    </w:r>
                    <w:r>
                      <w:rPr>
                        <w:rFonts w:ascii="Times New Roman" w:hAnsi="Times New Roman"/>
                        <w:lang w:val="zh-CN"/>
                      </w:rPr>
                      <w:fldChar w:fldCharType="separate"/>
                    </w:r>
                    <w:r>
                      <w:rPr>
                        <w:rFonts w:ascii="Times New Roman" w:hAnsi="Times New Roman"/>
                        <w:lang w:val="zh-CN"/>
                      </w:rPr>
                      <w:t>4</w:t>
                    </w:r>
                    <w:r>
                      <w:rPr>
                        <w:rFonts w:ascii="Times New Roman" w:hAnsi="Times New Roman"/>
                        <w:lang w:val="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1E349">
    <w:pPr>
      <w:pStyle w:val="23"/>
      <w:jc w:val="right"/>
    </w:pPr>
    <w:r>
      <w:fldChar w:fldCharType="begin"/>
    </w:r>
    <w:r>
      <w:instrText xml:space="preserve">PAGE   \* MERGEFORMAT</w:instrText>
    </w:r>
    <w:r>
      <w:fldChar w:fldCharType="separate"/>
    </w:r>
    <w:r>
      <w:rPr>
        <w:lang w:val="zh-CN"/>
      </w:rPr>
      <w:t>57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24A23">
    <w:pPr>
      <w:pStyle w:val="23"/>
    </w:pPr>
    <w:r>
      <w:fldChar w:fldCharType="begin"/>
    </w:r>
    <w:r>
      <w:instrText xml:space="preserve">PAGE   \* MERGEFORMAT</w:instrText>
    </w:r>
    <w:r>
      <w:fldChar w:fldCharType="separate"/>
    </w:r>
    <w:r>
      <w:rPr>
        <w:lang w:val="zh-CN"/>
      </w:rPr>
      <w:t>58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97565">
    <w:pPr>
      <w:spacing w:line="240" w:lineRule="auto"/>
      <w:jc w:val="center"/>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3BB3">
    <w:pPr>
      <w:spacing w:line="240" w:lineRule="auto"/>
      <w:jc w:val="center"/>
      <w:rPr>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2AC92">
    <w:pPr>
      <w:spacing w:line="240" w:lineRule="auto"/>
      <w:jc w:val="center"/>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1">
    <w:nsid w:val="00A849A8"/>
    <w:multiLevelType w:val="multilevel"/>
    <w:tmpl w:val="00A849A8"/>
    <w:lvl w:ilvl="0" w:tentative="0">
      <w:start w:val="1"/>
      <w:numFmt w:val="decimal"/>
      <w:lvlText w:val="%1"/>
      <w:lvlJc w:val="left"/>
      <w:pPr>
        <w:ind w:left="0" w:firstLine="482"/>
      </w:pPr>
      <w:rPr>
        <w:rFonts w:hint="eastAsia" w:ascii="Times New Roman" w:hAnsi="Times New Roman" w:cs="Times New Roman"/>
        <w:b/>
        <w:bCs w:val="0"/>
        <w:i w:val="0"/>
        <w:iCs w:val="0"/>
        <w:caps w:val="0"/>
        <w:smallCaps w:val="0"/>
        <w:strike w:val="0"/>
        <w:dstrike w:val="0"/>
        <w:vanish w:val="0"/>
        <w:color w:val="0000FF"/>
        <w:spacing w:val="0"/>
        <w:kern w:val="0"/>
        <w:position w:val="0"/>
        <w:u w:val="none"/>
        <w:vertAlign w:val="baseline"/>
      </w:rPr>
    </w:lvl>
    <w:lvl w:ilvl="1" w:tentative="0">
      <w:start w:val="1"/>
      <w:numFmt w:val="lowerLetter"/>
      <w:lvlText w:val="%2)"/>
      <w:lvlJc w:val="left"/>
      <w:pPr>
        <w:ind w:left="1922" w:hanging="420"/>
      </w:pPr>
    </w:lvl>
    <w:lvl w:ilvl="2" w:tentative="0">
      <w:start w:val="1"/>
      <w:numFmt w:val="lowerRoman"/>
      <w:lvlText w:val="%3."/>
      <w:lvlJc w:val="right"/>
      <w:pPr>
        <w:ind w:left="2342" w:hanging="420"/>
      </w:pPr>
    </w:lvl>
    <w:lvl w:ilvl="3" w:tentative="0">
      <w:start w:val="1"/>
      <w:numFmt w:val="decimal"/>
      <w:lvlText w:val="%4."/>
      <w:lvlJc w:val="left"/>
      <w:pPr>
        <w:ind w:left="2762" w:hanging="420"/>
      </w:pPr>
    </w:lvl>
    <w:lvl w:ilvl="4" w:tentative="0">
      <w:start w:val="1"/>
      <w:numFmt w:val="lowerLetter"/>
      <w:lvlText w:val="%5)"/>
      <w:lvlJc w:val="left"/>
      <w:pPr>
        <w:ind w:left="3182" w:hanging="420"/>
      </w:pPr>
    </w:lvl>
    <w:lvl w:ilvl="5" w:tentative="0">
      <w:start w:val="1"/>
      <w:numFmt w:val="lowerRoman"/>
      <w:lvlText w:val="%6."/>
      <w:lvlJc w:val="right"/>
      <w:pPr>
        <w:ind w:left="3602" w:hanging="420"/>
      </w:pPr>
    </w:lvl>
    <w:lvl w:ilvl="6" w:tentative="0">
      <w:start w:val="1"/>
      <w:numFmt w:val="decimal"/>
      <w:lvlText w:val="%7."/>
      <w:lvlJc w:val="left"/>
      <w:pPr>
        <w:ind w:left="4022" w:hanging="420"/>
      </w:pPr>
    </w:lvl>
    <w:lvl w:ilvl="7" w:tentative="0">
      <w:start w:val="1"/>
      <w:numFmt w:val="lowerLetter"/>
      <w:lvlText w:val="%8)"/>
      <w:lvlJc w:val="left"/>
      <w:pPr>
        <w:ind w:left="4442" w:hanging="420"/>
      </w:pPr>
    </w:lvl>
    <w:lvl w:ilvl="8" w:tentative="0">
      <w:start w:val="1"/>
      <w:numFmt w:val="lowerRoman"/>
      <w:lvlText w:val="%9."/>
      <w:lvlJc w:val="right"/>
      <w:pPr>
        <w:ind w:left="4862" w:hanging="420"/>
      </w:pPr>
    </w:lvl>
  </w:abstractNum>
  <w:abstractNum w:abstractNumId="2">
    <w:nsid w:val="083B6920"/>
    <w:multiLevelType w:val="multilevel"/>
    <w:tmpl w:val="083B6920"/>
    <w:lvl w:ilvl="0" w:tentative="0">
      <w:start w:val="1"/>
      <w:numFmt w:val="decimal"/>
      <w:pStyle w:val="7"/>
      <w:lvlText w:val="%1"/>
      <w:lvlJc w:val="left"/>
      <w:pPr>
        <w:ind w:left="0" w:firstLine="482"/>
      </w:pPr>
      <w:rPr>
        <w:rFonts w:hint="eastAsia" w:ascii="Times New Roman" w:hAnsi="Times New Roman" w:cs="Times New Roman"/>
        <w:b/>
        <w:bCs w:val="0"/>
        <w:i w:val="0"/>
        <w:iCs w:val="0"/>
        <w:caps w:val="0"/>
        <w:smallCaps w:val="0"/>
        <w:strike w:val="0"/>
        <w:dstrike w:val="0"/>
        <w:vanish w:val="0"/>
        <w:color w:val="0000FF"/>
        <w:spacing w:val="0"/>
        <w:kern w:val="0"/>
        <w:position w:val="0"/>
        <w:u w:val="none"/>
        <w:vertAlign w:val="baseline"/>
      </w:rPr>
    </w:lvl>
    <w:lvl w:ilvl="1" w:tentative="0">
      <w:start w:val="1"/>
      <w:numFmt w:val="lowerLetter"/>
      <w:lvlText w:val="%2)"/>
      <w:lvlJc w:val="left"/>
      <w:pPr>
        <w:ind w:left="1922" w:hanging="420"/>
      </w:pPr>
    </w:lvl>
    <w:lvl w:ilvl="2" w:tentative="0">
      <w:start w:val="1"/>
      <w:numFmt w:val="lowerRoman"/>
      <w:lvlText w:val="%3."/>
      <w:lvlJc w:val="right"/>
      <w:pPr>
        <w:ind w:left="2342" w:hanging="420"/>
      </w:pPr>
    </w:lvl>
    <w:lvl w:ilvl="3" w:tentative="0">
      <w:start w:val="1"/>
      <w:numFmt w:val="decimal"/>
      <w:lvlText w:val="%4."/>
      <w:lvlJc w:val="left"/>
      <w:pPr>
        <w:ind w:left="2762" w:hanging="420"/>
      </w:pPr>
    </w:lvl>
    <w:lvl w:ilvl="4" w:tentative="0">
      <w:start w:val="1"/>
      <w:numFmt w:val="lowerLetter"/>
      <w:lvlText w:val="%5)"/>
      <w:lvlJc w:val="left"/>
      <w:pPr>
        <w:ind w:left="3182" w:hanging="420"/>
      </w:pPr>
    </w:lvl>
    <w:lvl w:ilvl="5" w:tentative="0">
      <w:start w:val="1"/>
      <w:numFmt w:val="lowerRoman"/>
      <w:lvlText w:val="%6."/>
      <w:lvlJc w:val="right"/>
      <w:pPr>
        <w:ind w:left="3602" w:hanging="420"/>
      </w:pPr>
    </w:lvl>
    <w:lvl w:ilvl="6" w:tentative="0">
      <w:start w:val="1"/>
      <w:numFmt w:val="decimal"/>
      <w:lvlText w:val="%7."/>
      <w:lvlJc w:val="left"/>
      <w:pPr>
        <w:ind w:left="4022" w:hanging="420"/>
      </w:pPr>
    </w:lvl>
    <w:lvl w:ilvl="7" w:tentative="0">
      <w:start w:val="1"/>
      <w:numFmt w:val="lowerLetter"/>
      <w:lvlText w:val="%8)"/>
      <w:lvlJc w:val="left"/>
      <w:pPr>
        <w:ind w:left="4442" w:hanging="420"/>
      </w:pPr>
    </w:lvl>
    <w:lvl w:ilvl="8" w:tentative="0">
      <w:start w:val="1"/>
      <w:numFmt w:val="lowerRoman"/>
      <w:lvlText w:val="%9."/>
      <w:lvlJc w:val="right"/>
      <w:pPr>
        <w:ind w:left="4862" w:hanging="420"/>
      </w:pPr>
    </w:lvl>
  </w:abstractNum>
  <w:abstractNum w:abstractNumId="3">
    <w:nsid w:val="114E0C45"/>
    <w:multiLevelType w:val="multilevel"/>
    <w:tmpl w:val="114E0C45"/>
    <w:lvl w:ilvl="0" w:tentative="0">
      <w:start w:val="1"/>
      <w:numFmt w:val="decimal"/>
      <w:pStyle w:val="150"/>
      <w:lvlText w:val="%1"/>
      <w:lvlJc w:val="left"/>
      <w:pPr>
        <w:ind w:left="900" w:hanging="420"/>
      </w:pPr>
      <w:rPr>
        <w:rFonts w:hint="eastAsia"/>
        <w:b/>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4826EE7"/>
    <w:multiLevelType w:val="multilevel"/>
    <w:tmpl w:val="14826EE7"/>
    <w:lvl w:ilvl="0" w:tentative="0">
      <w:start w:val="1"/>
      <w:numFmt w:val="decimal"/>
      <w:lvlText w:val="%1"/>
      <w:lvlJc w:val="left"/>
      <w:pPr>
        <w:ind w:left="0" w:firstLine="482"/>
      </w:pPr>
      <w:rPr>
        <w:rFonts w:hint="eastAsia" w:ascii="Times New Roman" w:hAnsi="Times New Roman" w:cs="Times New Roman"/>
        <w:b/>
        <w:bCs w:val="0"/>
        <w:i w:val="0"/>
        <w:iCs w:val="0"/>
        <w:caps w:val="0"/>
        <w:smallCaps w:val="0"/>
        <w:strike w:val="0"/>
        <w:dstrike w:val="0"/>
        <w:vanish w:val="0"/>
        <w:color w:val="auto"/>
        <w:spacing w:val="0"/>
        <w:kern w:val="0"/>
        <w:position w:val="0"/>
        <w:u w:val="none"/>
        <w:vertAlign w:val="baseline"/>
      </w:rPr>
    </w:lvl>
    <w:lvl w:ilvl="1" w:tentative="0">
      <w:start w:val="1"/>
      <w:numFmt w:val="lowerLetter"/>
      <w:lvlText w:val="%2)"/>
      <w:lvlJc w:val="left"/>
      <w:pPr>
        <w:ind w:left="1922" w:hanging="420"/>
      </w:pPr>
    </w:lvl>
    <w:lvl w:ilvl="2" w:tentative="0">
      <w:start w:val="1"/>
      <w:numFmt w:val="lowerRoman"/>
      <w:lvlText w:val="%3."/>
      <w:lvlJc w:val="right"/>
      <w:pPr>
        <w:ind w:left="2342" w:hanging="420"/>
      </w:pPr>
    </w:lvl>
    <w:lvl w:ilvl="3" w:tentative="0">
      <w:start w:val="1"/>
      <w:numFmt w:val="decimal"/>
      <w:lvlText w:val="%4."/>
      <w:lvlJc w:val="left"/>
      <w:pPr>
        <w:ind w:left="2762" w:hanging="420"/>
      </w:pPr>
    </w:lvl>
    <w:lvl w:ilvl="4" w:tentative="0">
      <w:start w:val="1"/>
      <w:numFmt w:val="lowerLetter"/>
      <w:lvlText w:val="%5)"/>
      <w:lvlJc w:val="left"/>
      <w:pPr>
        <w:ind w:left="3182" w:hanging="420"/>
      </w:pPr>
    </w:lvl>
    <w:lvl w:ilvl="5" w:tentative="0">
      <w:start w:val="1"/>
      <w:numFmt w:val="lowerRoman"/>
      <w:lvlText w:val="%6."/>
      <w:lvlJc w:val="right"/>
      <w:pPr>
        <w:ind w:left="3602" w:hanging="420"/>
      </w:pPr>
    </w:lvl>
    <w:lvl w:ilvl="6" w:tentative="0">
      <w:start w:val="1"/>
      <w:numFmt w:val="decimal"/>
      <w:lvlText w:val="%7."/>
      <w:lvlJc w:val="left"/>
      <w:pPr>
        <w:ind w:left="4022" w:hanging="420"/>
      </w:pPr>
    </w:lvl>
    <w:lvl w:ilvl="7" w:tentative="0">
      <w:start w:val="1"/>
      <w:numFmt w:val="lowerLetter"/>
      <w:lvlText w:val="%8)"/>
      <w:lvlJc w:val="left"/>
      <w:pPr>
        <w:ind w:left="4442" w:hanging="420"/>
      </w:pPr>
    </w:lvl>
    <w:lvl w:ilvl="8" w:tentative="0">
      <w:start w:val="1"/>
      <w:numFmt w:val="lowerRoman"/>
      <w:lvlText w:val="%9."/>
      <w:lvlJc w:val="right"/>
      <w:pPr>
        <w:ind w:left="4862" w:hanging="420"/>
      </w:pPr>
    </w:lvl>
  </w:abstractNum>
  <w:abstractNum w:abstractNumId="5">
    <w:nsid w:val="207D0148"/>
    <w:multiLevelType w:val="multilevel"/>
    <w:tmpl w:val="207D0148"/>
    <w:lvl w:ilvl="0" w:tentative="0">
      <w:start w:val="1"/>
      <w:numFmt w:val="decimal"/>
      <w:lvlText w:val="%1"/>
      <w:lvlJc w:val="left"/>
      <w:pPr>
        <w:tabs>
          <w:tab w:val="left" w:pos="284"/>
        </w:tabs>
        <w:ind w:left="0" w:firstLine="0"/>
      </w:pPr>
      <w:rPr>
        <w:rFonts w:hint="eastAsia"/>
        <w:color w:val="0000FF"/>
      </w:rPr>
    </w:lvl>
    <w:lvl w:ilvl="1" w:tentative="0">
      <w:start w:val="0"/>
      <w:numFmt w:val="decimal"/>
      <w:pStyle w:val="5"/>
      <w:lvlText w:val="%1.%2"/>
      <w:lvlJc w:val="left"/>
      <w:pPr>
        <w:tabs>
          <w:tab w:val="left" w:pos="567"/>
        </w:tabs>
        <w:ind w:left="0" w:firstLine="0"/>
      </w:pPr>
      <w:rPr>
        <w:rFonts w:hint="eastAsia"/>
        <w:color w:val="0000FF"/>
        <w:spacing w:val="24"/>
        <w:sz w:val="24"/>
        <w:szCs w:val="28"/>
      </w:rPr>
    </w:lvl>
    <w:lvl w:ilvl="2" w:tentative="0">
      <w:start w:val="1"/>
      <w:numFmt w:val="decimal"/>
      <w:lvlText w:val="%1.%2.%3"/>
      <w:lvlJc w:val="left"/>
      <w:pPr>
        <w:tabs>
          <w:tab w:val="left" w:pos="907"/>
        </w:tabs>
        <w:ind w:left="0" w:firstLine="0"/>
      </w:pPr>
      <w:rPr>
        <w:rFonts w:hint="eastAsia"/>
        <w:b/>
        <w:strike w:val="0"/>
        <w:color w:val="0000FF"/>
        <w:spacing w:val="0"/>
        <w:sz w:val="21"/>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436EA718"/>
    <w:multiLevelType w:val="singleLevel"/>
    <w:tmpl w:val="436EA718"/>
    <w:lvl w:ilvl="0" w:tentative="0">
      <w:start w:val="2"/>
      <w:numFmt w:val="decimal"/>
      <w:suff w:val="nothing"/>
      <w:lvlText w:val="%1、"/>
      <w:lvlJc w:val="left"/>
      <w:pPr>
        <w:ind w:left="360" w:firstLine="0"/>
      </w:pPr>
    </w:lvl>
  </w:abstractNum>
  <w:abstractNum w:abstractNumId="7">
    <w:nsid w:val="44C44A00"/>
    <w:multiLevelType w:val="multilevel"/>
    <w:tmpl w:val="44C44A00"/>
    <w:lvl w:ilvl="0" w:tentative="0">
      <w:start w:val="1"/>
      <w:numFmt w:val="decimal"/>
      <w:pStyle w:val="88"/>
      <w:lvlText w:val="%1"/>
      <w:lvlJc w:val="left"/>
      <w:pPr>
        <w:ind w:left="420" w:hanging="420"/>
      </w:pPr>
      <w:rPr>
        <w:rFonts w:hint="default" w:ascii="Times New Roman" w:hAnsi="Times New Roman" w:cs="Times New Roman"/>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AE54CF6"/>
    <w:multiLevelType w:val="multilevel"/>
    <w:tmpl w:val="5AE54CF6"/>
    <w:lvl w:ilvl="0" w:tentative="0">
      <w:start w:val="1"/>
      <w:numFmt w:val="decimal"/>
      <w:pStyle w:val="4"/>
      <w:lvlText w:val="%1"/>
      <w:lvlJc w:val="left"/>
      <w:pPr>
        <w:tabs>
          <w:tab w:val="left" w:pos="284"/>
        </w:tabs>
        <w:ind w:left="0" w:firstLine="0"/>
      </w:pPr>
      <w:rPr>
        <w:rFonts w:hint="eastAsia"/>
        <w:color w:val="0000FF"/>
      </w:rPr>
    </w:lvl>
    <w:lvl w:ilvl="1" w:tentative="0">
      <w:start w:val="0"/>
      <w:numFmt w:val="decimal"/>
      <w:lvlText w:val="%1.%2"/>
      <w:lvlJc w:val="left"/>
      <w:pPr>
        <w:tabs>
          <w:tab w:val="left" w:pos="567"/>
        </w:tabs>
        <w:ind w:left="0" w:firstLine="0"/>
      </w:pPr>
      <w:rPr>
        <w:rFonts w:hint="eastAsia"/>
        <w:color w:val="0000FF"/>
        <w:spacing w:val="24"/>
        <w:sz w:val="24"/>
        <w:szCs w:val="28"/>
      </w:rPr>
    </w:lvl>
    <w:lvl w:ilvl="2" w:tentative="0">
      <w:start w:val="1"/>
      <w:numFmt w:val="decimal"/>
      <w:pStyle w:val="6"/>
      <w:lvlText w:val="%1.%2.%3"/>
      <w:lvlJc w:val="left"/>
      <w:pPr>
        <w:tabs>
          <w:tab w:val="left" w:pos="907"/>
        </w:tabs>
        <w:ind w:left="0" w:firstLine="0"/>
      </w:pPr>
      <w:rPr>
        <w:rFonts w:hint="eastAsia"/>
        <w:b/>
        <w:strike w:val="0"/>
        <w:color w:val="0000FF"/>
        <w:spacing w:val="0"/>
        <w:sz w:val="21"/>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
    <w:nsid w:val="721268EA"/>
    <w:multiLevelType w:val="multilevel"/>
    <w:tmpl w:val="721268EA"/>
    <w:lvl w:ilvl="0" w:tentative="0">
      <w:start w:val="1"/>
      <w:numFmt w:val="decimal"/>
      <w:lvlText w:val="%1"/>
      <w:lvlJc w:val="left"/>
      <w:pPr>
        <w:ind w:left="0" w:firstLine="482"/>
      </w:pPr>
      <w:rPr>
        <w:rFonts w:hint="eastAsia" w:ascii="Times New Roman" w:hAnsi="Times New Roman" w:cs="Times New Roman"/>
        <w:b/>
        <w:bCs w:val="0"/>
        <w:i w:val="0"/>
        <w:iCs w:val="0"/>
        <w:caps w:val="0"/>
        <w:smallCaps w:val="0"/>
        <w:strike w:val="0"/>
        <w:dstrike w:val="0"/>
        <w:vanish w:val="0"/>
        <w:color w:val="0000FF"/>
        <w:spacing w:val="0"/>
        <w:kern w:val="0"/>
        <w:position w:val="0"/>
        <w:u w:val="none"/>
        <w:vertAlign w:val="baseline"/>
      </w:rPr>
    </w:lvl>
    <w:lvl w:ilvl="1" w:tentative="0">
      <w:start w:val="1"/>
      <w:numFmt w:val="lowerLetter"/>
      <w:lvlText w:val="%2)"/>
      <w:lvlJc w:val="left"/>
      <w:pPr>
        <w:ind w:left="1922" w:hanging="420"/>
      </w:pPr>
    </w:lvl>
    <w:lvl w:ilvl="2" w:tentative="0">
      <w:start w:val="1"/>
      <w:numFmt w:val="lowerRoman"/>
      <w:lvlText w:val="%3."/>
      <w:lvlJc w:val="right"/>
      <w:pPr>
        <w:ind w:left="2342" w:hanging="420"/>
      </w:pPr>
    </w:lvl>
    <w:lvl w:ilvl="3" w:tentative="0">
      <w:start w:val="1"/>
      <w:numFmt w:val="decimal"/>
      <w:lvlText w:val="%4."/>
      <w:lvlJc w:val="left"/>
      <w:pPr>
        <w:ind w:left="2762" w:hanging="420"/>
      </w:pPr>
    </w:lvl>
    <w:lvl w:ilvl="4" w:tentative="0">
      <w:start w:val="1"/>
      <w:numFmt w:val="lowerLetter"/>
      <w:lvlText w:val="%5)"/>
      <w:lvlJc w:val="left"/>
      <w:pPr>
        <w:ind w:left="3182" w:hanging="420"/>
      </w:pPr>
    </w:lvl>
    <w:lvl w:ilvl="5" w:tentative="0">
      <w:start w:val="1"/>
      <w:numFmt w:val="lowerRoman"/>
      <w:lvlText w:val="%6."/>
      <w:lvlJc w:val="right"/>
      <w:pPr>
        <w:ind w:left="3602" w:hanging="420"/>
      </w:pPr>
    </w:lvl>
    <w:lvl w:ilvl="6" w:tentative="0">
      <w:start w:val="1"/>
      <w:numFmt w:val="decimal"/>
      <w:lvlText w:val="%7."/>
      <w:lvlJc w:val="left"/>
      <w:pPr>
        <w:ind w:left="4022" w:hanging="420"/>
      </w:pPr>
    </w:lvl>
    <w:lvl w:ilvl="7" w:tentative="0">
      <w:start w:val="1"/>
      <w:numFmt w:val="lowerLetter"/>
      <w:lvlText w:val="%8)"/>
      <w:lvlJc w:val="left"/>
      <w:pPr>
        <w:ind w:left="4442" w:hanging="420"/>
      </w:pPr>
    </w:lvl>
    <w:lvl w:ilvl="8" w:tentative="0">
      <w:start w:val="1"/>
      <w:numFmt w:val="lowerRoman"/>
      <w:lvlText w:val="%9."/>
      <w:lvlJc w:val="right"/>
      <w:pPr>
        <w:ind w:left="4862" w:hanging="420"/>
      </w:pPr>
    </w:lvl>
  </w:abstractNum>
  <w:abstractNum w:abstractNumId="10">
    <w:nsid w:val="772D582F"/>
    <w:multiLevelType w:val="multilevel"/>
    <w:tmpl w:val="772D582F"/>
    <w:lvl w:ilvl="0" w:tentative="0">
      <w:start w:val="1"/>
      <w:numFmt w:val="decimal"/>
      <w:lvlText w:val="%1"/>
      <w:lvlJc w:val="left"/>
      <w:pPr>
        <w:ind w:left="0" w:firstLine="482"/>
      </w:pPr>
      <w:rPr>
        <w:rFonts w:hint="eastAsia" w:ascii="Times New Roman" w:hAnsi="Times New Roman" w:cs="Times New Roman"/>
        <w:b/>
        <w:bCs w:val="0"/>
        <w:i w:val="0"/>
        <w:iCs w:val="0"/>
        <w:caps w:val="0"/>
        <w:smallCaps w:val="0"/>
        <w:strike w:val="0"/>
        <w:dstrike w:val="0"/>
        <w:vanish w:val="0"/>
        <w:color w:val="0000FF"/>
        <w:spacing w:val="0"/>
        <w:kern w:val="0"/>
        <w:position w:val="0"/>
        <w:u w:val="none"/>
        <w:vertAlign w:val="baseline"/>
      </w:rPr>
    </w:lvl>
    <w:lvl w:ilvl="1" w:tentative="0">
      <w:start w:val="1"/>
      <w:numFmt w:val="lowerLetter"/>
      <w:lvlText w:val="%2)"/>
      <w:lvlJc w:val="left"/>
      <w:pPr>
        <w:ind w:left="1922" w:hanging="420"/>
      </w:pPr>
    </w:lvl>
    <w:lvl w:ilvl="2" w:tentative="0">
      <w:start w:val="1"/>
      <w:numFmt w:val="lowerRoman"/>
      <w:lvlText w:val="%3."/>
      <w:lvlJc w:val="right"/>
      <w:pPr>
        <w:ind w:left="2342" w:hanging="420"/>
      </w:pPr>
    </w:lvl>
    <w:lvl w:ilvl="3" w:tentative="0">
      <w:start w:val="1"/>
      <w:numFmt w:val="decimal"/>
      <w:lvlText w:val="%4."/>
      <w:lvlJc w:val="left"/>
      <w:pPr>
        <w:ind w:left="2762" w:hanging="420"/>
      </w:pPr>
    </w:lvl>
    <w:lvl w:ilvl="4" w:tentative="0">
      <w:start w:val="1"/>
      <w:numFmt w:val="lowerLetter"/>
      <w:lvlText w:val="%5)"/>
      <w:lvlJc w:val="left"/>
      <w:pPr>
        <w:ind w:left="3182" w:hanging="420"/>
      </w:pPr>
    </w:lvl>
    <w:lvl w:ilvl="5" w:tentative="0">
      <w:start w:val="1"/>
      <w:numFmt w:val="lowerRoman"/>
      <w:lvlText w:val="%6."/>
      <w:lvlJc w:val="right"/>
      <w:pPr>
        <w:ind w:left="3602" w:hanging="420"/>
      </w:pPr>
    </w:lvl>
    <w:lvl w:ilvl="6" w:tentative="0">
      <w:start w:val="1"/>
      <w:numFmt w:val="decimal"/>
      <w:lvlText w:val="%7."/>
      <w:lvlJc w:val="left"/>
      <w:pPr>
        <w:ind w:left="4022" w:hanging="420"/>
      </w:pPr>
    </w:lvl>
    <w:lvl w:ilvl="7" w:tentative="0">
      <w:start w:val="1"/>
      <w:numFmt w:val="lowerLetter"/>
      <w:lvlText w:val="%8)"/>
      <w:lvlJc w:val="left"/>
      <w:pPr>
        <w:ind w:left="4442" w:hanging="420"/>
      </w:pPr>
    </w:lvl>
    <w:lvl w:ilvl="8" w:tentative="0">
      <w:start w:val="1"/>
      <w:numFmt w:val="lowerRoman"/>
      <w:lvlText w:val="%9."/>
      <w:lvlJc w:val="right"/>
      <w:pPr>
        <w:ind w:left="4862" w:hanging="420"/>
      </w:pPr>
    </w:lvl>
  </w:abstractNum>
  <w:abstractNum w:abstractNumId="11">
    <w:nsid w:val="79E2327D"/>
    <w:multiLevelType w:val="multilevel"/>
    <w:tmpl w:val="79E2327D"/>
    <w:lvl w:ilvl="0" w:tentative="0">
      <w:start w:val="1"/>
      <w:numFmt w:val="lowerLetter"/>
      <w:pStyle w:val="147"/>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2"/>
  </w:num>
  <w:num w:numId="4">
    <w:abstractNumId w:val="7"/>
  </w:num>
  <w:num w:numId="5">
    <w:abstractNumId w:val="11"/>
  </w:num>
  <w:num w:numId="6">
    <w:abstractNumId w:val="3"/>
  </w:num>
  <w:num w:numId="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num>
  <w:num w:numId="12">
    <w:abstractNumId w:val="2"/>
    <w:lvlOverride w:ilvl="0">
      <w:startOverride w:val="1"/>
    </w:lvlOverride>
  </w:num>
  <w:num w:numId="13">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num>
  <w:num w:numId="15">
    <w:abstractNumId w:val="2"/>
    <w:lvlOverride w:ilvl="0">
      <w:startOverride w:val="1"/>
    </w:lvlOverride>
  </w:num>
  <w:num w:numId="16">
    <w:abstractNumId w:val="2"/>
    <w:lvlOverride w:ilvl="0">
      <w:startOverride w:val="1"/>
    </w:lvlOverride>
  </w:num>
  <w:num w:numId="17">
    <w:abstractNumId w:val="10"/>
    <w:lvlOverride w:ilvl="0">
      <w:startOverride w:val="1"/>
    </w:lvlOverride>
  </w:num>
  <w:num w:numId="18">
    <w:abstractNumId w:val="2"/>
    <w:lvlOverride w:ilvl="0">
      <w:startOverride w:val="2"/>
    </w:lvlOverride>
  </w:num>
  <w:num w:numId="19">
    <w:abstractNumId w:val="10"/>
    <w:lvlOverride w:ilvl="0">
      <w:startOverride w:val="1"/>
    </w:lvlOverride>
  </w:num>
  <w:num w:numId="20">
    <w:abstractNumId w:val="2"/>
    <w:lvlOverride w:ilvl="0">
      <w:startOverride w:val="2"/>
    </w:lvlOverride>
  </w:num>
  <w:num w:numId="21">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num>
  <w:num w:numId="23">
    <w:abstractNumId w:val="2"/>
    <w:lvlOverride w:ilvl="0">
      <w:startOverride w:val="1"/>
    </w:lvlOverride>
  </w:num>
  <w:num w:numId="24">
    <w:abstractNumId w:val="10"/>
    <w:lvlOverride w:ilvl="0">
      <w:startOverride w:val="1"/>
    </w:lvlOverride>
  </w:num>
  <w:num w:numId="25">
    <w:abstractNumId w:val="10"/>
    <w:lvlOverride w:ilvl="0">
      <w:startOverride w:val="1"/>
    </w:lvlOverride>
  </w:num>
  <w:num w:numId="26">
    <w:abstractNumId w:val="10"/>
  </w:num>
  <w:num w:numId="27">
    <w:abstractNumId w:val="10"/>
    <w:lvlOverride w:ilvl="0">
      <w:startOverride w:val="1"/>
    </w:lvlOverride>
  </w:num>
  <w:num w:numId="28">
    <w:abstractNumId w:val="2"/>
    <w:lvlOverride w:ilvl="0">
      <w:startOverride w:val="2"/>
    </w:lvlOverride>
  </w:num>
  <w:num w:numId="29">
    <w:abstractNumId w:val="2"/>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6"/>
  </w:num>
  <w:num w:numId="35">
    <w:abstractNumId w:val="2"/>
    <w:lvlOverride w:ilvl="0">
      <w:startOverride w:val="1"/>
    </w:lvlOverride>
  </w:num>
  <w:num w:numId="36">
    <w:abstractNumId w:val="2"/>
    <w:lvlOverride w:ilvl="0">
      <w:startOverride w:val="1"/>
    </w:lvlOverride>
  </w:num>
  <w:num w:numId="37">
    <w:abstractNumId w:val="1"/>
  </w:num>
  <w:num w:numId="3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lvlOverride w:ilvl="0">
      <w:startOverride w:val="1"/>
    </w:lvlOverride>
  </w:num>
  <w:num w:numId="54">
    <w:abstractNumId w:val="2"/>
    <w:lvlOverride w:ilvl="0">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 w:numId="60">
    <w:abstractNumId w:val="2"/>
    <w:lvlOverride w:ilvl="0">
      <w:startOverride w:val="1"/>
    </w:lvlOverride>
  </w:num>
  <w:num w:numId="61">
    <w:abstractNumId w:val="2"/>
    <w:lvlOverride w:ilvl="0">
      <w:startOverride w:val="1"/>
    </w:lvlOverride>
  </w:num>
  <w:num w:numId="62">
    <w:abstractNumId w:val="2"/>
    <w:lvlOverride w:ilvl="0">
      <w:startOverride w:val="1"/>
    </w:lvlOverride>
  </w:num>
  <w:num w:numId="63">
    <w:abstractNumId w:val="2"/>
    <w:lvlOverride w:ilvl="0">
      <w:startOverride w:val="1"/>
    </w:lvlOverride>
  </w:num>
  <w:num w:numId="64">
    <w:abstractNumId w:val="2"/>
    <w:lvlOverride w:ilvl="0">
      <w:startOverride w:val="1"/>
    </w:lvlOverride>
  </w:num>
  <w:num w:numId="65">
    <w:abstractNumId w:val="2"/>
    <w:lvlOverride w:ilvl="0">
      <w:startOverride w:val="1"/>
    </w:lvlOverride>
  </w:num>
  <w:num w:numId="66">
    <w:abstractNumId w:val="9"/>
  </w:num>
  <w:num w:numId="67">
    <w:abstractNumId w:val="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num>
  <w:num w:numId="71">
    <w:abstractNumId w:val="2"/>
    <w:lvlOverride w:ilvl="0">
      <w:startOverride w:val="1"/>
    </w:lvlOverride>
  </w:num>
  <w:num w:numId="72">
    <w:abstractNumId w:val="2"/>
    <w:lvlOverride w:ilvl="0">
      <w:startOverride w:val="1"/>
    </w:lvlOverride>
  </w:num>
  <w:num w:numId="73">
    <w:abstractNumId w:val="2"/>
    <w:lvlOverride w:ilvl="0">
      <w:startOverride w:val="1"/>
    </w:lvlOverride>
  </w:num>
  <w:num w:numId="74">
    <w:abstractNumId w:val="10"/>
    <w:lvlOverride w:ilvl="0">
      <w:startOverride w:val="1"/>
    </w:lvlOverride>
  </w:num>
  <w:num w:numId="75">
    <w:abstractNumId w:val="0"/>
  </w:num>
  <w:num w:numId="76">
    <w:abstractNumId w:val="2"/>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56"/>
  <w:hyphenationZone w:val="360"/>
  <w:drawingGridHorizontalSpacing w:val="120"/>
  <w:drawingGridVerticalSpacing w:val="163"/>
  <w:displayHorizontalDrawingGridEvery w:val="1"/>
  <w:displayVerticalDrawingGridEvery w:val="1"/>
  <w:noPunctuationKerning w:val="1"/>
  <w:characterSpacingControl w:val="doNotCompress"/>
  <w:hdrShapeDefaults>
    <o:shapelayout v:ext="edit">
      <o:idmap v:ext="edit" data="1"/>
    </o:shapelayout>
  </w:hdrShapeDefault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g2OGEzMTVkNWI2ZDBlNzQ4ZTQ4MzhmZDU0NTcwZGYifQ=="/>
  </w:docVars>
  <w:rsids>
    <w:rsidRoot w:val="004906E6"/>
    <w:rsid w:val="0000010E"/>
    <w:rsid w:val="000009D6"/>
    <w:rsid w:val="00000E60"/>
    <w:rsid w:val="0000215C"/>
    <w:rsid w:val="00002592"/>
    <w:rsid w:val="000029A6"/>
    <w:rsid w:val="00002E4E"/>
    <w:rsid w:val="00002E93"/>
    <w:rsid w:val="00003BBB"/>
    <w:rsid w:val="00003D02"/>
    <w:rsid w:val="00003E68"/>
    <w:rsid w:val="00005747"/>
    <w:rsid w:val="00006525"/>
    <w:rsid w:val="00006D3E"/>
    <w:rsid w:val="00006EE7"/>
    <w:rsid w:val="0000754A"/>
    <w:rsid w:val="0000798C"/>
    <w:rsid w:val="00010999"/>
    <w:rsid w:val="00011228"/>
    <w:rsid w:val="000115C8"/>
    <w:rsid w:val="00011D21"/>
    <w:rsid w:val="00013558"/>
    <w:rsid w:val="00013E02"/>
    <w:rsid w:val="00015B6D"/>
    <w:rsid w:val="00015C25"/>
    <w:rsid w:val="000165C5"/>
    <w:rsid w:val="000168DF"/>
    <w:rsid w:val="00016DC6"/>
    <w:rsid w:val="00017200"/>
    <w:rsid w:val="00017CDE"/>
    <w:rsid w:val="00017F42"/>
    <w:rsid w:val="000200A6"/>
    <w:rsid w:val="000201AB"/>
    <w:rsid w:val="0002090B"/>
    <w:rsid w:val="00020CFB"/>
    <w:rsid w:val="00022189"/>
    <w:rsid w:val="000222B8"/>
    <w:rsid w:val="00022DA7"/>
    <w:rsid w:val="0002366D"/>
    <w:rsid w:val="000237D1"/>
    <w:rsid w:val="0002383B"/>
    <w:rsid w:val="00023CEF"/>
    <w:rsid w:val="0002467D"/>
    <w:rsid w:val="000247F3"/>
    <w:rsid w:val="00024DD8"/>
    <w:rsid w:val="00025348"/>
    <w:rsid w:val="00025F54"/>
    <w:rsid w:val="000260B5"/>
    <w:rsid w:val="00026365"/>
    <w:rsid w:val="000270F1"/>
    <w:rsid w:val="0002726E"/>
    <w:rsid w:val="000276CB"/>
    <w:rsid w:val="0003068A"/>
    <w:rsid w:val="00031629"/>
    <w:rsid w:val="00032261"/>
    <w:rsid w:val="000331AE"/>
    <w:rsid w:val="00033778"/>
    <w:rsid w:val="000343E1"/>
    <w:rsid w:val="00034974"/>
    <w:rsid w:val="00035153"/>
    <w:rsid w:val="00035565"/>
    <w:rsid w:val="00036AE5"/>
    <w:rsid w:val="00037A53"/>
    <w:rsid w:val="00037F15"/>
    <w:rsid w:val="000407C7"/>
    <w:rsid w:val="00041247"/>
    <w:rsid w:val="00041E12"/>
    <w:rsid w:val="0004220A"/>
    <w:rsid w:val="00043BAC"/>
    <w:rsid w:val="000444DA"/>
    <w:rsid w:val="0004493D"/>
    <w:rsid w:val="00044B90"/>
    <w:rsid w:val="00045056"/>
    <w:rsid w:val="0004527B"/>
    <w:rsid w:val="0004610D"/>
    <w:rsid w:val="000468F4"/>
    <w:rsid w:val="00047BF1"/>
    <w:rsid w:val="00047D6B"/>
    <w:rsid w:val="000500CA"/>
    <w:rsid w:val="00051845"/>
    <w:rsid w:val="00051C87"/>
    <w:rsid w:val="00051D33"/>
    <w:rsid w:val="000524C6"/>
    <w:rsid w:val="000530B6"/>
    <w:rsid w:val="00053773"/>
    <w:rsid w:val="00053A95"/>
    <w:rsid w:val="00054F8E"/>
    <w:rsid w:val="00055717"/>
    <w:rsid w:val="00055C1F"/>
    <w:rsid w:val="000562FC"/>
    <w:rsid w:val="00056493"/>
    <w:rsid w:val="00056FBF"/>
    <w:rsid w:val="00057E19"/>
    <w:rsid w:val="00060352"/>
    <w:rsid w:val="00060D61"/>
    <w:rsid w:val="00061B31"/>
    <w:rsid w:val="00062CFC"/>
    <w:rsid w:val="00062D0B"/>
    <w:rsid w:val="00063400"/>
    <w:rsid w:val="000641D6"/>
    <w:rsid w:val="000649A1"/>
    <w:rsid w:val="00065921"/>
    <w:rsid w:val="00065EE6"/>
    <w:rsid w:val="000663D1"/>
    <w:rsid w:val="000669F8"/>
    <w:rsid w:val="00066D48"/>
    <w:rsid w:val="00067578"/>
    <w:rsid w:val="000679E8"/>
    <w:rsid w:val="00067D18"/>
    <w:rsid w:val="000700C4"/>
    <w:rsid w:val="00070F85"/>
    <w:rsid w:val="0007133D"/>
    <w:rsid w:val="00072B26"/>
    <w:rsid w:val="00072CEA"/>
    <w:rsid w:val="00072E7D"/>
    <w:rsid w:val="00073652"/>
    <w:rsid w:val="0007382F"/>
    <w:rsid w:val="00073BBC"/>
    <w:rsid w:val="00074933"/>
    <w:rsid w:val="00074DBA"/>
    <w:rsid w:val="00075064"/>
    <w:rsid w:val="0007580B"/>
    <w:rsid w:val="000765F9"/>
    <w:rsid w:val="00076FC1"/>
    <w:rsid w:val="00077B24"/>
    <w:rsid w:val="00080038"/>
    <w:rsid w:val="000804B1"/>
    <w:rsid w:val="00081366"/>
    <w:rsid w:val="00081487"/>
    <w:rsid w:val="000819ED"/>
    <w:rsid w:val="00081D91"/>
    <w:rsid w:val="00081E36"/>
    <w:rsid w:val="00082525"/>
    <w:rsid w:val="000826CD"/>
    <w:rsid w:val="00082C10"/>
    <w:rsid w:val="000835AE"/>
    <w:rsid w:val="000845FA"/>
    <w:rsid w:val="00084AF7"/>
    <w:rsid w:val="00086940"/>
    <w:rsid w:val="000873C5"/>
    <w:rsid w:val="000874F9"/>
    <w:rsid w:val="00090036"/>
    <w:rsid w:val="00090678"/>
    <w:rsid w:val="00090737"/>
    <w:rsid w:val="00090DF5"/>
    <w:rsid w:val="00091F6B"/>
    <w:rsid w:val="00091FF8"/>
    <w:rsid w:val="0009264A"/>
    <w:rsid w:val="00093161"/>
    <w:rsid w:val="000937F0"/>
    <w:rsid w:val="000938C6"/>
    <w:rsid w:val="00093A52"/>
    <w:rsid w:val="00094526"/>
    <w:rsid w:val="000945DF"/>
    <w:rsid w:val="00095271"/>
    <w:rsid w:val="00095D8B"/>
    <w:rsid w:val="00095F2F"/>
    <w:rsid w:val="00097E7D"/>
    <w:rsid w:val="000A0771"/>
    <w:rsid w:val="000A0781"/>
    <w:rsid w:val="000A08CD"/>
    <w:rsid w:val="000A181E"/>
    <w:rsid w:val="000A1840"/>
    <w:rsid w:val="000A2349"/>
    <w:rsid w:val="000A2A93"/>
    <w:rsid w:val="000A2A9B"/>
    <w:rsid w:val="000A3EFD"/>
    <w:rsid w:val="000A4665"/>
    <w:rsid w:val="000A57F2"/>
    <w:rsid w:val="000A5B01"/>
    <w:rsid w:val="000A5F0B"/>
    <w:rsid w:val="000A679D"/>
    <w:rsid w:val="000A713A"/>
    <w:rsid w:val="000A7501"/>
    <w:rsid w:val="000A7B3B"/>
    <w:rsid w:val="000B1458"/>
    <w:rsid w:val="000B162C"/>
    <w:rsid w:val="000B1D1E"/>
    <w:rsid w:val="000B1DF3"/>
    <w:rsid w:val="000B1E22"/>
    <w:rsid w:val="000B35A0"/>
    <w:rsid w:val="000B3B5E"/>
    <w:rsid w:val="000B4DD5"/>
    <w:rsid w:val="000B6593"/>
    <w:rsid w:val="000B69AF"/>
    <w:rsid w:val="000B6B46"/>
    <w:rsid w:val="000B7559"/>
    <w:rsid w:val="000C0527"/>
    <w:rsid w:val="000C060F"/>
    <w:rsid w:val="000C082C"/>
    <w:rsid w:val="000C0EDC"/>
    <w:rsid w:val="000C11E9"/>
    <w:rsid w:val="000C129F"/>
    <w:rsid w:val="000C19F9"/>
    <w:rsid w:val="000C1A6A"/>
    <w:rsid w:val="000C208E"/>
    <w:rsid w:val="000C2844"/>
    <w:rsid w:val="000C29FE"/>
    <w:rsid w:val="000C34BC"/>
    <w:rsid w:val="000C37CD"/>
    <w:rsid w:val="000C3D1C"/>
    <w:rsid w:val="000C3E12"/>
    <w:rsid w:val="000C4021"/>
    <w:rsid w:val="000C47E7"/>
    <w:rsid w:val="000C48BD"/>
    <w:rsid w:val="000C62E2"/>
    <w:rsid w:val="000C7E3E"/>
    <w:rsid w:val="000C7FB4"/>
    <w:rsid w:val="000D03B0"/>
    <w:rsid w:val="000D0814"/>
    <w:rsid w:val="000D0A38"/>
    <w:rsid w:val="000D0C78"/>
    <w:rsid w:val="000D0CC9"/>
    <w:rsid w:val="000D16B1"/>
    <w:rsid w:val="000D2792"/>
    <w:rsid w:val="000D4462"/>
    <w:rsid w:val="000D4FB1"/>
    <w:rsid w:val="000D5226"/>
    <w:rsid w:val="000D6087"/>
    <w:rsid w:val="000D60E1"/>
    <w:rsid w:val="000D675E"/>
    <w:rsid w:val="000D6CE0"/>
    <w:rsid w:val="000D6E9B"/>
    <w:rsid w:val="000E0039"/>
    <w:rsid w:val="000E037F"/>
    <w:rsid w:val="000E0DD1"/>
    <w:rsid w:val="000E288C"/>
    <w:rsid w:val="000E2ED3"/>
    <w:rsid w:val="000E33A2"/>
    <w:rsid w:val="000E391C"/>
    <w:rsid w:val="000E3B0A"/>
    <w:rsid w:val="000E3B0E"/>
    <w:rsid w:val="000E6945"/>
    <w:rsid w:val="000E7F47"/>
    <w:rsid w:val="000F0158"/>
    <w:rsid w:val="000F0E38"/>
    <w:rsid w:val="000F1D19"/>
    <w:rsid w:val="000F1EFC"/>
    <w:rsid w:val="000F2A05"/>
    <w:rsid w:val="000F2E63"/>
    <w:rsid w:val="000F2FFE"/>
    <w:rsid w:val="000F3845"/>
    <w:rsid w:val="000F568E"/>
    <w:rsid w:val="000F5B2E"/>
    <w:rsid w:val="000F5EC6"/>
    <w:rsid w:val="000F6672"/>
    <w:rsid w:val="000F6E59"/>
    <w:rsid w:val="000F7030"/>
    <w:rsid w:val="000F704B"/>
    <w:rsid w:val="000F7B9F"/>
    <w:rsid w:val="000F7EA4"/>
    <w:rsid w:val="00100976"/>
    <w:rsid w:val="00100CC6"/>
    <w:rsid w:val="00100D34"/>
    <w:rsid w:val="0010105C"/>
    <w:rsid w:val="001011DD"/>
    <w:rsid w:val="00101F96"/>
    <w:rsid w:val="001021C4"/>
    <w:rsid w:val="001023EE"/>
    <w:rsid w:val="00102C05"/>
    <w:rsid w:val="0010321D"/>
    <w:rsid w:val="001039CD"/>
    <w:rsid w:val="00103A32"/>
    <w:rsid w:val="00103B13"/>
    <w:rsid w:val="00103E9C"/>
    <w:rsid w:val="00104B8C"/>
    <w:rsid w:val="00104CCE"/>
    <w:rsid w:val="001058EE"/>
    <w:rsid w:val="0010652A"/>
    <w:rsid w:val="00107029"/>
    <w:rsid w:val="00107752"/>
    <w:rsid w:val="0010791C"/>
    <w:rsid w:val="00110DCA"/>
    <w:rsid w:val="00111621"/>
    <w:rsid w:val="00111991"/>
    <w:rsid w:val="00111C24"/>
    <w:rsid w:val="00112FB8"/>
    <w:rsid w:val="0011323C"/>
    <w:rsid w:val="0011352A"/>
    <w:rsid w:val="0011450F"/>
    <w:rsid w:val="00114AC1"/>
    <w:rsid w:val="00114F3F"/>
    <w:rsid w:val="001153FA"/>
    <w:rsid w:val="0011557A"/>
    <w:rsid w:val="00120D31"/>
    <w:rsid w:val="00120E20"/>
    <w:rsid w:val="0012104C"/>
    <w:rsid w:val="00121948"/>
    <w:rsid w:val="0012204B"/>
    <w:rsid w:val="001220D4"/>
    <w:rsid w:val="0012238E"/>
    <w:rsid w:val="0012353F"/>
    <w:rsid w:val="00124005"/>
    <w:rsid w:val="00124294"/>
    <w:rsid w:val="00124D17"/>
    <w:rsid w:val="00124DE2"/>
    <w:rsid w:val="001251D1"/>
    <w:rsid w:val="0012544F"/>
    <w:rsid w:val="00126B21"/>
    <w:rsid w:val="00127945"/>
    <w:rsid w:val="00127C2D"/>
    <w:rsid w:val="00130640"/>
    <w:rsid w:val="00130B23"/>
    <w:rsid w:val="001313D5"/>
    <w:rsid w:val="00131708"/>
    <w:rsid w:val="00131F7E"/>
    <w:rsid w:val="00132F07"/>
    <w:rsid w:val="0013370F"/>
    <w:rsid w:val="00134550"/>
    <w:rsid w:val="00134B08"/>
    <w:rsid w:val="001358FB"/>
    <w:rsid w:val="001365D1"/>
    <w:rsid w:val="00136781"/>
    <w:rsid w:val="00137886"/>
    <w:rsid w:val="00137E63"/>
    <w:rsid w:val="0014095A"/>
    <w:rsid w:val="00140B2C"/>
    <w:rsid w:val="00141714"/>
    <w:rsid w:val="00142285"/>
    <w:rsid w:val="00142810"/>
    <w:rsid w:val="001429D8"/>
    <w:rsid w:val="001440C2"/>
    <w:rsid w:val="001446B4"/>
    <w:rsid w:val="00144E43"/>
    <w:rsid w:val="001450A9"/>
    <w:rsid w:val="00145EA5"/>
    <w:rsid w:val="00145FC0"/>
    <w:rsid w:val="0014602B"/>
    <w:rsid w:val="00146885"/>
    <w:rsid w:val="0014739D"/>
    <w:rsid w:val="00147866"/>
    <w:rsid w:val="00150042"/>
    <w:rsid w:val="00150AF3"/>
    <w:rsid w:val="00151481"/>
    <w:rsid w:val="001518FA"/>
    <w:rsid w:val="0015252B"/>
    <w:rsid w:val="00152A51"/>
    <w:rsid w:val="00152CD4"/>
    <w:rsid w:val="0015306D"/>
    <w:rsid w:val="001533C1"/>
    <w:rsid w:val="00153CBF"/>
    <w:rsid w:val="001552AC"/>
    <w:rsid w:val="0015579A"/>
    <w:rsid w:val="001568E2"/>
    <w:rsid w:val="001569C7"/>
    <w:rsid w:val="00156FD2"/>
    <w:rsid w:val="00160E4A"/>
    <w:rsid w:val="00161379"/>
    <w:rsid w:val="0016176C"/>
    <w:rsid w:val="00162236"/>
    <w:rsid w:val="00162F69"/>
    <w:rsid w:val="00163B4D"/>
    <w:rsid w:val="00164003"/>
    <w:rsid w:val="00164252"/>
    <w:rsid w:val="00164C26"/>
    <w:rsid w:val="00165D2A"/>
    <w:rsid w:val="001660C8"/>
    <w:rsid w:val="0016679B"/>
    <w:rsid w:val="001668A8"/>
    <w:rsid w:val="001668DC"/>
    <w:rsid w:val="001672A5"/>
    <w:rsid w:val="00167889"/>
    <w:rsid w:val="00170889"/>
    <w:rsid w:val="00170C9B"/>
    <w:rsid w:val="001717C0"/>
    <w:rsid w:val="00171883"/>
    <w:rsid w:val="00171B5D"/>
    <w:rsid w:val="0017233A"/>
    <w:rsid w:val="00173006"/>
    <w:rsid w:val="00173270"/>
    <w:rsid w:val="00173EDB"/>
    <w:rsid w:val="001742F1"/>
    <w:rsid w:val="00174DAC"/>
    <w:rsid w:val="00175C60"/>
    <w:rsid w:val="00175C88"/>
    <w:rsid w:val="00176436"/>
    <w:rsid w:val="00176A90"/>
    <w:rsid w:val="001773FA"/>
    <w:rsid w:val="00177594"/>
    <w:rsid w:val="00177B49"/>
    <w:rsid w:val="001801E5"/>
    <w:rsid w:val="001807EE"/>
    <w:rsid w:val="00182325"/>
    <w:rsid w:val="00182413"/>
    <w:rsid w:val="00183A78"/>
    <w:rsid w:val="001845E9"/>
    <w:rsid w:val="001857DE"/>
    <w:rsid w:val="00187DF9"/>
    <w:rsid w:val="001909C2"/>
    <w:rsid w:val="0019180F"/>
    <w:rsid w:val="00191B4B"/>
    <w:rsid w:val="00191E3D"/>
    <w:rsid w:val="001920B4"/>
    <w:rsid w:val="00192949"/>
    <w:rsid w:val="0019336E"/>
    <w:rsid w:val="0019353A"/>
    <w:rsid w:val="00193BA8"/>
    <w:rsid w:val="00193E5D"/>
    <w:rsid w:val="00194138"/>
    <w:rsid w:val="00195330"/>
    <w:rsid w:val="00195711"/>
    <w:rsid w:val="00196378"/>
    <w:rsid w:val="00197151"/>
    <w:rsid w:val="00197570"/>
    <w:rsid w:val="0019778D"/>
    <w:rsid w:val="001979B8"/>
    <w:rsid w:val="001A0282"/>
    <w:rsid w:val="001A0324"/>
    <w:rsid w:val="001A0545"/>
    <w:rsid w:val="001A11F0"/>
    <w:rsid w:val="001A1E6C"/>
    <w:rsid w:val="001A2325"/>
    <w:rsid w:val="001A2B22"/>
    <w:rsid w:val="001A352E"/>
    <w:rsid w:val="001A4172"/>
    <w:rsid w:val="001A4D34"/>
    <w:rsid w:val="001A5F57"/>
    <w:rsid w:val="001A6A8C"/>
    <w:rsid w:val="001A76A5"/>
    <w:rsid w:val="001B049C"/>
    <w:rsid w:val="001B1392"/>
    <w:rsid w:val="001B1644"/>
    <w:rsid w:val="001B194C"/>
    <w:rsid w:val="001B1A87"/>
    <w:rsid w:val="001B2010"/>
    <w:rsid w:val="001B2B00"/>
    <w:rsid w:val="001B381C"/>
    <w:rsid w:val="001B5C79"/>
    <w:rsid w:val="001B6EDA"/>
    <w:rsid w:val="001C1F16"/>
    <w:rsid w:val="001C24A3"/>
    <w:rsid w:val="001C28A4"/>
    <w:rsid w:val="001C36F5"/>
    <w:rsid w:val="001C3A3F"/>
    <w:rsid w:val="001C4A65"/>
    <w:rsid w:val="001C4BD0"/>
    <w:rsid w:val="001C5246"/>
    <w:rsid w:val="001C6274"/>
    <w:rsid w:val="001C69E1"/>
    <w:rsid w:val="001C6E7A"/>
    <w:rsid w:val="001C70C7"/>
    <w:rsid w:val="001C7954"/>
    <w:rsid w:val="001C79E5"/>
    <w:rsid w:val="001D03BD"/>
    <w:rsid w:val="001D045B"/>
    <w:rsid w:val="001D0A3E"/>
    <w:rsid w:val="001D0F65"/>
    <w:rsid w:val="001D164C"/>
    <w:rsid w:val="001D16E5"/>
    <w:rsid w:val="001D31A5"/>
    <w:rsid w:val="001D3353"/>
    <w:rsid w:val="001D3A58"/>
    <w:rsid w:val="001D5A0B"/>
    <w:rsid w:val="001D6242"/>
    <w:rsid w:val="001D6268"/>
    <w:rsid w:val="001D6953"/>
    <w:rsid w:val="001D7BC6"/>
    <w:rsid w:val="001D7E9A"/>
    <w:rsid w:val="001E08DA"/>
    <w:rsid w:val="001E0E30"/>
    <w:rsid w:val="001E123F"/>
    <w:rsid w:val="001E1843"/>
    <w:rsid w:val="001E1F6D"/>
    <w:rsid w:val="001E254C"/>
    <w:rsid w:val="001E3D61"/>
    <w:rsid w:val="001E454A"/>
    <w:rsid w:val="001E480D"/>
    <w:rsid w:val="001E4D08"/>
    <w:rsid w:val="001E5A69"/>
    <w:rsid w:val="001E64CC"/>
    <w:rsid w:val="001E730A"/>
    <w:rsid w:val="001E7913"/>
    <w:rsid w:val="001E7AD9"/>
    <w:rsid w:val="001E7F97"/>
    <w:rsid w:val="001F01C4"/>
    <w:rsid w:val="001F06B8"/>
    <w:rsid w:val="001F0734"/>
    <w:rsid w:val="001F07FD"/>
    <w:rsid w:val="001F20CF"/>
    <w:rsid w:val="001F2697"/>
    <w:rsid w:val="001F26C9"/>
    <w:rsid w:val="001F4683"/>
    <w:rsid w:val="001F48CA"/>
    <w:rsid w:val="001F49DD"/>
    <w:rsid w:val="001F4B79"/>
    <w:rsid w:val="001F5196"/>
    <w:rsid w:val="001F51C0"/>
    <w:rsid w:val="001F5297"/>
    <w:rsid w:val="001F6F2D"/>
    <w:rsid w:val="001F72D6"/>
    <w:rsid w:val="0020017C"/>
    <w:rsid w:val="0020159C"/>
    <w:rsid w:val="002015F2"/>
    <w:rsid w:val="002023C1"/>
    <w:rsid w:val="00202410"/>
    <w:rsid w:val="002026C4"/>
    <w:rsid w:val="002027E8"/>
    <w:rsid w:val="00202863"/>
    <w:rsid w:val="00202BED"/>
    <w:rsid w:val="00202F49"/>
    <w:rsid w:val="002037C6"/>
    <w:rsid w:val="00203D8D"/>
    <w:rsid w:val="00204253"/>
    <w:rsid w:val="002043F0"/>
    <w:rsid w:val="00204A64"/>
    <w:rsid w:val="00204C1B"/>
    <w:rsid w:val="002055EA"/>
    <w:rsid w:val="00206021"/>
    <w:rsid w:val="002067E2"/>
    <w:rsid w:val="00206EA6"/>
    <w:rsid w:val="002071C4"/>
    <w:rsid w:val="00207BC4"/>
    <w:rsid w:val="00210980"/>
    <w:rsid w:val="00211145"/>
    <w:rsid w:val="002113ED"/>
    <w:rsid w:val="00211CEA"/>
    <w:rsid w:val="00212B84"/>
    <w:rsid w:val="00215DFE"/>
    <w:rsid w:val="00215F9F"/>
    <w:rsid w:val="002161A2"/>
    <w:rsid w:val="00217F8B"/>
    <w:rsid w:val="002202D0"/>
    <w:rsid w:val="00220726"/>
    <w:rsid w:val="00221035"/>
    <w:rsid w:val="002218A3"/>
    <w:rsid w:val="0022273A"/>
    <w:rsid w:val="0022332C"/>
    <w:rsid w:val="00223984"/>
    <w:rsid w:val="00224260"/>
    <w:rsid w:val="00224C1B"/>
    <w:rsid w:val="00225EB3"/>
    <w:rsid w:val="002260B5"/>
    <w:rsid w:val="002266B8"/>
    <w:rsid w:val="00226732"/>
    <w:rsid w:val="00226C5B"/>
    <w:rsid w:val="002312E4"/>
    <w:rsid w:val="00232A7A"/>
    <w:rsid w:val="00232AAE"/>
    <w:rsid w:val="00232D7D"/>
    <w:rsid w:val="00232FC0"/>
    <w:rsid w:val="0023528E"/>
    <w:rsid w:val="002354C5"/>
    <w:rsid w:val="00235503"/>
    <w:rsid w:val="0023575F"/>
    <w:rsid w:val="00235E95"/>
    <w:rsid w:val="0023628B"/>
    <w:rsid w:val="00236AFD"/>
    <w:rsid w:val="00236B1C"/>
    <w:rsid w:val="00236FE3"/>
    <w:rsid w:val="00237C05"/>
    <w:rsid w:val="00240C32"/>
    <w:rsid w:val="00240F85"/>
    <w:rsid w:val="002417AC"/>
    <w:rsid w:val="00241A40"/>
    <w:rsid w:val="00241CAC"/>
    <w:rsid w:val="00242022"/>
    <w:rsid w:val="002420EA"/>
    <w:rsid w:val="002427E4"/>
    <w:rsid w:val="00242E43"/>
    <w:rsid w:val="0024398B"/>
    <w:rsid w:val="00243A3D"/>
    <w:rsid w:val="0024412B"/>
    <w:rsid w:val="00244757"/>
    <w:rsid w:val="00244991"/>
    <w:rsid w:val="00244DF7"/>
    <w:rsid w:val="00245245"/>
    <w:rsid w:val="0024737D"/>
    <w:rsid w:val="002501AF"/>
    <w:rsid w:val="00250F50"/>
    <w:rsid w:val="00251494"/>
    <w:rsid w:val="0025227F"/>
    <w:rsid w:val="002529B6"/>
    <w:rsid w:val="00252DC3"/>
    <w:rsid w:val="00254D52"/>
    <w:rsid w:val="00255CA7"/>
    <w:rsid w:val="002561BE"/>
    <w:rsid w:val="0025661F"/>
    <w:rsid w:val="00256660"/>
    <w:rsid w:val="00256705"/>
    <w:rsid w:val="00256C52"/>
    <w:rsid w:val="00256EBF"/>
    <w:rsid w:val="00256EEC"/>
    <w:rsid w:val="00257560"/>
    <w:rsid w:val="002575D0"/>
    <w:rsid w:val="00257898"/>
    <w:rsid w:val="00257FF0"/>
    <w:rsid w:val="00260929"/>
    <w:rsid w:val="00262DDE"/>
    <w:rsid w:val="00263283"/>
    <w:rsid w:val="00263985"/>
    <w:rsid w:val="00263BE4"/>
    <w:rsid w:val="00264483"/>
    <w:rsid w:val="0026492C"/>
    <w:rsid w:val="00264986"/>
    <w:rsid w:val="00264AE6"/>
    <w:rsid w:val="002654EE"/>
    <w:rsid w:val="00265611"/>
    <w:rsid w:val="00265C3D"/>
    <w:rsid w:val="00266038"/>
    <w:rsid w:val="0026614E"/>
    <w:rsid w:val="002663C8"/>
    <w:rsid w:val="002671BB"/>
    <w:rsid w:val="002676C2"/>
    <w:rsid w:val="002678AB"/>
    <w:rsid w:val="00270776"/>
    <w:rsid w:val="002708F7"/>
    <w:rsid w:val="00271610"/>
    <w:rsid w:val="00271A05"/>
    <w:rsid w:val="00271D6B"/>
    <w:rsid w:val="00271DA7"/>
    <w:rsid w:val="00271FFA"/>
    <w:rsid w:val="00272831"/>
    <w:rsid w:val="00272EB8"/>
    <w:rsid w:val="002736EB"/>
    <w:rsid w:val="002740A7"/>
    <w:rsid w:val="002741CC"/>
    <w:rsid w:val="0027431A"/>
    <w:rsid w:val="0027454C"/>
    <w:rsid w:val="00274DE4"/>
    <w:rsid w:val="00274E83"/>
    <w:rsid w:val="00275B8A"/>
    <w:rsid w:val="00275ECA"/>
    <w:rsid w:val="00275FF2"/>
    <w:rsid w:val="00276118"/>
    <w:rsid w:val="00276510"/>
    <w:rsid w:val="0027668D"/>
    <w:rsid w:val="002766D5"/>
    <w:rsid w:val="00276A6C"/>
    <w:rsid w:val="00277459"/>
    <w:rsid w:val="00277C03"/>
    <w:rsid w:val="00280543"/>
    <w:rsid w:val="002805FD"/>
    <w:rsid w:val="00280E61"/>
    <w:rsid w:val="00281F4B"/>
    <w:rsid w:val="0028234B"/>
    <w:rsid w:val="00282B53"/>
    <w:rsid w:val="0028452D"/>
    <w:rsid w:val="0028490D"/>
    <w:rsid w:val="002849E1"/>
    <w:rsid w:val="00284AB4"/>
    <w:rsid w:val="002855D6"/>
    <w:rsid w:val="0028666A"/>
    <w:rsid w:val="00286F13"/>
    <w:rsid w:val="00286F41"/>
    <w:rsid w:val="00287027"/>
    <w:rsid w:val="00287E34"/>
    <w:rsid w:val="00290489"/>
    <w:rsid w:val="00291877"/>
    <w:rsid w:val="00291FAF"/>
    <w:rsid w:val="002921E3"/>
    <w:rsid w:val="0029279D"/>
    <w:rsid w:val="00293709"/>
    <w:rsid w:val="00293E08"/>
    <w:rsid w:val="002940C9"/>
    <w:rsid w:val="002943A5"/>
    <w:rsid w:val="00295027"/>
    <w:rsid w:val="002952B8"/>
    <w:rsid w:val="00295DD9"/>
    <w:rsid w:val="0029651F"/>
    <w:rsid w:val="0029675A"/>
    <w:rsid w:val="0029683C"/>
    <w:rsid w:val="002974FD"/>
    <w:rsid w:val="00297636"/>
    <w:rsid w:val="002977EA"/>
    <w:rsid w:val="00297DD8"/>
    <w:rsid w:val="002A05F9"/>
    <w:rsid w:val="002A206C"/>
    <w:rsid w:val="002A2757"/>
    <w:rsid w:val="002A27C9"/>
    <w:rsid w:val="002A330C"/>
    <w:rsid w:val="002A3FF8"/>
    <w:rsid w:val="002A4DAC"/>
    <w:rsid w:val="002A56BE"/>
    <w:rsid w:val="002A58C9"/>
    <w:rsid w:val="002A5B29"/>
    <w:rsid w:val="002A5CA3"/>
    <w:rsid w:val="002A679D"/>
    <w:rsid w:val="002A6935"/>
    <w:rsid w:val="002A695D"/>
    <w:rsid w:val="002B1109"/>
    <w:rsid w:val="002B1410"/>
    <w:rsid w:val="002B1917"/>
    <w:rsid w:val="002B1931"/>
    <w:rsid w:val="002B19E5"/>
    <w:rsid w:val="002B1A19"/>
    <w:rsid w:val="002B1CB9"/>
    <w:rsid w:val="002B2B29"/>
    <w:rsid w:val="002B34DB"/>
    <w:rsid w:val="002B3732"/>
    <w:rsid w:val="002B39E0"/>
    <w:rsid w:val="002B4355"/>
    <w:rsid w:val="002B4A9C"/>
    <w:rsid w:val="002B4DC6"/>
    <w:rsid w:val="002B4E29"/>
    <w:rsid w:val="002B5371"/>
    <w:rsid w:val="002B53EE"/>
    <w:rsid w:val="002B5613"/>
    <w:rsid w:val="002B595B"/>
    <w:rsid w:val="002B6AB4"/>
    <w:rsid w:val="002B6AEC"/>
    <w:rsid w:val="002B6D2F"/>
    <w:rsid w:val="002C03AE"/>
    <w:rsid w:val="002C06AA"/>
    <w:rsid w:val="002C1530"/>
    <w:rsid w:val="002C155D"/>
    <w:rsid w:val="002C1622"/>
    <w:rsid w:val="002C28F1"/>
    <w:rsid w:val="002C2EF6"/>
    <w:rsid w:val="002C2F9F"/>
    <w:rsid w:val="002C36CD"/>
    <w:rsid w:val="002C3BDD"/>
    <w:rsid w:val="002C3D63"/>
    <w:rsid w:val="002C45FC"/>
    <w:rsid w:val="002C49EB"/>
    <w:rsid w:val="002C5D2F"/>
    <w:rsid w:val="002C6BF7"/>
    <w:rsid w:val="002C6F57"/>
    <w:rsid w:val="002C74FA"/>
    <w:rsid w:val="002D0469"/>
    <w:rsid w:val="002D181A"/>
    <w:rsid w:val="002D2141"/>
    <w:rsid w:val="002D2DDE"/>
    <w:rsid w:val="002D3418"/>
    <w:rsid w:val="002D395A"/>
    <w:rsid w:val="002D40FB"/>
    <w:rsid w:val="002D428F"/>
    <w:rsid w:val="002D4C4E"/>
    <w:rsid w:val="002D597A"/>
    <w:rsid w:val="002D6219"/>
    <w:rsid w:val="002D6765"/>
    <w:rsid w:val="002D6A40"/>
    <w:rsid w:val="002D6EC6"/>
    <w:rsid w:val="002D7CDB"/>
    <w:rsid w:val="002D7D8F"/>
    <w:rsid w:val="002E069E"/>
    <w:rsid w:val="002E07E6"/>
    <w:rsid w:val="002E0FAF"/>
    <w:rsid w:val="002E1458"/>
    <w:rsid w:val="002E32D4"/>
    <w:rsid w:val="002E36BB"/>
    <w:rsid w:val="002E3BFC"/>
    <w:rsid w:val="002E3D19"/>
    <w:rsid w:val="002E3E98"/>
    <w:rsid w:val="002E44A0"/>
    <w:rsid w:val="002E5CEF"/>
    <w:rsid w:val="002E5DC9"/>
    <w:rsid w:val="002E5E4C"/>
    <w:rsid w:val="002E6594"/>
    <w:rsid w:val="002E6A29"/>
    <w:rsid w:val="002E73CF"/>
    <w:rsid w:val="002E79BF"/>
    <w:rsid w:val="002E7A07"/>
    <w:rsid w:val="002F139B"/>
    <w:rsid w:val="002F1556"/>
    <w:rsid w:val="002F241F"/>
    <w:rsid w:val="002F33EA"/>
    <w:rsid w:val="002F3C10"/>
    <w:rsid w:val="002F4712"/>
    <w:rsid w:val="002F4A5D"/>
    <w:rsid w:val="002F4D56"/>
    <w:rsid w:val="002F4EE5"/>
    <w:rsid w:val="002F57D9"/>
    <w:rsid w:val="002F5931"/>
    <w:rsid w:val="002F645D"/>
    <w:rsid w:val="002F64B0"/>
    <w:rsid w:val="002F6970"/>
    <w:rsid w:val="002F6DEB"/>
    <w:rsid w:val="002F70BA"/>
    <w:rsid w:val="002F75DC"/>
    <w:rsid w:val="002F7A17"/>
    <w:rsid w:val="002F7C50"/>
    <w:rsid w:val="00300FD8"/>
    <w:rsid w:val="003013AA"/>
    <w:rsid w:val="003019B9"/>
    <w:rsid w:val="00301CDA"/>
    <w:rsid w:val="00301FC1"/>
    <w:rsid w:val="00302D10"/>
    <w:rsid w:val="00303009"/>
    <w:rsid w:val="003031D7"/>
    <w:rsid w:val="0030361C"/>
    <w:rsid w:val="003037FC"/>
    <w:rsid w:val="00305545"/>
    <w:rsid w:val="00306169"/>
    <w:rsid w:val="00306B20"/>
    <w:rsid w:val="00306BBA"/>
    <w:rsid w:val="00306C6D"/>
    <w:rsid w:val="003070CE"/>
    <w:rsid w:val="003072F9"/>
    <w:rsid w:val="00307DA9"/>
    <w:rsid w:val="00310631"/>
    <w:rsid w:val="00310AFB"/>
    <w:rsid w:val="00310F9C"/>
    <w:rsid w:val="00311122"/>
    <w:rsid w:val="003116F7"/>
    <w:rsid w:val="00311A40"/>
    <w:rsid w:val="00311E12"/>
    <w:rsid w:val="00312039"/>
    <w:rsid w:val="00312A9E"/>
    <w:rsid w:val="00313FA4"/>
    <w:rsid w:val="0031461B"/>
    <w:rsid w:val="00314B89"/>
    <w:rsid w:val="00315AA2"/>
    <w:rsid w:val="00315B49"/>
    <w:rsid w:val="003161D1"/>
    <w:rsid w:val="00317BD6"/>
    <w:rsid w:val="00317C12"/>
    <w:rsid w:val="00321681"/>
    <w:rsid w:val="00322812"/>
    <w:rsid w:val="00322D46"/>
    <w:rsid w:val="00322F4B"/>
    <w:rsid w:val="00323B43"/>
    <w:rsid w:val="00323E01"/>
    <w:rsid w:val="00323FE3"/>
    <w:rsid w:val="003242A1"/>
    <w:rsid w:val="00324ABB"/>
    <w:rsid w:val="00324B00"/>
    <w:rsid w:val="00325B90"/>
    <w:rsid w:val="00326393"/>
    <w:rsid w:val="00326A9F"/>
    <w:rsid w:val="00326F7D"/>
    <w:rsid w:val="00327DF2"/>
    <w:rsid w:val="00330469"/>
    <w:rsid w:val="0033047E"/>
    <w:rsid w:val="00330776"/>
    <w:rsid w:val="00330DDC"/>
    <w:rsid w:val="00331384"/>
    <w:rsid w:val="00332AA8"/>
    <w:rsid w:val="00332DE4"/>
    <w:rsid w:val="00333132"/>
    <w:rsid w:val="00333CD2"/>
    <w:rsid w:val="00334E20"/>
    <w:rsid w:val="003377F7"/>
    <w:rsid w:val="00337F2B"/>
    <w:rsid w:val="00340BB7"/>
    <w:rsid w:val="0034104A"/>
    <w:rsid w:val="00341B6B"/>
    <w:rsid w:val="00341D7E"/>
    <w:rsid w:val="0034253A"/>
    <w:rsid w:val="00342542"/>
    <w:rsid w:val="00342BBA"/>
    <w:rsid w:val="00342BF3"/>
    <w:rsid w:val="003439F6"/>
    <w:rsid w:val="00343A86"/>
    <w:rsid w:val="00344810"/>
    <w:rsid w:val="00344C45"/>
    <w:rsid w:val="00344E38"/>
    <w:rsid w:val="00345322"/>
    <w:rsid w:val="003453AB"/>
    <w:rsid w:val="0034609E"/>
    <w:rsid w:val="00346B3D"/>
    <w:rsid w:val="00347126"/>
    <w:rsid w:val="003474E1"/>
    <w:rsid w:val="0034786A"/>
    <w:rsid w:val="00347EFC"/>
    <w:rsid w:val="00350B00"/>
    <w:rsid w:val="003510D2"/>
    <w:rsid w:val="003522EF"/>
    <w:rsid w:val="0035258B"/>
    <w:rsid w:val="00353682"/>
    <w:rsid w:val="00353B2F"/>
    <w:rsid w:val="003540CA"/>
    <w:rsid w:val="00354392"/>
    <w:rsid w:val="0035583E"/>
    <w:rsid w:val="00355904"/>
    <w:rsid w:val="00355BD7"/>
    <w:rsid w:val="00355C09"/>
    <w:rsid w:val="0035623C"/>
    <w:rsid w:val="00357430"/>
    <w:rsid w:val="00357BAA"/>
    <w:rsid w:val="00357BEB"/>
    <w:rsid w:val="003601E8"/>
    <w:rsid w:val="00360364"/>
    <w:rsid w:val="003608AE"/>
    <w:rsid w:val="00360B72"/>
    <w:rsid w:val="00360D0B"/>
    <w:rsid w:val="00362B6F"/>
    <w:rsid w:val="0036406F"/>
    <w:rsid w:val="00364CFE"/>
    <w:rsid w:val="0036538D"/>
    <w:rsid w:val="00365AB2"/>
    <w:rsid w:val="0036669B"/>
    <w:rsid w:val="003667CB"/>
    <w:rsid w:val="00366B50"/>
    <w:rsid w:val="003673A8"/>
    <w:rsid w:val="00367B31"/>
    <w:rsid w:val="003701B6"/>
    <w:rsid w:val="00370717"/>
    <w:rsid w:val="00370DAD"/>
    <w:rsid w:val="00370E8A"/>
    <w:rsid w:val="00371251"/>
    <w:rsid w:val="003719BC"/>
    <w:rsid w:val="00372A1E"/>
    <w:rsid w:val="00372E0E"/>
    <w:rsid w:val="003733E9"/>
    <w:rsid w:val="00373878"/>
    <w:rsid w:val="00375BC6"/>
    <w:rsid w:val="00375ECB"/>
    <w:rsid w:val="00380555"/>
    <w:rsid w:val="00380557"/>
    <w:rsid w:val="003816B0"/>
    <w:rsid w:val="00382725"/>
    <w:rsid w:val="0038295E"/>
    <w:rsid w:val="00382A94"/>
    <w:rsid w:val="003847B1"/>
    <w:rsid w:val="00385FBF"/>
    <w:rsid w:val="0038641E"/>
    <w:rsid w:val="0038643D"/>
    <w:rsid w:val="00386908"/>
    <w:rsid w:val="00386B13"/>
    <w:rsid w:val="00386E21"/>
    <w:rsid w:val="00386E34"/>
    <w:rsid w:val="00386F89"/>
    <w:rsid w:val="003879E3"/>
    <w:rsid w:val="00390515"/>
    <w:rsid w:val="00390832"/>
    <w:rsid w:val="003916AE"/>
    <w:rsid w:val="00392CF0"/>
    <w:rsid w:val="00393709"/>
    <w:rsid w:val="00393E3A"/>
    <w:rsid w:val="00393F5B"/>
    <w:rsid w:val="0039446B"/>
    <w:rsid w:val="003946DC"/>
    <w:rsid w:val="00394872"/>
    <w:rsid w:val="003948D2"/>
    <w:rsid w:val="00396332"/>
    <w:rsid w:val="003968E2"/>
    <w:rsid w:val="00396903"/>
    <w:rsid w:val="00396E9B"/>
    <w:rsid w:val="00396F20"/>
    <w:rsid w:val="00397435"/>
    <w:rsid w:val="003974B2"/>
    <w:rsid w:val="003A0E77"/>
    <w:rsid w:val="003A17D1"/>
    <w:rsid w:val="003A185D"/>
    <w:rsid w:val="003A1BAE"/>
    <w:rsid w:val="003A1D43"/>
    <w:rsid w:val="003A2353"/>
    <w:rsid w:val="003A2374"/>
    <w:rsid w:val="003A29DA"/>
    <w:rsid w:val="003A2BB1"/>
    <w:rsid w:val="003A3425"/>
    <w:rsid w:val="003A3A4B"/>
    <w:rsid w:val="003A420C"/>
    <w:rsid w:val="003A43F6"/>
    <w:rsid w:val="003A461B"/>
    <w:rsid w:val="003A4758"/>
    <w:rsid w:val="003A4968"/>
    <w:rsid w:val="003A4FCE"/>
    <w:rsid w:val="003A5F5A"/>
    <w:rsid w:val="003B00C7"/>
    <w:rsid w:val="003B07DC"/>
    <w:rsid w:val="003B09CF"/>
    <w:rsid w:val="003B16DA"/>
    <w:rsid w:val="003B249A"/>
    <w:rsid w:val="003B318B"/>
    <w:rsid w:val="003B3EAE"/>
    <w:rsid w:val="003B4DE9"/>
    <w:rsid w:val="003B6F69"/>
    <w:rsid w:val="003B74C4"/>
    <w:rsid w:val="003B7874"/>
    <w:rsid w:val="003C164A"/>
    <w:rsid w:val="003C1B40"/>
    <w:rsid w:val="003C1FE8"/>
    <w:rsid w:val="003C217C"/>
    <w:rsid w:val="003C2A0F"/>
    <w:rsid w:val="003C318F"/>
    <w:rsid w:val="003C370E"/>
    <w:rsid w:val="003C3965"/>
    <w:rsid w:val="003C458F"/>
    <w:rsid w:val="003C4AB0"/>
    <w:rsid w:val="003C551B"/>
    <w:rsid w:val="003C5D17"/>
    <w:rsid w:val="003C6432"/>
    <w:rsid w:val="003C64D2"/>
    <w:rsid w:val="003C6FFD"/>
    <w:rsid w:val="003C792A"/>
    <w:rsid w:val="003D0916"/>
    <w:rsid w:val="003D0AAF"/>
    <w:rsid w:val="003D10E8"/>
    <w:rsid w:val="003D1818"/>
    <w:rsid w:val="003D2704"/>
    <w:rsid w:val="003D2E46"/>
    <w:rsid w:val="003D2E83"/>
    <w:rsid w:val="003D314C"/>
    <w:rsid w:val="003D31D1"/>
    <w:rsid w:val="003D331B"/>
    <w:rsid w:val="003D3355"/>
    <w:rsid w:val="003D34B6"/>
    <w:rsid w:val="003D37D8"/>
    <w:rsid w:val="003D479C"/>
    <w:rsid w:val="003D50FE"/>
    <w:rsid w:val="003D51A1"/>
    <w:rsid w:val="003D5EE4"/>
    <w:rsid w:val="003D6F05"/>
    <w:rsid w:val="003D7372"/>
    <w:rsid w:val="003D7DE1"/>
    <w:rsid w:val="003E0D67"/>
    <w:rsid w:val="003E1C14"/>
    <w:rsid w:val="003E30C4"/>
    <w:rsid w:val="003E4474"/>
    <w:rsid w:val="003E4D46"/>
    <w:rsid w:val="003E5158"/>
    <w:rsid w:val="003E55E1"/>
    <w:rsid w:val="003E57E9"/>
    <w:rsid w:val="003E5B39"/>
    <w:rsid w:val="003E6F20"/>
    <w:rsid w:val="003E723A"/>
    <w:rsid w:val="003E7B9F"/>
    <w:rsid w:val="003F002D"/>
    <w:rsid w:val="003F06CB"/>
    <w:rsid w:val="003F1402"/>
    <w:rsid w:val="003F1C6F"/>
    <w:rsid w:val="003F26B1"/>
    <w:rsid w:val="003F3301"/>
    <w:rsid w:val="003F3DA1"/>
    <w:rsid w:val="003F44CD"/>
    <w:rsid w:val="003F5A2D"/>
    <w:rsid w:val="003F5E63"/>
    <w:rsid w:val="003F6125"/>
    <w:rsid w:val="003F6E89"/>
    <w:rsid w:val="003F74EE"/>
    <w:rsid w:val="003F7B73"/>
    <w:rsid w:val="003F7CD6"/>
    <w:rsid w:val="004001D2"/>
    <w:rsid w:val="00400C0E"/>
    <w:rsid w:val="00400D51"/>
    <w:rsid w:val="0040169C"/>
    <w:rsid w:val="00402322"/>
    <w:rsid w:val="00402355"/>
    <w:rsid w:val="00403806"/>
    <w:rsid w:val="00403BAF"/>
    <w:rsid w:val="0040478D"/>
    <w:rsid w:val="00404F43"/>
    <w:rsid w:val="00405C19"/>
    <w:rsid w:val="00406197"/>
    <w:rsid w:val="00407A8B"/>
    <w:rsid w:val="00407EFB"/>
    <w:rsid w:val="004102C5"/>
    <w:rsid w:val="00410E0B"/>
    <w:rsid w:val="00412C81"/>
    <w:rsid w:val="004132BC"/>
    <w:rsid w:val="004148D7"/>
    <w:rsid w:val="004148E8"/>
    <w:rsid w:val="00414DEC"/>
    <w:rsid w:val="00414F66"/>
    <w:rsid w:val="00416CD4"/>
    <w:rsid w:val="00417319"/>
    <w:rsid w:val="0041739F"/>
    <w:rsid w:val="004173DB"/>
    <w:rsid w:val="00417806"/>
    <w:rsid w:val="004178AA"/>
    <w:rsid w:val="00417BD8"/>
    <w:rsid w:val="00417EF4"/>
    <w:rsid w:val="0042011D"/>
    <w:rsid w:val="00420917"/>
    <w:rsid w:val="004209CD"/>
    <w:rsid w:val="00420C09"/>
    <w:rsid w:val="0042177B"/>
    <w:rsid w:val="00421E8C"/>
    <w:rsid w:val="004226FE"/>
    <w:rsid w:val="004229FA"/>
    <w:rsid w:val="00423DC0"/>
    <w:rsid w:val="004248C8"/>
    <w:rsid w:val="00424F33"/>
    <w:rsid w:val="00425FC2"/>
    <w:rsid w:val="00426133"/>
    <w:rsid w:val="00426AF9"/>
    <w:rsid w:val="00427BF3"/>
    <w:rsid w:val="00427D89"/>
    <w:rsid w:val="00427E25"/>
    <w:rsid w:val="00430BBB"/>
    <w:rsid w:val="00431558"/>
    <w:rsid w:val="00431939"/>
    <w:rsid w:val="0043287E"/>
    <w:rsid w:val="004328BC"/>
    <w:rsid w:val="00432E31"/>
    <w:rsid w:val="00433086"/>
    <w:rsid w:val="00433477"/>
    <w:rsid w:val="00433950"/>
    <w:rsid w:val="00433AE8"/>
    <w:rsid w:val="00433EEF"/>
    <w:rsid w:val="00433F2B"/>
    <w:rsid w:val="00434C6D"/>
    <w:rsid w:val="004358AB"/>
    <w:rsid w:val="00435FA9"/>
    <w:rsid w:val="0043659C"/>
    <w:rsid w:val="00437225"/>
    <w:rsid w:val="00437FE9"/>
    <w:rsid w:val="0044182C"/>
    <w:rsid w:val="0044301A"/>
    <w:rsid w:val="00443E2A"/>
    <w:rsid w:val="00444383"/>
    <w:rsid w:val="0044480D"/>
    <w:rsid w:val="0044491C"/>
    <w:rsid w:val="00444BED"/>
    <w:rsid w:val="004457C0"/>
    <w:rsid w:val="0044588B"/>
    <w:rsid w:val="00445E54"/>
    <w:rsid w:val="00446338"/>
    <w:rsid w:val="004471E2"/>
    <w:rsid w:val="00451251"/>
    <w:rsid w:val="004517ED"/>
    <w:rsid w:val="004527E6"/>
    <w:rsid w:val="00452AE5"/>
    <w:rsid w:val="004533CF"/>
    <w:rsid w:val="0045340F"/>
    <w:rsid w:val="004548C3"/>
    <w:rsid w:val="004565AE"/>
    <w:rsid w:val="00456F31"/>
    <w:rsid w:val="00457E14"/>
    <w:rsid w:val="00460564"/>
    <w:rsid w:val="004609A2"/>
    <w:rsid w:val="004609A5"/>
    <w:rsid w:val="00460ADB"/>
    <w:rsid w:val="00460B78"/>
    <w:rsid w:val="00460E05"/>
    <w:rsid w:val="00460E2A"/>
    <w:rsid w:val="00461E4A"/>
    <w:rsid w:val="0046237C"/>
    <w:rsid w:val="004625D4"/>
    <w:rsid w:val="00462997"/>
    <w:rsid w:val="00463717"/>
    <w:rsid w:val="00463A46"/>
    <w:rsid w:val="004642E1"/>
    <w:rsid w:val="0046470B"/>
    <w:rsid w:val="00465C4C"/>
    <w:rsid w:val="0046676D"/>
    <w:rsid w:val="004667FB"/>
    <w:rsid w:val="00466D62"/>
    <w:rsid w:val="004670F8"/>
    <w:rsid w:val="00467558"/>
    <w:rsid w:val="00467969"/>
    <w:rsid w:val="00470C5F"/>
    <w:rsid w:val="00470DFF"/>
    <w:rsid w:val="00472000"/>
    <w:rsid w:val="00472098"/>
    <w:rsid w:val="0047316C"/>
    <w:rsid w:val="004731A2"/>
    <w:rsid w:val="0047356B"/>
    <w:rsid w:val="00473AFD"/>
    <w:rsid w:val="00473F28"/>
    <w:rsid w:val="00474012"/>
    <w:rsid w:val="004746D7"/>
    <w:rsid w:val="004747BE"/>
    <w:rsid w:val="0047496A"/>
    <w:rsid w:val="004755F8"/>
    <w:rsid w:val="00476132"/>
    <w:rsid w:val="0047708B"/>
    <w:rsid w:val="0047731D"/>
    <w:rsid w:val="00477C96"/>
    <w:rsid w:val="004805E5"/>
    <w:rsid w:val="00480702"/>
    <w:rsid w:val="00480749"/>
    <w:rsid w:val="00480762"/>
    <w:rsid w:val="00481362"/>
    <w:rsid w:val="004817AF"/>
    <w:rsid w:val="00483002"/>
    <w:rsid w:val="00484F9A"/>
    <w:rsid w:val="00485200"/>
    <w:rsid w:val="004869AB"/>
    <w:rsid w:val="00486ED8"/>
    <w:rsid w:val="00486F45"/>
    <w:rsid w:val="00487B0E"/>
    <w:rsid w:val="00490337"/>
    <w:rsid w:val="004906E6"/>
    <w:rsid w:val="004909AD"/>
    <w:rsid w:val="00491217"/>
    <w:rsid w:val="00491B9B"/>
    <w:rsid w:val="00491E40"/>
    <w:rsid w:val="00492742"/>
    <w:rsid w:val="00492754"/>
    <w:rsid w:val="00492BDB"/>
    <w:rsid w:val="00492F04"/>
    <w:rsid w:val="004932F3"/>
    <w:rsid w:val="00493AEF"/>
    <w:rsid w:val="00493E2E"/>
    <w:rsid w:val="00493FEF"/>
    <w:rsid w:val="0049417C"/>
    <w:rsid w:val="004943CB"/>
    <w:rsid w:val="00494D9A"/>
    <w:rsid w:val="00495A6A"/>
    <w:rsid w:val="00495DF2"/>
    <w:rsid w:val="00496B16"/>
    <w:rsid w:val="004A0823"/>
    <w:rsid w:val="004A08E2"/>
    <w:rsid w:val="004A0DCD"/>
    <w:rsid w:val="004A13FD"/>
    <w:rsid w:val="004A1E6F"/>
    <w:rsid w:val="004A2B7A"/>
    <w:rsid w:val="004A4136"/>
    <w:rsid w:val="004A414D"/>
    <w:rsid w:val="004A41A3"/>
    <w:rsid w:val="004A42F0"/>
    <w:rsid w:val="004A4B8E"/>
    <w:rsid w:val="004A539F"/>
    <w:rsid w:val="004A59A9"/>
    <w:rsid w:val="004A5A8A"/>
    <w:rsid w:val="004A6380"/>
    <w:rsid w:val="004A6D96"/>
    <w:rsid w:val="004A70EB"/>
    <w:rsid w:val="004A7447"/>
    <w:rsid w:val="004A76B1"/>
    <w:rsid w:val="004B14D5"/>
    <w:rsid w:val="004B16A3"/>
    <w:rsid w:val="004B1793"/>
    <w:rsid w:val="004B18F6"/>
    <w:rsid w:val="004B2153"/>
    <w:rsid w:val="004B218F"/>
    <w:rsid w:val="004B251B"/>
    <w:rsid w:val="004B302D"/>
    <w:rsid w:val="004B345C"/>
    <w:rsid w:val="004B3A99"/>
    <w:rsid w:val="004B5189"/>
    <w:rsid w:val="004B53B6"/>
    <w:rsid w:val="004B6C12"/>
    <w:rsid w:val="004B6CC8"/>
    <w:rsid w:val="004B6D7F"/>
    <w:rsid w:val="004C0894"/>
    <w:rsid w:val="004C0D1B"/>
    <w:rsid w:val="004C13E9"/>
    <w:rsid w:val="004C1D08"/>
    <w:rsid w:val="004C2205"/>
    <w:rsid w:val="004C2B37"/>
    <w:rsid w:val="004C2F71"/>
    <w:rsid w:val="004C2FC5"/>
    <w:rsid w:val="004C32B9"/>
    <w:rsid w:val="004C335E"/>
    <w:rsid w:val="004C40EF"/>
    <w:rsid w:val="004C4DBF"/>
    <w:rsid w:val="004C5DE5"/>
    <w:rsid w:val="004C6463"/>
    <w:rsid w:val="004C6EFD"/>
    <w:rsid w:val="004C700D"/>
    <w:rsid w:val="004C7484"/>
    <w:rsid w:val="004C771F"/>
    <w:rsid w:val="004D04DB"/>
    <w:rsid w:val="004D0567"/>
    <w:rsid w:val="004D0626"/>
    <w:rsid w:val="004D0E23"/>
    <w:rsid w:val="004D0F28"/>
    <w:rsid w:val="004D16D5"/>
    <w:rsid w:val="004D1CFF"/>
    <w:rsid w:val="004D1DBE"/>
    <w:rsid w:val="004D1E34"/>
    <w:rsid w:val="004D28F4"/>
    <w:rsid w:val="004D354E"/>
    <w:rsid w:val="004D3EDF"/>
    <w:rsid w:val="004D44F6"/>
    <w:rsid w:val="004D463B"/>
    <w:rsid w:val="004D4A08"/>
    <w:rsid w:val="004D4A94"/>
    <w:rsid w:val="004E0B99"/>
    <w:rsid w:val="004E0DA0"/>
    <w:rsid w:val="004E12A8"/>
    <w:rsid w:val="004E23AD"/>
    <w:rsid w:val="004E2E47"/>
    <w:rsid w:val="004E32E0"/>
    <w:rsid w:val="004E4096"/>
    <w:rsid w:val="004E5E5F"/>
    <w:rsid w:val="004E63D6"/>
    <w:rsid w:val="004E75B5"/>
    <w:rsid w:val="004F1711"/>
    <w:rsid w:val="004F1893"/>
    <w:rsid w:val="004F1EA1"/>
    <w:rsid w:val="004F20D3"/>
    <w:rsid w:val="004F2D75"/>
    <w:rsid w:val="004F2FDA"/>
    <w:rsid w:val="004F30D2"/>
    <w:rsid w:val="004F344F"/>
    <w:rsid w:val="004F3C43"/>
    <w:rsid w:val="004F3C47"/>
    <w:rsid w:val="004F3CE8"/>
    <w:rsid w:val="004F4FFE"/>
    <w:rsid w:val="004F5122"/>
    <w:rsid w:val="004F5569"/>
    <w:rsid w:val="004F58B6"/>
    <w:rsid w:val="004F59FB"/>
    <w:rsid w:val="004F5C7B"/>
    <w:rsid w:val="004F5F0F"/>
    <w:rsid w:val="004F69F2"/>
    <w:rsid w:val="004F6F46"/>
    <w:rsid w:val="004F7699"/>
    <w:rsid w:val="004F7D48"/>
    <w:rsid w:val="00500AA3"/>
    <w:rsid w:val="00500D79"/>
    <w:rsid w:val="00500D84"/>
    <w:rsid w:val="00500E22"/>
    <w:rsid w:val="00501F72"/>
    <w:rsid w:val="00502B5A"/>
    <w:rsid w:val="00503323"/>
    <w:rsid w:val="00503CD2"/>
    <w:rsid w:val="0050426D"/>
    <w:rsid w:val="00504C35"/>
    <w:rsid w:val="00504E14"/>
    <w:rsid w:val="005055DA"/>
    <w:rsid w:val="00505891"/>
    <w:rsid w:val="005060D5"/>
    <w:rsid w:val="005069CC"/>
    <w:rsid w:val="00507063"/>
    <w:rsid w:val="00507866"/>
    <w:rsid w:val="0050790D"/>
    <w:rsid w:val="00510C2B"/>
    <w:rsid w:val="0051112B"/>
    <w:rsid w:val="005118D4"/>
    <w:rsid w:val="0051235D"/>
    <w:rsid w:val="005125E6"/>
    <w:rsid w:val="005145BE"/>
    <w:rsid w:val="00514757"/>
    <w:rsid w:val="0051653F"/>
    <w:rsid w:val="00516809"/>
    <w:rsid w:val="00516B65"/>
    <w:rsid w:val="00517094"/>
    <w:rsid w:val="005174F0"/>
    <w:rsid w:val="00517532"/>
    <w:rsid w:val="00520816"/>
    <w:rsid w:val="00522018"/>
    <w:rsid w:val="005225AB"/>
    <w:rsid w:val="00522FF8"/>
    <w:rsid w:val="005236F3"/>
    <w:rsid w:val="005240FE"/>
    <w:rsid w:val="00525671"/>
    <w:rsid w:val="00526039"/>
    <w:rsid w:val="00526596"/>
    <w:rsid w:val="00526FCE"/>
    <w:rsid w:val="00527339"/>
    <w:rsid w:val="005277A4"/>
    <w:rsid w:val="005279D7"/>
    <w:rsid w:val="00527A85"/>
    <w:rsid w:val="00527E21"/>
    <w:rsid w:val="00527F05"/>
    <w:rsid w:val="00530A52"/>
    <w:rsid w:val="00530B8D"/>
    <w:rsid w:val="00530F98"/>
    <w:rsid w:val="00531161"/>
    <w:rsid w:val="00531280"/>
    <w:rsid w:val="00532601"/>
    <w:rsid w:val="00532674"/>
    <w:rsid w:val="00533849"/>
    <w:rsid w:val="00533B3D"/>
    <w:rsid w:val="00533BCC"/>
    <w:rsid w:val="005342A0"/>
    <w:rsid w:val="00535EEB"/>
    <w:rsid w:val="00535F2D"/>
    <w:rsid w:val="0053780A"/>
    <w:rsid w:val="00537F07"/>
    <w:rsid w:val="0054037D"/>
    <w:rsid w:val="0054078E"/>
    <w:rsid w:val="0054210C"/>
    <w:rsid w:val="0054212F"/>
    <w:rsid w:val="0054306B"/>
    <w:rsid w:val="00543187"/>
    <w:rsid w:val="00543543"/>
    <w:rsid w:val="0054360C"/>
    <w:rsid w:val="0054377C"/>
    <w:rsid w:val="00543E71"/>
    <w:rsid w:val="00543EF5"/>
    <w:rsid w:val="0054403F"/>
    <w:rsid w:val="00544E71"/>
    <w:rsid w:val="0054500C"/>
    <w:rsid w:val="00545401"/>
    <w:rsid w:val="005457A0"/>
    <w:rsid w:val="005462E3"/>
    <w:rsid w:val="005470AB"/>
    <w:rsid w:val="00547C99"/>
    <w:rsid w:val="00547D7E"/>
    <w:rsid w:val="00547EAE"/>
    <w:rsid w:val="0055048A"/>
    <w:rsid w:val="00550D2F"/>
    <w:rsid w:val="00551457"/>
    <w:rsid w:val="00551E65"/>
    <w:rsid w:val="005533B8"/>
    <w:rsid w:val="00553F21"/>
    <w:rsid w:val="00554272"/>
    <w:rsid w:val="00554746"/>
    <w:rsid w:val="00554F10"/>
    <w:rsid w:val="00555033"/>
    <w:rsid w:val="00555117"/>
    <w:rsid w:val="005551D7"/>
    <w:rsid w:val="005574D7"/>
    <w:rsid w:val="005577B5"/>
    <w:rsid w:val="005579EF"/>
    <w:rsid w:val="005606F2"/>
    <w:rsid w:val="005619A9"/>
    <w:rsid w:val="00561A51"/>
    <w:rsid w:val="00562B56"/>
    <w:rsid w:val="00563B26"/>
    <w:rsid w:val="0056529B"/>
    <w:rsid w:val="00565514"/>
    <w:rsid w:val="005662DA"/>
    <w:rsid w:val="005668C7"/>
    <w:rsid w:val="00566BE8"/>
    <w:rsid w:val="00566CE3"/>
    <w:rsid w:val="00566D92"/>
    <w:rsid w:val="0056739C"/>
    <w:rsid w:val="0056759C"/>
    <w:rsid w:val="005675D7"/>
    <w:rsid w:val="00567D57"/>
    <w:rsid w:val="00567F1F"/>
    <w:rsid w:val="0057009E"/>
    <w:rsid w:val="00571A44"/>
    <w:rsid w:val="0057256F"/>
    <w:rsid w:val="00572F86"/>
    <w:rsid w:val="00573088"/>
    <w:rsid w:val="00573B64"/>
    <w:rsid w:val="00573EBB"/>
    <w:rsid w:val="00574DC2"/>
    <w:rsid w:val="005753A2"/>
    <w:rsid w:val="00575BF6"/>
    <w:rsid w:val="005769D4"/>
    <w:rsid w:val="0057707A"/>
    <w:rsid w:val="00577EC9"/>
    <w:rsid w:val="00580C25"/>
    <w:rsid w:val="00580E3F"/>
    <w:rsid w:val="00581294"/>
    <w:rsid w:val="00581EDE"/>
    <w:rsid w:val="005821F8"/>
    <w:rsid w:val="00582670"/>
    <w:rsid w:val="005840F9"/>
    <w:rsid w:val="00584650"/>
    <w:rsid w:val="00585789"/>
    <w:rsid w:val="0058584F"/>
    <w:rsid w:val="005865C6"/>
    <w:rsid w:val="005866FD"/>
    <w:rsid w:val="00587191"/>
    <w:rsid w:val="00587F85"/>
    <w:rsid w:val="00590674"/>
    <w:rsid w:val="0059137C"/>
    <w:rsid w:val="00592E62"/>
    <w:rsid w:val="00592F66"/>
    <w:rsid w:val="00595A91"/>
    <w:rsid w:val="00596807"/>
    <w:rsid w:val="0059780A"/>
    <w:rsid w:val="00597EB3"/>
    <w:rsid w:val="005A0396"/>
    <w:rsid w:val="005A0580"/>
    <w:rsid w:val="005A0879"/>
    <w:rsid w:val="005A0AC0"/>
    <w:rsid w:val="005A0B66"/>
    <w:rsid w:val="005A2CFF"/>
    <w:rsid w:val="005A2E8F"/>
    <w:rsid w:val="005A3901"/>
    <w:rsid w:val="005A52F7"/>
    <w:rsid w:val="005A567C"/>
    <w:rsid w:val="005A59B0"/>
    <w:rsid w:val="005A6077"/>
    <w:rsid w:val="005A6253"/>
    <w:rsid w:val="005A63B3"/>
    <w:rsid w:val="005B00D9"/>
    <w:rsid w:val="005B00E8"/>
    <w:rsid w:val="005B0421"/>
    <w:rsid w:val="005B0EFF"/>
    <w:rsid w:val="005B1891"/>
    <w:rsid w:val="005B2C8B"/>
    <w:rsid w:val="005B394F"/>
    <w:rsid w:val="005B3D54"/>
    <w:rsid w:val="005B47A1"/>
    <w:rsid w:val="005B4CB5"/>
    <w:rsid w:val="005B4F42"/>
    <w:rsid w:val="005B50B3"/>
    <w:rsid w:val="005B5617"/>
    <w:rsid w:val="005B74B5"/>
    <w:rsid w:val="005B792E"/>
    <w:rsid w:val="005C2496"/>
    <w:rsid w:val="005C324C"/>
    <w:rsid w:val="005C46E1"/>
    <w:rsid w:val="005C4B59"/>
    <w:rsid w:val="005C4C1F"/>
    <w:rsid w:val="005C4DD2"/>
    <w:rsid w:val="005C5F34"/>
    <w:rsid w:val="005C6444"/>
    <w:rsid w:val="005C6905"/>
    <w:rsid w:val="005C6B4D"/>
    <w:rsid w:val="005C6EF9"/>
    <w:rsid w:val="005C7536"/>
    <w:rsid w:val="005C775B"/>
    <w:rsid w:val="005C7ECC"/>
    <w:rsid w:val="005D16FE"/>
    <w:rsid w:val="005D1F94"/>
    <w:rsid w:val="005D1FC9"/>
    <w:rsid w:val="005D21D2"/>
    <w:rsid w:val="005D3302"/>
    <w:rsid w:val="005D334D"/>
    <w:rsid w:val="005D370E"/>
    <w:rsid w:val="005D411D"/>
    <w:rsid w:val="005D41C8"/>
    <w:rsid w:val="005D5092"/>
    <w:rsid w:val="005D7751"/>
    <w:rsid w:val="005D7D80"/>
    <w:rsid w:val="005D7DAE"/>
    <w:rsid w:val="005E062F"/>
    <w:rsid w:val="005E091A"/>
    <w:rsid w:val="005E1236"/>
    <w:rsid w:val="005E13E5"/>
    <w:rsid w:val="005E164F"/>
    <w:rsid w:val="005E2102"/>
    <w:rsid w:val="005E2404"/>
    <w:rsid w:val="005E2B8B"/>
    <w:rsid w:val="005E3126"/>
    <w:rsid w:val="005E4100"/>
    <w:rsid w:val="005E4425"/>
    <w:rsid w:val="005E4FB5"/>
    <w:rsid w:val="005E506D"/>
    <w:rsid w:val="005E5249"/>
    <w:rsid w:val="005E537C"/>
    <w:rsid w:val="005E57B7"/>
    <w:rsid w:val="005E5FA3"/>
    <w:rsid w:val="005E64E0"/>
    <w:rsid w:val="005E6A12"/>
    <w:rsid w:val="005E6A6D"/>
    <w:rsid w:val="005E6D59"/>
    <w:rsid w:val="005E7321"/>
    <w:rsid w:val="005E776B"/>
    <w:rsid w:val="005E7A1A"/>
    <w:rsid w:val="005E7F35"/>
    <w:rsid w:val="005F05F9"/>
    <w:rsid w:val="005F072A"/>
    <w:rsid w:val="005F0905"/>
    <w:rsid w:val="005F0B84"/>
    <w:rsid w:val="005F1223"/>
    <w:rsid w:val="005F3690"/>
    <w:rsid w:val="005F4362"/>
    <w:rsid w:val="005F4DCA"/>
    <w:rsid w:val="005F4E64"/>
    <w:rsid w:val="005F4F4E"/>
    <w:rsid w:val="005F500A"/>
    <w:rsid w:val="005F5194"/>
    <w:rsid w:val="005F51A7"/>
    <w:rsid w:val="005F5996"/>
    <w:rsid w:val="005F5A33"/>
    <w:rsid w:val="005F5D6D"/>
    <w:rsid w:val="005F5FD9"/>
    <w:rsid w:val="005F622C"/>
    <w:rsid w:val="005F65EC"/>
    <w:rsid w:val="005F6A31"/>
    <w:rsid w:val="006005C6"/>
    <w:rsid w:val="0060070D"/>
    <w:rsid w:val="006018A5"/>
    <w:rsid w:val="00601DEF"/>
    <w:rsid w:val="00602E83"/>
    <w:rsid w:val="006032BF"/>
    <w:rsid w:val="006040FD"/>
    <w:rsid w:val="006041C7"/>
    <w:rsid w:val="006044AF"/>
    <w:rsid w:val="00604A8A"/>
    <w:rsid w:val="00605224"/>
    <w:rsid w:val="0060535A"/>
    <w:rsid w:val="00606AF5"/>
    <w:rsid w:val="00606EAD"/>
    <w:rsid w:val="006077B8"/>
    <w:rsid w:val="00607CBA"/>
    <w:rsid w:val="00607F4E"/>
    <w:rsid w:val="006106F0"/>
    <w:rsid w:val="0061095A"/>
    <w:rsid w:val="00610B65"/>
    <w:rsid w:val="006118F3"/>
    <w:rsid w:val="00611AA3"/>
    <w:rsid w:val="00611ED2"/>
    <w:rsid w:val="006120AA"/>
    <w:rsid w:val="0061272A"/>
    <w:rsid w:val="00612B3B"/>
    <w:rsid w:val="006136A0"/>
    <w:rsid w:val="00613BEC"/>
    <w:rsid w:val="00613F37"/>
    <w:rsid w:val="00613F83"/>
    <w:rsid w:val="0061697F"/>
    <w:rsid w:val="00617661"/>
    <w:rsid w:val="00617E8C"/>
    <w:rsid w:val="00620EDA"/>
    <w:rsid w:val="00622CA5"/>
    <w:rsid w:val="00623380"/>
    <w:rsid w:val="00624D19"/>
    <w:rsid w:val="00625003"/>
    <w:rsid w:val="00626161"/>
    <w:rsid w:val="006262DE"/>
    <w:rsid w:val="00626394"/>
    <w:rsid w:val="00626970"/>
    <w:rsid w:val="0062704F"/>
    <w:rsid w:val="00630BE2"/>
    <w:rsid w:val="00630FFF"/>
    <w:rsid w:val="00631661"/>
    <w:rsid w:val="00632087"/>
    <w:rsid w:val="00633825"/>
    <w:rsid w:val="00633C4A"/>
    <w:rsid w:val="00633DFB"/>
    <w:rsid w:val="006359BD"/>
    <w:rsid w:val="00635C7A"/>
    <w:rsid w:val="0063600D"/>
    <w:rsid w:val="006369AE"/>
    <w:rsid w:val="00637093"/>
    <w:rsid w:val="006379FF"/>
    <w:rsid w:val="00640189"/>
    <w:rsid w:val="00642043"/>
    <w:rsid w:val="006429B3"/>
    <w:rsid w:val="00642FBE"/>
    <w:rsid w:val="006441D1"/>
    <w:rsid w:val="00644BF5"/>
    <w:rsid w:val="00645A17"/>
    <w:rsid w:val="00645AE3"/>
    <w:rsid w:val="00645DC8"/>
    <w:rsid w:val="00646D77"/>
    <w:rsid w:val="00646EFC"/>
    <w:rsid w:val="006501B0"/>
    <w:rsid w:val="00650A55"/>
    <w:rsid w:val="00650EE0"/>
    <w:rsid w:val="00652348"/>
    <w:rsid w:val="0065360C"/>
    <w:rsid w:val="006549D7"/>
    <w:rsid w:val="006550C9"/>
    <w:rsid w:val="0065577D"/>
    <w:rsid w:val="0065590B"/>
    <w:rsid w:val="00656BF1"/>
    <w:rsid w:val="00656D84"/>
    <w:rsid w:val="00657020"/>
    <w:rsid w:val="0065716D"/>
    <w:rsid w:val="006612F6"/>
    <w:rsid w:val="0066172A"/>
    <w:rsid w:val="00661786"/>
    <w:rsid w:val="006621A4"/>
    <w:rsid w:val="00662345"/>
    <w:rsid w:val="00663A69"/>
    <w:rsid w:val="00664282"/>
    <w:rsid w:val="0066488B"/>
    <w:rsid w:val="00664D02"/>
    <w:rsid w:val="00665FCF"/>
    <w:rsid w:val="006662E4"/>
    <w:rsid w:val="00666467"/>
    <w:rsid w:val="00666AD1"/>
    <w:rsid w:val="00666C08"/>
    <w:rsid w:val="006706AC"/>
    <w:rsid w:val="0067072A"/>
    <w:rsid w:val="006710BC"/>
    <w:rsid w:val="0067152C"/>
    <w:rsid w:val="00671714"/>
    <w:rsid w:val="00671996"/>
    <w:rsid w:val="006719AE"/>
    <w:rsid w:val="00671B2B"/>
    <w:rsid w:val="00671BD1"/>
    <w:rsid w:val="00671D3D"/>
    <w:rsid w:val="006722D1"/>
    <w:rsid w:val="0067235A"/>
    <w:rsid w:val="006728D4"/>
    <w:rsid w:val="00673106"/>
    <w:rsid w:val="0067347C"/>
    <w:rsid w:val="006736E6"/>
    <w:rsid w:val="0067448C"/>
    <w:rsid w:val="00674AF3"/>
    <w:rsid w:val="00675321"/>
    <w:rsid w:val="0067564D"/>
    <w:rsid w:val="00675D1B"/>
    <w:rsid w:val="006760B6"/>
    <w:rsid w:val="00677118"/>
    <w:rsid w:val="006772DE"/>
    <w:rsid w:val="00677C82"/>
    <w:rsid w:val="00680269"/>
    <w:rsid w:val="00680BF1"/>
    <w:rsid w:val="0068138A"/>
    <w:rsid w:val="00681CDF"/>
    <w:rsid w:val="006820B7"/>
    <w:rsid w:val="00682101"/>
    <w:rsid w:val="006823C1"/>
    <w:rsid w:val="0068254B"/>
    <w:rsid w:val="00682B62"/>
    <w:rsid w:val="00683744"/>
    <w:rsid w:val="00683EB4"/>
    <w:rsid w:val="00683EF0"/>
    <w:rsid w:val="0068464B"/>
    <w:rsid w:val="00684E9B"/>
    <w:rsid w:val="0068663F"/>
    <w:rsid w:val="00686765"/>
    <w:rsid w:val="0068745F"/>
    <w:rsid w:val="00687FA7"/>
    <w:rsid w:val="00690AE2"/>
    <w:rsid w:val="00692024"/>
    <w:rsid w:val="006920E9"/>
    <w:rsid w:val="00692882"/>
    <w:rsid w:val="00692C99"/>
    <w:rsid w:val="006935C4"/>
    <w:rsid w:val="006936A2"/>
    <w:rsid w:val="006936C5"/>
    <w:rsid w:val="00693C44"/>
    <w:rsid w:val="00693CE7"/>
    <w:rsid w:val="006952DA"/>
    <w:rsid w:val="006964A8"/>
    <w:rsid w:val="00696711"/>
    <w:rsid w:val="00696839"/>
    <w:rsid w:val="006968A3"/>
    <w:rsid w:val="00696BD4"/>
    <w:rsid w:val="006971A2"/>
    <w:rsid w:val="0069776D"/>
    <w:rsid w:val="00697F6C"/>
    <w:rsid w:val="00697F75"/>
    <w:rsid w:val="006A013C"/>
    <w:rsid w:val="006A1A70"/>
    <w:rsid w:val="006A1EDA"/>
    <w:rsid w:val="006A27BA"/>
    <w:rsid w:val="006A2E44"/>
    <w:rsid w:val="006A319F"/>
    <w:rsid w:val="006A4950"/>
    <w:rsid w:val="006A4B2D"/>
    <w:rsid w:val="006A5C80"/>
    <w:rsid w:val="006A5E8C"/>
    <w:rsid w:val="006A5EB9"/>
    <w:rsid w:val="006A64E3"/>
    <w:rsid w:val="006A6742"/>
    <w:rsid w:val="006A6C18"/>
    <w:rsid w:val="006A736F"/>
    <w:rsid w:val="006A7C89"/>
    <w:rsid w:val="006A7FB5"/>
    <w:rsid w:val="006B031F"/>
    <w:rsid w:val="006B0C15"/>
    <w:rsid w:val="006B11BE"/>
    <w:rsid w:val="006B15BE"/>
    <w:rsid w:val="006B2B0C"/>
    <w:rsid w:val="006B3973"/>
    <w:rsid w:val="006B3AFF"/>
    <w:rsid w:val="006B3CA8"/>
    <w:rsid w:val="006B4312"/>
    <w:rsid w:val="006B5858"/>
    <w:rsid w:val="006B605F"/>
    <w:rsid w:val="006B7244"/>
    <w:rsid w:val="006B7B54"/>
    <w:rsid w:val="006B7C27"/>
    <w:rsid w:val="006B7F20"/>
    <w:rsid w:val="006C0726"/>
    <w:rsid w:val="006C073F"/>
    <w:rsid w:val="006C1F9D"/>
    <w:rsid w:val="006C30BA"/>
    <w:rsid w:val="006C3139"/>
    <w:rsid w:val="006C3378"/>
    <w:rsid w:val="006C3403"/>
    <w:rsid w:val="006C3CD5"/>
    <w:rsid w:val="006C57D2"/>
    <w:rsid w:val="006C688D"/>
    <w:rsid w:val="006C6C92"/>
    <w:rsid w:val="006C6E45"/>
    <w:rsid w:val="006C7452"/>
    <w:rsid w:val="006C7F77"/>
    <w:rsid w:val="006D050B"/>
    <w:rsid w:val="006D09B4"/>
    <w:rsid w:val="006D0C27"/>
    <w:rsid w:val="006D0CE9"/>
    <w:rsid w:val="006D151B"/>
    <w:rsid w:val="006D1780"/>
    <w:rsid w:val="006D2D35"/>
    <w:rsid w:val="006D3138"/>
    <w:rsid w:val="006D3530"/>
    <w:rsid w:val="006D4BD3"/>
    <w:rsid w:val="006D525E"/>
    <w:rsid w:val="006D65E3"/>
    <w:rsid w:val="006D6730"/>
    <w:rsid w:val="006E05ED"/>
    <w:rsid w:val="006E120A"/>
    <w:rsid w:val="006E136C"/>
    <w:rsid w:val="006E1DC8"/>
    <w:rsid w:val="006E1E41"/>
    <w:rsid w:val="006E327C"/>
    <w:rsid w:val="006E3511"/>
    <w:rsid w:val="006E375A"/>
    <w:rsid w:val="006E44D2"/>
    <w:rsid w:val="006E481F"/>
    <w:rsid w:val="006E4CD8"/>
    <w:rsid w:val="006E570C"/>
    <w:rsid w:val="006E5FBD"/>
    <w:rsid w:val="006E6936"/>
    <w:rsid w:val="006E72AE"/>
    <w:rsid w:val="006E76E0"/>
    <w:rsid w:val="006E7832"/>
    <w:rsid w:val="006F10C7"/>
    <w:rsid w:val="006F1E9F"/>
    <w:rsid w:val="006F289B"/>
    <w:rsid w:val="006F2FCA"/>
    <w:rsid w:val="006F3897"/>
    <w:rsid w:val="006F42A1"/>
    <w:rsid w:val="006F49D5"/>
    <w:rsid w:val="006F5F86"/>
    <w:rsid w:val="006F61B2"/>
    <w:rsid w:val="006F69CD"/>
    <w:rsid w:val="006F6AD3"/>
    <w:rsid w:val="006F6D5F"/>
    <w:rsid w:val="006F7100"/>
    <w:rsid w:val="006F799F"/>
    <w:rsid w:val="006F7DBE"/>
    <w:rsid w:val="00700308"/>
    <w:rsid w:val="007006AC"/>
    <w:rsid w:val="00700DF4"/>
    <w:rsid w:val="007019C5"/>
    <w:rsid w:val="007019EE"/>
    <w:rsid w:val="00701EA9"/>
    <w:rsid w:val="00702611"/>
    <w:rsid w:val="00703674"/>
    <w:rsid w:val="00703A41"/>
    <w:rsid w:val="00703F9A"/>
    <w:rsid w:val="007044A7"/>
    <w:rsid w:val="007047A2"/>
    <w:rsid w:val="00706A51"/>
    <w:rsid w:val="00706AC5"/>
    <w:rsid w:val="007077DF"/>
    <w:rsid w:val="00707EC4"/>
    <w:rsid w:val="0071114E"/>
    <w:rsid w:val="0071168F"/>
    <w:rsid w:val="007116FB"/>
    <w:rsid w:val="007118F8"/>
    <w:rsid w:val="0071294F"/>
    <w:rsid w:val="00712A70"/>
    <w:rsid w:val="00713206"/>
    <w:rsid w:val="00713795"/>
    <w:rsid w:val="007144E3"/>
    <w:rsid w:val="00714865"/>
    <w:rsid w:val="0071494B"/>
    <w:rsid w:val="00714A85"/>
    <w:rsid w:val="00714FB5"/>
    <w:rsid w:val="007154EA"/>
    <w:rsid w:val="0071580F"/>
    <w:rsid w:val="00715ACE"/>
    <w:rsid w:val="00715C89"/>
    <w:rsid w:val="00716322"/>
    <w:rsid w:val="00716377"/>
    <w:rsid w:val="00716FB3"/>
    <w:rsid w:val="00720781"/>
    <w:rsid w:val="00720B5D"/>
    <w:rsid w:val="00721575"/>
    <w:rsid w:val="007218F1"/>
    <w:rsid w:val="00723057"/>
    <w:rsid w:val="0072343A"/>
    <w:rsid w:val="007235EA"/>
    <w:rsid w:val="00723CED"/>
    <w:rsid w:val="0072508E"/>
    <w:rsid w:val="007253B3"/>
    <w:rsid w:val="00725986"/>
    <w:rsid w:val="007259CB"/>
    <w:rsid w:val="00725D8D"/>
    <w:rsid w:val="00726920"/>
    <w:rsid w:val="00726C41"/>
    <w:rsid w:val="00727C6B"/>
    <w:rsid w:val="00730587"/>
    <w:rsid w:val="0073073C"/>
    <w:rsid w:val="007329F0"/>
    <w:rsid w:val="007332AC"/>
    <w:rsid w:val="00733424"/>
    <w:rsid w:val="00734417"/>
    <w:rsid w:val="00734501"/>
    <w:rsid w:val="00734861"/>
    <w:rsid w:val="00735050"/>
    <w:rsid w:val="007351C9"/>
    <w:rsid w:val="00735A0A"/>
    <w:rsid w:val="00735C98"/>
    <w:rsid w:val="007363AD"/>
    <w:rsid w:val="007366AB"/>
    <w:rsid w:val="007368C0"/>
    <w:rsid w:val="00736A33"/>
    <w:rsid w:val="00736E9C"/>
    <w:rsid w:val="007373EA"/>
    <w:rsid w:val="00737576"/>
    <w:rsid w:val="00737FDC"/>
    <w:rsid w:val="007403CE"/>
    <w:rsid w:val="007416E3"/>
    <w:rsid w:val="00741B96"/>
    <w:rsid w:val="0074227C"/>
    <w:rsid w:val="00743CC5"/>
    <w:rsid w:val="00744712"/>
    <w:rsid w:val="00744859"/>
    <w:rsid w:val="00744C48"/>
    <w:rsid w:val="00744DC8"/>
    <w:rsid w:val="00745B6E"/>
    <w:rsid w:val="007471B3"/>
    <w:rsid w:val="0074789A"/>
    <w:rsid w:val="00747D89"/>
    <w:rsid w:val="00750262"/>
    <w:rsid w:val="007505C7"/>
    <w:rsid w:val="007505F3"/>
    <w:rsid w:val="00750727"/>
    <w:rsid w:val="007508F8"/>
    <w:rsid w:val="007509BE"/>
    <w:rsid w:val="00750DF0"/>
    <w:rsid w:val="00751112"/>
    <w:rsid w:val="00751B1C"/>
    <w:rsid w:val="00751E93"/>
    <w:rsid w:val="007523F0"/>
    <w:rsid w:val="0075242B"/>
    <w:rsid w:val="007527B5"/>
    <w:rsid w:val="007535C2"/>
    <w:rsid w:val="00754211"/>
    <w:rsid w:val="00754986"/>
    <w:rsid w:val="00754C9E"/>
    <w:rsid w:val="00754CB3"/>
    <w:rsid w:val="007556AE"/>
    <w:rsid w:val="007557A1"/>
    <w:rsid w:val="0075721D"/>
    <w:rsid w:val="00760A6C"/>
    <w:rsid w:val="00760E3D"/>
    <w:rsid w:val="007611B8"/>
    <w:rsid w:val="007613DC"/>
    <w:rsid w:val="00761D8F"/>
    <w:rsid w:val="00761D96"/>
    <w:rsid w:val="007625B4"/>
    <w:rsid w:val="00762B78"/>
    <w:rsid w:val="00762F0C"/>
    <w:rsid w:val="0076393D"/>
    <w:rsid w:val="00763D40"/>
    <w:rsid w:val="00763DAE"/>
    <w:rsid w:val="00764070"/>
    <w:rsid w:val="007643D5"/>
    <w:rsid w:val="0076504F"/>
    <w:rsid w:val="007651AD"/>
    <w:rsid w:val="00765434"/>
    <w:rsid w:val="007654C4"/>
    <w:rsid w:val="007655B2"/>
    <w:rsid w:val="00765B19"/>
    <w:rsid w:val="0076637C"/>
    <w:rsid w:val="0076642A"/>
    <w:rsid w:val="00766583"/>
    <w:rsid w:val="007704DB"/>
    <w:rsid w:val="00770D10"/>
    <w:rsid w:val="007716D6"/>
    <w:rsid w:val="007729CB"/>
    <w:rsid w:val="00772F3C"/>
    <w:rsid w:val="00773886"/>
    <w:rsid w:val="00774105"/>
    <w:rsid w:val="00775789"/>
    <w:rsid w:val="007757DE"/>
    <w:rsid w:val="00775B7E"/>
    <w:rsid w:val="00775BFF"/>
    <w:rsid w:val="00776514"/>
    <w:rsid w:val="00781D08"/>
    <w:rsid w:val="007822D0"/>
    <w:rsid w:val="00783884"/>
    <w:rsid w:val="00783E68"/>
    <w:rsid w:val="00784CCF"/>
    <w:rsid w:val="00784E2F"/>
    <w:rsid w:val="00785B4D"/>
    <w:rsid w:val="007862B6"/>
    <w:rsid w:val="00786489"/>
    <w:rsid w:val="007864F0"/>
    <w:rsid w:val="0078656B"/>
    <w:rsid w:val="00790945"/>
    <w:rsid w:val="007909C6"/>
    <w:rsid w:val="007909EE"/>
    <w:rsid w:val="00790CAD"/>
    <w:rsid w:val="00790E49"/>
    <w:rsid w:val="00790F51"/>
    <w:rsid w:val="0079120E"/>
    <w:rsid w:val="00791815"/>
    <w:rsid w:val="00791823"/>
    <w:rsid w:val="00791C6B"/>
    <w:rsid w:val="00792789"/>
    <w:rsid w:val="00792826"/>
    <w:rsid w:val="007937F3"/>
    <w:rsid w:val="00794080"/>
    <w:rsid w:val="007941C6"/>
    <w:rsid w:val="00794259"/>
    <w:rsid w:val="007949D2"/>
    <w:rsid w:val="007955CB"/>
    <w:rsid w:val="00796A81"/>
    <w:rsid w:val="00796DEF"/>
    <w:rsid w:val="007972A7"/>
    <w:rsid w:val="00797BB3"/>
    <w:rsid w:val="007A03F6"/>
    <w:rsid w:val="007A1B58"/>
    <w:rsid w:val="007A22E5"/>
    <w:rsid w:val="007A32E1"/>
    <w:rsid w:val="007A48F9"/>
    <w:rsid w:val="007A49F2"/>
    <w:rsid w:val="007A61C6"/>
    <w:rsid w:val="007A6F3F"/>
    <w:rsid w:val="007A713B"/>
    <w:rsid w:val="007A720F"/>
    <w:rsid w:val="007A72FC"/>
    <w:rsid w:val="007A7ACF"/>
    <w:rsid w:val="007B036D"/>
    <w:rsid w:val="007B0928"/>
    <w:rsid w:val="007B0F77"/>
    <w:rsid w:val="007B1001"/>
    <w:rsid w:val="007B1028"/>
    <w:rsid w:val="007B1F30"/>
    <w:rsid w:val="007B1FB2"/>
    <w:rsid w:val="007B265B"/>
    <w:rsid w:val="007B2EE5"/>
    <w:rsid w:val="007B3549"/>
    <w:rsid w:val="007B357A"/>
    <w:rsid w:val="007B4594"/>
    <w:rsid w:val="007B4710"/>
    <w:rsid w:val="007B4E72"/>
    <w:rsid w:val="007B5A36"/>
    <w:rsid w:val="007B613F"/>
    <w:rsid w:val="007B6ABF"/>
    <w:rsid w:val="007B6E5A"/>
    <w:rsid w:val="007B70A2"/>
    <w:rsid w:val="007B7B46"/>
    <w:rsid w:val="007C003D"/>
    <w:rsid w:val="007C041A"/>
    <w:rsid w:val="007C047C"/>
    <w:rsid w:val="007C0C27"/>
    <w:rsid w:val="007C1AF2"/>
    <w:rsid w:val="007C1BBC"/>
    <w:rsid w:val="007C1DC7"/>
    <w:rsid w:val="007C1EF3"/>
    <w:rsid w:val="007C209C"/>
    <w:rsid w:val="007C2587"/>
    <w:rsid w:val="007C266C"/>
    <w:rsid w:val="007C2FFF"/>
    <w:rsid w:val="007C4A29"/>
    <w:rsid w:val="007C5064"/>
    <w:rsid w:val="007C5568"/>
    <w:rsid w:val="007C5BAB"/>
    <w:rsid w:val="007C5FA2"/>
    <w:rsid w:val="007C62BD"/>
    <w:rsid w:val="007C6CCD"/>
    <w:rsid w:val="007C717F"/>
    <w:rsid w:val="007C7A6D"/>
    <w:rsid w:val="007C7F05"/>
    <w:rsid w:val="007D03A8"/>
    <w:rsid w:val="007D07C2"/>
    <w:rsid w:val="007D09BD"/>
    <w:rsid w:val="007D15F5"/>
    <w:rsid w:val="007D1D82"/>
    <w:rsid w:val="007D1EBB"/>
    <w:rsid w:val="007D24B1"/>
    <w:rsid w:val="007D2757"/>
    <w:rsid w:val="007D34F4"/>
    <w:rsid w:val="007D4598"/>
    <w:rsid w:val="007D53C5"/>
    <w:rsid w:val="007D5A25"/>
    <w:rsid w:val="007D66BF"/>
    <w:rsid w:val="007D70FC"/>
    <w:rsid w:val="007D76DB"/>
    <w:rsid w:val="007E10EF"/>
    <w:rsid w:val="007E11F1"/>
    <w:rsid w:val="007E1441"/>
    <w:rsid w:val="007E24CA"/>
    <w:rsid w:val="007E3397"/>
    <w:rsid w:val="007E3971"/>
    <w:rsid w:val="007E413D"/>
    <w:rsid w:val="007E4CFC"/>
    <w:rsid w:val="007E4F7B"/>
    <w:rsid w:val="007E500B"/>
    <w:rsid w:val="007E5120"/>
    <w:rsid w:val="007E586F"/>
    <w:rsid w:val="007E5F67"/>
    <w:rsid w:val="007E6971"/>
    <w:rsid w:val="007E74AB"/>
    <w:rsid w:val="007E7B64"/>
    <w:rsid w:val="007E7B85"/>
    <w:rsid w:val="007F08FF"/>
    <w:rsid w:val="007F0BA5"/>
    <w:rsid w:val="007F2E8E"/>
    <w:rsid w:val="007F3C96"/>
    <w:rsid w:val="007F469E"/>
    <w:rsid w:val="007F5738"/>
    <w:rsid w:val="007F61C8"/>
    <w:rsid w:val="007F6570"/>
    <w:rsid w:val="007F754A"/>
    <w:rsid w:val="008003D0"/>
    <w:rsid w:val="00800F11"/>
    <w:rsid w:val="00801029"/>
    <w:rsid w:val="008018A8"/>
    <w:rsid w:val="008029C1"/>
    <w:rsid w:val="00802C80"/>
    <w:rsid w:val="008032B5"/>
    <w:rsid w:val="00804624"/>
    <w:rsid w:val="00805864"/>
    <w:rsid w:val="00805CB8"/>
    <w:rsid w:val="008063CC"/>
    <w:rsid w:val="00806585"/>
    <w:rsid w:val="008068F3"/>
    <w:rsid w:val="00810716"/>
    <w:rsid w:val="00810EBA"/>
    <w:rsid w:val="00811C7C"/>
    <w:rsid w:val="00811F1D"/>
    <w:rsid w:val="008121D0"/>
    <w:rsid w:val="0081227B"/>
    <w:rsid w:val="0081266F"/>
    <w:rsid w:val="00812767"/>
    <w:rsid w:val="00812846"/>
    <w:rsid w:val="00814D42"/>
    <w:rsid w:val="00814FE0"/>
    <w:rsid w:val="00815810"/>
    <w:rsid w:val="00815B2F"/>
    <w:rsid w:val="008164EF"/>
    <w:rsid w:val="008166D1"/>
    <w:rsid w:val="00817998"/>
    <w:rsid w:val="008203C1"/>
    <w:rsid w:val="00820BDF"/>
    <w:rsid w:val="00820F97"/>
    <w:rsid w:val="00822240"/>
    <w:rsid w:val="00822414"/>
    <w:rsid w:val="0082309B"/>
    <w:rsid w:val="00823B4B"/>
    <w:rsid w:val="00823D13"/>
    <w:rsid w:val="0082479F"/>
    <w:rsid w:val="00824C68"/>
    <w:rsid w:val="008257D5"/>
    <w:rsid w:val="008268FC"/>
    <w:rsid w:val="00826B6C"/>
    <w:rsid w:val="00826D6F"/>
    <w:rsid w:val="0082706D"/>
    <w:rsid w:val="008274D4"/>
    <w:rsid w:val="00827503"/>
    <w:rsid w:val="00827E83"/>
    <w:rsid w:val="0083109D"/>
    <w:rsid w:val="00831ADD"/>
    <w:rsid w:val="00831FEE"/>
    <w:rsid w:val="00832BD0"/>
    <w:rsid w:val="00832D2B"/>
    <w:rsid w:val="008343C1"/>
    <w:rsid w:val="00834527"/>
    <w:rsid w:val="0083489E"/>
    <w:rsid w:val="008348F8"/>
    <w:rsid w:val="00834EEE"/>
    <w:rsid w:val="008358DC"/>
    <w:rsid w:val="00835D64"/>
    <w:rsid w:val="008368A7"/>
    <w:rsid w:val="00836C48"/>
    <w:rsid w:val="0083721A"/>
    <w:rsid w:val="0083736F"/>
    <w:rsid w:val="008375D3"/>
    <w:rsid w:val="008409CD"/>
    <w:rsid w:val="0084170C"/>
    <w:rsid w:val="00841BBD"/>
    <w:rsid w:val="00842CE5"/>
    <w:rsid w:val="00843B6B"/>
    <w:rsid w:val="00843EB5"/>
    <w:rsid w:val="00843F6D"/>
    <w:rsid w:val="0084481F"/>
    <w:rsid w:val="008455BD"/>
    <w:rsid w:val="00845B40"/>
    <w:rsid w:val="00845F29"/>
    <w:rsid w:val="008463A8"/>
    <w:rsid w:val="0084700B"/>
    <w:rsid w:val="008479ED"/>
    <w:rsid w:val="008502EE"/>
    <w:rsid w:val="00850562"/>
    <w:rsid w:val="00850847"/>
    <w:rsid w:val="00850B9F"/>
    <w:rsid w:val="00850C27"/>
    <w:rsid w:val="00850EC6"/>
    <w:rsid w:val="00850FBE"/>
    <w:rsid w:val="008514EA"/>
    <w:rsid w:val="00854570"/>
    <w:rsid w:val="00854788"/>
    <w:rsid w:val="00854BD7"/>
    <w:rsid w:val="00855536"/>
    <w:rsid w:val="008556A4"/>
    <w:rsid w:val="008556B1"/>
    <w:rsid w:val="00855828"/>
    <w:rsid w:val="00856BEC"/>
    <w:rsid w:val="00856E41"/>
    <w:rsid w:val="00857EAE"/>
    <w:rsid w:val="00857FD3"/>
    <w:rsid w:val="008602BE"/>
    <w:rsid w:val="00860647"/>
    <w:rsid w:val="00860B57"/>
    <w:rsid w:val="00860C43"/>
    <w:rsid w:val="00862D8D"/>
    <w:rsid w:val="00862F92"/>
    <w:rsid w:val="008636DA"/>
    <w:rsid w:val="008642A9"/>
    <w:rsid w:val="00864356"/>
    <w:rsid w:val="00865481"/>
    <w:rsid w:val="00865759"/>
    <w:rsid w:val="008679B6"/>
    <w:rsid w:val="00867D57"/>
    <w:rsid w:val="0087051E"/>
    <w:rsid w:val="00870A25"/>
    <w:rsid w:val="00870FFA"/>
    <w:rsid w:val="0087209E"/>
    <w:rsid w:val="00872203"/>
    <w:rsid w:val="0087236B"/>
    <w:rsid w:val="0087287C"/>
    <w:rsid w:val="00872B06"/>
    <w:rsid w:val="00872CFF"/>
    <w:rsid w:val="008733D2"/>
    <w:rsid w:val="008734A3"/>
    <w:rsid w:val="008739EA"/>
    <w:rsid w:val="00874C52"/>
    <w:rsid w:val="00874FEF"/>
    <w:rsid w:val="0087517E"/>
    <w:rsid w:val="008752EA"/>
    <w:rsid w:val="00875311"/>
    <w:rsid w:val="0087548C"/>
    <w:rsid w:val="00875E15"/>
    <w:rsid w:val="00875F7A"/>
    <w:rsid w:val="0087608C"/>
    <w:rsid w:val="00876572"/>
    <w:rsid w:val="0087672F"/>
    <w:rsid w:val="00876A77"/>
    <w:rsid w:val="00877788"/>
    <w:rsid w:val="00877899"/>
    <w:rsid w:val="00880255"/>
    <w:rsid w:val="008804CF"/>
    <w:rsid w:val="00880CD8"/>
    <w:rsid w:val="00880FA6"/>
    <w:rsid w:val="00881158"/>
    <w:rsid w:val="00881303"/>
    <w:rsid w:val="008841FD"/>
    <w:rsid w:val="008843B0"/>
    <w:rsid w:val="00884FA2"/>
    <w:rsid w:val="00885278"/>
    <w:rsid w:val="008858A4"/>
    <w:rsid w:val="00885B4A"/>
    <w:rsid w:val="0088655B"/>
    <w:rsid w:val="008901A1"/>
    <w:rsid w:val="00890AB0"/>
    <w:rsid w:val="00891CE2"/>
    <w:rsid w:val="00892006"/>
    <w:rsid w:val="00892682"/>
    <w:rsid w:val="00894026"/>
    <w:rsid w:val="00894470"/>
    <w:rsid w:val="00894B99"/>
    <w:rsid w:val="00895264"/>
    <w:rsid w:val="00895A3B"/>
    <w:rsid w:val="00895BA8"/>
    <w:rsid w:val="00895C14"/>
    <w:rsid w:val="00895D6E"/>
    <w:rsid w:val="00895DAA"/>
    <w:rsid w:val="0089633D"/>
    <w:rsid w:val="008964EA"/>
    <w:rsid w:val="008971D9"/>
    <w:rsid w:val="008A07D2"/>
    <w:rsid w:val="008A08CA"/>
    <w:rsid w:val="008A10A4"/>
    <w:rsid w:val="008A1127"/>
    <w:rsid w:val="008A1224"/>
    <w:rsid w:val="008A13A6"/>
    <w:rsid w:val="008A1603"/>
    <w:rsid w:val="008A1B2E"/>
    <w:rsid w:val="008A29D5"/>
    <w:rsid w:val="008A2E41"/>
    <w:rsid w:val="008A3423"/>
    <w:rsid w:val="008A399E"/>
    <w:rsid w:val="008A3BD3"/>
    <w:rsid w:val="008A431E"/>
    <w:rsid w:val="008A4656"/>
    <w:rsid w:val="008A46E7"/>
    <w:rsid w:val="008A4CC6"/>
    <w:rsid w:val="008A5931"/>
    <w:rsid w:val="008A5C63"/>
    <w:rsid w:val="008A6302"/>
    <w:rsid w:val="008A6C5E"/>
    <w:rsid w:val="008A71BE"/>
    <w:rsid w:val="008A7578"/>
    <w:rsid w:val="008A765E"/>
    <w:rsid w:val="008B04C5"/>
    <w:rsid w:val="008B0D3D"/>
    <w:rsid w:val="008B0D82"/>
    <w:rsid w:val="008B10CB"/>
    <w:rsid w:val="008B121C"/>
    <w:rsid w:val="008B13E4"/>
    <w:rsid w:val="008B2A9F"/>
    <w:rsid w:val="008B2DF8"/>
    <w:rsid w:val="008B2FB9"/>
    <w:rsid w:val="008B330E"/>
    <w:rsid w:val="008B3BF8"/>
    <w:rsid w:val="008B3E53"/>
    <w:rsid w:val="008B4173"/>
    <w:rsid w:val="008B4423"/>
    <w:rsid w:val="008B4942"/>
    <w:rsid w:val="008B584A"/>
    <w:rsid w:val="008B5A15"/>
    <w:rsid w:val="008B5A57"/>
    <w:rsid w:val="008B5B63"/>
    <w:rsid w:val="008B67B6"/>
    <w:rsid w:val="008B6F44"/>
    <w:rsid w:val="008B6F82"/>
    <w:rsid w:val="008B7609"/>
    <w:rsid w:val="008B7726"/>
    <w:rsid w:val="008B7CE9"/>
    <w:rsid w:val="008C0D02"/>
    <w:rsid w:val="008C0F83"/>
    <w:rsid w:val="008C187F"/>
    <w:rsid w:val="008C25E1"/>
    <w:rsid w:val="008C26E7"/>
    <w:rsid w:val="008C2A18"/>
    <w:rsid w:val="008C3310"/>
    <w:rsid w:val="008C428B"/>
    <w:rsid w:val="008C5B9D"/>
    <w:rsid w:val="008C60CE"/>
    <w:rsid w:val="008C69A2"/>
    <w:rsid w:val="008C6C0F"/>
    <w:rsid w:val="008C70FA"/>
    <w:rsid w:val="008D001C"/>
    <w:rsid w:val="008D1E2A"/>
    <w:rsid w:val="008D279E"/>
    <w:rsid w:val="008D35A3"/>
    <w:rsid w:val="008D41B7"/>
    <w:rsid w:val="008D4C96"/>
    <w:rsid w:val="008D5061"/>
    <w:rsid w:val="008D53DE"/>
    <w:rsid w:val="008D6A17"/>
    <w:rsid w:val="008D7793"/>
    <w:rsid w:val="008D79E4"/>
    <w:rsid w:val="008E0079"/>
    <w:rsid w:val="008E06F5"/>
    <w:rsid w:val="008E09E2"/>
    <w:rsid w:val="008E1BB0"/>
    <w:rsid w:val="008E1C6C"/>
    <w:rsid w:val="008E250B"/>
    <w:rsid w:val="008E449A"/>
    <w:rsid w:val="008E478D"/>
    <w:rsid w:val="008E49B0"/>
    <w:rsid w:val="008E5486"/>
    <w:rsid w:val="008E5AE9"/>
    <w:rsid w:val="008E69A4"/>
    <w:rsid w:val="008E74FF"/>
    <w:rsid w:val="008E7761"/>
    <w:rsid w:val="008E781E"/>
    <w:rsid w:val="008F0267"/>
    <w:rsid w:val="008F0D7D"/>
    <w:rsid w:val="008F1759"/>
    <w:rsid w:val="008F2849"/>
    <w:rsid w:val="008F2B94"/>
    <w:rsid w:val="008F2DBF"/>
    <w:rsid w:val="008F3011"/>
    <w:rsid w:val="008F3F46"/>
    <w:rsid w:val="008F5AAF"/>
    <w:rsid w:val="008F5BA8"/>
    <w:rsid w:val="008F5CB4"/>
    <w:rsid w:val="008F7E9E"/>
    <w:rsid w:val="00900167"/>
    <w:rsid w:val="00900E5A"/>
    <w:rsid w:val="00901935"/>
    <w:rsid w:val="00901D13"/>
    <w:rsid w:val="009032C5"/>
    <w:rsid w:val="00904BD9"/>
    <w:rsid w:val="009057C4"/>
    <w:rsid w:val="00905A75"/>
    <w:rsid w:val="00907710"/>
    <w:rsid w:val="00910D1D"/>
    <w:rsid w:val="00910DC3"/>
    <w:rsid w:val="00911130"/>
    <w:rsid w:val="009113DA"/>
    <w:rsid w:val="00911704"/>
    <w:rsid w:val="00911B0A"/>
    <w:rsid w:val="00912ACB"/>
    <w:rsid w:val="00913394"/>
    <w:rsid w:val="00914269"/>
    <w:rsid w:val="00914BFD"/>
    <w:rsid w:val="00915857"/>
    <w:rsid w:val="009158E0"/>
    <w:rsid w:val="00915AA4"/>
    <w:rsid w:val="00915F83"/>
    <w:rsid w:val="00915FE2"/>
    <w:rsid w:val="00917537"/>
    <w:rsid w:val="00920349"/>
    <w:rsid w:val="009208C8"/>
    <w:rsid w:val="00921379"/>
    <w:rsid w:val="009217A6"/>
    <w:rsid w:val="009221E3"/>
    <w:rsid w:val="00922318"/>
    <w:rsid w:val="00922717"/>
    <w:rsid w:val="009229D4"/>
    <w:rsid w:val="00922DEB"/>
    <w:rsid w:val="0092342C"/>
    <w:rsid w:val="00923771"/>
    <w:rsid w:val="00923A1C"/>
    <w:rsid w:val="00924F37"/>
    <w:rsid w:val="009250DE"/>
    <w:rsid w:val="0092635C"/>
    <w:rsid w:val="00926431"/>
    <w:rsid w:val="009271D9"/>
    <w:rsid w:val="00927571"/>
    <w:rsid w:val="00930C58"/>
    <w:rsid w:val="00930DEB"/>
    <w:rsid w:val="00931182"/>
    <w:rsid w:val="00932E9F"/>
    <w:rsid w:val="00933080"/>
    <w:rsid w:val="00933319"/>
    <w:rsid w:val="0093373F"/>
    <w:rsid w:val="00933741"/>
    <w:rsid w:val="00933DFF"/>
    <w:rsid w:val="009340DB"/>
    <w:rsid w:val="00934AB4"/>
    <w:rsid w:val="00935546"/>
    <w:rsid w:val="0093564C"/>
    <w:rsid w:val="009356C6"/>
    <w:rsid w:val="00935717"/>
    <w:rsid w:val="00936AD8"/>
    <w:rsid w:val="00936BD2"/>
    <w:rsid w:val="0094036A"/>
    <w:rsid w:val="00940CA5"/>
    <w:rsid w:val="0094118E"/>
    <w:rsid w:val="0094144D"/>
    <w:rsid w:val="009414C8"/>
    <w:rsid w:val="0094250C"/>
    <w:rsid w:val="0094279A"/>
    <w:rsid w:val="009427B9"/>
    <w:rsid w:val="009429A0"/>
    <w:rsid w:val="00943EA5"/>
    <w:rsid w:val="009441EC"/>
    <w:rsid w:val="009451D2"/>
    <w:rsid w:val="00945910"/>
    <w:rsid w:val="00947286"/>
    <w:rsid w:val="00947843"/>
    <w:rsid w:val="00947F67"/>
    <w:rsid w:val="00950256"/>
    <w:rsid w:val="00951F2C"/>
    <w:rsid w:val="009523F9"/>
    <w:rsid w:val="0095245A"/>
    <w:rsid w:val="009524B6"/>
    <w:rsid w:val="00952798"/>
    <w:rsid w:val="00954498"/>
    <w:rsid w:val="00954675"/>
    <w:rsid w:val="00955CEB"/>
    <w:rsid w:val="009560FA"/>
    <w:rsid w:val="009566AA"/>
    <w:rsid w:val="009570C0"/>
    <w:rsid w:val="009572E8"/>
    <w:rsid w:val="009575D3"/>
    <w:rsid w:val="00957745"/>
    <w:rsid w:val="00960A7E"/>
    <w:rsid w:val="00960E85"/>
    <w:rsid w:val="00961241"/>
    <w:rsid w:val="009620E5"/>
    <w:rsid w:val="00962A44"/>
    <w:rsid w:val="009633F7"/>
    <w:rsid w:val="00964716"/>
    <w:rsid w:val="0096489F"/>
    <w:rsid w:val="00965314"/>
    <w:rsid w:val="00965A9E"/>
    <w:rsid w:val="00965C03"/>
    <w:rsid w:val="009664C8"/>
    <w:rsid w:val="00966601"/>
    <w:rsid w:val="009670C3"/>
    <w:rsid w:val="009670FC"/>
    <w:rsid w:val="00967560"/>
    <w:rsid w:val="009702FD"/>
    <w:rsid w:val="00970AE1"/>
    <w:rsid w:val="00970E01"/>
    <w:rsid w:val="00971074"/>
    <w:rsid w:val="0097110A"/>
    <w:rsid w:val="00971857"/>
    <w:rsid w:val="00971B12"/>
    <w:rsid w:val="009723F1"/>
    <w:rsid w:val="00972567"/>
    <w:rsid w:val="00972D4B"/>
    <w:rsid w:val="00973746"/>
    <w:rsid w:val="00973823"/>
    <w:rsid w:val="00974B21"/>
    <w:rsid w:val="00975955"/>
    <w:rsid w:val="0097609E"/>
    <w:rsid w:val="009767D0"/>
    <w:rsid w:val="00976D3B"/>
    <w:rsid w:val="00977628"/>
    <w:rsid w:val="009778D6"/>
    <w:rsid w:val="00977A3A"/>
    <w:rsid w:val="00980693"/>
    <w:rsid w:val="00980C25"/>
    <w:rsid w:val="00980CAF"/>
    <w:rsid w:val="0098125F"/>
    <w:rsid w:val="00981739"/>
    <w:rsid w:val="00982080"/>
    <w:rsid w:val="009826BE"/>
    <w:rsid w:val="00982B85"/>
    <w:rsid w:val="00983005"/>
    <w:rsid w:val="00983216"/>
    <w:rsid w:val="00985A02"/>
    <w:rsid w:val="00986258"/>
    <w:rsid w:val="009868AF"/>
    <w:rsid w:val="00986F60"/>
    <w:rsid w:val="00987094"/>
    <w:rsid w:val="00987A6F"/>
    <w:rsid w:val="00987B0E"/>
    <w:rsid w:val="009903D5"/>
    <w:rsid w:val="009905E6"/>
    <w:rsid w:val="00990D18"/>
    <w:rsid w:val="009913DE"/>
    <w:rsid w:val="00991CB9"/>
    <w:rsid w:val="0099223C"/>
    <w:rsid w:val="00992D0B"/>
    <w:rsid w:val="009935C5"/>
    <w:rsid w:val="0099469A"/>
    <w:rsid w:val="00994EB7"/>
    <w:rsid w:val="0099536B"/>
    <w:rsid w:val="0099540A"/>
    <w:rsid w:val="0099571D"/>
    <w:rsid w:val="00997443"/>
    <w:rsid w:val="00997EC8"/>
    <w:rsid w:val="00997FA8"/>
    <w:rsid w:val="009A0297"/>
    <w:rsid w:val="009A129C"/>
    <w:rsid w:val="009A1D2F"/>
    <w:rsid w:val="009A1E76"/>
    <w:rsid w:val="009A2D42"/>
    <w:rsid w:val="009A34C8"/>
    <w:rsid w:val="009A3BD8"/>
    <w:rsid w:val="009A3EEC"/>
    <w:rsid w:val="009A4DB9"/>
    <w:rsid w:val="009A4DE9"/>
    <w:rsid w:val="009A5A7F"/>
    <w:rsid w:val="009A62DA"/>
    <w:rsid w:val="009A6C23"/>
    <w:rsid w:val="009A79D4"/>
    <w:rsid w:val="009A7F96"/>
    <w:rsid w:val="009B072A"/>
    <w:rsid w:val="009B185C"/>
    <w:rsid w:val="009B190D"/>
    <w:rsid w:val="009B194E"/>
    <w:rsid w:val="009B2509"/>
    <w:rsid w:val="009B39C2"/>
    <w:rsid w:val="009B4C38"/>
    <w:rsid w:val="009B5846"/>
    <w:rsid w:val="009B5ED9"/>
    <w:rsid w:val="009B78D6"/>
    <w:rsid w:val="009C00B2"/>
    <w:rsid w:val="009C0838"/>
    <w:rsid w:val="009C0D1B"/>
    <w:rsid w:val="009C0E82"/>
    <w:rsid w:val="009C2631"/>
    <w:rsid w:val="009C2D00"/>
    <w:rsid w:val="009C304D"/>
    <w:rsid w:val="009C4071"/>
    <w:rsid w:val="009C42A8"/>
    <w:rsid w:val="009C4617"/>
    <w:rsid w:val="009C485D"/>
    <w:rsid w:val="009C4ADA"/>
    <w:rsid w:val="009C4DED"/>
    <w:rsid w:val="009C5613"/>
    <w:rsid w:val="009D073B"/>
    <w:rsid w:val="009D0909"/>
    <w:rsid w:val="009D159B"/>
    <w:rsid w:val="009D17F3"/>
    <w:rsid w:val="009D1D1A"/>
    <w:rsid w:val="009D22D9"/>
    <w:rsid w:val="009D23D9"/>
    <w:rsid w:val="009D280C"/>
    <w:rsid w:val="009D2AD0"/>
    <w:rsid w:val="009D2F7C"/>
    <w:rsid w:val="009D3E6A"/>
    <w:rsid w:val="009D40D5"/>
    <w:rsid w:val="009D447F"/>
    <w:rsid w:val="009D4533"/>
    <w:rsid w:val="009D48C3"/>
    <w:rsid w:val="009D4ECB"/>
    <w:rsid w:val="009D4F43"/>
    <w:rsid w:val="009D5B94"/>
    <w:rsid w:val="009D608B"/>
    <w:rsid w:val="009D7462"/>
    <w:rsid w:val="009D7833"/>
    <w:rsid w:val="009D7ED3"/>
    <w:rsid w:val="009E01C2"/>
    <w:rsid w:val="009E07E6"/>
    <w:rsid w:val="009E1019"/>
    <w:rsid w:val="009E1BE0"/>
    <w:rsid w:val="009E1E48"/>
    <w:rsid w:val="009E230B"/>
    <w:rsid w:val="009E3289"/>
    <w:rsid w:val="009E3332"/>
    <w:rsid w:val="009E33F8"/>
    <w:rsid w:val="009E410D"/>
    <w:rsid w:val="009E4521"/>
    <w:rsid w:val="009E4BEC"/>
    <w:rsid w:val="009E55E9"/>
    <w:rsid w:val="009E5A0B"/>
    <w:rsid w:val="009E67F5"/>
    <w:rsid w:val="009E68F6"/>
    <w:rsid w:val="009E6DAB"/>
    <w:rsid w:val="009E70FD"/>
    <w:rsid w:val="009E7A45"/>
    <w:rsid w:val="009F1601"/>
    <w:rsid w:val="009F1880"/>
    <w:rsid w:val="009F2126"/>
    <w:rsid w:val="009F2780"/>
    <w:rsid w:val="009F294A"/>
    <w:rsid w:val="009F3792"/>
    <w:rsid w:val="009F3DA9"/>
    <w:rsid w:val="009F43A1"/>
    <w:rsid w:val="009F47BB"/>
    <w:rsid w:val="009F4F4B"/>
    <w:rsid w:val="009F5A7E"/>
    <w:rsid w:val="009F61A6"/>
    <w:rsid w:val="009F6B0B"/>
    <w:rsid w:val="009F72F3"/>
    <w:rsid w:val="00A0006F"/>
    <w:rsid w:val="00A00362"/>
    <w:rsid w:val="00A0046B"/>
    <w:rsid w:val="00A0071B"/>
    <w:rsid w:val="00A017D9"/>
    <w:rsid w:val="00A01A65"/>
    <w:rsid w:val="00A0267E"/>
    <w:rsid w:val="00A02E89"/>
    <w:rsid w:val="00A03258"/>
    <w:rsid w:val="00A037D6"/>
    <w:rsid w:val="00A05E49"/>
    <w:rsid w:val="00A0619D"/>
    <w:rsid w:val="00A066AF"/>
    <w:rsid w:val="00A06A44"/>
    <w:rsid w:val="00A0787F"/>
    <w:rsid w:val="00A11256"/>
    <w:rsid w:val="00A11426"/>
    <w:rsid w:val="00A11476"/>
    <w:rsid w:val="00A1225F"/>
    <w:rsid w:val="00A126F4"/>
    <w:rsid w:val="00A129CF"/>
    <w:rsid w:val="00A13C67"/>
    <w:rsid w:val="00A14647"/>
    <w:rsid w:val="00A1488E"/>
    <w:rsid w:val="00A158AF"/>
    <w:rsid w:val="00A15901"/>
    <w:rsid w:val="00A162D6"/>
    <w:rsid w:val="00A16B11"/>
    <w:rsid w:val="00A16FA8"/>
    <w:rsid w:val="00A17F2D"/>
    <w:rsid w:val="00A20060"/>
    <w:rsid w:val="00A20A64"/>
    <w:rsid w:val="00A20C10"/>
    <w:rsid w:val="00A21078"/>
    <w:rsid w:val="00A21291"/>
    <w:rsid w:val="00A212DF"/>
    <w:rsid w:val="00A213A8"/>
    <w:rsid w:val="00A21662"/>
    <w:rsid w:val="00A21BF9"/>
    <w:rsid w:val="00A21DFB"/>
    <w:rsid w:val="00A21F96"/>
    <w:rsid w:val="00A224FD"/>
    <w:rsid w:val="00A22D13"/>
    <w:rsid w:val="00A22FF5"/>
    <w:rsid w:val="00A230E7"/>
    <w:rsid w:val="00A23113"/>
    <w:rsid w:val="00A2420A"/>
    <w:rsid w:val="00A2497F"/>
    <w:rsid w:val="00A25896"/>
    <w:rsid w:val="00A258A9"/>
    <w:rsid w:val="00A263F6"/>
    <w:rsid w:val="00A266EE"/>
    <w:rsid w:val="00A26E06"/>
    <w:rsid w:val="00A27925"/>
    <w:rsid w:val="00A302C9"/>
    <w:rsid w:val="00A30531"/>
    <w:rsid w:val="00A30794"/>
    <w:rsid w:val="00A3110A"/>
    <w:rsid w:val="00A31334"/>
    <w:rsid w:val="00A3177A"/>
    <w:rsid w:val="00A318CB"/>
    <w:rsid w:val="00A32978"/>
    <w:rsid w:val="00A32B45"/>
    <w:rsid w:val="00A32E9A"/>
    <w:rsid w:val="00A32F79"/>
    <w:rsid w:val="00A3458F"/>
    <w:rsid w:val="00A34855"/>
    <w:rsid w:val="00A3487E"/>
    <w:rsid w:val="00A34966"/>
    <w:rsid w:val="00A349C6"/>
    <w:rsid w:val="00A34B94"/>
    <w:rsid w:val="00A34E6E"/>
    <w:rsid w:val="00A352BB"/>
    <w:rsid w:val="00A35F9B"/>
    <w:rsid w:val="00A361FB"/>
    <w:rsid w:val="00A369A6"/>
    <w:rsid w:val="00A36B2B"/>
    <w:rsid w:val="00A36B4F"/>
    <w:rsid w:val="00A3759F"/>
    <w:rsid w:val="00A37DF7"/>
    <w:rsid w:val="00A37E35"/>
    <w:rsid w:val="00A410BB"/>
    <w:rsid w:val="00A41373"/>
    <w:rsid w:val="00A41E85"/>
    <w:rsid w:val="00A425E6"/>
    <w:rsid w:val="00A42734"/>
    <w:rsid w:val="00A42C63"/>
    <w:rsid w:val="00A435B4"/>
    <w:rsid w:val="00A4487B"/>
    <w:rsid w:val="00A448B4"/>
    <w:rsid w:val="00A451BD"/>
    <w:rsid w:val="00A46042"/>
    <w:rsid w:val="00A46ADB"/>
    <w:rsid w:val="00A46C01"/>
    <w:rsid w:val="00A46F71"/>
    <w:rsid w:val="00A47880"/>
    <w:rsid w:val="00A478C7"/>
    <w:rsid w:val="00A500D3"/>
    <w:rsid w:val="00A5122A"/>
    <w:rsid w:val="00A51551"/>
    <w:rsid w:val="00A51F0A"/>
    <w:rsid w:val="00A5204F"/>
    <w:rsid w:val="00A52120"/>
    <w:rsid w:val="00A52586"/>
    <w:rsid w:val="00A52E62"/>
    <w:rsid w:val="00A55881"/>
    <w:rsid w:val="00A55B64"/>
    <w:rsid w:val="00A55F16"/>
    <w:rsid w:val="00A561F2"/>
    <w:rsid w:val="00A56B47"/>
    <w:rsid w:val="00A57A68"/>
    <w:rsid w:val="00A57C35"/>
    <w:rsid w:val="00A57CC4"/>
    <w:rsid w:val="00A57E3A"/>
    <w:rsid w:val="00A61675"/>
    <w:rsid w:val="00A617C0"/>
    <w:rsid w:val="00A61B8D"/>
    <w:rsid w:val="00A62431"/>
    <w:rsid w:val="00A62BE0"/>
    <w:rsid w:val="00A62C34"/>
    <w:rsid w:val="00A6346A"/>
    <w:rsid w:val="00A64A10"/>
    <w:rsid w:val="00A65E65"/>
    <w:rsid w:val="00A666EE"/>
    <w:rsid w:val="00A675D5"/>
    <w:rsid w:val="00A67B93"/>
    <w:rsid w:val="00A67BA1"/>
    <w:rsid w:val="00A67CA6"/>
    <w:rsid w:val="00A67E5C"/>
    <w:rsid w:val="00A70564"/>
    <w:rsid w:val="00A7225B"/>
    <w:rsid w:val="00A7276B"/>
    <w:rsid w:val="00A7367A"/>
    <w:rsid w:val="00A73913"/>
    <w:rsid w:val="00A73BB4"/>
    <w:rsid w:val="00A74287"/>
    <w:rsid w:val="00A75380"/>
    <w:rsid w:val="00A754DC"/>
    <w:rsid w:val="00A75610"/>
    <w:rsid w:val="00A75BA9"/>
    <w:rsid w:val="00A7623C"/>
    <w:rsid w:val="00A762D1"/>
    <w:rsid w:val="00A772C0"/>
    <w:rsid w:val="00A772E9"/>
    <w:rsid w:val="00A77DB2"/>
    <w:rsid w:val="00A77E36"/>
    <w:rsid w:val="00A8033F"/>
    <w:rsid w:val="00A814AD"/>
    <w:rsid w:val="00A81AE3"/>
    <w:rsid w:val="00A81B08"/>
    <w:rsid w:val="00A81E24"/>
    <w:rsid w:val="00A8241D"/>
    <w:rsid w:val="00A82602"/>
    <w:rsid w:val="00A82D42"/>
    <w:rsid w:val="00A84848"/>
    <w:rsid w:val="00A8498F"/>
    <w:rsid w:val="00A84EE9"/>
    <w:rsid w:val="00A85874"/>
    <w:rsid w:val="00A864ED"/>
    <w:rsid w:val="00A86788"/>
    <w:rsid w:val="00A86DA7"/>
    <w:rsid w:val="00A903E6"/>
    <w:rsid w:val="00A91670"/>
    <w:rsid w:val="00A9193C"/>
    <w:rsid w:val="00A92245"/>
    <w:rsid w:val="00A9365E"/>
    <w:rsid w:val="00A93765"/>
    <w:rsid w:val="00A9383F"/>
    <w:rsid w:val="00A942C0"/>
    <w:rsid w:val="00A94496"/>
    <w:rsid w:val="00A94C89"/>
    <w:rsid w:val="00A95710"/>
    <w:rsid w:val="00A958BC"/>
    <w:rsid w:val="00A963AF"/>
    <w:rsid w:val="00A97045"/>
    <w:rsid w:val="00A972F5"/>
    <w:rsid w:val="00A97BBB"/>
    <w:rsid w:val="00A97CA6"/>
    <w:rsid w:val="00AA0947"/>
    <w:rsid w:val="00AA1B9E"/>
    <w:rsid w:val="00AA1DB0"/>
    <w:rsid w:val="00AA3A90"/>
    <w:rsid w:val="00AA44FE"/>
    <w:rsid w:val="00AA4EFA"/>
    <w:rsid w:val="00AA5282"/>
    <w:rsid w:val="00AA6D06"/>
    <w:rsid w:val="00AA746B"/>
    <w:rsid w:val="00AB009C"/>
    <w:rsid w:val="00AB0677"/>
    <w:rsid w:val="00AB0F9E"/>
    <w:rsid w:val="00AB198A"/>
    <w:rsid w:val="00AB1ABB"/>
    <w:rsid w:val="00AB249E"/>
    <w:rsid w:val="00AB3252"/>
    <w:rsid w:val="00AB336E"/>
    <w:rsid w:val="00AB42A0"/>
    <w:rsid w:val="00AB4417"/>
    <w:rsid w:val="00AB49AC"/>
    <w:rsid w:val="00AB4E48"/>
    <w:rsid w:val="00AB557E"/>
    <w:rsid w:val="00AB5AFD"/>
    <w:rsid w:val="00AB5C17"/>
    <w:rsid w:val="00AB718C"/>
    <w:rsid w:val="00AB7221"/>
    <w:rsid w:val="00AB7C86"/>
    <w:rsid w:val="00AB7E82"/>
    <w:rsid w:val="00AC030B"/>
    <w:rsid w:val="00AC1D4E"/>
    <w:rsid w:val="00AC2AE1"/>
    <w:rsid w:val="00AC2BF2"/>
    <w:rsid w:val="00AC35A7"/>
    <w:rsid w:val="00AC3674"/>
    <w:rsid w:val="00AC3985"/>
    <w:rsid w:val="00AC4798"/>
    <w:rsid w:val="00AC4830"/>
    <w:rsid w:val="00AC4F62"/>
    <w:rsid w:val="00AC56DD"/>
    <w:rsid w:val="00AC5902"/>
    <w:rsid w:val="00AC6A27"/>
    <w:rsid w:val="00AC6AF1"/>
    <w:rsid w:val="00AC7062"/>
    <w:rsid w:val="00AD02F0"/>
    <w:rsid w:val="00AD0A05"/>
    <w:rsid w:val="00AD0A7E"/>
    <w:rsid w:val="00AD0C82"/>
    <w:rsid w:val="00AD213F"/>
    <w:rsid w:val="00AD24CF"/>
    <w:rsid w:val="00AD3E78"/>
    <w:rsid w:val="00AD5BEE"/>
    <w:rsid w:val="00AD5C9E"/>
    <w:rsid w:val="00AD6AA8"/>
    <w:rsid w:val="00AD70B7"/>
    <w:rsid w:val="00AD7645"/>
    <w:rsid w:val="00AE0159"/>
    <w:rsid w:val="00AE0668"/>
    <w:rsid w:val="00AE16FA"/>
    <w:rsid w:val="00AE1BB2"/>
    <w:rsid w:val="00AE2458"/>
    <w:rsid w:val="00AE2AC2"/>
    <w:rsid w:val="00AE32A9"/>
    <w:rsid w:val="00AE39BA"/>
    <w:rsid w:val="00AE43BC"/>
    <w:rsid w:val="00AE43ED"/>
    <w:rsid w:val="00AE4C20"/>
    <w:rsid w:val="00AE522B"/>
    <w:rsid w:val="00AE526B"/>
    <w:rsid w:val="00AE5562"/>
    <w:rsid w:val="00AE556E"/>
    <w:rsid w:val="00AE62BF"/>
    <w:rsid w:val="00AE6C42"/>
    <w:rsid w:val="00AE6CCF"/>
    <w:rsid w:val="00AE77E0"/>
    <w:rsid w:val="00AE7913"/>
    <w:rsid w:val="00AE7C53"/>
    <w:rsid w:val="00AE7D3C"/>
    <w:rsid w:val="00AF1ECB"/>
    <w:rsid w:val="00AF25BB"/>
    <w:rsid w:val="00AF3331"/>
    <w:rsid w:val="00AF35DF"/>
    <w:rsid w:val="00AF3A05"/>
    <w:rsid w:val="00AF3A56"/>
    <w:rsid w:val="00AF4221"/>
    <w:rsid w:val="00AF4445"/>
    <w:rsid w:val="00AF45A5"/>
    <w:rsid w:val="00AF4731"/>
    <w:rsid w:val="00AF4C3C"/>
    <w:rsid w:val="00AF5E9C"/>
    <w:rsid w:val="00AF618D"/>
    <w:rsid w:val="00AF63BD"/>
    <w:rsid w:val="00AF7496"/>
    <w:rsid w:val="00AF79EB"/>
    <w:rsid w:val="00AF7B3B"/>
    <w:rsid w:val="00B00CE1"/>
    <w:rsid w:val="00B01081"/>
    <w:rsid w:val="00B019D4"/>
    <w:rsid w:val="00B01E96"/>
    <w:rsid w:val="00B02393"/>
    <w:rsid w:val="00B023EC"/>
    <w:rsid w:val="00B02B88"/>
    <w:rsid w:val="00B03293"/>
    <w:rsid w:val="00B03B92"/>
    <w:rsid w:val="00B0408F"/>
    <w:rsid w:val="00B048AC"/>
    <w:rsid w:val="00B04CE0"/>
    <w:rsid w:val="00B051AC"/>
    <w:rsid w:val="00B06377"/>
    <w:rsid w:val="00B064A7"/>
    <w:rsid w:val="00B0666B"/>
    <w:rsid w:val="00B06B89"/>
    <w:rsid w:val="00B06D08"/>
    <w:rsid w:val="00B07A50"/>
    <w:rsid w:val="00B07ED1"/>
    <w:rsid w:val="00B100F6"/>
    <w:rsid w:val="00B102AE"/>
    <w:rsid w:val="00B10378"/>
    <w:rsid w:val="00B107F4"/>
    <w:rsid w:val="00B109AD"/>
    <w:rsid w:val="00B10CEC"/>
    <w:rsid w:val="00B115EE"/>
    <w:rsid w:val="00B11782"/>
    <w:rsid w:val="00B12199"/>
    <w:rsid w:val="00B126F9"/>
    <w:rsid w:val="00B13093"/>
    <w:rsid w:val="00B1359C"/>
    <w:rsid w:val="00B13EC7"/>
    <w:rsid w:val="00B14408"/>
    <w:rsid w:val="00B155D9"/>
    <w:rsid w:val="00B15A72"/>
    <w:rsid w:val="00B15C3D"/>
    <w:rsid w:val="00B16018"/>
    <w:rsid w:val="00B16232"/>
    <w:rsid w:val="00B16577"/>
    <w:rsid w:val="00B169A9"/>
    <w:rsid w:val="00B16A3F"/>
    <w:rsid w:val="00B16DBD"/>
    <w:rsid w:val="00B16DED"/>
    <w:rsid w:val="00B16EB2"/>
    <w:rsid w:val="00B1768E"/>
    <w:rsid w:val="00B20270"/>
    <w:rsid w:val="00B20B0D"/>
    <w:rsid w:val="00B2107B"/>
    <w:rsid w:val="00B21474"/>
    <w:rsid w:val="00B21B6D"/>
    <w:rsid w:val="00B222C0"/>
    <w:rsid w:val="00B224BB"/>
    <w:rsid w:val="00B228A8"/>
    <w:rsid w:val="00B22B2F"/>
    <w:rsid w:val="00B22E51"/>
    <w:rsid w:val="00B233B8"/>
    <w:rsid w:val="00B234B7"/>
    <w:rsid w:val="00B234D3"/>
    <w:rsid w:val="00B23500"/>
    <w:rsid w:val="00B23553"/>
    <w:rsid w:val="00B23FFE"/>
    <w:rsid w:val="00B2483E"/>
    <w:rsid w:val="00B24D93"/>
    <w:rsid w:val="00B24FC4"/>
    <w:rsid w:val="00B26B3F"/>
    <w:rsid w:val="00B30498"/>
    <w:rsid w:val="00B32954"/>
    <w:rsid w:val="00B32C5B"/>
    <w:rsid w:val="00B355F7"/>
    <w:rsid w:val="00B35C80"/>
    <w:rsid w:val="00B36123"/>
    <w:rsid w:val="00B36264"/>
    <w:rsid w:val="00B40A40"/>
    <w:rsid w:val="00B412C8"/>
    <w:rsid w:val="00B424DE"/>
    <w:rsid w:val="00B42568"/>
    <w:rsid w:val="00B42A71"/>
    <w:rsid w:val="00B42EAF"/>
    <w:rsid w:val="00B43ABE"/>
    <w:rsid w:val="00B43CB3"/>
    <w:rsid w:val="00B44C56"/>
    <w:rsid w:val="00B455C5"/>
    <w:rsid w:val="00B463C2"/>
    <w:rsid w:val="00B46949"/>
    <w:rsid w:val="00B47C1F"/>
    <w:rsid w:val="00B5014D"/>
    <w:rsid w:val="00B5015A"/>
    <w:rsid w:val="00B50175"/>
    <w:rsid w:val="00B50207"/>
    <w:rsid w:val="00B502AD"/>
    <w:rsid w:val="00B511F6"/>
    <w:rsid w:val="00B5178A"/>
    <w:rsid w:val="00B51A70"/>
    <w:rsid w:val="00B51B28"/>
    <w:rsid w:val="00B521F9"/>
    <w:rsid w:val="00B52375"/>
    <w:rsid w:val="00B54879"/>
    <w:rsid w:val="00B549F1"/>
    <w:rsid w:val="00B55B4A"/>
    <w:rsid w:val="00B5616A"/>
    <w:rsid w:val="00B5670A"/>
    <w:rsid w:val="00B56D16"/>
    <w:rsid w:val="00B57553"/>
    <w:rsid w:val="00B576A8"/>
    <w:rsid w:val="00B57E59"/>
    <w:rsid w:val="00B6071E"/>
    <w:rsid w:val="00B60F76"/>
    <w:rsid w:val="00B610B2"/>
    <w:rsid w:val="00B61215"/>
    <w:rsid w:val="00B61704"/>
    <w:rsid w:val="00B617AC"/>
    <w:rsid w:val="00B61928"/>
    <w:rsid w:val="00B61FE9"/>
    <w:rsid w:val="00B62038"/>
    <w:rsid w:val="00B623D6"/>
    <w:rsid w:val="00B62AD5"/>
    <w:rsid w:val="00B62BA7"/>
    <w:rsid w:val="00B6345B"/>
    <w:rsid w:val="00B63869"/>
    <w:rsid w:val="00B640CE"/>
    <w:rsid w:val="00B65DD1"/>
    <w:rsid w:val="00B66EFB"/>
    <w:rsid w:val="00B672B0"/>
    <w:rsid w:val="00B67C57"/>
    <w:rsid w:val="00B67C9E"/>
    <w:rsid w:val="00B67D2B"/>
    <w:rsid w:val="00B70CD2"/>
    <w:rsid w:val="00B71461"/>
    <w:rsid w:val="00B73A7B"/>
    <w:rsid w:val="00B73D0A"/>
    <w:rsid w:val="00B74A37"/>
    <w:rsid w:val="00B74DC0"/>
    <w:rsid w:val="00B74FA5"/>
    <w:rsid w:val="00B75F21"/>
    <w:rsid w:val="00B76A21"/>
    <w:rsid w:val="00B76E64"/>
    <w:rsid w:val="00B7743A"/>
    <w:rsid w:val="00B77593"/>
    <w:rsid w:val="00B77B5C"/>
    <w:rsid w:val="00B77D5B"/>
    <w:rsid w:val="00B8148B"/>
    <w:rsid w:val="00B818A5"/>
    <w:rsid w:val="00B822D5"/>
    <w:rsid w:val="00B824A7"/>
    <w:rsid w:val="00B8262F"/>
    <w:rsid w:val="00B827EB"/>
    <w:rsid w:val="00B834AA"/>
    <w:rsid w:val="00B83A2B"/>
    <w:rsid w:val="00B848E6"/>
    <w:rsid w:val="00B857CC"/>
    <w:rsid w:val="00B858D9"/>
    <w:rsid w:val="00B85A74"/>
    <w:rsid w:val="00B86297"/>
    <w:rsid w:val="00B87A48"/>
    <w:rsid w:val="00B90496"/>
    <w:rsid w:val="00B9156E"/>
    <w:rsid w:val="00B91DFB"/>
    <w:rsid w:val="00B928B3"/>
    <w:rsid w:val="00B9309B"/>
    <w:rsid w:val="00B93132"/>
    <w:rsid w:val="00B9330E"/>
    <w:rsid w:val="00B9334E"/>
    <w:rsid w:val="00B94649"/>
    <w:rsid w:val="00B95CA6"/>
    <w:rsid w:val="00B9727E"/>
    <w:rsid w:val="00B973A2"/>
    <w:rsid w:val="00B97D85"/>
    <w:rsid w:val="00B97DD0"/>
    <w:rsid w:val="00BA0156"/>
    <w:rsid w:val="00BA111F"/>
    <w:rsid w:val="00BA25A7"/>
    <w:rsid w:val="00BA2CD9"/>
    <w:rsid w:val="00BA2CE7"/>
    <w:rsid w:val="00BA36D2"/>
    <w:rsid w:val="00BA3C11"/>
    <w:rsid w:val="00BA4A3D"/>
    <w:rsid w:val="00BA4AC7"/>
    <w:rsid w:val="00BA5171"/>
    <w:rsid w:val="00BA5173"/>
    <w:rsid w:val="00BA549C"/>
    <w:rsid w:val="00BA5B2A"/>
    <w:rsid w:val="00BA5EE2"/>
    <w:rsid w:val="00BA6375"/>
    <w:rsid w:val="00BA6772"/>
    <w:rsid w:val="00BA6BD9"/>
    <w:rsid w:val="00BA79E5"/>
    <w:rsid w:val="00BB1D3D"/>
    <w:rsid w:val="00BB1E58"/>
    <w:rsid w:val="00BB31BC"/>
    <w:rsid w:val="00BB49AF"/>
    <w:rsid w:val="00BB4A01"/>
    <w:rsid w:val="00BB4A09"/>
    <w:rsid w:val="00BB550C"/>
    <w:rsid w:val="00BB570B"/>
    <w:rsid w:val="00BB57D1"/>
    <w:rsid w:val="00BB5B72"/>
    <w:rsid w:val="00BB69B7"/>
    <w:rsid w:val="00BB6C16"/>
    <w:rsid w:val="00BB6CDE"/>
    <w:rsid w:val="00BB7080"/>
    <w:rsid w:val="00BC00B6"/>
    <w:rsid w:val="00BC03DE"/>
    <w:rsid w:val="00BC06FF"/>
    <w:rsid w:val="00BC0780"/>
    <w:rsid w:val="00BC0EF7"/>
    <w:rsid w:val="00BC10A2"/>
    <w:rsid w:val="00BC171B"/>
    <w:rsid w:val="00BC2417"/>
    <w:rsid w:val="00BC2529"/>
    <w:rsid w:val="00BC2D6B"/>
    <w:rsid w:val="00BC2FE2"/>
    <w:rsid w:val="00BC32E9"/>
    <w:rsid w:val="00BC34F0"/>
    <w:rsid w:val="00BC3FF6"/>
    <w:rsid w:val="00BC57B5"/>
    <w:rsid w:val="00BC5B53"/>
    <w:rsid w:val="00BC5B67"/>
    <w:rsid w:val="00BC6F04"/>
    <w:rsid w:val="00BC7EF3"/>
    <w:rsid w:val="00BD0AB4"/>
    <w:rsid w:val="00BD0CAF"/>
    <w:rsid w:val="00BD0CDC"/>
    <w:rsid w:val="00BD10C1"/>
    <w:rsid w:val="00BD1172"/>
    <w:rsid w:val="00BD1335"/>
    <w:rsid w:val="00BD279C"/>
    <w:rsid w:val="00BD2EFF"/>
    <w:rsid w:val="00BD370E"/>
    <w:rsid w:val="00BD3E64"/>
    <w:rsid w:val="00BD4427"/>
    <w:rsid w:val="00BD4E25"/>
    <w:rsid w:val="00BD682F"/>
    <w:rsid w:val="00BD6BD0"/>
    <w:rsid w:val="00BD7E81"/>
    <w:rsid w:val="00BE04AE"/>
    <w:rsid w:val="00BE060B"/>
    <w:rsid w:val="00BE18F3"/>
    <w:rsid w:val="00BE235D"/>
    <w:rsid w:val="00BE2CBE"/>
    <w:rsid w:val="00BE2CBF"/>
    <w:rsid w:val="00BE33F1"/>
    <w:rsid w:val="00BE3EF0"/>
    <w:rsid w:val="00BE44BC"/>
    <w:rsid w:val="00BE457F"/>
    <w:rsid w:val="00BE4C54"/>
    <w:rsid w:val="00BE5258"/>
    <w:rsid w:val="00BE5831"/>
    <w:rsid w:val="00BE5FF6"/>
    <w:rsid w:val="00BE612A"/>
    <w:rsid w:val="00BE65E0"/>
    <w:rsid w:val="00BE7A68"/>
    <w:rsid w:val="00BE7D35"/>
    <w:rsid w:val="00BF05B0"/>
    <w:rsid w:val="00BF0A9C"/>
    <w:rsid w:val="00BF0DAE"/>
    <w:rsid w:val="00BF133D"/>
    <w:rsid w:val="00BF23FB"/>
    <w:rsid w:val="00BF3C14"/>
    <w:rsid w:val="00BF415D"/>
    <w:rsid w:val="00BF430C"/>
    <w:rsid w:val="00BF45F8"/>
    <w:rsid w:val="00BF5024"/>
    <w:rsid w:val="00BF5672"/>
    <w:rsid w:val="00BF5DEE"/>
    <w:rsid w:val="00BF5E97"/>
    <w:rsid w:val="00BF63E0"/>
    <w:rsid w:val="00BF6642"/>
    <w:rsid w:val="00BF6B19"/>
    <w:rsid w:val="00BF6B6F"/>
    <w:rsid w:val="00BF73F2"/>
    <w:rsid w:val="00C02085"/>
    <w:rsid w:val="00C02956"/>
    <w:rsid w:val="00C04D6D"/>
    <w:rsid w:val="00C04DAB"/>
    <w:rsid w:val="00C0544A"/>
    <w:rsid w:val="00C05A0F"/>
    <w:rsid w:val="00C06445"/>
    <w:rsid w:val="00C06E7A"/>
    <w:rsid w:val="00C07278"/>
    <w:rsid w:val="00C072A5"/>
    <w:rsid w:val="00C073B8"/>
    <w:rsid w:val="00C10B72"/>
    <w:rsid w:val="00C1101D"/>
    <w:rsid w:val="00C11268"/>
    <w:rsid w:val="00C127A0"/>
    <w:rsid w:val="00C1284C"/>
    <w:rsid w:val="00C1321F"/>
    <w:rsid w:val="00C13CAB"/>
    <w:rsid w:val="00C153E1"/>
    <w:rsid w:val="00C15D74"/>
    <w:rsid w:val="00C160D5"/>
    <w:rsid w:val="00C1660C"/>
    <w:rsid w:val="00C16D63"/>
    <w:rsid w:val="00C16EC9"/>
    <w:rsid w:val="00C16FE7"/>
    <w:rsid w:val="00C17514"/>
    <w:rsid w:val="00C1785C"/>
    <w:rsid w:val="00C20F75"/>
    <w:rsid w:val="00C22022"/>
    <w:rsid w:val="00C22122"/>
    <w:rsid w:val="00C22510"/>
    <w:rsid w:val="00C22CD5"/>
    <w:rsid w:val="00C2367C"/>
    <w:rsid w:val="00C2431A"/>
    <w:rsid w:val="00C24B89"/>
    <w:rsid w:val="00C2566C"/>
    <w:rsid w:val="00C25CBE"/>
    <w:rsid w:val="00C26983"/>
    <w:rsid w:val="00C26BE3"/>
    <w:rsid w:val="00C2786E"/>
    <w:rsid w:val="00C279BB"/>
    <w:rsid w:val="00C3037A"/>
    <w:rsid w:val="00C30832"/>
    <w:rsid w:val="00C311B5"/>
    <w:rsid w:val="00C31F5E"/>
    <w:rsid w:val="00C32688"/>
    <w:rsid w:val="00C32A41"/>
    <w:rsid w:val="00C33E76"/>
    <w:rsid w:val="00C350AE"/>
    <w:rsid w:val="00C3555D"/>
    <w:rsid w:val="00C359C5"/>
    <w:rsid w:val="00C35CE9"/>
    <w:rsid w:val="00C36FCC"/>
    <w:rsid w:val="00C37A8B"/>
    <w:rsid w:val="00C400C4"/>
    <w:rsid w:val="00C40CBC"/>
    <w:rsid w:val="00C4103D"/>
    <w:rsid w:val="00C41AD2"/>
    <w:rsid w:val="00C41C7A"/>
    <w:rsid w:val="00C426B6"/>
    <w:rsid w:val="00C42DB7"/>
    <w:rsid w:val="00C439CA"/>
    <w:rsid w:val="00C45299"/>
    <w:rsid w:val="00C4567B"/>
    <w:rsid w:val="00C456EA"/>
    <w:rsid w:val="00C45A82"/>
    <w:rsid w:val="00C46925"/>
    <w:rsid w:val="00C46DB7"/>
    <w:rsid w:val="00C46E40"/>
    <w:rsid w:val="00C46F36"/>
    <w:rsid w:val="00C479E9"/>
    <w:rsid w:val="00C500D6"/>
    <w:rsid w:val="00C5064D"/>
    <w:rsid w:val="00C51026"/>
    <w:rsid w:val="00C511D5"/>
    <w:rsid w:val="00C5162B"/>
    <w:rsid w:val="00C528D4"/>
    <w:rsid w:val="00C539F9"/>
    <w:rsid w:val="00C53CD1"/>
    <w:rsid w:val="00C54ED8"/>
    <w:rsid w:val="00C55056"/>
    <w:rsid w:val="00C5537C"/>
    <w:rsid w:val="00C55D55"/>
    <w:rsid w:val="00C56911"/>
    <w:rsid w:val="00C56EC6"/>
    <w:rsid w:val="00C56FD6"/>
    <w:rsid w:val="00C57662"/>
    <w:rsid w:val="00C57B41"/>
    <w:rsid w:val="00C6169C"/>
    <w:rsid w:val="00C61A08"/>
    <w:rsid w:val="00C63166"/>
    <w:rsid w:val="00C631D0"/>
    <w:rsid w:val="00C643E0"/>
    <w:rsid w:val="00C646B6"/>
    <w:rsid w:val="00C6492C"/>
    <w:rsid w:val="00C64A1A"/>
    <w:rsid w:val="00C6571C"/>
    <w:rsid w:val="00C657A0"/>
    <w:rsid w:val="00C65F65"/>
    <w:rsid w:val="00C66A33"/>
    <w:rsid w:val="00C66D6E"/>
    <w:rsid w:val="00C67120"/>
    <w:rsid w:val="00C67420"/>
    <w:rsid w:val="00C679BA"/>
    <w:rsid w:val="00C67B63"/>
    <w:rsid w:val="00C70304"/>
    <w:rsid w:val="00C70AA1"/>
    <w:rsid w:val="00C710F7"/>
    <w:rsid w:val="00C71725"/>
    <w:rsid w:val="00C7185C"/>
    <w:rsid w:val="00C72F7E"/>
    <w:rsid w:val="00C73EAC"/>
    <w:rsid w:val="00C7421C"/>
    <w:rsid w:val="00C74D25"/>
    <w:rsid w:val="00C75740"/>
    <w:rsid w:val="00C7638D"/>
    <w:rsid w:val="00C76590"/>
    <w:rsid w:val="00C7676E"/>
    <w:rsid w:val="00C76862"/>
    <w:rsid w:val="00C7778F"/>
    <w:rsid w:val="00C77C7F"/>
    <w:rsid w:val="00C806B3"/>
    <w:rsid w:val="00C81003"/>
    <w:rsid w:val="00C81D59"/>
    <w:rsid w:val="00C827EB"/>
    <w:rsid w:val="00C82999"/>
    <w:rsid w:val="00C84515"/>
    <w:rsid w:val="00C84E41"/>
    <w:rsid w:val="00C85E60"/>
    <w:rsid w:val="00C85F8C"/>
    <w:rsid w:val="00C86013"/>
    <w:rsid w:val="00C861DD"/>
    <w:rsid w:val="00C868C4"/>
    <w:rsid w:val="00C86997"/>
    <w:rsid w:val="00C86C87"/>
    <w:rsid w:val="00C87A97"/>
    <w:rsid w:val="00C87AF3"/>
    <w:rsid w:val="00C87F27"/>
    <w:rsid w:val="00C90A95"/>
    <w:rsid w:val="00C91544"/>
    <w:rsid w:val="00C9184A"/>
    <w:rsid w:val="00C92119"/>
    <w:rsid w:val="00C926C8"/>
    <w:rsid w:val="00C92B40"/>
    <w:rsid w:val="00C933BF"/>
    <w:rsid w:val="00C945D7"/>
    <w:rsid w:val="00C94F0B"/>
    <w:rsid w:val="00C94FBD"/>
    <w:rsid w:val="00C951BF"/>
    <w:rsid w:val="00C955A6"/>
    <w:rsid w:val="00C955C5"/>
    <w:rsid w:val="00C95BDB"/>
    <w:rsid w:val="00C95C4F"/>
    <w:rsid w:val="00C96535"/>
    <w:rsid w:val="00C96DCF"/>
    <w:rsid w:val="00C97513"/>
    <w:rsid w:val="00CA088C"/>
    <w:rsid w:val="00CA0D22"/>
    <w:rsid w:val="00CA10E5"/>
    <w:rsid w:val="00CA19B7"/>
    <w:rsid w:val="00CA22B2"/>
    <w:rsid w:val="00CA33CC"/>
    <w:rsid w:val="00CA4B2E"/>
    <w:rsid w:val="00CA58F1"/>
    <w:rsid w:val="00CA59D9"/>
    <w:rsid w:val="00CA724C"/>
    <w:rsid w:val="00CB0B74"/>
    <w:rsid w:val="00CB0CD8"/>
    <w:rsid w:val="00CB175F"/>
    <w:rsid w:val="00CB216E"/>
    <w:rsid w:val="00CB22C1"/>
    <w:rsid w:val="00CB25EC"/>
    <w:rsid w:val="00CB2B14"/>
    <w:rsid w:val="00CB3357"/>
    <w:rsid w:val="00CB33A5"/>
    <w:rsid w:val="00CB36CC"/>
    <w:rsid w:val="00CB4359"/>
    <w:rsid w:val="00CB5CAA"/>
    <w:rsid w:val="00CB6213"/>
    <w:rsid w:val="00CB6528"/>
    <w:rsid w:val="00CB682F"/>
    <w:rsid w:val="00CB684B"/>
    <w:rsid w:val="00CB686B"/>
    <w:rsid w:val="00CB6BC5"/>
    <w:rsid w:val="00CB6EC6"/>
    <w:rsid w:val="00CB7058"/>
    <w:rsid w:val="00CC0C32"/>
    <w:rsid w:val="00CC1B02"/>
    <w:rsid w:val="00CC1C5B"/>
    <w:rsid w:val="00CC27CB"/>
    <w:rsid w:val="00CC2894"/>
    <w:rsid w:val="00CC2DF0"/>
    <w:rsid w:val="00CC3020"/>
    <w:rsid w:val="00CC347A"/>
    <w:rsid w:val="00CC3882"/>
    <w:rsid w:val="00CC3B26"/>
    <w:rsid w:val="00CC3EC8"/>
    <w:rsid w:val="00CC4BA8"/>
    <w:rsid w:val="00CC4C38"/>
    <w:rsid w:val="00CC4D13"/>
    <w:rsid w:val="00CC588E"/>
    <w:rsid w:val="00CC6278"/>
    <w:rsid w:val="00CC6743"/>
    <w:rsid w:val="00CC7A43"/>
    <w:rsid w:val="00CD03B1"/>
    <w:rsid w:val="00CD0449"/>
    <w:rsid w:val="00CD0FBF"/>
    <w:rsid w:val="00CD1083"/>
    <w:rsid w:val="00CD2181"/>
    <w:rsid w:val="00CD2DB1"/>
    <w:rsid w:val="00CD31FE"/>
    <w:rsid w:val="00CD3FB1"/>
    <w:rsid w:val="00CD4223"/>
    <w:rsid w:val="00CD49BD"/>
    <w:rsid w:val="00CD4CCE"/>
    <w:rsid w:val="00CD544B"/>
    <w:rsid w:val="00CD5B0B"/>
    <w:rsid w:val="00CD5B95"/>
    <w:rsid w:val="00CD621E"/>
    <w:rsid w:val="00CD6585"/>
    <w:rsid w:val="00CD6D55"/>
    <w:rsid w:val="00CD6E98"/>
    <w:rsid w:val="00CD72BF"/>
    <w:rsid w:val="00CD78A5"/>
    <w:rsid w:val="00CD79E3"/>
    <w:rsid w:val="00CE03F0"/>
    <w:rsid w:val="00CE05FB"/>
    <w:rsid w:val="00CE08D9"/>
    <w:rsid w:val="00CE0D5E"/>
    <w:rsid w:val="00CE11C0"/>
    <w:rsid w:val="00CE12AE"/>
    <w:rsid w:val="00CE1375"/>
    <w:rsid w:val="00CE2F43"/>
    <w:rsid w:val="00CE3BFF"/>
    <w:rsid w:val="00CE3D1C"/>
    <w:rsid w:val="00CE4021"/>
    <w:rsid w:val="00CE44EE"/>
    <w:rsid w:val="00CE47DD"/>
    <w:rsid w:val="00CE4CAB"/>
    <w:rsid w:val="00CE4DF6"/>
    <w:rsid w:val="00CE5D9F"/>
    <w:rsid w:val="00CE611C"/>
    <w:rsid w:val="00CE65CD"/>
    <w:rsid w:val="00CE671A"/>
    <w:rsid w:val="00CE6C64"/>
    <w:rsid w:val="00CF1B8B"/>
    <w:rsid w:val="00CF2744"/>
    <w:rsid w:val="00CF2DA2"/>
    <w:rsid w:val="00CF3120"/>
    <w:rsid w:val="00CF3467"/>
    <w:rsid w:val="00CF34C9"/>
    <w:rsid w:val="00CF3752"/>
    <w:rsid w:val="00CF37A5"/>
    <w:rsid w:val="00CF3805"/>
    <w:rsid w:val="00CF4634"/>
    <w:rsid w:val="00CF46D2"/>
    <w:rsid w:val="00CF4FFB"/>
    <w:rsid w:val="00CF505E"/>
    <w:rsid w:val="00CF5674"/>
    <w:rsid w:val="00CF5F4E"/>
    <w:rsid w:val="00CF5F5A"/>
    <w:rsid w:val="00CF6BF6"/>
    <w:rsid w:val="00CF7BB8"/>
    <w:rsid w:val="00D001B9"/>
    <w:rsid w:val="00D00562"/>
    <w:rsid w:val="00D0133F"/>
    <w:rsid w:val="00D0148A"/>
    <w:rsid w:val="00D0183F"/>
    <w:rsid w:val="00D01C98"/>
    <w:rsid w:val="00D0265A"/>
    <w:rsid w:val="00D02AA4"/>
    <w:rsid w:val="00D030A1"/>
    <w:rsid w:val="00D030CC"/>
    <w:rsid w:val="00D0350B"/>
    <w:rsid w:val="00D0377F"/>
    <w:rsid w:val="00D03936"/>
    <w:rsid w:val="00D04500"/>
    <w:rsid w:val="00D045A4"/>
    <w:rsid w:val="00D07090"/>
    <w:rsid w:val="00D072DC"/>
    <w:rsid w:val="00D07755"/>
    <w:rsid w:val="00D1039A"/>
    <w:rsid w:val="00D10825"/>
    <w:rsid w:val="00D10A3F"/>
    <w:rsid w:val="00D111A5"/>
    <w:rsid w:val="00D11319"/>
    <w:rsid w:val="00D12006"/>
    <w:rsid w:val="00D132F0"/>
    <w:rsid w:val="00D13942"/>
    <w:rsid w:val="00D151D1"/>
    <w:rsid w:val="00D1556F"/>
    <w:rsid w:val="00D161F2"/>
    <w:rsid w:val="00D167AA"/>
    <w:rsid w:val="00D16B77"/>
    <w:rsid w:val="00D17423"/>
    <w:rsid w:val="00D17F08"/>
    <w:rsid w:val="00D209D7"/>
    <w:rsid w:val="00D2122A"/>
    <w:rsid w:val="00D2226E"/>
    <w:rsid w:val="00D222F1"/>
    <w:rsid w:val="00D22415"/>
    <w:rsid w:val="00D22C0D"/>
    <w:rsid w:val="00D22F92"/>
    <w:rsid w:val="00D2304A"/>
    <w:rsid w:val="00D23BC4"/>
    <w:rsid w:val="00D252E3"/>
    <w:rsid w:val="00D261A6"/>
    <w:rsid w:val="00D26356"/>
    <w:rsid w:val="00D26385"/>
    <w:rsid w:val="00D27625"/>
    <w:rsid w:val="00D27A40"/>
    <w:rsid w:val="00D306E7"/>
    <w:rsid w:val="00D30FF3"/>
    <w:rsid w:val="00D31391"/>
    <w:rsid w:val="00D31724"/>
    <w:rsid w:val="00D31C06"/>
    <w:rsid w:val="00D31D50"/>
    <w:rsid w:val="00D31E59"/>
    <w:rsid w:val="00D3230C"/>
    <w:rsid w:val="00D3255F"/>
    <w:rsid w:val="00D333D1"/>
    <w:rsid w:val="00D3343D"/>
    <w:rsid w:val="00D33B65"/>
    <w:rsid w:val="00D33C06"/>
    <w:rsid w:val="00D34179"/>
    <w:rsid w:val="00D342CD"/>
    <w:rsid w:val="00D34B7E"/>
    <w:rsid w:val="00D35D07"/>
    <w:rsid w:val="00D35E13"/>
    <w:rsid w:val="00D370BF"/>
    <w:rsid w:val="00D37269"/>
    <w:rsid w:val="00D37886"/>
    <w:rsid w:val="00D37A3D"/>
    <w:rsid w:val="00D37BC8"/>
    <w:rsid w:val="00D37E4E"/>
    <w:rsid w:val="00D40765"/>
    <w:rsid w:val="00D40825"/>
    <w:rsid w:val="00D41E62"/>
    <w:rsid w:val="00D42C59"/>
    <w:rsid w:val="00D43E73"/>
    <w:rsid w:val="00D4412E"/>
    <w:rsid w:val="00D4628E"/>
    <w:rsid w:val="00D4648C"/>
    <w:rsid w:val="00D46496"/>
    <w:rsid w:val="00D46D9A"/>
    <w:rsid w:val="00D472DA"/>
    <w:rsid w:val="00D50089"/>
    <w:rsid w:val="00D501A7"/>
    <w:rsid w:val="00D502B6"/>
    <w:rsid w:val="00D507E8"/>
    <w:rsid w:val="00D51720"/>
    <w:rsid w:val="00D51786"/>
    <w:rsid w:val="00D52F9F"/>
    <w:rsid w:val="00D5331A"/>
    <w:rsid w:val="00D533D8"/>
    <w:rsid w:val="00D5369C"/>
    <w:rsid w:val="00D53DA7"/>
    <w:rsid w:val="00D54204"/>
    <w:rsid w:val="00D542BD"/>
    <w:rsid w:val="00D54AA2"/>
    <w:rsid w:val="00D55DE5"/>
    <w:rsid w:val="00D55F02"/>
    <w:rsid w:val="00D567BC"/>
    <w:rsid w:val="00D56A34"/>
    <w:rsid w:val="00D57078"/>
    <w:rsid w:val="00D5750B"/>
    <w:rsid w:val="00D57CE3"/>
    <w:rsid w:val="00D57E8E"/>
    <w:rsid w:val="00D6096C"/>
    <w:rsid w:val="00D60E58"/>
    <w:rsid w:val="00D61B70"/>
    <w:rsid w:val="00D61FEE"/>
    <w:rsid w:val="00D629F8"/>
    <w:rsid w:val="00D62DDB"/>
    <w:rsid w:val="00D63052"/>
    <w:rsid w:val="00D6426D"/>
    <w:rsid w:val="00D647BA"/>
    <w:rsid w:val="00D64FE1"/>
    <w:rsid w:val="00D653AC"/>
    <w:rsid w:val="00D67687"/>
    <w:rsid w:val="00D7088E"/>
    <w:rsid w:val="00D70A67"/>
    <w:rsid w:val="00D70C29"/>
    <w:rsid w:val="00D70EA6"/>
    <w:rsid w:val="00D717D2"/>
    <w:rsid w:val="00D72FB5"/>
    <w:rsid w:val="00D734DA"/>
    <w:rsid w:val="00D7395D"/>
    <w:rsid w:val="00D739F7"/>
    <w:rsid w:val="00D73D20"/>
    <w:rsid w:val="00D74ABD"/>
    <w:rsid w:val="00D74DA0"/>
    <w:rsid w:val="00D75D10"/>
    <w:rsid w:val="00D7640D"/>
    <w:rsid w:val="00D76D2F"/>
    <w:rsid w:val="00D7707F"/>
    <w:rsid w:val="00D80C9D"/>
    <w:rsid w:val="00D816AE"/>
    <w:rsid w:val="00D81BC0"/>
    <w:rsid w:val="00D82346"/>
    <w:rsid w:val="00D82552"/>
    <w:rsid w:val="00D8269D"/>
    <w:rsid w:val="00D82E68"/>
    <w:rsid w:val="00D83A03"/>
    <w:rsid w:val="00D8437E"/>
    <w:rsid w:val="00D843EF"/>
    <w:rsid w:val="00D848A4"/>
    <w:rsid w:val="00D85677"/>
    <w:rsid w:val="00D8692D"/>
    <w:rsid w:val="00D86B93"/>
    <w:rsid w:val="00D86DCF"/>
    <w:rsid w:val="00D86F26"/>
    <w:rsid w:val="00D878A4"/>
    <w:rsid w:val="00D87BA9"/>
    <w:rsid w:val="00D90091"/>
    <w:rsid w:val="00D90753"/>
    <w:rsid w:val="00D914CF"/>
    <w:rsid w:val="00D9157E"/>
    <w:rsid w:val="00D929AF"/>
    <w:rsid w:val="00D9346F"/>
    <w:rsid w:val="00D93839"/>
    <w:rsid w:val="00D938BB"/>
    <w:rsid w:val="00D948EB"/>
    <w:rsid w:val="00D95160"/>
    <w:rsid w:val="00D955FD"/>
    <w:rsid w:val="00D95F2A"/>
    <w:rsid w:val="00D95F45"/>
    <w:rsid w:val="00D9671D"/>
    <w:rsid w:val="00D96C04"/>
    <w:rsid w:val="00D9747B"/>
    <w:rsid w:val="00D9790F"/>
    <w:rsid w:val="00D97FFA"/>
    <w:rsid w:val="00DA0531"/>
    <w:rsid w:val="00DA13DA"/>
    <w:rsid w:val="00DA1518"/>
    <w:rsid w:val="00DA1979"/>
    <w:rsid w:val="00DA19E3"/>
    <w:rsid w:val="00DA20E4"/>
    <w:rsid w:val="00DA24DE"/>
    <w:rsid w:val="00DA27EF"/>
    <w:rsid w:val="00DA2A33"/>
    <w:rsid w:val="00DA2F89"/>
    <w:rsid w:val="00DA328C"/>
    <w:rsid w:val="00DA3651"/>
    <w:rsid w:val="00DA3C43"/>
    <w:rsid w:val="00DA3F88"/>
    <w:rsid w:val="00DA403F"/>
    <w:rsid w:val="00DA45FD"/>
    <w:rsid w:val="00DA5C89"/>
    <w:rsid w:val="00DA6A6B"/>
    <w:rsid w:val="00DA7132"/>
    <w:rsid w:val="00DA71DC"/>
    <w:rsid w:val="00DA74E5"/>
    <w:rsid w:val="00DA758C"/>
    <w:rsid w:val="00DA7D4B"/>
    <w:rsid w:val="00DA7DC7"/>
    <w:rsid w:val="00DB01D2"/>
    <w:rsid w:val="00DB02AE"/>
    <w:rsid w:val="00DB04D6"/>
    <w:rsid w:val="00DB08DD"/>
    <w:rsid w:val="00DB09DD"/>
    <w:rsid w:val="00DB1748"/>
    <w:rsid w:val="00DB1B73"/>
    <w:rsid w:val="00DB1EAB"/>
    <w:rsid w:val="00DB228B"/>
    <w:rsid w:val="00DB2682"/>
    <w:rsid w:val="00DB2809"/>
    <w:rsid w:val="00DB2FE8"/>
    <w:rsid w:val="00DB31DD"/>
    <w:rsid w:val="00DB32FB"/>
    <w:rsid w:val="00DB37F6"/>
    <w:rsid w:val="00DB4006"/>
    <w:rsid w:val="00DB4024"/>
    <w:rsid w:val="00DB4196"/>
    <w:rsid w:val="00DB4ADE"/>
    <w:rsid w:val="00DB4F3E"/>
    <w:rsid w:val="00DB546A"/>
    <w:rsid w:val="00DB73AF"/>
    <w:rsid w:val="00DB7E37"/>
    <w:rsid w:val="00DC0365"/>
    <w:rsid w:val="00DC05D5"/>
    <w:rsid w:val="00DC08AC"/>
    <w:rsid w:val="00DC1396"/>
    <w:rsid w:val="00DC29A1"/>
    <w:rsid w:val="00DC2D0D"/>
    <w:rsid w:val="00DC3282"/>
    <w:rsid w:val="00DC35AB"/>
    <w:rsid w:val="00DC3DDB"/>
    <w:rsid w:val="00DC4695"/>
    <w:rsid w:val="00DC4947"/>
    <w:rsid w:val="00DC4E80"/>
    <w:rsid w:val="00DC5164"/>
    <w:rsid w:val="00DC5294"/>
    <w:rsid w:val="00DC5657"/>
    <w:rsid w:val="00DC5D7D"/>
    <w:rsid w:val="00DC6925"/>
    <w:rsid w:val="00DC727B"/>
    <w:rsid w:val="00DC789F"/>
    <w:rsid w:val="00DD06DD"/>
    <w:rsid w:val="00DD093A"/>
    <w:rsid w:val="00DD0E89"/>
    <w:rsid w:val="00DD0FBF"/>
    <w:rsid w:val="00DD1672"/>
    <w:rsid w:val="00DD21B3"/>
    <w:rsid w:val="00DD2A36"/>
    <w:rsid w:val="00DD2A57"/>
    <w:rsid w:val="00DD345F"/>
    <w:rsid w:val="00DD424F"/>
    <w:rsid w:val="00DD47FE"/>
    <w:rsid w:val="00DD5729"/>
    <w:rsid w:val="00DD64E5"/>
    <w:rsid w:val="00DD7067"/>
    <w:rsid w:val="00DD79A7"/>
    <w:rsid w:val="00DE04A3"/>
    <w:rsid w:val="00DE07C7"/>
    <w:rsid w:val="00DE0C68"/>
    <w:rsid w:val="00DE0D9F"/>
    <w:rsid w:val="00DE137A"/>
    <w:rsid w:val="00DE1530"/>
    <w:rsid w:val="00DE1FAE"/>
    <w:rsid w:val="00DE3A8D"/>
    <w:rsid w:val="00DE4012"/>
    <w:rsid w:val="00DE582E"/>
    <w:rsid w:val="00DE58CB"/>
    <w:rsid w:val="00DE59AA"/>
    <w:rsid w:val="00DE5A7A"/>
    <w:rsid w:val="00DE5D97"/>
    <w:rsid w:val="00DE5E26"/>
    <w:rsid w:val="00DE61BA"/>
    <w:rsid w:val="00DE62D3"/>
    <w:rsid w:val="00DE79A0"/>
    <w:rsid w:val="00DE79D0"/>
    <w:rsid w:val="00DF009A"/>
    <w:rsid w:val="00DF05D5"/>
    <w:rsid w:val="00DF08DC"/>
    <w:rsid w:val="00DF0EE6"/>
    <w:rsid w:val="00DF2129"/>
    <w:rsid w:val="00DF242A"/>
    <w:rsid w:val="00DF25FC"/>
    <w:rsid w:val="00DF2631"/>
    <w:rsid w:val="00DF2EA9"/>
    <w:rsid w:val="00DF3C1B"/>
    <w:rsid w:val="00DF3CFA"/>
    <w:rsid w:val="00DF45DF"/>
    <w:rsid w:val="00DF595F"/>
    <w:rsid w:val="00DF59DB"/>
    <w:rsid w:val="00DF5C80"/>
    <w:rsid w:val="00DF601F"/>
    <w:rsid w:val="00DF62E0"/>
    <w:rsid w:val="00DF6605"/>
    <w:rsid w:val="00DF68A6"/>
    <w:rsid w:val="00DF6C5A"/>
    <w:rsid w:val="00DF73A4"/>
    <w:rsid w:val="00DF7C69"/>
    <w:rsid w:val="00DF7EA4"/>
    <w:rsid w:val="00E002BE"/>
    <w:rsid w:val="00E006BB"/>
    <w:rsid w:val="00E00859"/>
    <w:rsid w:val="00E00AA9"/>
    <w:rsid w:val="00E00C90"/>
    <w:rsid w:val="00E011AE"/>
    <w:rsid w:val="00E0166A"/>
    <w:rsid w:val="00E01689"/>
    <w:rsid w:val="00E021E3"/>
    <w:rsid w:val="00E022D0"/>
    <w:rsid w:val="00E02868"/>
    <w:rsid w:val="00E02BD5"/>
    <w:rsid w:val="00E0413A"/>
    <w:rsid w:val="00E046C5"/>
    <w:rsid w:val="00E04BB0"/>
    <w:rsid w:val="00E05231"/>
    <w:rsid w:val="00E05544"/>
    <w:rsid w:val="00E05C2B"/>
    <w:rsid w:val="00E05E83"/>
    <w:rsid w:val="00E05F3D"/>
    <w:rsid w:val="00E05FBC"/>
    <w:rsid w:val="00E06BC2"/>
    <w:rsid w:val="00E06D7F"/>
    <w:rsid w:val="00E06DF2"/>
    <w:rsid w:val="00E07044"/>
    <w:rsid w:val="00E07823"/>
    <w:rsid w:val="00E078E7"/>
    <w:rsid w:val="00E1012D"/>
    <w:rsid w:val="00E10980"/>
    <w:rsid w:val="00E10A12"/>
    <w:rsid w:val="00E12496"/>
    <w:rsid w:val="00E130E8"/>
    <w:rsid w:val="00E13A0D"/>
    <w:rsid w:val="00E13BB6"/>
    <w:rsid w:val="00E1452D"/>
    <w:rsid w:val="00E15456"/>
    <w:rsid w:val="00E15583"/>
    <w:rsid w:val="00E1584A"/>
    <w:rsid w:val="00E15AAF"/>
    <w:rsid w:val="00E15BFD"/>
    <w:rsid w:val="00E15F57"/>
    <w:rsid w:val="00E173C7"/>
    <w:rsid w:val="00E17A14"/>
    <w:rsid w:val="00E2017C"/>
    <w:rsid w:val="00E202F5"/>
    <w:rsid w:val="00E20FF0"/>
    <w:rsid w:val="00E21367"/>
    <w:rsid w:val="00E215DA"/>
    <w:rsid w:val="00E21C7B"/>
    <w:rsid w:val="00E21E00"/>
    <w:rsid w:val="00E220CD"/>
    <w:rsid w:val="00E228B0"/>
    <w:rsid w:val="00E2321F"/>
    <w:rsid w:val="00E250D7"/>
    <w:rsid w:val="00E25834"/>
    <w:rsid w:val="00E2588A"/>
    <w:rsid w:val="00E268C5"/>
    <w:rsid w:val="00E27FD3"/>
    <w:rsid w:val="00E30062"/>
    <w:rsid w:val="00E31F5A"/>
    <w:rsid w:val="00E320A8"/>
    <w:rsid w:val="00E33031"/>
    <w:rsid w:val="00E34ED6"/>
    <w:rsid w:val="00E35074"/>
    <w:rsid w:val="00E35608"/>
    <w:rsid w:val="00E35BBD"/>
    <w:rsid w:val="00E36F30"/>
    <w:rsid w:val="00E3721F"/>
    <w:rsid w:val="00E375A3"/>
    <w:rsid w:val="00E400BD"/>
    <w:rsid w:val="00E4061E"/>
    <w:rsid w:val="00E41144"/>
    <w:rsid w:val="00E41988"/>
    <w:rsid w:val="00E4240E"/>
    <w:rsid w:val="00E42A89"/>
    <w:rsid w:val="00E42B3E"/>
    <w:rsid w:val="00E430AA"/>
    <w:rsid w:val="00E43250"/>
    <w:rsid w:val="00E434CD"/>
    <w:rsid w:val="00E44616"/>
    <w:rsid w:val="00E45B54"/>
    <w:rsid w:val="00E46A69"/>
    <w:rsid w:val="00E47313"/>
    <w:rsid w:val="00E47BD9"/>
    <w:rsid w:val="00E504FF"/>
    <w:rsid w:val="00E50EBE"/>
    <w:rsid w:val="00E51013"/>
    <w:rsid w:val="00E516D8"/>
    <w:rsid w:val="00E520F8"/>
    <w:rsid w:val="00E52350"/>
    <w:rsid w:val="00E52A4B"/>
    <w:rsid w:val="00E52FB9"/>
    <w:rsid w:val="00E5377F"/>
    <w:rsid w:val="00E53D8F"/>
    <w:rsid w:val="00E53E67"/>
    <w:rsid w:val="00E5409E"/>
    <w:rsid w:val="00E54829"/>
    <w:rsid w:val="00E54969"/>
    <w:rsid w:val="00E55210"/>
    <w:rsid w:val="00E5614B"/>
    <w:rsid w:val="00E56669"/>
    <w:rsid w:val="00E607C6"/>
    <w:rsid w:val="00E6132B"/>
    <w:rsid w:val="00E615C3"/>
    <w:rsid w:val="00E623A1"/>
    <w:rsid w:val="00E624D6"/>
    <w:rsid w:val="00E6270B"/>
    <w:rsid w:val="00E62B45"/>
    <w:rsid w:val="00E62B7F"/>
    <w:rsid w:val="00E62E0D"/>
    <w:rsid w:val="00E63837"/>
    <w:rsid w:val="00E63D04"/>
    <w:rsid w:val="00E63DF9"/>
    <w:rsid w:val="00E64518"/>
    <w:rsid w:val="00E64A86"/>
    <w:rsid w:val="00E65DCC"/>
    <w:rsid w:val="00E6633F"/>
    <w:rsid w:val="00E663D0"/>
    <w:rsid w:val="00E66561"/>
    <w:rsid w:val="00E66E03"/>
    <w:rsid w:val="00E66F2B"/>
    <w:rsid w:val="00E67046"/>
    <w:rsid w:val="00E67B86"/>
    <w:rsid w:val="00E67EDF"/>
    <w:rsid w:val="00E70C6A"/>
    <w:rsid w:val="00E71EAC"/>
    <w:rsid w:val="00E722FD"/>
    <w:rsid w:val="00E725DE"/>
    <w:rsid w:val="00E73151"/>
    <w:rsid w:val="00E73804"/>
    <w:rsid w:val="00E7437D"/>
    <w:rsid w:val="00E75B96"/>
    <w:rsid w:val="00E75F2B"/>
    <w:rsid w:val="00E76D22"/>
    <w:rsid w:val="00E773C3"/>
    <w:rsid w:val="00E802CE"/>
    <w:rsid w:val="00E802DD"/>
    <w:rsid w:val="00E8093E"/>
    <w:rsid w:val="00E8099C"/>
    <w:rsid w:val="00E81E22"/>
    <w:rsid w:val="00E81F4B"/>
    <w:rsid w:val="00E82344"/>
    <w:rsid w:val="00E83569"/>
    <w:rsid w:val="00E83F9F"/>
    <w:rsid w:val="00E8454E"/>
    <w:rsid w:val="00E8500B"/>
    <w:rsid w:val="00E85191"/>
    <w:rsid w:val="00E851AF"/>
    <w:rsid w:val="00E859CF"/>
    <w:rsid w:val="00E85CAD"/>
    <w:rsid w:val="00E879F1"/>
    <w:rsid w:val="00E902A2"/>
    <w:rsid w:val="00E9115B"/>
    <w:rsid w:val="00E912AC"/>
    <w:rsid w:val="00E91B66"/>
    <w:rsid w:val="00E9202A"/>
    <w:rsid w:val="00E92402"/>
    <w:rsid w:val="00E92B43"/>
    <w:rsid w:val="00E941E6"/>
    <w:rsid w:val="00E942D7"/>
    <w:rsid w:val="00E94C5B"/>
    <w:rsid w:val="00E95574"/>
    <w:rsid w:val="00E95BD6"/>
    <w:rsid w:val="00E95D72"/>
    <w:rsid w:val="00E96118"/>
    <w:rsid w:val="00E96A6B"/>
    <w:rsid w:val="00E97A44"/>
    <w:rsid w:val="00E97E3A"/>
    <w:rsid w:val="00EA028C"/>
    <w:rsid w:val="00EA07B2"/>
    <w:rsid w:val="00EA0D33"/>
    <w:rsid w:val="00EA197F"/>
    <w:rsid w:val="00EA1D33"/>
    <w:rsid w:val="00EA2999"/>
    <w:rsid w:val="00EA356C"/>
    <w:rsid w:val="00EA3D30"/>
    <w:rsid w:val="00EA4157"/>
    <w:rsid w:val="00EA4392"/>
    <w:rsid w:val="00EA4C8E"/>
    <w:rsid w:val="00EA4CC9"/>
    <w:rsid w:val="00EA50FF"/>
    <w:rsid w:val="00EA562E"/>
    <w:rsid w:val="00EA6785"/>
    <w:rsid w:val="00EA6BD9"/>
    <w:rsid w:val="00EA6E06"/>
    <w:rsid w:val="00EB0478"/>
    <w:rsid w:val="00EB0F56"/>
    <w:rsid w:val="00EB10E6"/>
    <w:rsid w:val="00EB14AD"/>
    <w:rsid w:val="00EB167A"/>
    <w:rsid w:val="00EB1C13"/>
    <w:rsid w:val="00EB3CB8"/>
    <w:rsid w:val="00EB41EF"/>
    <w:rsid w:val="00EB4367"/>
    <w:rsid w:val="00EB49CA"/>
    <w:rsid w:val="00EB4A63"/>
    <w:rsid w:val="00EB6107"/>
    <w:rsid w:val="00EB625D"/>
    <w:rsid w:val="00EC0394"/>
    <w:rsid w:val="00EC04B0"/>
    <w:rsid w:val="00EC0CD9"/>
    <w:rsid w:val="00EC0D04"/>
    <w:rsid w:val="00EC21D5"/>
    <w:rsid w:val="00EC2434"/>
    <w:rsid w:val="00EC2513"/>
    <w:rsid w:val="00EC298E"/>
    <w:rsid w:val="00EC3BA6"/>
    <w:rsid w:val="00EC4883"/>
    <w:rsid w:val="00EC4BB3"/>
    <w:rsid w:val="00EC4D06"/>
    <w:rsid w:val="00EC5393"/>
    <w:rsid w:val="00EC5CC4"/>
    <w:rsid w:val="00EC63E0"/>
    <w:rsid w:val="00EC6A55"/>
    <w:rsid w:val="00EC6CB5"/>
    <w:rsid w:val="00EC7789"/>
    <w:rsid w:val="00EC78B6"/>
    <w:rsid w:val="00ED0152"/>
    <w:rsid w:val="00ED0264"/>
    <w:rsid w:val="00ED02B8"/>
    <w:rsid w:val="00ED03D3"/>
    <w:rsid w:val="00ED04BD"/>
    <w:rsid w:val="00ED0E9F"/>
    <w:rsid w:val="00ED1324"/>
    <w:rsid w:val="00ED135D"/>
    <w:rsid w:val="00ED232A"/>
    <w:rsid w:val="00ED3D8E"/>
    <w:rsid w:val="00ED4778"/>
    <w:rsid w:val="00ED4D90"/>
    <w:rsid w:val="00ED618B"/>
    <w:rsid w:val="00ED61E4"/>
    <w:rsid w:val="00ED62B7"/>
    <w:rsid w:val="00ED6A02"/>
    <w:rsid w:val="00ED6B56"/>
    <w:rsid w:val="00ED6E2E"/>
    <w:rsid w:val="00ED7991"/>
    <w:rsid w:val="00EE06BE"/>
    <w:rsid w:val="00EE0A83"/>
    <w:rsid w:val="00EE0B93"/>
    <w:rsid w:val="00EE1344"/>
    <w:rsid w:val="00EE1808"/>
    <w:rsid w:val="00EE1BA3"/>
    <w:rsid w:val="00EE1EC2"/>
    <w:rsid w:val="00EE1EF6"/>
    <w:rsid w:val="00EE249F"/>
    <w:rsid w:val="00EE266B"/>
    <w:rsid w:val="00EE3A1B"/>
    <w:rsid w:val="00EE3D29"/>
    <w:rsid w:val="00EE40F4"/>
    <w:rsid w:val="00EE45CE"/>
    <w:rsid w:val="00EE51B4"/>
    <w:rsid w:val="00EE5283"/>
    <w:rsid w:val="00EE5835"/>
    <w:rsid w:val="00EE5982"/>
    <w:rsid w:val="00EE693D"/>
    <w:rsid w:val="00EE6A02"/>
    <w:rsid w:val="00EE7B44"/>
    <w:rsid w:val="00EF0B56"/>
    <w:rsid w:val="00EF17F0"/>
    <w:rsid w:val="00EF1888"/>
    <w:rsid w:val="00EF220A"/>
    <w:rsid w:val="00EF2420"/>
    <w:rsid w:val="00EF2813"/>
    <w:rsid w:val="00EF29A7"/>
    <w:rsid w:val="00EF38A2"/>
    <w:rsid w:val="00EF399E"/>
    <w:rsid w:val="00EF5041"/>
    <w:rsid w:val="00EF5865"/>
    <w:rsid w:val="00EF66BC"/>
    <w:rsid w:val="00EF6F70"/>
    <w:rsid w:val="00EF77E7"/>
    <w:rsid w:val="00EF7BCB"/>
    <w:rsid w:val="00F0085D"/>
    <w:rsid w:val="00F00D9F"/>
    <w:rsid w:val="00F01E06"/>
    <w:rsid w:val="00F0277A"/>
    <w:rsid w:val="00F02E88"/>
    <w:rsid w:val="00F0460D"/>
    <w:rsid w:val="00F05385"/>
    <w:rsid w:val="00F053C7"/>
    <w:rsid w:val="00F0577C"/>
    <w:rsid w:val="00F058A4"/>
    <w:rsid w:val="00F06015"/>
    <w:rsid w:val="00F061B2"/>
    <w:rsid w:val="00F061C1"/>
    <w:rsid w:val="00F10072"/>
    <w:rsid w:val="00F10803"/>
    <w:rsid w:val="00F10DCE"/>
    <w:rsid w:val="00F11616"/>
    <w:rsid w:val="00F1173E"/>
    <w:rsid w:val="00F11F42"/>
    <w:rsid w:val="00F1246D"/>
    <w:rsid w:val="00F12C0F"/>
    <w:rsid w:val="00F145A6"/>
    <w:rsid w:val="00F14706"/>
    <w:rsid w:val="00F14754"/>
    <w:rsid w:val="00F14C21"/>
    <w:rsid w:val="00F15E7D"/>
    <w:rsid w:val="00F15F89"/>
    <w:rsid w:val="00F163FE"/>
    <w:rsid w:val="00F164A2"/>
    <w:rsid w:val="00F1714E"/>
    <w:rsid w:val="00F17644"/>
    <w:rsid w:val="00F20203"/>
    <w:rsid w:val="00F20387"/>
    <w:rsid w:val="00F208CE"/>
    <w:rsid w:val="00F21873"/>
    <w:rsid w:val="00F21DBE"/>
    <w:rsid w:val="00F22711"/>
    <w:rsid w:val="00F22C39"/>
    <w:rsid w:val="00F22D26"/>
    <w:rsid w:val="00F24067"/>
    <w:rsid w:val="00F24F85"/>
    <w:rsid w:val="00F25082"/>
    <w:rsid w:val="00F2513D"/>
    <w:rsid w:val="00F2529B"/>
    <w:rsid w:val="00F25706"/>
    <w:rsid w:val="00F25771"/>
    <w:rsid w:val="00F26B3D"/>
    <w:rsid w:val="00F2742C"/>
    <w:rsid w:val="00F27CF3"/>
    <w:rsid w:val="00F27D40"/>
    <w:rsid w:val="00F27F56"/>
    <w:rsid w:val="00F30899"/>
    <w:rsid w:val="00F30C86"/>
    <w:rsid w:val="00F31805"/>
    <w:rsid w:val="00F320B0"/>
    <w:rsid w:val="00F33128"/>
    <w:rsid w:val="00F34116"/>
    <w:rsid w:val="00F350BF"/>
    <w:rsid w:val="00F3553F"/>
    <w:rsid w:val="00F3575A"/>
    <w:rsid w:val="00F35A13"/>
    <w:rsid w:val="00F3652D"/>
    <w:rsid w:val="00F36A57"/>
    <w:rsid w:val="00F3710A"/>
    <w:rsid w:val="00F405DF"/>
    <w:rsid w:val="00F4087D"/>
    <w:rsid w:val="00F41117"/>
    <w:rsid w:val="00F414E1"/>
    <w:rsid w:val="00F42E90"/>
    <w:rsid w:val="00F42EBD"/>
    <w:rsid w:val="00F439CC"/>
    <w:rsid w:val="00F43FD2"/>
    <w:rsid w:val="00F441EF"/>
    <w:rsid w:val="00F449DC"/>
    <w:rsid w:val="00F45560"/>
    <w:rsid w:val="00F467FD"/>
    <w:rsid w:val="00F46804"/>
    <w:rsid w:val="00F46B53"/>
    <w:rsid w:val="00F4704B"/>
    <w:rsid w:val="00F47218"/>
    <w:rsid w:val="00F47556"/>
    <w:rsid w:val="00F47666"/>
    <w:rsid w:val="00F478EE"/>
    <w:rsid w:val="00F4797D"/>
    <w:rsid w:val="00F50850"/>
    <w:rsid w:val="00F50B85"/>
    <w:rsid w:val="00F50CBB"/>
    <w:rsid w:val="00F50E63"/>
    <w:rsid w:val="00F510A1"/>
    <w:rsid w:val="00F5116E"/>
    <w:rsid w:val="00F519B3"/>
    <w:rsid w:val="00F53043"/>
    <w:rsid w:val="00F53801"/>
    <w:rsid w:val="00F539FD"/>
    <w:rsid w:val="00F542FF"/>
    <w:rsid w:val="00F55247"/>
    <w:rsid w:val="00F556E9"/>
    <w:rsid w:val="00F55E81"/>
    <w:rsid w:val="00F56A7B"/>
    <w:rsid w:val="00F56D2B"/>
    <w:rsid w:val="00F5702C"/>
    <w:rsid w:val="00F5703F"/>
    <w:rsid w:val="00F57304"/>
    <w:rsid w:val="00F57A89"/>
    <w:rsid w:val="00F57CBB"/>
    <w:rsid w:val="00F57D69"/>
    <w:rsid w:val="00F6002E"/>
    <w:rsid w:val="00F60444"/>
    <w:rsid w:val="00F60590"/>
    <w:rsid w:val="00F62454"/>
    <w:rsid w:val="00F62933"/>
    <w:rsid w:val="00F629B5"/>
    <w:rsid w:val="00F62A8E"/>
    <w:rsid w:val="00F62CB7"/>
    <w:rsid w:val="00F630E6"/>
    <w:rsid w:val="00F646E2"/>
    <w:rsid w:val="00F65EF3"/>
    <w:rsid w:val="00F66187"/>
    <w:rsid w:val="00F6647D"/>
    <w:rsid w:val="00F66D82"/>
    <w:rsid w:val="00F7063C"/>
    <w:rsid w:val="00F71385"/>
    <w:rsid w:val="00F71C59"/>
    <w:rsid w:val="00F721AC"/>
    <w:rsid w:val="00F7255E"/>
    <w:rsid w:val="00F7275C"/>
    <w:rsid w:val="00F72B00"/>
    <w:rsid w:val="00F72F3A"/>
    <w:rsid w:val="00F73307"/>
    <w:rsid w:val="00F739F7"/>
    <w:rsid w:val="00F73A5C"/>
    <w:rsid w:val="00F73AA8"/>
    <w:rsid w:val="00F73AF7"/>
    <w:rsid w:val="00F74583"/>
    <w:rsid w:val="00F74614"/>
    <w:rsid w:val="00F7500A"/>
    <w:rsid w:val="00F7506E"/>
    <w:rsid w:val="00F771D9"/>
    <w:rsid w:val="00F7742B"/>
    <w:rsid w:val="00F7790C"/>
    <w:rsid w:val="00F807C9"/>
    <w:rsid w:val="00F819A2"/>
    <w:rsid w:val="00F82A48"/>
    <w:rsid w:val="00F82C5D"/>
    <w:rsid w:val="00F82DDE"/>
    <w:rsid w:val="00F82EB6"/>
    <w:rsid w:val="00F8436F"/>
    <w:rsid w:val="00F843DD"/>
    <w:rsid w:val="00F84501"/>
    <w:rsid w:val="00F84A29"/>
    <w:rsid w:val="00F84ACE"/>
    <w:rsid w:val="00F84AFC"/>
    <w:rsid w:val="00F84B58"/>
    <w:rsid w:val="00F84E24"/>
    <w:rsid w:val="00F869D5"/>
    <w:rsid w:val="00F86D6A"/>
    <w:rsid w:val="00F87D40"/>
    <w:rsid w:val="00F90365"/>
    <w:rsid w:val="00F909E6"/>
    <w:rsid w:val="00F90E21"/>
    <w:rsid w:val="00F916AA"/>
    <w:rsid w:val="00F91843"/>
    <w:rsid w:val="00F923A6"/>
    <w:rsid w:val="00F9246A"/>
    <w:rsid w:val="00F924BD"/>
    <w:rsid w:val="00F92636"/>
    <w:rsid w:val="00F94161"/>
    <w:rsid w:val="00F94344"/>
    <w:rsid w:val="00F94409"/>
    <w:rsid w:val="00F94A54"/>
    <w:rsid w:val="00F94C9F"/>
    <w:rsid w:val="00F94D33"/>
    <w:rsid w:val="00F953D5"/>
    <w:rsid w:val="00F9549C"/>
    <w:rsid w:val="00F95A3E"/>
    <w:rsid w:val="00F95D08"/>
    <w:rsid w:val="00F96B4C"/>
    <w:rsid w:val="00F96E1D"/>
    <w:rsid w:val="00F97BB6"/>
    <w:rsid w:val="00FA1471"/>
    <w:rsid w:val="00FA1844"/>
    <w:rsid w:val="00FA1C4E"/>
    <w:rsid w:val="00FA21AB"/>
    <w:rsid w:val="00FA2D38"/>
    <w:rsid w:val="00FA318E"/>
    <w:rsid w:val="00FA48AD"/>
    <w:rsid w:val="00FA5C27"/>
    <w:rsid w:val="00FA5E36"/>
    <w:rsid w:val="00FA6501"/>
    <w:rsid w:val="00FA65A1"/>
    <w:rsid w:val="00FA7D11"/>
    <w:rsid w:val="00FB00F4"/>
    <w:rsid w:val="00FB04E0"/>
    <w:rsid w:val="00FB097E"/>
    <w:rsid w:val="00FB140D"/>
    <w:rsid w:val="00FB1992"/>
    <w:rsid w:val="00FB20B5"/>
    <w:rsid w:val="00FB275E"/>
    <w:rsid w:val="00FB32D0"/>
    <w:rsid w:val="00FB3455"/>
    <w:rsid w:val="00FB3487"/>
    <w:rsid w:val="00FB51E5"/>
    <w:rsid w:val="00FB559D"/>
    <w:rsid w:val="00FB5DEA"/>
    <w:rsid w:val="00FB5FD9"/>
    <w:rsid w:val="00FB6819"/>
    <w:rsid w:val="00FB69A8"/>
    <w:rsid w:val="00FB7107"/>
    <w:rsid w:val="00FB7131"/>
    <w:rsid w:val="00FB7430"/>
    <w:rsid w:val="00FB754C"/>
    <w:rsid w:val="00FB7E3D"/>
    <w:rsid w:val="00FC237D"/>
    <w:rsid w:val="00FC2AC3"/>
    <w:rsid w:val="00FC2E02"/>
    <w:rsid w:val="00FC3D36"/>
    <w:rsid w:val="00FC3E1B"/>
    <w:rsid w:val="00FC3FE7"/>
    <w:rsid w:val="00FC548D"/>
    <w:rsid w:val="00FC7100"/>
    <w:rsid w:val="00FC7241"/>
    <w:rsid w:val="00FC7E81"/>
    <w:rsid w:val="00FC7ECB"/>
    <w:rsid w:val="00FD0ABD"/>
    <w:rsid w:val="00FD0FAA"/>
    <w:rsid w:val="00FD1C6C"/>
    <w:rsid w:val="00FD1D72"/>
    <w:rsid w:val="00FD27CE"/>
    <w:rsid w:val="00FD2F89"/>
    <w:rsid w:val="00FD36C7"/>
    <w:rsid w:val="00FD3B36"/>
    <w:rsid w:val="00FD3C48"/>
    <w:rsid w:val="00FD3D23"/>
    <w:rsid w:val="00FD3F37"/>
    <w:rsid w:val="00FD3FDE"/>
    <w:rsid w:val="00FD5B8F"/>
    <w:rsid w:val="00FD615A"/>
    <w:rsid w:val="00FD66BA"/>
    <w:rsid w:val="00FD6B90"/>
    <w:rsid w:val="00FD6E7D"/>
    <w:rsid w:val="00FD7283"/>
    <w:rsid w:val="00FD768A"/>
    <w:rsid w:val="00FE0548"/>
    <w:rsid w:val="00FE0E55"/>
    <w:rsid w:val="00FE105D"/>
    <w:rsid w:val="00FE140A"/>
    <w:rsid w:val="00FE1F94"/>
    <w:rsid w:val="00FE2329"/>
    <w:rsid w:val="00FE2DCB"/>
    <w:rsid w:val="00FE2E7F"/>
    <w:rsid w:val="00FE4454"/>
    <w:rsid w:val="00FE49D7"/>
    <w:rsid w:val="00FE5742"/>
    <w:rsid w:val="00FE593A"/>
    <w:rsid w:val="00FE5CB4"/>
    <w:rsid w:val="00FE5DC9"/>
    <w:rsid w:val="00FE63F0"/>
    <w:rsid w:val="00FE70C5"/>
    <w:rsid w:val="00FE73DB"/>
    <w:rsid w:val="00FE7CED"/>
    <w:rsid w:val="00FF071B"/>
    <w:rsid w:val="00FF0E20"/>
    <w:rsid w:val="00FF1007"/>
    <w:rsid w:val="00FF1251"/>
    <w:rsid w:val="00FF1728"/>
    <w:rsid w:val="00FF1BAB"/>
    <w:rsid w:val="00FF1ED1"/>
    <w:rsid w:val="00FF2054"/>
    <w:rsid w:val="00FF2557"/>
    <w:rsid w:val="00FF2C49"/>
    <w:rsid w:val="00FF4D51"/>
    <w:rsid w:val="00FF61DA"/>
    <w:rsid w:val="00FF635E"/>
    <w:rsid w:val="00FF71C8"/>
    <w:rsid w:val="01113D6B"/>
    <w:rsid w:val="013B2B96"/>
    <w:rsid w:val="01417063"/>
    <w:rsid w:val="014C6B51"/>
    <w:rsid w:val="0161080E"/>
    <w:rsid w:val="01635C49"/>
    <w:rsid w:val="01B36BD0"/>
    <w:rsid w:val="01D1627A"/>
    <w:rsid w:val="01E11FB1"/>
    <w:rsid w:val="02160F0D"/>
    <w:rsid w:val="022E1342"/>
    <w:rsid w:val="02372878"/>
    <w:rsid w:val="023814FB"/>
    <w:rsid w:val="02510197"/>
    <w:rsid w:val="025C7268"/>
    <w:rsid w:val="02A1111E"/>
    <w:rsid w:val="02AB5AF9"/>
    <w:rsid w:val="02B25434"/>
    <w:rsid w:val="02D73F78"/>
    <w:rsid w:val="02ED3BC6"/>
    <w:rsid w:val="02F2197A"/>
    <w:rsid w:val="030D75DD"/>
    <w:rsid w:val="03443858"/>
    <w:rsid w:val="0361440A"/>
    <w:rsid w:val="037B54CB"/>
    <w:rsid w:val="03830B26"/>
    <w:rsid w:val="039877D5"/>
    <w:rsid w:val="03DB6BF1"/>
    <w:rsid w:val="03EF7C67"/>
    <w:rsid w:val="03F06DEB"/>
    <w:rsid w:val="03FE4941"/>
    <w:rsid w:val="04007ABA"/>
    <w:rsid w:val="04335DA6"/>
    <w:rsid w:val="04406715"/>
    <w:rsid w:val="04447FB3"/>
    <w:rsid w:val="04785EAF"/>
    <w:rsid w:val="04A9250C"/>
    <w:rsid w:val="04B72392"/>
    <w:rsid w:val="04CD6DF3"/>
    <w:rsid w:val="04D22A2E"/>
    <w:rsid w:val="04E80EFE"/>
    <w:rsid w:val="04FC6AE0"/>
    <w:rsid w:val="050414F1"/>
    <w:rsid w:val="051554AC"/>
    <w:rsid w:val="053548A4"/>
    <w:rsid w:val="053C6EDC"/>
    <w:rsid w:val="054D194C"/>
    <w:rsid w:val="05592A3D"/>
    <w:rsid w:val="056106F1"/>
    <w:rsid w:val="05614B95"/>
    <w:rsid w:val="056B77C2"/>
    <w:rsid w:val="05925AC0"/>
    <w:rsid w:val="0598192F"/>
    <w:rsid w:val="059E0C1C"/>
    <w:rsid w:val="05A351AD"/>
    <w:rsid w:val="05A827C4"/>
    <w:rsid w:val="05C80770"/>
    <w:rsid w:val="05E115BF"/>
    <w:rsid w:val="05E337FC"/>
    <w:rsid w:val="05F1734D"/>
    <w:rsid w:val="06021047"/>
    <w:rsid w:val="063127B9"/>
    <w:rsid w:val="06457347"/>
    <w:rsid w:val="067F52D3"/>
    <w:rsid w:val="06840B3B"/>
    <w:rsid w:val="069A65B0"/>
    <w:rsid w:val="06B7319E"/>
    <w:rsid w:val="06BD229F"/>
    <w:rsid w:val="06CC7DCB"/>
    <w:rsid w:val="06CD6519"/>
    <w:rsid w:val="06CE0008"/>
    <w:rsid w:val="06CE1EF9"/>
    <w:rsid w:val="06D01FD2"/>
    <w:rsid w:val="06E56A94"/>
    <w:rsid w:val="06EB3F1C"/>
    <w:rsid w:val="06EF2D4C"/>
    <w:rsid w:val="06F105E8"/>
    <w:rsid w:val="06F37A6F"/>
    <w:rsid w:val="07034156"/>
    <w:rsid w:val="070504B3"/>
    <w:rsid w:val="07106873"/>
    <w:rsid w:val="0721638A"/>
    <w:rsid w:val="07230354"/>
    <w:rsid w:val="073C59AA"/>
    <w:rsid w:val="075C786E"/>
    <w:rsid w:val="07724E37"/>
    <w:rsid w:val="077946F5"/>
    <w:rsid w:val="078D3874"/>
    <w:rsid w:val="07AF406D"/>
    <w:rsid w:val="07C65292"/>
    <w:rsid w:val="07CA6A21"/>
    <w:rsid w:val="07CD02C0"/>
    <w:rsid w:val="07D10B2B"/>
    <w:rsid w:val="07ED0962"/>
    <w:rsid w:val="07FF2B40"/>
    <w:rsid w:val="080C48FA"/>
    <w:rsid w:val="081A21FF"/>
    <w:rsid w:val="081B102B"/>
    <w:rsid w:val="082B4195"/>
    <w:rsid w:val="085D7896"/>
    <w:rsid w:val="086A1FB2"/>
    <w:rsid w:val="086E1AA3"/>
    <w:rsid w:val="088272FC"/>
    <w:rsid w:val="08A16ACD"/>
    <w:rsid w:val="08A74FB5"/>
    <w:rsid w:val="08A92ADB"/>
    <w:rsid w:val="08B82D1E"/>
    <w:rsid w:val="08B84ACC"/>
    <w:rsid w:val="08C07E24"/>
    <w:rsid w:val="08C16076"/>
    <w:rsid w:val="08C276F9"/>
    <w:rsid w:val="08CF14C4"/>
    <w:rsid w:val="08EE04EE"/>
    <w:rsid w:val="091C4F8C"/>
    <w:rsid w:val="09207C05"/>
    <w:rsid w:val="09615163"/>
    <w:rsid w:val="097E5FB3"/>
    <w:rsid w:val="09931921"/>
    <w:rsid w:val="09A3752A"/>
    <w:rsid w:val="09BE3CBB"/>
    <w:rsid w:val="0A002BCE"/>
    <w:rsid w:val="0A051860"/>
    <w:rsid w:val="0A1A0937"/>
    <w:rsid w:val="0A341CBB"/>
    <w:rsid w:val="0A3E54A5"/>
    <w:rsid w:val="0A481E7F"/>
    <w:rsid w:val="0A5D6C56"/>
    <w:rsid w:val="0A5D79F0"/>
    <w:rsid w:val="0A6C3DC0"/>
    <w:rsid w:val="0A7D7D7B"/>
    <w:rsid w:val="0AB67731"/>
    <w:rsid w:val="0AD100C7"/>
    <w:rsid w:val="0ADA28D4"/>
    <w:rsid w:val="0AE0655C"/>
    <w:rsid w:val="0AE42B47"/>
    <w:rsid w:val="0AF075BA"/>
    <w:rsid w:val="0B0976DE"/>
    <w:rsid w:val="0B497F1C"/>
    <w:rsid w:val="0B544018"/>
    <w:rsid w:val="0B60684B"/>
    <w:rsid w:val="0BCF0AAA"/>
    <w:rsid w:val="0BF91921"/>
    <w:rsid w:val="0BF978D5"/>
    <w:rsid w:val="0C1D721E"/>
    <w:rsid w:val="0C2F1549"/>
    <w:rsid w:val="0C427989"/>
    <w:rsid w:val="0C4B225A"/>
    <w:rsid w:val="0C523489"/>
    <w:rsid w:val="0C564D28"/>
    <w:rsid w:val="0C6F280A"/>
    <w:rsid w:val="0C9910B8"/>
    <w:rsid w:val="0CAA6E21"/>
    <w:rsid w:val="0CB13FF3"/>
    <w:rsid w:val="0CB5109F"/>
    <w:rsid w:val="0CC06645"/>
    <w:rsid w:val="0CC16797"/>
    <w:rsid w:val="0CD93B5A"/>
    <w:rsid w:val="0CF36E21"/>
    <w:rsid w:val="0D026C5D"/>
    <w:rsid w:val="0D30126F"/>
    <w:rsid w:val="0D4903E8"/>
    <w:rsid w:val="0D49488C"/>
    <w:rsid w:val="0D6E6B91"/>
    <w:rsid w:val="0D921D8F"/>
    <w:rsid w:val="0DA15ACD"/>
    <w:rsid w:val="0DC3019B"/>
    <w:rsid w:val="0DDB2654"/>
    <w:rsid w:val="0DEB649A"/>
    <w:rsid w:val="0DEE43F5"/>
    <w:rsid w:val="0DEE4B1B"/>
    <w:rsid w:val="0E0001AD"/>
    <w:rsid w:val="0E0B1B42"/>
    <w:rsid w:val="0E0D40F9"/>
    <w:rsid w:val="0E0D433A"/>
    <w:rsid w:val="0E417312"/>
    <w:rsid w:val="0E611762"/>
    <w:rsid w:val="0E6F41E3"/>
    <w:rsid w:val="0EAD05D0"/>
    <w:rsid w:val="0EC20DE2"/>
    <w:rsid w:val="0ECE329B"/>
    <w:rsid w:val="0EDB32C2"/>
    <w:rsid w:val="0EE20797"/>
    <w:rsid w:val="0EEC4B14"/>
    <w:rsid w:val="0EEE53F5"/>
    <w:rsid w:val="0EF34AB0"/>
    <w:rsid w:val="0EF44384"/>
    <w:rsid w:val="0EFB6031"/>
    <w:rsid w:val="0F0547E3"/>
    <w:rsid w:val="0F220EF1"/>
    <w:rsid w:val="0F360E40"/>
    <w:rsid w:val="0F37546D"/>
    <w:rsid w:val="0F380715"/>
    <w:rsid w:val="0F3F7CF5"/>
    <w:rsid w:val="0F44355D"/>
    <w:rsid w:val="0F4A6196"/>
    <w:rsid w:val="0F7F4595"/>
    <w:rsid w:val="0F84395A"/>
    <w:rsid w:val="0F931930"/>
    <w:rsid w:val="0F933B9D"/>
    <w:rsid w:val="0FAB7138"/>
    <w:rsid w:val="0FC147F0"/>
    <w:rsid w:val="0FDC314E"/>
    <w:rsid w:val="0FE13C28"/>
    <w:rsid w:val="0FE46F7E"/>
    <w:rsid w:val="0FF02D9D"/>
    <w:rsid w:val="100F3B6B"/>
    <w:rsid w:val="10321608"/>
    <w:rsid w:val="103B4960"/>
    <w:rsid w:val="10556729"/>
    <w:rsid w:val="1057106E"/>
    <w:rsid w:val="105E064F"/>
    <w:rsid w:val="107E484D"/>
    <w:rsid w:val="107F4121"/>
    <w:rsid w:val="10855BDB"/>
    <w:rsid w:val="109E4EEF"/>
    <w:rsid w:val="10A122E9"/>
    <w:rsid w:val="10DB41CE"/>
    <w:rsid w:val="10DB57FB"/>
    <w:rsid w:val="10DC5568"/>
    <w:rsid w:val="10E548CC"/>
    <w:rsid w:val="10F97774"/>
    <w:rsid w:val="1109680C"/>
    <w:rsid w:val="110E5BD1"/>
    <w:rsid w:val="11357601"/>
    <w:rsid w:val="113B1370"/>
    <w:rsid w:val="113F6B54"/>
    <w:rsid w:val="114535BD"/>
    <w:rsid w:val="114A128D"/>
    <w:rsid w:val="11610ADF"/>
    <w:rsid w:val="116C7ECB"/>
    <w:rsid w:val="11891815"/>
    <w:rsid w:val="11963E18"/>
    <w:rsid w:val="11A958FA"/>
    <w:rsid w:val="11C75D80"/>
    <w:rsid w:val="11CB5870"/>
    <w:rsid w:val="11D34725"/>
    <w:rsid w:val="11D87A3C"/>
    <w:rsid w:val="11E00BDC"/>
    <w:rsid w:val="11E961EB"/>
    <w:rsid w:val="11ED3312"/>
    <w:rsid w:val="12256351"/>
    <w:rsid w:val="122D2087"/>
    <w:rsid w:val="12301380"/>
    <w:rsid w:val="125010CC"/>
    <w:rsid w:val="12521AED"/>
    <w:rsid w:val="125D0E86"/>
    <w:rsid w:val="125F1963"/>
    <w:rsid w:val="129A0F01"/>
    <w:rsid w:val="12A460C1"/>
    <w:rsid w:val="12A80C7B"/>
    <w:rsid w:val="12C77777"/>
    <w:rsid w:val="12DD1CFF"/>
    <w:rsid w:val="12DE4331"/>
    <w:rsid w:val="12E27315"/>
    <w:rsid w:val="13117BFA"/>
    <w:rsid w:val="1319260B"/>
    <w:rsid w:val="131B6178"/>
    <w:rsid w:val="1331204B"/>
    <w:rsid w:val="13345697"/>
    <w:rsid w:val="13373808"/>
    <w:rsid w:val="13410312"/>
    <w:rsid w:val="134753CA"/>
    <w:rsid w:val="134F0723"/>
    <w:rsid w:val="136A6664"/>
    <w:rsid w:val="137D703E"/>
    <w:rsid w:val="137F2DB6"/>
    <w:rsid w:val="13A66595"/>
    <w:rsid w:val="13A801BD"/>
    <w:rsid w:val="13AF2F6F"/>
    <w:rsid w:val="13CC2482"/>
    <w:rsid w:val="13E61AA9"/>
    <w:rsid w:val="13FB7F63"/>
    <w:rsid w:val="140B01FA"/>
    <w:rsid w:val="144533BC"/>
    <w:rsid w:val="14481B94"/>
    <w:rsid w:val="147541B9"/>
    <w:rsid w:val="14827AA3"/>
    <w:rsid w:val="1496200E"/>
    <w:rsid w:val="14B36679"/>
    <w:rsid w:val="14B545B5"/>
    <w:rsid w:val="14C026D8"/>
    <w:rsid w:val="14F023DF"/>
    <w:rsid w:val="15043163"/>
    <w:rsid w:val="150D188A"/>
    <w:rsid w:val="153320AA"/>
    <w:rsid w:val="153E0445"/>
    <w:rsid w:val="1541603D"/>
    <w:rsid w:val="15451DDD"/>
    <w:rsid w:val="15520A2B"/>
    <w:rsid w:val="156009C5"/>
    <w:rsid w:val="156A35F2"/>
    <w:rsid w:val="157955E3"/>
    <w:rsid w:val="157F77E7"/>
    <w:rsid w:val="158226E9"/>
    <w:rsid w:val="158346B4"/>
    <w:rsid w:val="159B17AC"/>
    <w:rsid w:val="15A9236C"/>
    <w:rsid w:val="15D65076"/>
    <w:rsid w:val="15DA0777"/>
    <w:rsid w:val="16161084"/>
    <w:rsid w:val="16206398"/>
    <w:rsid w:val="164538C5"/>
    <w:rsid w:val="166D55CB"/>
    <w:rsid w:val="168D7598"/>
    <w:rsid w:val="16A469D8"/>
    <w:rsid w:val="16A62C3B"/>
    <w:rsid w:val="16A90DD6"/>
    <w:rsid w:val="16C77150"/>
    <w:rsid w:val="16DE1BA1"/>
    <w:rsid w:val="16EE4509"/>
    <w:rsid w:val="17156B77"/>
    <w:rsid w:val="172872C1"/>
    <w:rsid w:val="17457E73"/>
    <w:rsid w:val="174B2FAF"/>
    <w:rsid w:val="174D2D49"/>
    <w:rsid w:val="175C6F6A"/>
    <w:rsid w:val="17693BC2"/>
    <w:rsid w:val="177B0CB7"/>
    <w:rsid w:val="177F6166"/>
    <w:rsid w:val="178A3AD7"/>
    <w:rsid w:val="179B5CE4"/>
    <w:rsid w:val="17B12EED"/>
    <w:rsid w:val="17B62B1E"/>
    <w:rsid w:val="17C64F6E"/>
    <w:rsid w:val="17CD37FB"/>
    <w:rsid w:val="17E02057"/>
    <w:rsid w:val="17EB6C6C"/>
    <w:rsid w:val="180A2E6A"/>
    <w:rsid w:val="180C0990"/>
    <w:rsid w:val="180E64B6"/>
    <w:rsid w:val="181F4A63"/>
    <w:rsid w:val="18502F73"/>
    <w:rsid w:val="188D45BC"/>
    <w:rsid w:val="18D47700"/>
    <w:rsid w:val="19002F33"/>
    <w:rsid w:val="191C2E55"/>
    <w:rsid w:val="192936AE"/>
    <w:rsid w:val="193B777F"/>
    <w:rsid w:val="19502AFF"/>
    <w:rsid w:val="195D6EAA"/>
    <w:rsid w:val="19C01A32"/>
    <w:rsid w:val="19C23907"/>
    <w:rsid w:val="19C72DC1"/>
    <w:rsid w:val="19E16A10"/>
    <w:rsid w:val="19E82D37"/>
    <w:rsid w:val="19EB0518"/>
    <w:rsid w:val="19EF2318"/>
    <w:rsid w:val="19F90548"/>
    <w:rsid w:val="1A1A3838"/>
    <w:rsid w:val="1A292670"/>
    <w:rsid w:val="1A2C70C8"/>
    <w:rsid w:val="1A6A2E09"/>
    <w:rsid w:val="1A950016"/>
    <w:rsid w:val="1AD875EF"/>
    <w:rsid w:val="1ADF05DE"/>
    <w:rsid w:val="1ADF4EEE"/>
    <w:rsid w:val="1AEB0D31"/>
    <w:rsid w:val="1AF20D68"/>
    <w:rsid w:val="1AF714EE"/>
    <w:rsid w:val="1AFC0627"/>
    <w:rsid w:val="1B177D78"/>
    <w:rsid w:val="1B1E2EB4"/>
    <w:rsid w:val="1B2129A5"/>
    <w:rsid w:val="1B222279"/>
    <w:rsid w:val="1B29190B"/>
    <w:rsid w:val="1B494662"/>
    <w:rsid w:val="1B4A3CA9"/>
    <w:rsid w:val="1BAD248A"/>
    <w:rsid w:val="1BBC447B"/>
    <w:rsid w:val="1BF02F92"/>
    <w:rsid w:val="1C055E22"/>
    <w:rsid w:val="1C147426"/>
    <w:rsid w:val="1C1F5136"/>
    <w:rsid w:val="1C2C12EC"/>
    <w:rsid w:val="1C4E77C9"/>
    <w:rsid w:val="1C4F709D"/>
    <w:rsid w:val="1C767DD2"/>
    <w:rsid w:val="1C8C02F2"/>
    <w:rsid w:val="1C8F393E"/>
    <w:rsid w:val="1CBF4223"/>
    <w:rsid w:val="1CCB706C"/>
    <w:rsid w:val="1CF00880"/>
    <w:rsid w:val="1D35233A"/>
    <w:rsid w:val="1D3C3AC6"/>
    <w:rsid w:val="1D595C41"/>
    <w:rsid w:val="1D67505A"/>
    <w:rsid w:val="1D85546D"/>
    <w:rsid w:val="1D8B67FB"/>
    <w:rsid w:val="1DA82F09"/>
    <w:rsid w:val="1E014B69"/>
    <w:rsid w:val="1E0565AE"/>
    <w:rsid w:val="1E07583A"/>
    <w:rsid w:val="1E0E2B0B"/>
    <w:rsid w:val="1E13619C"/>
    <w:rsid w:val="1E24070C"/>
    <w:rsid w:val="1E2F342B"/>
    <w:rsid w:val="1E3473F2"/>
    <w:rsid w:val="1E4A3FC0"/>
    <w:rsid w:val="1E4F15D7"/>
    <w:rsid w:val="1E6E0BE1"/>
    <w:rsid w:val="1E960FB4"/>
    <w:rsid w:val="1EC71AB5"/>
    <w:rsid w:val="1EDC635A"/>
    <w:rsid w:val="1EE2244B"/>
    <w:rsid w:val="1F0E3240"/>
    <w:rsid w:val="1F13603C"/>
    <w:rsid w:val="1F5A6485"/>
    <w:rsid w:val="1F5E461C"/>
    <w:rsid w:val="1F6B33BB"/>
    <w:rsid w:val="1F7D3F22"/>
    <w:rsid w:val="1F884DA0"/>
    <w:rsid w:val="1FAD562C"/>
    <w:rsid w:val="1FB060A0"/>
    <w:rsid w:val="1FB060A5"/>
    <w:rsid w:val="1FBE4C66"/>
    <w:rsid w:val="1FC85FB0"/>
    <w:rsid w:val="1FC872B6"/>
    <w:rsid w:val="1FC97167"/>
    <w:rsid w:val="2006579B"/>
    <w:rsid w:val="20126D60"/>
    <w:rsid w:val="20216FA3"/>
    <w:rsid w:val="2051305B"/>
    <w:rsid w:val="205F328E"/>
    <w:rsid w:val="206240A8"/>
    <w:rsid w:val="20672C08"/>
    <w:rsid w:val="20713A86"/>
    <w:rsid w:val="20752CEC"/>
    <w:rsid w:val="20CF69FF"/>
    <w:rsid w:val="20D76412"/>
    <w:rsid w:val="20F8286C"/>
    <w:rsid w:val="20FB5A46"/>
    <w:rsid w:val="21130FE1"/>
    <w:rsid w:val="213B4094"/>
    <w:rsid w:val="214178FD"/>
    <w:rsid w:val="216156A7"/>
    <w:rsid w:val="216E26D1"/>
    <w:rsid w:val="21716BD9"/>
    <w:rsid w:val="218D5CE4"/>
    <w:rsid w:val="219C4993"/>
    <w:rsid w:val="21A804C5"/>
    <w:rsid w:val="21F62C07"/>
    <w:rsid w:val="221B4F83"/>
    <w:rsid w:val="22281FF9"/>
    <w:rsid w:val="222A213F"/>
    <w:rsid w:val="22364F87"/>
    <w:rsid w:val="22431622"/>
    <w:rsid w:val="2246271F"/>
    <w:rsid w:val="22621F6C"/>
    <w:rsid w:val="227B0BEC"/>
    <w:rsid w:val="22A16179"/>
    <w:rsid w:val="22AC229D"/>
    <w:rsid w:val="22AE1DE0"/>
    <w:rsid w:val="22B97967"/>
    <w:rsid w:val="22C205C9"/>
    <w:rsid w:val="22D60519"/>
    <w:rsid w:val="22D9079A"/>
    <w:rsid w:val="22E42C35"/>
    <w:rsid w:val="230C7A96"/>
    <w:rsid w:val="23150F35"/>
    <w:rsid w:val="231C4424"/>
    <w:rsid w:val="23303B06"/>
    <w:rsid w:val="235A6A54"/>
    <w:rsid w:val="238B4FD3"/>
    <w:rsid w:val="23BA5744"/>
    <w:rsid w:val="23BF71FF"/>
    <w:rsid w:val="23DC03A1"/>
    <w:rsid w:val="23DF01D4"/>
    <w:rsid w:val="240B41F2"/>
    <w:rsid w:val="243C63D5"/>
    <w:rsid w:val="24A72FC8"/>
    <w:rsid w:val="24CA22D1"/>
    <w:rsid w:val="24CB7AAA"/>
    <w:rsid w:val="24D82326"/>
    <w:rsid w:val="2503311B"/>
    <w:rsid w:val="250B79AA"/>
    <w:rsid w:val="250E4BA7"/>
    <w:rsid w:val="25146FE6"/>
    <w:rsid w:val="25297894"/>
    <w:rsid w:val="252E1F46"/>
    <w:rsid w:val="25315EDA"/>
    <w:rsid w:val="25381017"/>
    <w:rsid w:val="25704C59"/>
    <w:rsid w:val="257B14DB"/>
    <w:rsid w:val="25831892"/>
    <w:rsid w:val="25836860"/>
    <w:rsid w:val="25875AFA"/>
    <w:rsid w:val="259755AC"/>
    <w:rsid w:val="25CD79B1"/>
    <w:rsid w:val="25E7048C"/>
    <w:rsid w:val="25EA515C"/>
    <w:rsid w:val="25F413E1"/>
    <w:rsid w:val="25FC0296"/>
    <w:rsid w:val="26190E48"/>
    <w:rsid w:val="26217CFD"/>
    <w:rsid w:val="26243349"/>
    <w:rsid w:val="2636692F"/>
    <w:rsid w:val="265D5E03"/>
    <w:rsid w:val="269639E3"/>
    <w:rsid w:val="26BB3CAD"/>
    <w:rsid w:val="26C2526B"/>
    <w:rsid w:val="26E86313"/>
    <w:rsid w:val="27071987"/>
    <w:rsid w:val="27160F98"/>
    <w:rsid w:val="27363334"/>
    <w:rsid w:val="27365A2A"/>
    <w:rsid w:val="273C6607"/>
    <w:rsid w:val="274447E4"/>
    <w:rsid w:val="27606603"/>
    <w:rsid w:val="27895B59"/>
    <w:rsid w:val="27983FEE"/>
    <w:rsid w:val="279B763B"/>
    <w:rsid w:val="27AF4A04"/>
    <w:rsid w:val="27B97CFB"/>
    <w:rsid w:val="27E740D6"/>
    <w:rsid w:val="27E94A3C"/>
    <w:rsid w:val="27F63A6E"/>
    <w:rsid w:val="28117E49"/>
    <w:rsid w:val="281C666F"/>
    <w:rsid w:val="282978E8"/>
    <w:rsid w:val="282C4737"/>
    <w:rsid w:val="2851004E"/>
    <w:rsid w:val="28642123"/>
    <w:rsid w:val="286E4F80"/>
    <w:rsid w:val="286E6AFD"/>
    <w:rsid w:val="28944322"/>
    <w:rsid w:val="289C18BC"/>
    <w:rsid w:val="28A03BB1"/>
    <w:rsid w:val="28A26B50"/>
    <w:rsid w:val="28D76D98"/>
    <w:rsid w:val="28D93D94"/>
    <w:rsid w:val="28DB0637"/>
    <w:rsid w:val="28DC3A24"/>
    <w:rsid w:val="28F1489E"/>
    <w:rsid w:val="28F811E9"/>
    <w:rsid w:val="29143B49"/>
    <w:rsid w:val="29285714"/>
    <w:rsid w:val="292C0D62"/>
    <w:rsid w:val="2958138F"/>
    <w:rsid w:val="295A4E5C"/>
    <w:rsid w:val="295B1778"/>
    <w:rsid w:val="29706C28"/>
    <w:rsid w:val="29712D49"/>
    <w:rsid w:val="297B5976"/>
    <w:rsid w:val="299E6DEF"/>
    <w:rsid w:val="29B61260"/>
    <w:rsid w:val="29C21CD6"/>
    <w:rsid w:val="29CE03E2"/>
    <w:rsid w:val="29E057D9"/>
    <w:rsid w:val="29F574D6"/>
    <w:rsid w:val="2A192C4E"/>
    <w:rsid w:val="2A1D07DB"/>
    <w:rsid w:val="2A32072A"/>
    <w:rsid w:val="2A4C7C4B"/>
    <w:rsid w:val="2A5E1C96"/>
    <w:rsid w:val="2A614B6C"/>
    <w:rsid w:val="2A8F792B"/>
    <w:rsid w:val="2A9C0162"/>
    <w:rsid w:val="2B0F471A"/>
    <w:rsid w:val="2B4B5135"/>
    <w:rsid w:val="2B6908C8"/>
    <w:rsid w:val="2B82123D"/>
    <w:rsid w:val="2B830670"/>
    <w:rsid w:val="2B8A407D"/>
    <w:rsid w:val="2B9351F9"/>
    <w:rsid w:val="2BA51285"/>
    <w:rsid w:val="2BCD243C"/>
    <w:rsid w:val="2BE02DF6"/>
    <w:rsid w:val="2BE617CC"/>
    <w:rsid w:val="2C270D45"/>
    <w:rsid w:val="2C2F3578"/>
    <w:rsid w:val="2C300CD1"/>
    <w:rsid w:val="2C444501"/>
    <w:rsid w:val="2C602C01"/>
    <w:rsid w:val="2C624BCB"/>
    <w:rsid w:val="2C66290D"/>
    <w:rsid w:val="2C6B1CD2"/>
    <w:rsid w:val="2C83613E"/>
    <w:rsid w:val="2C942D9B"/>
    <w:rsid w:val="2C9D6B41"/>
    <w:rsid w:val="2C9F197B"/>
    <w:rsid w:val="2CB46917"/>
    <w:rsid w:val="2CB872D2"/>
    <w:rsid w:val="2CCA02B7"/>
    <w:rsid w:val="2CCB72AB"/>
    <w:rsid w:val="2CDA6227"/>
    <w:rsid w:val="2CDE1D2D"/>
    <w:rsid w:val="2CE05294"/>
    <w:rsid w:val="2CE33F5E"/>
    <w:rsid w:val="2D1063D5"/>
    <w:rsid w:val="2D19710F"/>
    <w:rsid w:val="2D1E60FD"/>
    <w:rsid w:val="2D3622E0"/>
    <w:rsid w:val="2D4B565F"/>
    <w:rsid w:val="2D5A6E02"/>
    <w:rsid w:val="2D6D148A"/>
    <w:rsid w:val="2D726079"/>
    <w:rsid w:val="2D8D7A26"/>
    <w:rsid w:val="2D9E7E85"/>
    <w:rsid w:val="2DA2331A"/>
    <w:rsid w:val="2DAF3E40"/>
    <w:rsid w:val="2DB15E0A"/>
    <w:rsid w:val="2DC33B3C"/>
    <w:rsid w:val="2DD92C6B"/>
    <w:rsid w:val="2E04418C"/>
    <w:rsid w:val="2E276BB9"/>
    <w:rsid w:val="2E3E1D79"/>
    <w:rsid w:val="2E5C3FC8"/>
    <w:rsid w:val="2E6206A8"/>
    <w:rsid w:val="2E6A7D67"/>
    <w:rsid w:val="2E963A57"/>
    <w:rsid w:val="2EB60132"/>
    <w:rsid w:val="2EC71164"/>
    <w:rsid w:val="2ECF4CC1"/>
    <w:rsid w:val="2ED31DB0"/>
    <w:rsid w:val="2EDD666D"/>
    <w:rsid w:val="2EE10029"/>
    <w:rsid w:val="2EE9170B"/>
    <w:rsid w:val="2EEE2746"/>
    <w:rsid w:val="2F091204"/>
    <w:rsid w:val="2F0A13CE"/>
    <w:rsid w:val="2F244237"/>
    <w:rsid w:val="2F594063"/>
    <w:rsid w:val="2F6241C8"/>
    <w:rsid w:val="2F633134"/>
    <w:rsid w:val="2F644280"/>
    <w:rsid w:val="2F672A78"/>
    <w:rsid w:val="2F6F7D2B"/>
    <w:rsid w:val="2F8F3F29"/>
    <w:rsid w:val="2FDB716E"/>
    <w:rsid w:val="2FF50011"/>
    <w:rsid w:val="2FFD0E93"/>
    <w:rsid w:val="301D68DE"/>
    <w:rsid w:val="30403A98"/>
    <w:rsid w:val="30420F9B"/>
    <w:rsid w:val="3059654A"/>
    <w:rsid w:val="30AE129B"/>
    <w:rsid w:val="30B04D2B"/>
    <w:rsid w:val="30B26121"/>
    <w:rsid w:val="30D8545C"/>
    <w:rsid w:val="30D90FE3"/>
    <w:rsid w:val="30E262DA"/>
    <w:rsid w:val="311A5A74"/>
    <w:rsid w:val="312220E2"/>
    <w:rsid w:val="313034EA"/>
    <w:rsid w:val="31347404"/>
    <w:rsid w:val="31380A01"/>
    <w:rsid w:val="313C24AF"/>
    <w:rsid w:val="31592A40"/>
    <w:rsid w:val="316054AA"/>
    <w:rsid w:val="317B7CD1"/>
    <w:rsid w:val="318503A3"/>
    <w:rsid w:val="318D791C"/>
    <w:rsid w:val="31905300"/>
    <w:rsid w:val="31945827"/>
    <w:rsid w:val="31CD6F8B"/>
    <w:rsid w:val="31E00A6C"/>
    <w:rsid w:val="31EC2FD4"/>
    <w:rsid w:val="31EE28F9"/>
    <w:rsid w:val="31F91B2E"/>
    <w:rsid w:val="320C1861"/>
    <w:rsid w:val="32121F65"/>
    <w:rsid w:val="32171FB4"/>
    <w:rsid w:val="322C7BB2"/>
    <w:rsid w:val="32367471"/>
    <w:rsid w:val="324234D5"/>
    <w:rsid w:val="324A2760"/>
    <w:rsid w:val="325E7BE3"/>
    <w:rsid w:val="327F2033"/>
    <w:rsid w:val="3280791F"/>
    <w:rsid w:val="32BD6FFF"/>
    <w:rsid w:val="32FC10FA"/>
    <w:rsid w:val="32FD11AA"/>
    <w:rsid w:val="32FF2EEF"/>
    <w:rsid w:val="33541F89"/>
    <w:rsid w:val="33664FA1"/>
    <w:rsid w:val="336F1825"/>
    <w:rsid w:val="33AD497E"/>
    <w:rsid w:val="33E07B16"/>
    <w:rsid w:val="33EC7B9C"/>
    <w:rsid w:val="33F74D79"/>
    <w:rsid w:val="33F945F2"/>
    <w:rsid w:val="34153A47"/>
    <w:rsid w:val="3431735D"/>
    <w:rsid w:val="3444356E"/>
    <w:rsid w:val="347D4D8F"/>
    <w:rsid w:val="34814E5E"/>
    <w:rsid w:val="348635A5"/>
    <w:rsid w:val="34931C5F"/>
    <w:rsid w:val="34B561E0"/>
    <w:rsid w:val="34BD5094"/>
    <w:rsid w:val="34D1074F"/>
    <w:rsid w:val="34D83C7C"/>
    <w:rsid w:val="34EC597A"/>
    <w:rsid w:val="34F87C3A"/>
    <w:rsid w:val="35082F60"/>
    <w:rsid w:val="351F6D34"/>
    <w:rsid w:val="352549E8"/>
    <w:rsid w:val="353F360F"/>
    <w:rsid w:val="355035A2"/>
    <w:rsid w:val="35611EC4"/>
    <w:rsid w:val="3586192A"/>
    <w:rsid w:val="35904557"/>
    <w:rsid w:val="35D13059"/>
    <w:rsid w:val="35DE52C2"/>
    <w:rsid w:val="35DE5B6F"/>
    <w:rsid w:val="35E46651"/>
    <w:rsid w:val="3601265D"/>
    <w:rsid w:val="36122C44"/>
    <w:rsid w:val="361F4D6A"/>
    <w:rsid w:val="362A675A"/>
    <w:rsid w:val="364A067C"/>
    <w:rsid w:val="365B2DB7"/>
    <w:rsid w:val="367D0F7F"/>
    <w:rsid w:val="36820D95"/>
    <w:rsid w:val="36B55BAA"/>
    <w:rsid w:val="36C56482"/>
    <w:rsid w:val="36D1680F"/>
    <w:rsid w:val="36D52B69"/>
    <w:rsid w:val="36E92171"/>
    <w:rsid w:val="370318C7"/>
    <w:rsid w:val="3709636F"/>
    <w:rsid w:val="37113475"/>
    <w:rsid w:val="37164F30"/>
    <w:rsid w:val="371846AD"/>
    <w:rsid w:val="371E7EBA"/>
    <w:rsid w:val="372B7928"/>
    <w:rsid w:val="373279B8"/>
    <w:rsid w:val="373D40D8"/>
    <w:rsid w:val="373F088F"/>
    <w:rsid w:val="37405B09"/>
    <w:rsid w:val="374F69B7"/>
    <w:rsid w:val="376C7EC0"/>
    <w:rsid w:val="37797999"/>
    <w:rsid w:val="3784633D"/>
    <w:rsid w:val="37B57408"/>
    <w:rsid w:val="37C354C8"/>
    <w:rsid w:val="37CE30A6"/>
    <w:rsid w:val="37D72FCE"/>
    <w:rsid w:val="37E8067A"/>
    <w:rsid w:val="3801173C"/>
    <w:rsid w:val="3814321D"/>
    <w:rsid w:val="381F2104"/>
    <w:rsid w:val="38233460"/>
    <w:rsid w:val="383733B0"/>
    <w:rsid w:val="383B2EA0"/>
    <w:rsid w:val="384350CA"/>
    <w:rsid w:val="38593326"/>
    <w:rsid w:val="385C4BC4"/>
    <w:rsid w:val="38713EEF"/>
    <w:rsid w:val="387737AC"/>
    <w:rsid w:val="387B6D70"/>
    <w:rsid w:val="387C34E6"/>
    <w:rsid w:val="38A31F21"/>
    <w:rsid w:val="38AD5420"/>
    <w:rsid w:val="38AD71CE"/>
    <w:rsid w:val="38BD2E93"/>
    <w:rsid w:val="38C43C08"/>
    <w:rsid w:val="38CC7FAC"/>
    <w:rsid w:val="38D86941"/>
    <w:rsid w:val="38E81867"/>
    <w:rsid w:val="38F40BEB"/>
    <w:rsid w:val="38FF383F"/>
    <w:rsid w:val="39072D82"/>
    <w:rsid w:val="39074B30"/>
    <w:rsid w:val="391B05DB"/>
    <w:rsid w:val="392407BD"/>
    <w:rsid w:val="392A318C"/>
    <w:rsid w:val="3931649A"/>
    <w:rsid w:val="393671C3"/>
    <w:rsid w:val="393A3157"/>
    <w:rsid w:val="393D0552"/>
    <w:rsid w:val="3958243F"/>
    <w:rsid w:val="396957EB"/>
    <w:rsid w:val="397A36DF"/>
    <w:rsid w:val="399E236B"/>
    <w:rsid w:val="39AB195F"/>
    <w:rsid w:val="39BD1E58"/>
    <w:rsid w:val="39CF6C2E"/>
    <w:rsid w:val="39D46CF5"/>
    <w:rsid w:val="39F452CD"/>
    <w:rsid w:val="39FF1CFC"/>
    <w:rsid w:val="3A145757"/>
    <w:rsid w:val="3A217714"/>
    <w:rsid w:val="3A485400"/>
    <w:rsid w:val="3A507BCB"/>
    <w:rsid w:val="3A5462BA"/>
    <w:rsid w:val="3A5C0EAC"/>
    <w:rsid w:val="3A892407"/>
    <w:rsid w:val="3A8D5509"/>
    <w:rsid w:val="3A984680"/>
    <w:rsid w:val="3A9C74FA"/>
    <w:rsid w:val="3AB514E1"/>
    <w:rsid w:val="3AC60E21"/>
    <w:rsid w:val="3AD82C28"/>
    <w:rsid w:val="3AE1783B"/>
    <w:rsid w:val="3AEC0481"/>
    <w:rsid w:val="3AED7D56"/>
    <w:rsid w:val="3B061DA3"/>
    <w:rsid w:val="3B117EE8"/>
    <w:rsid w:val="3B1672AC"/>
    <w:rsid w:val="3B217D49"/>
    <w:rsid w:val="3B2F65C0"/>
    <w:rsid w:val="3B5B69D7"/>
    <w:rsid w:val="3B6F4C0F"/>
    <w:rsid w:val="3B7B35B3"/>
    <w:rsid w:val="3B88345B"/>
    <w:rsid w:val="3BAA13E4"/>
    <w:rsid w:val="3BEB24E7"/>
    <w:rsid w:val="3BEB698B"/>
    <w:rsid w:val="3BF515B8"/>
    <w:rsid w:val="3C025A83"/>
    <w:rsid w:val="3C074E47"/>
    <w:rsid w:val="3C240331"/>
    <w:rsid w:val="3C430575"/>
    <w:rsid w:val="3C624382"/>
    <w:rsid w:val="3C862DE4"/>
    <w:rsid w:val="3C925059"/>
    <w:rsid w:val="3CC176EC"/>
    <w:rsid w:val="3CC6538C"/>
    <w:rsid w:val="3CC86CCC"/>
    <w:rsid w:val="3CE76467"/>
    <w:rsid w:val="3CED246B"/>
    <w:rsid w:val="3CF3617C"/>
    <w:rsid w:val="3CFE624A"/>
    <w:rsid w:val="3D0715A3"/>
    <w:rsid w:val="3D332398"/>
    <w:rsid w:val="3D393726"/>
    <w:rsid w:val="3D3E7F12"/>
    <w:rsid w:val="3D5F13DF"/>
    <w:rsid w:val="3D8B55F5"/>
    <w:rsid w:val="3DA54918"/>
    <w:rsid w:val="3DD60F75"/>
    <w:rsid w:val="3DE11DF4"/>
    <w:rsid w:val="3E0C4997"/>
    <w:rsid w:val="3E1C2E2C"/>
    <w:rsid w:val="3E3D0FF4"/>
    <w:rsid w:val="3E5E1A3B"/>
    <w:rsid w:val="3E6E73FF"/>
    <w:rsid w:val="3E726EF0"/>
    <w:rsid w:val="3ECD4126"/>
    <w:rsid w:val="3ECF7E9E"/>
    <w:rsid w:val="3EEF4053"/>
    <w:rsid w:val="3F125FDD"/>
    <w:rsid w:val="3F193501"/>
    <w:rsid w:val="3F301235"/>
    <w:rsid w:val="3F367F1D"/>
    <w:rsid w:val="3F411998"/>
    <w:rsid w:val="3F6C393F"/>
    <w:rsid w:val="3F7B233C"/>
    <w:rsid w:val="3F7C7D13"/>
    <w:rsid w:val="3F836EDA"/>
    <w:rsid w:val="3FA62817"/>
    <w:rsid w:val="3FBB28C5"/>
    <w:rsid w:val="3FBD23EC"/>
    <w:rsid w:val="3FE506BA"/>
    <w:rsid w:val="3FE827E6"/>
    <w:rsid w:val="3FEB51AC"/>
    <w:rsid w:val="3FEB6B94"/>
    <w:rsid w:val="4000052B"/>
    <w:rsid w:val="400071F5"/>
    <w:rsid w:val="401069C0"/>
    <w:rsid w:val="40135628"/>
    <w:rsid w:val="401A339B"/>
    <w:rsid w:val="401A5AF0"/>
    <w:rsid w:val="403B5A7C"/>
    <w:rsid w:val="40730853"/>
    <w:rsid w:val="40842F0A"/>
    <w:rsid w:val="40953369"/>
    <w:rsid w:val="40B7508E"/>
    <w:rsid w:val="40C370A7"/>
    <w:rsid w:val="40D114A2"/>
    <w:rsid w:val="40D96AA5"/>
    <w:rsid w:val="40DF6392"/>
    <w:rsid w:val="40E63BC5"/>
    <w:rsid w:val="411B3592"/>
    <w:rsid w:val="41312D3D"/>
    <w:rsid w:val="413D6362"/>
    <w:rsid w:val="414C199F"/>
    <w:rsid w:val="41A90E7A"/>
    <w:rsid w:val="41C32E9C"/>
    <w:rsid w:val="41CE17CB"/>
    <w:rsid w:val="420F2CA7"/>
    <w:rsid w:val="420F5289"/>
    <w:rsid w:val="422229DB"/>
    <w:rsid w:val="42307025"/>
    <w:rsid w:val="42334BE8"/>
    <w:rsid w:val="42402E61"/>
    <w:rsid w:val="4265497C"/>
    <w:rsid w:val="42815953"/>
    <w:rsid w:val="42881AA6"/>
    <w:rsid w:val="42A930FC"/>
    <w:rsid w:val="42C67AC2"/>
    <w:rsid w:val="42C91BD9"/>
    <w:rsid w:val="42D44F28"/>
    <w:rsid w:val="42F02ADA"/>
    <w:rsid w:val="42FB3958"/>
    <w:rsid w:val="42FC5558"/>
    <w:rsid w:val="430420E0"/>
    <w:rsid w:val="430729E3"/>
    <w:rsid w:val="43291B47"/>
    <w:rsid w:val="43365946"/>
    <w:rsid w:val="434D7F2B"/>
    <w:rsid w:val="436B20F3"/>
    <w:rsid w:val="438B7867"/>
    <w:rsid w:val="43AE7DCC"/>
    <w:rsid w:val="43AF029E"/>
    <w:rsid w:val="43B92ECB"/>
    <w:rsid w:val="43BB30E7"/>
    <w:rsid w:val="43D03D91"/>
    <w:rsid w:val="43D97A84"/>
    <w:rsid w:val="43EB4FBE"/>
    <w:rsid w:val="441B10AF"/>
    <w:rsid w:val="443A04B0"/>
    <w:rsid w:val="44591A87"/>
    <w:rsid w:val="445F1CC4"/>
    <w:rsid w:val="44765FFE"/>
    <w:rsid w:val="44904F1C"/>
    <w:rsid w:val="44A5401D"/>
    <w:rsid w:val="44B1408A"/>
    <w:rsid w:val="44BA339E"/>
    <w:rsid w:val="44DC50C3"/>
    <w:rsid w:val="44F540F1"/>
    <w:rsid w:val="451A3E3D"/>
    <w:rsid w:val="451E56DB"/>
    <w:rsid w:val="455410FD"/>
    <w:rsid w:val="455530C7"/>
    <w:rsid w:val="45AB0DE1"/>
    <w:rsid w:val="45B222C8"/>
    <w:rsid w:val="45FD79E7"/>
    <w:rsid w:val="461F3BB2"/>
    <w:rsid w:val="46470C62"/>
    <w:rsid w:val="4657538F"/>
    <w:rsid w:val="465E4B3A"/>
    <w:rsid w:val="466C2476"/>
    <w:rsid w:val="467E6B57"/>
    <w:rsid w:val="46895E30"/>
    <w:rsid w:val="46B1432D"/>
    <w:rsid w:val="46BF5523"/>
    <w:rsid w:val="46C73B51"/>
    <w:rsid w:val="46DA7D28"/>
    <w:rsid w:val="46E20992"/>
    <w:rsid w:val="46FA2178"/>
    <w:rsid w:val="47134FE8"/>
    <w:rsid w:val="473F7B8B"/>
    <w:rsid w:val="475A6773"/>
    <w:rsid w:val="4760778D"/>
    <w:rsid w:val="476D1FA4"/>
    <w:rsid w:val="479B53B7"/>
    <w:rsid w:val="47A0687C"/>
    <w:rsid w:val="47F92430"/>
    <w:rsid w:val="4801081A"/>
    <w:rsid w:val="48055E32"/>
    <w:rsid w:val="480C018C"/>
    <w:rsid w:val="4820176A"/>
    <w:rsid w:val="482B1D2A"/>
    <w:rsid w:val="48375BED"/>
    <w:rsid w:val="48376F78"/>
    <w:rsid w:val="48647083"/>
    <w:rsid w:val="48657AC5"/>
    <w:rsid w:val="487D096B"/>
    <w:rsid w:val="4893725C"/>
    <w:rsid w:val="48BF0F83"/>
    <w:rsid w:val="48D52555"/>
    <w:rsid w:val="48FE2E7E"/>
    <w:rsid w:val="4921579A"/>
    <w:rsid w:val="492359B6"/>
    <w:rsid w:val="49280780"/>
    <w:rsid w:val="49494CF1"/>
    <w:rsid w:val="49521DF7"/>
    <w:rsid w:val="49555444"/>
    <w:rsid w:val="49634005"/>
    <w:rsid w:val="496F0BFB"/>
    <w:rsid w:val="49725FF6"/>
    <w:rsid w:val="49956C33"/>
    <w:rsid w:val="49A2349F"/>
    <w:rsid w:val="49A308A5"/>
    <w:rsid w:val="49A81A17"/>
    <w:rsid w:val="49A87208"/>
    <w:rsid w:val="49AE2DA6"/>
    <w:rsid w:val="49B17198"/>
    <w:rsid w:val="49D123EC"/>
    <w:rsid w:val="49EE03A8"/>
    <w:rsid w:val="49F66860"/>
    <w:rsid w:val="4A3B1173"/>
    <w:rsid w:val="4A4A6F73"/>
    <w:rsid w:val="4A527BD5"/>
    <w:rsid w:val="4A606796"/>
    <w:rsid w:val="4A6873F9"/>
    <w:rsid w:val="4A7B712C"/>
    <w:rsid w:val="4A800BE6"/>
    <w:rsid w:val="4A895CED"/>
    <w:rsid w:val="4A9C4040"/>
    <w:rsid w:val="4A9E2E1A"/>
    <w:rsid w:val="4AA93C99"/>
    <w:rsid w:val="4AFD69D0"/>
    <w:rsid w:val="4B137364"/>
    <w:rsid w:val="4B1A289E"/>
    <w:rsid w:val="4B1A6945"/>
    <w:rsid w:val="4B3034CD"/>
    <w:rsid w:val="4B315A3D"/>
    <w:rsid w:val="4B3A2B43"/>
    <w:rsid w:val="4B3E2E80"/>
    <w:rsid w:val="4B481704"/>
    <w:rsid w:val="4B49547C"/>
    <w:rsid w:val="4B812C67"/>
    <w:rsid w:val="4B9C1A50"/>
    <w:rsid w:val="4BB57E59"/>
    <w:rsid w:val="4BB70638"/>
    <w:rsid w:val="4BCD5D52"/>
    <w:rsid w:val="4BD12A9B"/>
    <w:rsid w:val="4BDC67D7"/>
    <w:rsid w:val="4BE80C94"/>
    <w:rsid w:val="4BFC604B"/>
    <w:rsid w:val="4C3A14A5"/>
    <w:rsid w:val="4C3F49BD"/>
    <w:rsid w:val="4C3F7B8D"/>
    <w:rsid w:val="4C5B4AC8"/>
    <w:rsid w:val="4C991AEB"/>
    <w:rsid w:val="4C994BE1"/>
    <w:rsid w:val="4C9E00FF"/>
    <w:rsid w:val="4CBE0F70"/>
    <w:rsid w:val="4D106251"/>
    <w:rsid w:val="4D303C2B"/>
    <w:rsid w:val="4D580D8F"/>
    <w:rsid w:val="4D5819A6"/>
    <w:rsid w:val="4D704F42"/>
    <w:rsid w:val="4D7E765F"/>
    <w:rsid w:val="4D897DB2"/>
    <w:rsid w:val="4DCB03CA"/>
    <w:rsid w:val="4DCE7E2E"/>
    <w:rsid w:val="4DE02688"/>
    <w:rsid w:val="4DED75A2"/>
    <w:rsid w:val="4E1365B0"/>
    <w:rsid w:val="4E19546F"/>
    <w:rsid w:val="4E2F351E"/>
    <w:rsid w:val="4E5F6D7D"/>
    <w:rsid w:val="4E683E6B"/>
    <w:rsid w:val="4E772300"/>
    <w:rsid w:val="4E791BD4"/>
    <w:rsid w:val="4E9F54F2"/>
    <w:rsid w:val="4EA36C51"/>
    <w:rsid w:val="4EAA4484"/>
    <w:rsid w:val="4EE51018"/>
    <w:rsid w:val="4F045263"/>
    <w:rsid w:val="4F1C4C2B"/>
    <w:rsid w:val="4F1F277C"/>
    <w:rsid w:val="4F26716D"/>
    <w:rsid w:val="4F2C7426"/>
    <w:rsid w:val="4F3855EC"/>
    <w:rsid w:val="4F6D27B1"/>
    <w:rsid w:val="4F824AB9"/>
    <w:rsid w:val="4FA17635"/>
    <w:rsid w:val="4FAD7D83"/>
    <w:rsid w:val="4FBB361D"/>
    <w:rsid w:val="4FC926E8"/>
    <w:rsid w:val="4FDA66A3"/>
    <w:rsid w:val="4FE04AA4"/>
    <w:rsid w:val="4FFB77B4"/>
    <w:rsid w:val="500779A0"/>
    <w:rsid w:val="5015592D"/>
    <w:rsid w:val="503138A7"/>
    <w:rsid w:val="50483F54"/>
    <w:rsid w:val="506643DA"/>
    <w:rsid w:val="5079266F"/>
    <w:rsid w:val="508A1E77"/>
    <w:rsid w:val="50990622"/>
    <w:rsid w:val="50992F99"/>
    <w:rsid w:val="50BB0282"/>
    <w:rsid w:val="50D94BAC"/>
    <w:rsid w:val="50E377D9"/>
    <w:rsid w:val="50E51575"/>
    <w:rsid w:val="50EF6964"/>
    <w:rsid w:val="51055FB9"/>
    <w:rsid w:val="51221695"/>
    <w:rsid w:val="51386295"/>
    <w:rsid w:val="513E2C61"/>
    <w:rsid w:val="515661FD"/>
    <w:rsid w:val="51656440"/>
    <w:rsid w:val="51697F94"/>
    <w:rsid w:val="516A7EFA"/>
    <w:rsid w:val="5184720E"/>
    <w:rsid w:val="518E212A"/>
    <w:rsid w:val="51962A9D"/>
    <w:rsid w:val="51B353FD"/>
    <w:rsid w:val="51BB2504"/>
    <w:rsid w:val="51C32CA1"/>
    <w:rsid w:val="51DB6702"/>
    <w:rsid w:val="51F83758"/>
    <w:rsid w:val="520143BB"/>
    <w:rsid w:val="52173BDE"/>
    <w:rsid w:val="521C62D4"/>
    <w:rsid w:val="522E2CD6"/>
    <w:rsid w:val="523302EC"/>
    <w:rsid w:val="52340ED3"/>
    <w:rsid w:val="52350508"/>
    <w:rsid w:val="524B3641"/>
    <w:rsid w:val="527728CF"/>
    <w:rsid w:val="527C7EE5"/>
    <w:rsid w:val="527F1783"/>
    <w:rsid w:val="52831274"/>
    <w:rsid w:val="528B0128"/>
    <w:rsid w:val="52972F71"/>
    <w:rsid w:val="529E7E5B"/>
    <w:rsid w:val="52A82A88"/>
    <w:rsid w:val="52BE405A"/>
    <w:rsid w:val="52C04276"/>
    <w:rsid w:val="52C11D9C"/>
    <w:rsid w:val="52C1636B"/>
    <w:rsid w:val="52C84ED8"/>
    <w:rsid w:val="52D90E94"/>
    <w:rsid w:val="52D94528"/>
    <w:rsid w:val="52DE46FC"/>
    <w:rsid w:val="530076FD"/>
    <w:rsid w:val="53054601"/>
    <w:rsid w:val="5311687F"/>
    <w:rsid w:val="531A0872"/>
    <w:rsid w:val="5323355F"/>
    <w:rsid w:val="53364538"/>
    <w:rsid w:val="534A7481"/>
    <w:rsid w:val="535D3873"/>
    <w:rsid w:val="53625651"/>
    <w:rsid w:val="53740BBC"/>
    <w:rsid w:val="53823120"/>
    <w:rsid w:val="53933738"/>
    <w:rsid w:val="53A653F7"/>
    <w:rsid w:val="53C971F1"/>
    <w:rsid w:val="53D31D87"/>
    <w:rsid w:val="53D8114B"/>
    <w:rsid w:val="53EC77EF"/>
    <w:rsid w:val="53ED27D3"/>
    <w:rsid w:val="53FC12DE"/>
    <w:rsid w:val="54111922"/>
    <w:rsid w:val="54136627"/>
    <w:rsid w:val="54260108"/>
    <w:rsid w:val="54660E4D"/>
    <w:rsid w:val="54662920"/>
    <w:rsid w:val="547339AF"/>
    <w:rsid w:val="54770964"/>
    <w:rsid w:val="547E7F44"/>
    <w:rsid w:val="548375FD"/>
    <w:rsid w:val="54A379AB"/>
    <w:rsid w:val="54AA0D3A"/>
    <w:rsid w:val="54B33B15"/>
    <w:rsid w:val="54BC7AE0"/>
    <w:rsid w:val="54C622E6"/>
    <w:rsid w:val="54CB6F02"/>
    <w:rsid w:val="54CD3E55"/>
    <w:rsid w:val="54D93F05"/>
    <w:rsid w:val="54F8288E"/>
    <w:rsid w:val="550E29A6"/>
    <w:rsid w:val="551E21B0"/>
    <w:rsid w:val="553A7055"/>
    <w:rsid w:val="55642E8C"/>
    <w:rsid w:val="557761E3"/>
    <w:rsid w:val="55AD03B6"/>
    <w:rsid w:val="55F127EE"/>
    <w:rsid w:val="56056FC1"/>
    <w:rsid w:val="561E2F37"/>
    <w:rsid w:val="56346CD4"/>
    <w:rsid w:val="56764C4B"/>
    <w:rsid w:val="569E48CE"/>
    <w:rsid w:val="56D95906"/>
    <w:rsid w:val="56FE536D"/>
    <w:rsid w:val="5717642E"/>
    <w:rsid w:val="571F0D91"/>
    <w:rsid w:val="57432B3B"/>
    <w:rsid w:val="574865E8"/>
    <w:rsid w:val="574A6804"/>
    <w:rsid w:val="5774783B"/>
    <w:rsid w:val="57792C45"/>
    <w:rsid w:val="578F4217"/>
    <w:rsid w:val="57A24B17"/>
    <w:rsid w:val="57C54F8E"/>
    <w:rsid w:val="57C61C11"/>
    <w:rsid w:val="57DD40AD"/>
    <w:rsid w:val="57EF2F07"/>
    <w:rsid w:val="57F62FFE"/>
    <w:rsid w:val="57F87BFC"/>
    <w:rsid w:val="580A7D41"/>
    <w:rsid w:val="58254B7B"/>
    <w:rsid w:val="58262DCD"/>
    <w:rsid w:val="583120BF"/>
    <w:rsid w:val="58416E94"/>
    <w:rsid w:val="586C39E2"/>
    <w:rsid w:val="58743095"/>
    <w:rsid w:val="58865436"/>
    <w:rsid w:val="58C425E6"/>
    <w:rsid w:val="58C47EF0"/>
    <w:rsid w:val="58E467E4"/>
    <w:rsid w:val="59081510"/>
    <w:rsid w:val="590A624B"/>
    <w:rsid w:val="59113860"/>
    <w:rsid w:val="5917019C"/>
    <w:rsid w:val="5934232C"/>
    <w:rsid w:val="59350DEE"/>
    <w:rsid w:val="593C217C"/>
    <w:rsid w:val="595A16F3"/>
    <w:rsid w:val="597A4A53"/>
    <w:rsid w:val="59815DE1"/>
    <w:rsid w:val="599124C8"/>
    <w:rsid w:val="59AE774A"/>
    <w:rsid w:val="59BA5D24"/>
    <w:rsid w:val="59BB149A"/>
    <w:rsid w:val="59E70444"/>
    <w:rsid w:val="59F97FDE"/>
    <w:rsid w:val="5A0749EB"/>
    <w:rsid w:val="5A0F1A20"/>
    <w:rsid w:val="5A0F7D74"/>
    <w:rsid w:val="5A305956"/>
    <w:rsid w:val="5A355549"/>
    <w:rsid w:val="5A557999"/>
    <w:rsid w:val="5A6000EC"/>
    <w:rsid w:val="5A8935B7"/>
    <w:rsid w:val="5A910924"/>
    <w:rsid w:val="5AA4447D"/>
    <w:rsid w:val="5AC71F19"/>
    <w:rsid w:val="5ADC4397"/>
    <w:rsid w:val="5AEB79B3"/>
    <w:rsid w:val="5AEC372E"/>
    <w:rsid w:val="5AFA409D"/>
    <w:rsid w:val="5AFA5E4B"/>
    <w:rsid w:val="5B215B1C"/>
    <w:rsid w:val="5B370E4D"/>
    <w:rsid w:val="5B500161"/>
    <w:rsid w:val="5B51560B"/>
    <w:rsid w:val="5B647768"/>
    <w:rsid w:val="5B6836FC"/>
    <w:rsid w:val="5B8C350C"/>
    <w:rsid w:val="5B9E32AC"/>
    <w:rsid w:val="5BB26726"/>
    <w:rsid w:val="5BBE4718"/>
    <w:rsid w:val="5BC40C67"/>
    <w:rsid w:val="5BC6329E"/>
    <w:rsid w:val="5C0357AD"/>
    <w:rsid w:val="5C0C4088"/>
    <w:rsid w:val="5C2869E8"/>
    <w:rsid w:val="5C2A2760"/>
    <w:rsid w:val="5C34538D"/>
    <w:rsid w:val="5C3B496D"/>
    <w:rsid w:val="5C415CE1"/>
    <w:rsid w:val="5C453730"/>
    <w:rsid w:val="5C491F27"/>
    <w:rsid w:val="5C5510C9"/>
    <w:rsid w:val="5C8A1451"/>
    <w:rsid w:val="5C927B40"/>
    <w:rsid w:val="5C9F4CA2"/>
    <w:rsid w:val="5CB5471F"/>
    <w:rsid w:val="5CB903D3"/>
    <w:rsid w:val="5CC87FCB"/>
    <w:rsid w:val="5CD54DC2"/>
    <w:rsid w:val="5CDC7729"/>
    <w:rsid w:val="5CE2128D"/>
    <w:rsid w:val="5CE662A7"/>
    <w:rsid w:val="5D041203"/>
    <w:rsid w:val="5D080CF3"/>
    <w:rsid w:val="5D172CE4"/>
    <w:rsid w:val="5D177188"/>
    <w:rsid w:val="5D46181B"/>
    <w:rsid w:val="5D5A44F6"/>
    <w:rsid w:val="5D5F6AC4"/>
    <w:rsid w:val="5D634ABA"/>
    <w:rsid w:val="5D780793"/>
    <w:rsid w:val="5D7A4E55"/>
    <w:rsid w:val="5D924A61"/>
    <w:rsid w:val="5D9D1081"/>
    <w:rsid w:val="5DB04BBD"/>
    <w:rsid w:val="5DE8513E"/>
    <w:rsid w:val="5DFB43B4"/>
    <w:rsid w:val="5DFC002D"/>
    <w:rsid w:val="5DFD6560"/>
    <w:rsid w:val="5E0B2B8C"/>
    <w:rsid w:val="5E0F378C"/>
    <w:rsid w:val="5E282CCF"/>
    <w:rsid w:val="5E316A3F"/>
    <w:rsid w:val="5E5403CF"/>
    <w:rsid w:val="5E5C0A2E"/>
    <w:rsid w:val="5E6324D6"/>
    <w:rsid w:val="5E653F23"/>
    <w:rsid w:val="5E88169C"/>
    <w:rsid w:val="5E91033A"/>
    <w:rsid w:val="5E916AC6"/>
    <w:rsid w:val="5EB9124F"/>
    <w:rsid w:val="5EDD7F5D"/>
    <w:rsid w:val="5EE412EC"/>
    <w:rsid w:val="5F2E1F96"/>
    <w:rsid w:val="5F3820BC"/>
    <w:rsid w:val="5F3F2F83"/>
    <w:rsid w:val="5F661D01"/>
    <w:rsid w:val="5F8B79B9"/>
    <w:rsid w:val="5F927999"/>
    <w:rsid w:val="5FAD1297"/>
    <w:rsid w:val="5FBC295B"/>
    <w:rsid w:val="5FCF78A6"/>
    <w:rsid w:val="5FD07866"/>
    <w:rsid w:val="5FD451C6"/>
    <w:rsid w:val="5FDA0D11"/>
    <w:rsid w:val="60011A2A"/>
    <w:rsid w:val="60022122"/>
    <w:rsid w:val="6004477D"/>
    <w:rsid w:val="60123C37"/>
    <w:rsid w:val="601D2D07"/>
    <w:rsid w:val="60A52CFD"/>
    <w:rsid w:val="60B66CB8"/>
    <w:rsid w:val="60CE4002"/>
    <w:rsid w:val="60D04B86"/>
    <w:rsid w:val="60D333C6"/>
    <w:rsid w:val="611834CF"/>
    <w:rsid w:val="612A3B7B"/>
    <w:rsid w:val="613A3445"/>
    <w:rsid w:val="613C71BD"/>
    <w:rsid w:val="614222FA"/>
    <w:rsid w:val="618038BB"/>
    <w:rsid w:val="61A91C0E"/>
    <w:rsid w:val="61EF4230"/>
    <w:rsid w:val="61F730E4"/>
    <w:rsid w:val="62031A3C"/>
    <w:rsid w:val="620B4DE2"/>
    <w:rsid w:val="62133014"/>
    <w:rsid w:val="621A068C"/>
    <w:rsid w:val="621B7001"/>
    <w:rsid w:val="62255EA3"/>
    <w:rsid w:val="623065F6"/>
    <w:rsid w:val="62342CB3"/>
    <w:rsid w:val="62454CB5"/>
    <w:rsid w:val="624C182B"/>
    <w:rsid w:val="624F1172"/>
    <w:rsid w:val="62856942"/>
    <w:rsid w:val="62874F78"/>
    <w:rsid w:val="62926FD7"/>
    <w:rsid w:val="62C81E74"/>
    <w:rsid w:val="62DA63F9"/>
    <w:rsid w:val="62DE42A4"/>
    <w:rsid w:val="62EA5C02"/>
    <w:rsid w:val="630755A9"/>
    <w:rsid w:val="63131E55"/>
    <w:rsid w:val="631B2246"/>
    <w:rsid w:val="632542A1"/>
    <w:rsid w:val="632C0E07"/>
    <w:rsid w:val="633345F0"/>
    <w:rsid w:val="63523D91"/>
    <w:rsid w:val="635F7193"/>
    <w:rsid w:val="63737BAF"/>
    <w:rsid w:val="638A40CA"/>
    <w:rsid w:val="639257BA"/>
    <w:rsid w:val="63B65F1F"/>
    <w:rsid w:val="63B95340"/>
    <w:rsid w:val="63E61662"/>
    <w:rsid w:val="64124205"/>
    <w:rsid w:val="641D732B"/>
    <w:rsid w:val="64305E79"/>
    <w:rsid w:val="64356146"/>
    <w:rsid w:val="643D14BE"/>
    <w:rsid w:val="644D1B86"/>
    <w:rsid w:val="646D3B32"/>
    <w:rsid w:val="647749B0"/>
    <w:rsid w:val="64852C29"/>
    <w:rsid w:val="64A216BF"/>
    <w:rsid w:val="64B41760"/>
    <w:rsid w:val="6504586A"/>
    <w:rsid w:val="652A557F"/>
    <w:rsid w:val="655B1BDC"/>
    <w:rsid w:val="658E5B0E"/>
    <w:rsid w:val="6597115F"/>
    <w:rsid w:val="65A2780B"/>
    <w:rsid w:val="65CD0D2C"/>
    <w:rsid w:val="65D35D99"/>
    <w:rsid w:val="65DF78AD"/>
    <w:rsid w:val="65E83723"/>
    <w:rsid w:val="65FA69A9"/>
    <w:rsid w:val="66165FA9"/>
    <w:rsid w:val="66372649"/>
    <w:rsid w:val="66442BA2"/>
    <w:rsid w:val="664B01E5"/>
    <w:rsid w:val="665C7F15"/>
    <w:rsid w:val="66650F64"/>
    <w:rsid w:val="666B22F3"/>
    <w:rsid w:val="668B029F"/>
    <w:rsid w:val="669030C0"/>
    <w:rsid w:val="6692162D"/>
    <w:rsid w:val="66990C0E"/>
    <w:rsid w:val="669D6707"/>
    <w:rsid w:val="66B3194D"/>
    <w:rsid w:val="66C42A1B"/>
    <w:rsid w:val="66CC0FE3"/>
    <w:rsid w:val="66D15E62"/>
    <w:rsid w:val="66D71736"/>
    <w:rsid w:val="66DB1B7A"/>
    <w:rsid w:val="6712481A"/>
    <w:rsid w:val="67184229"/>
    <w:rsid w:val="6747066A"/>
    <w:rsid w:val="676A5679"/>
    <w:rsid w:val="676C1E7F"/>
    <w:rsid w:val="678278F4"/>
    <w:rsid w:val="67836632"/>
    <w:rsid w:val="67871415"/>
    <w:rsid w:val="67C577E1"/>
    <w:rsid w:val="67CD5013"/>
    <w:rsid w:val="67D71486"/>
    <w:rsid w:val="67E46110"/>
    <w:rsid w:val="67FB4551"/>
    <w:rsid w:val="6822297E"/>
    <w:rsid w:val="68224C33"/>
    <w:rsid w:val="68375444"/>
    <w:rsid w:val="683E1A6D"/>
    <w:rsid w:val="68580655"/>
    <w:rsid w:val="68617509"/>
    <w:rsid w:val="688E3320"/>
    <w:rsid w:val="689A6C6E"/>
    <w:rsid w:val="68A1024E"/>
    <w:rsid w:val="68EA74FF"/>
    <w:rsid w:val="69074555"/>
    <w:rsid w:val="690F6F65"/>
    <w:rsid w:val="69165117"/>
    <w:rsid w:val="69256789"/>
    <w:rsid w:val="692801EA"/>
    <w:rsid w:val="69362744"/>
    <w:rsid w:val="69492A51"/>
    <w:rsid w:val="69524963"/>
    <w:rsid w:val="69594684"/>
    <w:rsid w:val="695B396C"/>
    <w:rsid w:val="69807E63"/>
    <w:rsid w:val="698D01CC"/>
    <w:rsid w:val="69931944"/>
    <w:rsid w:val="69A14C24"/>
    <w:rsid w:val="69B46627"/>
    <w:rsid w:val="69BD4C13"/>
    <w:rsid w:val="69CB5582"/>
    <w:rsid w:val="69CC5A7E"/>
    <w:rsid w:val="69D00DEB"/>
    <w:rsid w:val="69D7720D"/>
    <w:rsid w:val="69D837FB"/>
    <w:rsid w:val="6A03504F"/>
    <w:rsid w:val="6A072332"/>
    <w:rsid w:val="6A211646"/>
    <w:rsid w:val="6A50511F"/>
    <w:rsid w:val="6A694D9B"/>
    <w:rsid w:val="6A8F4802"/>
    <w:rsid w:val="6A971908"/>
    <w:rsid w:val="6AA429B6"/>
    <w:rsid w:val="6AA858C3"/>
    <w:rsid w:val="6AB47482"/>
    <w:rsid w:val="6AB57FE0"/>
    <w:rsid w:val="6ABB3600"/>
    <w:rsid w:val="6ACA1723"/>
    <w:rsid w:val="6AE37911"/>
    <w:rsid w:val="6AF65F25"/>
    <w:rsid w:val="6AFA462A"/>
    <w:rsid w:val="6B083D29"/>
    <w:rsid w:val="6B0C2534"/>
    <w:rsid w:val="6B0D5727"/>
    <w:rsid w:val="6B2667E8"/>
    <w:rsid w:val="6B3C1CB9"/>
    <w:rsid w:val="6B3E126D"/>
    <w:rsid w:val="6B4D78E6"/>
    <w:rsid w:val="6B5C220A"/>
    <w:rsid w:val="6B6F17F0"/>
    <w:rsid w:val="6B7E4876"/>
    <w:rsid w:val="6B8D737A"/>
    <w:rsid w:val="6BC24763"/>
    <w:rsid w:val="6BD75E7E"/>
    <w:rsid w:val="6BD83F86"/>
    <w:rsid w:val="6BF121F9"/>
    <w:rsid w:val="6C054276"/>
    <w:rsid w:val="6C5C6966"/>
    <w:rsid w:val="6C6E6F74"/>
    <w:rsid w:val="6C941C77"/>
    <w:rsid w:val="6C991968"/>
    <w:rsid w:val="6C9D6051"/>
    <w:rsid w:val="6CAA47AC"/>
    <w:rsid w:val="6CCB5899"/>
    <w:rsid w:val="6CDE737B"/>
    <w:rsid w:val="6CEF2846"/>
    <w:rsid w:val="6D0F6218"/>
    <w:rsid w:val="6D1234C8"/>
    <w:rsid w:val="6D184DC4"/>
    <w:rsid w:val="6D323B6A"/>
    <w:rsid w:val="6D48061A"/>
    <w:rsid w:val="6D4A2C62"/>
    <w:rsid w:val="6D4D62AE"/>
    <w:rsid w:val="6D913AF4"/>
    <w:rsid w:val="6D997745"/>
    <w:rsid w:val="6DAD3222"/>
    <w:rsid w:val="6DAE50F8"/>
    <w:rsid w:val="6DBB76BC"/>
    <w:rsid w:val="6DE52173"/>
    <w:rsid w:val="6DF20B60"/>
    <w:rsid w:val="6E411EE6"/>
    <w:rsid w:val="6E4E5E7C"/>
    <w:rsid w:val="6E506D2B"/>
    <w:rsid w:val="6E9323E7"/>
    <w:rsid w:val="6E940B17"/>
    <w:rsid w:val="6E9A12BD"/>
    <w:rsid w:val="6EA36ACE"/>
    <w:rsid w:val="6EA939B8"/>
    <w:rsid w:val="6EB011EB"/>
    <w:rsid w:val="6EBF4F8A"/>
    <w:rsid w:val="6ECD3B4B"/>
    <w:rsid w:val="6EEE3AC1"/>
    <w:rsid w:val="6F12155D"/>
    <w:rsid w:val="6F1B27CA"/>
    <w:rsid w:val="6F2262E0"/>
    <w:rsid w:val="6F2F1DA8"/>
    <w:rsid w:val="6F3B6306"/>
    <w:rsid w:val="6F3C2A7E"/>
    <w:rsid w:val="6F4F16A0"/>
    <w:rsid w:val="6F59718C"/>
    <w:rsid w:val="6F607D06"/>
    <w:rsid w:val="6F616041"/>
    <w:rsid w:val="6F631DB9"/>
    <w:rsid w:val="6F882945"/>
    <w:rsid w:val="6F9500AA"/>
    <w:rsid w:val="6F974FB6"/>
    <w:rsid w:val="6F9B77A5"/>
    <w:rsid w:val="6FA50623"/>
    <w:rsid w:val="6FAC19B2"/>
    <w:rsid w:val="6FB1521A"/>
    <w:rsid w:val="6FC34F4E"/>
    <w:rsid w:val="6FE54EC4"/>
    <w:rsid w:val="6FEA4497"/>
    <w:rsid w:val="6FEA465B"/>
    <w:rsid w:val="6FF43359"/>
    <w:rsid w:val="6FFA50AD"/>
    <w:rsid w:val="6FFB6495"/>
    <w:rsid w:val="70145200"/>
    <w:rsid w:val="70265F41"/>
    <w:rsid w:val="70314AD4"/>
    <w:rsid w:val="70337422"/>
    <w:rsid w:val="70366B8A"/>
    <w:rsid w:val="704371B6"/>
    <w:rsid w:val="704936A5"/>
    <w:rsid w:val="704B6398"/>
    <w:rsid w:val="705C493C"/>
    <w:rsid w:val="706A11BF"/>
    <w:rsid w:val="70932B72"/>
    <w:rsid w:val="70963B59"/>
    <w:rsid w:val="70AD1AC5"/>
    <w:rsid w:val="70B754FD"/>
    <w:rsid w:val="70D80B24"/>
    <w:rsid w:val="70DE494B"/>
    <w:rsid w:val="70E240FD"/>
    <w:rsid w:val="70E909E4"/>
    <w:rsid w:val="70F03B20"/>
    <w:rsid w:val="70FC7F1F"/>
    <w:rsid w:val="710B43D7"/>
    <w:rsid w:val="710F5DE1"/>
    <w:rsid w:val="71153587"/>
    <w:rsid w:val="71491080"/>
    <w:rsid w:val="714C33D9"/>
    <w:rsid w:val="71594C80"/>
    <w:rsid w:val="715B71FA"/>
    <w:rsid w:val="71673BE2"/>
    <w:rsid w:val="716D5171"/>
    <w:rsid w:val="71752277"/>
    <w:rsid w:val="71806175"/>
    <w:rsid w:val="71A16BC9"/>
    <w:rsid w:val="71A97DB6"/>
    <w:rsid w:val="71AF12E6"/>
    <w:rsid w:val="71B20DD6"/>
    <w:rsid w:val="71B763EC"/>
    <w:rsid w:val="71E511AB"/>
    <w:rsid w:val="71F11F26"/>
    <w:rsid w:val="71FB68B5"/>
    <w:rsid w:val="721649B4"/>
    <w:rsid w:val="722225DB"/>
    <w:rsid w:val="722B4318"/>
    <w:rsid w:val="723D0FE7"/>
    <w:rsid w:val="72495CF8"/>
    <w:rsid w:val="727B1B10"/>
    <w:rsid w:val="72895FDA"/>
    <w:rsid w:val="728974C3"/>
    <w:rsid w:val="728E0759"/>
    <w:rsid w:val="72C2538F"/>
    <w:rsid w:val="72C840F4"/>
    <w:rsid w:val="72FF66D4"/>
    <w:rsid w:val="72FF66D9"/>
    <w:rsid w:val="7315161C"/>
    <w:rsid w:val="731955B0"/>
    <w:rsid w:val="732B7092"/>
    <w:rsid w:val="734C1798"/>
    <w:rsid w:val="735A7977"/>
    <w:rsid w:val="73607CB6"/>
    <w:rsid w:val="737C12EE"/>
    <w:rsid w:val="737F73DD"/>
    <w:rsid w:val="7388043F"/>
    <w:rsid w:val="739A5FC5"/>
    <w:rsid w:val="73A17354"/>
    <w:rsid w:val="73B726D3"/>
    <w:rsid w:val="73C51294"/>
    <w:rsid w:val="73CB509F"/>
    <w:rsid w:val="73CD639B"/>
    <w:rsid w:val="73D57717"/>
    <w:rsid w:val="740D27BD"/>
    <w:rsid w:val="74120EED"/>
    <w:rsid w:val="74123DAE"/>
    <w:rsid w:val="741A4520"/>
    <w:rsid w:val="744523D5"/>
    <w:rsid w:val="74585E26"/>
    <w:rsid w:val="747405C4"/>
    <w:rsid w:val="74A27702"/>
    <w:rsid w:val="74B22D2F"/>
    <w:rsid w:val="74B67CA0"/>
    <w:rsid w:val="74C845FF"/>
    <w:rsid w:val="74DB6E01"/>
    <w:rsid w:val="750000AA"/>
    <w:rsid w:val="75137DDD"/>
    <w:rsid w:val="751A00A9"/>
    <w:rsid w:val="75495E95"/>
    <w:rsid w:val="754C76A7"/>
    <w:rsid w:val="75581C94"/>
    <w:rsid w:val="755E374E"/>
    <w:rsid w:val="756C200D"/>
    <w:rsid w:val="756D2573"/>
    <w:rsid w:val="75882579"/>
    <w:rsid w:val="758C66A4"/>
    <w:rsid w:val="75994786"/>
    <w:rsid w:val="75A12ED3"/>
    <w:rsid w:val="75FC265D"/>
    <w:rsid w:val="760F2C9B"/>
    <w:rsid w:val="761C6C75"/>
    <w:rsid w:val="763B3A90"/>
    <w:rsid w:val="76584435"/>
    <w:rsid w:val="76696582"/>
    <w:rsid w:val="76742AFE"/>
    <w:rsid w:val="7682346D"/>
    <w:rsid w:val="768F5B89"/>
    <w:rsid w:val="76945F5D"/>
    <w:rsid w:val="76AF3B36"/>
    <w:rsid w:val="76B208BC"/>
    <w:rsid w:val="76BF646F"/>
    <w:rsid w:val="76D4359C"/>
    <w:rsid w:val="76F465CB"/>
    <w:rsid w:val="7706409E"/>
    <w:rsid w:val="7711659E"/>
    <w:rsid w:val="773526DE"/>
    <w:rsid w:val="77360F80"/>
    <w:rsid w:val="77530816"/>
    <w:rsid w:val="7756498B"/>
    <w:rsid w:val="77716BAC"/>
    <w:rsid w:val="777F1896"/>
    <w:rsid w:val="779F3BAA"/>
    <w:rsid w:val="77B81365"/>
    <w:rsid w:val="77D031AD"/>
    <w:rsid w:val="77D53A70"/>
    <w:rsid w:val="77D67861"/>
    <w:rsid w:val="77DE031E"/>
    <w:rsid w:val="77E10E86"/>
    <w:rsid w:val="77EF4B32"/>
    <w:rsid w:val="77F0668A"/>
    <w:rsid w:val="77FA7033"/>
    <w:rsid w:val="78224195"/>
    <w:rsid w:val="782E082C"/>
    <w:rsid w:val="782E1286"/>
    <w:rsid w:val="783469E8"/>
    <w:rsid w:val="7863107C"/>
    <w:rsid w:val="78715547"/>
    <w:rsid w:val="787823FD"/>
    <w:rsid w:val="788E3C49"/>
    <w:rsid w:val="78985C6A"/>
    <w:rsid w:val="789D458E"/>
    <w:rsid w:val="78AF7413"/>
    <w:rsid w:val="78B35B5F"/>
    <w:rsid w:val="78DE490B"/>
    <w:rsid w:val="78E0624C"/>
    <w:rsid w:val="78E476FB"/>
    <w:rsid w:val="78F63C9E"/>
    <w:rsid w:val="79323DC9"/>
    <w:rsid w:val="795C1D84"/>
    <w:rsid w:val="79692435"/>
    <w:rsid w:val="796B5EF3"/>
    <w:rsid w:val="796C21B2"/>
    <w:rsid w:val="796E3EA9"/>
    <w:rsid w:val="79773031"/>
    <w:rsid w:val="797B484A"/>
    <w:rsid w:val="79E829E6"/>
    <w:rsid w:val="79F6606B"/>
    <w:rsid w:val="7A236D15"/>
    <w:rsid w:val="7A460C55"/>
    <w:rsid w:val="7A506276"/>
    <w:rsid w:val="7A613399"/>
    <w:rsid w:val="7A7F1A71"/>
    <w:rsid w:val="7AA8546C"/>
    <w:rsid w:val="7AB6609C"/>
    <w:rsid w:val="7AC1208A"/>
    <w:rsid w:val="7AD53C88"/>
    <w:rsid w:val="7AD963D1"/>
    <w:rsid w:val="7AE93232"/>
    <w:rsid w:val="7AEA338E"/>
    <w:rsid w:val="7AEC4F31"/>
    <w:rsid w:val="7AF64429"/>
    <w:rsid w:val="7B0101AF"/>
    <w:rsid w:val="7B0F099D"/>
    <w:rsid w:val="7B334D35"/>
    <w:rsid w:val="7B3B008E"/>
    <w:rsid w:val="7B454B30"/>
    <w:rsid w:val="7B4909FD"/>
    <w:rsid w:val="7B4F58E7"/>
    <w:rsid w:val="7B6D42DD"/>
    <w:rsid w:val="7B783090"/>
    <w:rsid w:val="7B7955F9"/>
    <w:rsid w:val="7B8437E3"/>
    <w:rsid w:val="7B8E6410"/>
    <w:rsid w:val="7BA619AB"/>
    <w:rsid w:val="7BB045D8"/>
    <w:rsid w:val="7BC52FEC"/>
    <w:rsid w:val="7BE85DEE"/>
    <w:rsid w:val="7BF006CF"/>
    <w:rsid w:val="7BF41733"/>
    <w:rsid w:val="7C0C4D1D"/>
    <w:rsid w:val="7C1F48E2"/>
    <w:rsid w:val="7C2B0690"/>
    <w:rsid w:val="7C4B4E4D"/>
    <w:rsid w:val="7C605FFE"/>
    <w:rsid w:val="7C7119CE"/>
    <w:rsid w:val="7C873251"/>
    <w:rsid w:val="7C961A20"/>
    <w:rsid w:val="7CAB4D9F"/>
    <w:rsid w:val="7CCD39CD"/>
    <w:rsid w:val="7CF14EA8"/>
    <w:rsid w:val="7D00333D"/>
    <w:rsid w:val="7D356F30"/>
    <w:rsid w:val="7D384885"/>
    <w:rsid w:val="7D56478A"/>
    <w:rsid w:val="7D7A30EF"/>
    <w:rsid w:val="7D8548A8"/>
    <w:rsid w:val="7D8A2C07"/>
    <w:rsid w:val="7D9677FD"/>
    <w:rsid w:val="7D9E152B"/>
    <w:rsid w:val="7DB55ED6"/>
    <w:rsid w:val="7DB75ACB"/>
    <w:rsid w:val="7DB83C18"/>
    <w:rsid w:val="7DBA34EC"/>
    <w:rsid w:val="7DBA6CB5"/>
    <w:rsid w:val="7DBB1AC4"/>
    <w:rsid w:val="7DED3CF7"/>
    <w:rsid w:val="7E0F4C67"/>
    <w:rsid w:val="7E4B2DA0"/>
    <w:rsid w:val="7E513335"/>
    <w:rsid w:val="7E5C2043"/>
    <w:rsid w:val="7E5D6E0E"/>
    <w:rsid w:val="7E977CD1"/>
    <w:rsid w:val="7EA877E8"/>
    <w:rsid w:val="7EAA17B2"/>
    <w:rsid w:val="7EB663A9"/>
    <w:rsid w:val="7EC531D7"/>
    <w:rsid w:val="7EC9322B"/>
    <w:rsid w:val="7ECF2FC7"/>
    <w:rsid w:val="7ED84CD3"/>
    <w:rsid w:val="7EF40365"/>
    <w:rsid w:val="7F0C5FC9"/>
    <w:rsid w:val="7F144E7E"/>
    <w:rsid w:val="7F1906E6"/>
    <w:rsid w:val="7F21759B"/>
    <w:rsid w:val="7F340461"/>
    <w:rsid w:val="7F390D88"/>
    <w:rsid w:val="7F401BF1"/>
    <w:rsid w:val="7F567244"/>
    <w:rsid w:val="7F5B485B"/>
    <w:rsid w:val="7F8E4C30"/>
    <w:rsid w:val="7F8F2756"/>
    <w:rsid w:val="7F926C61"/>
    <w:rsid w:val="7F995383"/>
    <w:rsid w:val="7FBD4338"/>
    <w:rsid w:val="7FC03989"/>
    <w:rsid w:val="7FCC39AA"/>
    <w:rsid w:val="7FEC5D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exact"/>
      <w:jc w:val="both"/>
    </w:pPr>
    <w:rPr>
      <w:rFonts w:ascii="Times New Roman" w:hAnsi="Times New Roman" w:eastAsia="宋体" w:cs="Times New Roman"/>
      <w:sz w:val="21"/>
      <w:szCs w:val="22"/>
      <w:lang w:val="en-US" w:eastAsia="zh-CN" w:bidi="ar-SA"/>
    </w:rPr>
  </w:style>
  <w:style w:type="paragraph" w:styleId="4">
    <w:name w:val="heading 1"/>
    <w:basedOn w:val="1"/>
    <w:next w:val="1"/>
    <w:link w:val="41"/>
    <w:qFormat/>
    <w:uiPriority w:val="0"/>
    <w:pPr>
      <w:keepNext/>
      <w:keepLines/>
      <w:numPr>
        <w:ilvl w:val="0"/>
        <w:numId w:val="1"/>
      </w:numPr>
      <w:tabs>
        <w:tab w:val="left" w:pos="315"/>
        <w:tab w:val="clear" w:pos="284"/>
      </w:tabs>
      <w:adjustRightInd/>
      <w:snapToGrid/>
      <w:spacing w:before="50" w:beforeLines="50" w:after="50" w:afterLines="50" w:line="360" w:lineRule="auto"/>
      <w:jc w:val="center"/>
      <w:outlineLvl w:val="0"/>
    </w:pPr>
    <w:rPr>
      <w:rFonts w:eastAsia="黑体"/>
      <w:b/>
      <w:bCs/>
      <w:kern w:val="44"/>
      <w:sz w:val="28"/>
      <w:szCs w:val="30"/>
    </w:rPr>
  </w:style>
  <w:style w:type="paragraph" w:styleId="5">
    <w:name w:val="heading 2"/>
    <w:basedOn w:val="1"/>
    <w:next w:val="1"/>
    <w:link w:val="42"/>
    <w:qFormat/>
    <w:uiPriority w:val="0"/>
    <w:pPr>
      <w:keepNext/>
      <w:keepLines/>
      <w:numPr>
        <w:ilvl w:val="1"/>
        <w:numId w:val="2"/>
      </w:numPr>
      <w:adjustRightInd/>
      <w:snapToGrid/>
      <w:spacing w:before="100" w:beforeLines="100" w:after="50" w:afterLines="50" w:line="360" w:lineRule="auto"/>
      <w:jc w:val="center"/>
      <w:outlineLvl w:val="1"/>
    </w:pPr>
    <w:rPr>
      <w:rFonts w:eastAsia="黑体"/>
      <w:b/>
      <w:bCs/>
      <w:kern w:val="2"/>
      <w:sz w:val="24"/>
      <w:szCs w:val="28"/>
    </w:rPr>
  </w:style>
  <w:style w:type="paragraph" w:styleId="6">
    <w:name w:val="heading 3"/>
    <w:basedOn w:val="1"/>
    <w:link w:val="43"/>
    <w:qFormat/>
    <w:uiPriority w:val="0"/>
    <w:pPr>
      <w:numPr>
        <w:ilvl w:val="2"/>
        <w:numId w:val="1"/>
      </w:numPr>
      <w:tabs>
        <w:tab w:val="left" w:pos="630"/>
      </w:tabs>
      <w:adjustRightInd/>
      <w:snapToGrid/>
      <w:outlineLvl w:val="2"/>
    </w:pPr>
    <w:rPr>
      <w:bCs/>
      <w:kern w:val="2"/>
      <w:szCs w:val="24"/>
    </w:rPr>
  </w:style>
  <w:style w:type="paragraph" w:styleId="7">
    <w:name w:val="heading 4"/>
    <w:basedOn w:val="1"/>
    <w:link w:val="44"/>
    <w:qFormat/>
    <w:uiPriority w:val="0"/>
    <w:pPr>
      <w:numPr>
        <w:ilvl w:val="0"/>
        <w:numId w:val="3"/>
      </w:numPr>
      <w:tabs>
        <w:tab w:val="left" w:pos="735"/>
      </w:tabs>
      <w:outlineLvl w:val="3"/>
    </w:pPr>
    <w:rPr>
      <w:szCs w:val="24"/>
    </w:rPr>
  </w:style>
  <w:style w:type="paragraph" w:styleId="8">
    <w:name w:val="heading 5"/>
    <w:basedOn w:val="1"/>
    <w:next w:val="1"/>
    <w:link w:val="45"/>
    <w:qFormat/>
    <w:uiPriority w:val="9"/>
    <w:pPr>
      <w:keepNext/>
      <w:keepLines/>
      <w:spacing w:before="280" w:after="290" w:line="376" w:lineRule="atLeast"/>
      <w:outlineLvl w:val="4"/>
    </w:pPr>
    <w:rPr>
      <w:b/>
      <w:bCs/>
      <w:sz w:val="28"/>
      <w:szCs w:val="28"/>
    </w:rPr>
  </w:style>
  <w:style w:type="paragraph" w:styleId="9">
    <w:name w:val="heading 6"/>
    <w:basedOn w:val="1"/>
    <w:next w:val="1"/>
    <w:link w:val="46"/>
    <w:qFormat/>
    <w:uiPriority w:val="9"/>
    <w:pPr>
      <w:keepNext/>
      <w:keepLines/>
      <w:spacing w:before="240" w:after="64" w:line="320" w:lineRule="atLeast"/>
      <w:outlineLvl w:val="5"/>
    </w:pPr>
    <w:rPr>
      <w:rFonts w:ascii="等线 Light" w:hAnsi="等线 Light" w:eastAsia="等线 Light"/>
      <w:b/>
      <w:bCs/>
      <w:sz w:val="24"/>
      <w:szCs w:val="24"/>
    </w:rPr>
  </w:style>
  <w:style w:type="paragraph" w:styleId="10">
    <w:name w:val="heading 7"/>
    <w:basedOn w:val="1"/>
    <w:next w:val="1"/>
    <w:link w:val="47"/>
    <w:qFormat/>
    <w:uiPriority w:val="9"/>
    <w:pPr>
      <w:keepNext/>
      <w:keepLines/>
      <w:spacing w:before="240" w:after="64" w:line="320" w:lineRule="atLeast"/>
      <w:outlineLvl w:val="6"/>
    </w:pPr>
    <w:rPr>
      <w:b/>
      <w:bCs/>
      <w:sz w:val="24"/>
      <w:szCs w:val="24"/>
    </w:rPr>
  </w:style>
  <w:style w:type="paragraph" w:styleId="11">
    <w:name w:val="heading 8"/>
    <w:basedOn w:val="1"/>
    <w:next w:val="1"/>
    <w:link w:val="48"/>
    <w:qFormat/>
    <w:uiPriority w:val="9"/>
    <w:pPr>
      <w:keepNext/>
      <w:keepLines/>
      <w:spacing w:before="240" w:after="64" w:line="320" w:lineRule="atLeast"/>
      <w:outlineLvl w:val="7"/>
    </w:pPr>
    <w:rPr>
      <w:rFonts w:ascii="等线 Light" w:hAnsi="等线 Light" w:eastAsia="等线 Light"/>
      <w:sz w:val="24"/>
      <w:szCs w:val="24"/>
    </w:rPr>
  </w:style>
  <w:style w:type="paragraph" w:styleId="12">
    <w:name w:val="heading 9"/>
    <w:basedOn w:val="1"/>
    <w:next w:val="1"/>
    <w:link w:val="49"/>
    <w:qFormat/>
    <w:uiPriority w:val="9"/>
    <w:pPr>
      <w:keepNext/>
      <w:keepLines/>
      <w:spacing w:before="240" w:after="64" w:line="320" w:lineRule="atLeast"/>
      <w:outlineLvl w:val="8"/>
    </w:pPr>
    <w:rPr>
      <w:rFonts w:ascii="等线 Light" w:hAnsi="等线 Light" w:eastAsia="等线 Light"/>
      <w:szCs w:val="21"/>
    </w:rPr>
  </w:style>
  <w:style w:type="character" w:default="1" w:styleId="36">
    <w:name w:val="Default Paragraph Font"/>
    <w:unhideWhenUsed/>
    <w:uiPriority w:val="1"/>
  </w:style>
  <w:style w:type="table" w:default="1" w:styleId="34">
    <w:name w:val="Normal Table"/>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1"/>
    <w:pPr>
      <w:spacing w:before="135" w:line="240" w:lineRule="auto"/>
      <w:ind w:left="120"/>
      <w:jc w:val="left"/>
    </w:pPr>
    <w:rPr>
      <w:rFonts w:ascii="仿宋" w:hAnsi="仿宋" w:eastAsia="仿宋"/>
      <w:kern w:val="0"/>
      <w:sz w:val="24"/>
      <w:szCs w:val="24"/>
      <w:lang w:eastAsia="en-US"/>
    </w:rPr>
  </w:style>
  <w:style w:type="paragraph" w:styleId="13">
    <w:name w:val="toc 7"/>
    <w:basedOn w:val="1"/>
    <w:next w:val="1"/>
    <w:unhideWhenUsed/>
    <w:qFormat/>
    <w:uiPriority w:val="39"/>
    <w:pPr>
      <w:adjustRightInd/>
      <w:snapToGrid/>
      <w:spacing w:line="240" w:lineRule="auto"/>
      <w:ind w:left="2520" w:leftChars="1200"/>
    </w:pPr>
    <w:rPr>
      <w:rFonts w:ascii="Calibri" w:hAnsi="Calibri"/>
      <w:kern w:val="2"/>
    </w:rPr>
  </w:style>
  <w:style w:type="paragraph" w:styleId="14">
    <w:name w:val="caption"/>
    <w:basedOn w:val="1"/>
    <w:next w:val="1"/>
    <w:link w:val="50"/>
    <w:qFormat/>
    <w:uiPriority w:val="35"/>
    <w:rPr>
      <w:rFonts w:ascii="Cambria" w:hAnsi="Cambria" w:eastAsia="黑体"/>
      <w:sz w:val="20"/>
      <w:szCs w:val="20"/>
    </w:rPr>
  </w:style>
  <w:style w:type="paragraph" w:styleId="15">
    <w:name w:val="Document Map"/>
    <w:basedOn w:val="1"/>
    <w:link w:val="51"/>
    <w:unhideWhenUsed/>
    <w:qFormat/>
    <w:uiPriority w:val="0"/>
    <w:rPr>
      <w:rFonts w:ascii="宋体" w:hAnsi="Tahoma"/>
      <w:sz w:val="18"/>
      <w:szCs w:val="18"/>
    </w:rPr>
  </w:style>
  <w:style w:type="paragraph" w:styleId="16">
    <w:name w:val="annotation text"/>
    <w:basedOn w:val="1"/>
    <w:link w:val="52"/>
    <w:unhideWhenUsed/>
    <w:qFormat/>
    <w:uiPriority w:val="0"/>
    <w:pPr>
      <w:adjustRightInd/>
      <w:snapToGrid/>
      <w:spacing w:line="240" w:lineRule="auto"/>
      <w:jc w:val="left"/>
    </w:pPr>
    <w:rPr>
      <w:kern w:val="2"/>
      <w:szCs w:val="24"/>
    </w:rPr>
  </w:style>
  <w:style w:type="paragraph" w:styleId="17">
    <w:name w:val="Body Text Indent"/>
    <w:basedOn w:val="1"/>
    <w:link w:val="53"/>
    <w:qFormat/>
    <w:uiPriority w:val="0"/>
    <w:pPr>
      <w:adjustRightInd/>
      <w:snapToGrid/>
      <w:spacing w:beforeLines="50" w:line="400" w:lineRule="exact"/>
      <w:ind w:firstLine="560" w:firstLineChars="200"/>
    </w:pPr>
    <w:rPr>
      <w:rFonts w:ascii="宋体" w:hAnsi="宋体"/>
      <w:kern w:val="2"/>
      <w:sz w:val="28"/>
      <w:szCs w:val="24"/>
    </w:rPr>
  </w:style>
  <w:style w:type="paragraph" w:styleId="18">
    <w:name w:val="toc 5"/>
    <w:basedOn w:val="1"/>
    <w:next w:val="1"/>
    <w:unhideWhenUsed/>
    <w:qFormat/>
    <w:uiPriority w:val="39"/>
    <w:pPr>
      <w:adjustRightInd/>
      <w:snapToGrid/>
      <w:spacing w:line="240" w:lineRule="auto"/>
      <w:ind w:left="1680" w:leftChars="800"/>
    </w:pPr>
    <w:rPr>
      <w:rFonts w:ascii="Calibri" w:hAnsi="Calibri"/>
      <w:kern w:val="2"/>
    </w:rPr>
  </w:style>
  <w:style w:type="paragraph" w:styleId="19">
    <w:name w:val="toc 3"/>
    <w:basedOn w:val="1"/>
    <w:next w:val="1"/>
    <w:unhideWhenUsed/>
    <w:qFormat/>
    <w:uiPriority w:val="39"/>
    <w:pPr>
      <w:tabs>
        <w:tab w:val="right" w:leader="dot" w:pos="8296"/>
      </w:tabs>
      <w:adjustRightInd/>
      <w:snapToGrid/>
      <w:spacing w:after="100" w:line="259" w:lineRule="auto"/>
      <w:ind w:left="440"/>
      <w:jc w:val="center"/>
    </w:pPr>
    <w:rPr>
      <w:rFonts w:ascii="Calibri" w:hAnsi="Calibri"/>
    </w:rPr>
  </w:style>
  <w:style w:type="paragraph" w:styleId="20">
    <w:name w:val="toc 8"/>
    <w:basedOn w:val="1"/>
    <w:next w:val="1"/>
    <w:unhideWhenUsed/>
    <w:qFormat/>
    <w:uiPriority w:val="39"/>
    <w:pPr>
      <w:adjustRightInd/>
      <w:snapToGrid/>
      <w:spacing w:line="240" w:lineRule="auto"/>
      <w:ind w:left="2940" w:leftChars="1400"/>
    </w:pPr>
    <w:rPr>
      <w:rFonts w:ascii="Calibri" w:hAnsi="Calibri"/>
      <w:kern w:val="2"/>
    </w:rPr>
  </w:style>
  <w:style w:type="paragraph" w:styleId="21">
    <w:name w:val="Date"/>
    <w:basedOn w:val="1"/>
    <w:next w:val="1"/>
    <w:link w:val="54"/>
    <w:qFormat/>
    <w:uiPriority w:val="0"/>
    <w:pPr>
      <w:adjustRightInd/>
      <w:snapToGrid/>
      <w:spacing w:line="240" w:lineRule="auto"/>
    </w:pPr>
    <w:rPr>
      <w:sz w:val="20"/>
      <w:szCs w:val="24"/>
    </w:rPr>
  </w:style>
  <w:style w:type="paragraph" w:styleId="22">
    <w:name w:val="Balloon Text"/>
    <w:basedOn w:val="1"/>
    <w:link w:val="55"/>
    <w:unhideWhenUsed/>
    <w:qFormat/>
    <w:uiPriority w:val="0"/>
    <w:rPr>
      <w:rFonts w:ascii="Tahoma" w:hAnsi="Tahoma"/>
      <w:sz w:val="18"/>
      <w:szCs w:val="18"/>
    </w:rPr>
  </w:style>
  <w:style w:type="paragraph" w:styleId="23">
    <w:name w:val="footer"/>
    <w:basedOn w:val="1"/>
    <w:link w:val="56"/>
    <w:unhideWhenUsed/>
    <w:qFormat/>
    <w:uiPriority w:val="99"/>
    <w:pPr>
      <w:tabs>
        <w:tab w:val="center" w:pos="4153"/>
        <w:tab w:val="right" w:pos="8306"/>
      </w:tabs>
      <w:jc w:val="left"/>
    </w:pPr>
    <w:rPr>
      <w:rFonts w:ascii="Tahoma" w:hAnsi="Tahoma"/>
      <w:sz w:val="18"/>
      <w:szCs w:val="18"/>
    </w:rPr>
  </w:style>
  <w:style w:type="paragraph" w:styleId="24">
    <w:name w:val="header"/>
    <w:basedOn w:val="1"/>
    <w:link w:val="57"/>
    <w:unhideWhenUsed/>
    <w:qFormat/>
    <w:uiPriority w:val="0"/>
    <w:pPr>
      <w:pBdr>
        <w:bottom w:val="single" w:color="auto" w:sz="6" w:space="1"/>
      </w:pBdr>
      <w:tabs>
        <w:tab w:val="center" w:pos="4153"/>
        <w:tab w:val="right" w:pos="8306"/>
      </w:tabs>
      <w:jc w:val="center"/>
    </w:pPr>
    <w:rPr>
      <w:rFonts w:ascii="Tahoma" w:hAnsi="Tahoma"/>
      <w:sz w:val="18"/>
      <w:szCs w:val="18"/>
    </w:rPr>
  </w:style>
  <w:style w:type="paragraph" w:styleId="25">
    <w:name w:val="toc 1"/>
    <w:basedOn w:val="1"/>
    <w:next w:val="1"/>
    <w:qFormat/>
    <w:uiPriority w:val="39"/>
    <w:pPr>
      <w:tabs>
        <w:tab w:val="left" w:pos="360"/>
        <w:tab w:val="right" w:leader="dot" w:pos="5760"/>
      </w:tabs>
      <w:adjustRightInd/>
      <w:snapToGrid/>
      <w:spacing w:line="240" w:lineRule="auto"/>
    </w:pPr>
    <w:rPr>
      <w:kern w:val="2"/>
      <w:szCs w:val="24"/>
    </w:rPr>
  </w:style>
  <w:style w:type="paragraph" w:styleId="26">
    <w:name w:val="toc 4"/>
    <w:basedOn w:val="1"/>
    <w:next w:val="1"/>
    <w:unhideWhenUsed/>
    <w:qFormat/>
    <w:uiPriority w:val="39"/>
    <w:pPr>
      <w:adjustRightInd/>
      <w:snapToGrid/>
      <w:spacing w:line="240" w:lineRule="auto"/>
      <w:ind w:left="1260" w:leftChars="600"/>
    </w:pPr>
    <w:rPr>
      <w:rFonts w:ascii="Calibri" w:hAnsi="Calibri"/>
      <w:kern w:val="2"/>
    </w:rPr>
  </w:style>
  <w:style w:type="paragraph" w:styleId="27">
    <w:name w:val="Subtitle"/>
    <w:basedOn w:val="1"/>
    <w:next w:val="1"/>
    <w:link w:val="58"/>
    <w:qFormat/>
    <w:uiPriority w:val="11"/>
    <w:pPr>
      <w:spacing w:before="240" w:after="60" w:line="312" w:lineRule="atLeast"/>
      <w:jc w:val="center"/>
      <w:outlineLvl w:val="1"/>
    </w:pPr>
    <w:rPr>
      <w:rFonts w:ascii="等线 Light" w:hAnsi="等线 Light"/>
      <w:b/>
      <w:bCs/>
      <w:kern w:val="28"/>
      <w:sz w:val="32"/>
      <w:szCs w:val="32"/>
    </w:rPr>
  </w:style>
  <w:style w:type="paragraph" w:styleId="28">
    <w:name w:val="toc 6"/>
    <w:basedOn w:val="1"/>
    <w:next w:val="1"/>
    <w:unhideWhenUsed/>
    <w:qFormat/>
    <w:uiPriority w:val="39"/>
    <w:pPr>
      <w:adjustRightInd/>
      <w:snapToGrid/>
      <w:spacing w:line="240" w:lineRule="auto"/>
      <w:ind w:left="2100" w:leftChars="1000"/>
    </w:pPr>
    <w:rPr>
      <w:rFonts w:ascii="Calibri" w:hAnsi="Calibri"/>
      <w:kern w:val="2"/>
    </w:rPr>
  </w:style>
  <w:style w:type="paragraph" w:styleId="29">
    <w:name w:val="toc 2"/>
    <w:basedOn w:val="1"/>
    <w:next w:val="1"/>
    <w:qFormat/>
    <w:uiPriority w:val="39"/>
    <w:pPr>
      <w:tabs>
        <w:tab w:val="left" w:pos="960"/>
        <w:tab w:val="right" w:leader="dot" w:pos="5760"/>
      </w:tabs>
      <w:adjustRightInd/>
      <w:snapToGrid/>
      <w:spacing w:line="240" w:lineRule="auto"/>
      <w:ind w:left="100" w:leftChars="100"/>
    </w:pPr>
    <w:rPr>
      <w:rFonts w:hAnsi="宋体"/>
      <w:kern w:val="2"/>
      <w:szCs w:val="24"/>
    </w:rPr>
  </w:style>
  <w:style w:type="paragraph" w:styleId="30">
    <w:name w:val="toc 9"/>
    <w:basedOn w:val="1"/>
    <w:next w:val="1"/>
    <w:unhideWhenUsed/>
    <w:qFormat/>
    <w:uiPriority w:val="39"/>
    <w:pPr>
      <w:adjustRightInd/>
      <w:snapToGrid/>
      <w:spacing w:line="240" w:lineRule="auto"/>
      <w:ind w:left="3360" w:leftChars="1600"/>
    </w:pPr>
    <w:rPr>
      <w:rFonts w:ascii="Calibri" w:hAnsi="Calibri"/>
      <w:kern w:val="2"/>
    </w:rPr>
  </w:style>
  <w:style w:type="paragraph" w:styleId="31">
    <w:name w:val="Normal (Web)"/>
    <w:basedOn w:val="1"/>
    <w:qFormat/>
    <w:uiPriority w:val="0"/>
    <w:pPr>
      <w:adjustRightInd/>
      <w:snapToGrid/>
      <w:spacing w:before="100" w:beforeAutospacing="1" w:after="100" w:afterAutospacing="1" w:line="288" w:lineRule="atLeast"/>
      <w:jc w:val="left"/>
    </w:pPr>
    <w:rPr>
      <w:rFonts w:ascii="宋体" w:hAnsi="宋体" w:cs="宋体"/>
      <w:color w:val="000000"/>
    </w:rPr>
  </w:style>
  <w:style w:type="paragraph" w:styleId="32">
    <w:name w:val="Title"/>
    <w:basedOn w:val="1"/>
    <w:next w:val="1"/>
    <w:link w:val="59"/>
    <w:qFormat/>
    <w:uiPriority w:val="0"/>
    <w:pPr>
      <w:adjustRightInd/>
      <w:snapToGrid/>
      <w:spacing w:before="240" w:after="60" w:line="240" w:lineRule="auto"/>
      <w:jc w:val="center"/>
      <w:outlineLvl w:val="0"/>
    </w:pPr>
    <w:rPr>
      <w:rFonts w:ascii="Calibri Light" w:hAnsi="Calibri Light"/>
      <w:b/>
      <w:bCs/>
      <w:sz w:val="32"/>
      <w:szCs w:val="32"/>
    </w:rPr>
  </w:style>
  <w:style w:type="paragraph" w:styleId="33">
    <w:name w:val="annotation subject"/>
    <w:basedOn w:val="16"/>
    <w:next w:val="16"/>
    <w:link w:val="60"/>
    <w:qFormat/>
    <w:uiPriority w:val="0"/>
    <w:rPr>
      <w:b/>
      <w:bCs/>
      <w:kern w:val="0"/>
      <w:sz w:val="20"/>
    </w:rPr>
  </w:style>
  <w:style w:type="table" w:styleId="35">
    <w:name w:val="Table Grid"/>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7">
    <w:name w:val="page number"/>
    <w:qFormat/>
    <w:uiPriority w:val="0"/>
  </w:style>
  <w:style w:type="character" w:styleId="38">
    <w:name w:val="FollowedHyperlink"/>
    <w:unhideWhenUsed/>
    <w:qFormat/>
    <w:uiPriority w:val="99"/>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标题 1 字符"/>
    <w:link w:val="4"/>
    <w:qFormat/>
    <w:uiPriority w:val="0"/>
    <w:rPr>
      <w:rFonts w:eastAsia="黑体"/>
      <w:b/>
      <w:bCs/>
      <w:kern w:val="44"/>
      <w:sz w:val="28"/>
      <w:szCs w:val="30"/>
    </w:rPr>
  </w:style>
  <w:style w:type="character" w:customStyle="1" w:styleId="42">
    <w:name w:val="标题 2 字符"/>
    <w:link w:val="5"/>
    <w:qFormat/>
    <w:uiPriority w:val="0"/>
    <w:rPr>
      <w:rFonts w:eastAsia="黑体"/>
      <w:b/>
      <w:bCs/>
      <w:kern w:val="2"/>
      <w:sz w:val="24"/>
      <w:szCs w:val="28"/>
    </w:rPr>
  </w:style>
  <w:style w:type="character" w:customStyle="1" w:styleId="43">
    <w:name w:val="标题 3 字符"/>
    <w:link w:val="6"/>
    <w:qFormat/>
    <w:uiPriority w:val="0"/>
    <w:rPr>
      <w:bCs/>
      <w:kern w:val="2"/>
      <w:sz w:val="21"/>
      <w:szCs w:val="24"/>
    </w:rPr>
  </w:style>
  <w:style w:type="character" w:customStyle="1" w:styleId="44">
    <w:name w:val="标题 4 字符"/>
    <w:link w:val="7"/>
    <w:qFormat/>
    <w:uiPriority w:val="0"/>
    <w:rPr>
      <w:sz w:val="21"/>
      <w:szCs w:val="24"/>
    </w:rPr>
  </w:style>
  <w:style w:type="character" w:customStyle="1" w:styleId="45">
    <w:name w:val="标题 5 字符"/>
    <w:link w:val="8"/>
    <w:semiHidden/>
    <w:qFormat/>
    <w:uiPriority w:val="9"/>
    <w:rPr>
      <w:b/>
      <w:bCs/>
      <w:sz w:val="28"/>
      <w:szCs w:val="28"/>
    </w:rPr>
  </w:style>
  <w:style w:type="character" w:customStyle="1" w:styleId="46">
    <w:name w:val="标题 6 字符"/>
    <w:link w:val="9"/>
    <w:semiHidden/>
    <w:qFormat/>
    <w:uiPriority w:val="9"/>
    <w:rPr>
      <w:rFonts w:ascii="等线 Light" w:hAnsi="等线 Light" w:eastAsia="等线 Light" w:cs="Times New Roman"/>
      <w:b/>
      <w:bCs/>
      <w:sz w:val="24"/>
      <w:szCs w:val="24"/>
    </w:rPr>
  </w:style>
  <w:style w:type="character" w:customStyle="1" w:styleId="47">
    <w:name w:val="标题 7 字符"/>
    <w:link w:val="10"/>
    <w:semiHidden/>
    <w:qFormat/>
    <w:uiPriority w:val="9"/>
    <w:rPr>
      <w:b/>
      <w:bCs/>
      <w:sz w:val="24"/>
      <w:szCs w:val="24"/>
    </w:rPr>
  </w:style>
  <w:style w:type="character" w:customStyle="1" w:styleId="48">
    <w:name w:val="标题 8 字符"/>
    <w:link w:val="11"/>
    <w:semiHidden/>
    <w:qFormat/>
    <w:uiPriority w:val="9"/>
    <w:rPr>
      <w:rFonts w:ascii="等线 Light" w:hAnsi="等线 Light" w:eastAsia="等线 Light" w:cs="Times New Roman"/>
      <w:sz w:val="24"/>
      <w:szCs w:val="24"/>
    </w:rPr>
  </w:style>
  <w:style w:type="character" w:customStyle="1" w:styleId="49">
    <w:name w:val="标题 9 字符"/>
    <w:link w:val="12"/>
    <w:semiHidden/>
    <w:qFormat/>
    <w:uiPriority w:val="9"/>
    <w:rPr>
      <w:rFonts w:ascii="等线 Light" w:hAnsi="等线 Light" w:eastAsia="等线 Light" w:cs="Times New Roman"/>
      <w:sz w:val="21"/>
      <w:szCs w:val="21"/>
    </w:rPr>
  </w:style>
  <w:style w:type="character" w:customStyle="1" w:styleId="50">
    <w:name w:val="题注 字符"/>
    <w:link w:val="14"/>
    <w:qFormat/>
    <w:uiPriority w:val="35"/>
    <w:rPr>
      <w:rFonts w:ascii="Cambria" w:hAnsi="Cambria" w:eastAsia="黑体" w:cs="Times New Roman"/>
      <w:sz w:val="20"/>
      <w:szCs w:val="20"/>
    </w:rPr>
  </w:style>
  <w:style w:type="character" w:customStyle="1" w:styleId="51">
    <w:name w:val="文档结构图 字符"/>
    <w:link w:val="15"/>
    <w:qFormat/>
    <w:uiPriority w:val="0"/>
    <w:rPr>
      <w:rFonts w:ascii="宋体" w:hAnsi="Tahoma" w:eastAsia="宋体"/>
      <w:sz w:val="18"/>
      <w:szCs w:val="18"/>
    </w:rPr>
  </w:style>
  <w:style w:type="character" w:customStyle="1" w:styleId="52">
    <w:name w:val="批注文字 字符"/>
    <w:link w:val="16"/>
    <w:qFormat/>
    <w:uiPriority w:val="0"/>
    <w:rPr>
      <w:rFonts w:ascii="Times New Roman" w:hAnsi="Times New Roman" w:eastAsia="宋体" w:cs="Times New Roman"/>
      <w:kern w:val="2"/>
      <w:sz w:val="21"/>
      <w:szCs w:val="24"/>
    </w:rPr>
  </w:style>
  <w:style w:type="character" w:customStyle="1" w:styleId="53">
    <w:name w:val="正文文本缩进 字符"/>
    <w:link w:val="17"/>
    <w:qFormat/>
    <w:uiPriority w:val="0"/>
    <w:rPr>
      <w:rFonts w:ascii="宋体" w:hAnsi="宋体" w:eastAsia="宋体" w:cs="Times New Roman"/>
      <w:kern w:val="2"/>
      <w:sz w:val="28"/>
      <w:szCs w:val="24"/>
    </w:rPr>
  </w:style>
  <w:style w:type="character" w:customStyle="1" w:styleId="54">
    <w:name w:val="日期 字符"/>
    <w:link w:val="21"/>
    <w:qFormat/>
    <w:uiPriority w:val="0"/>
    <w:rPr>
      <w:szCs w:val="24"/>
    </w:rPr>
  </w:style>
  <w:style w:type="character" w:customStyle="1" w:styleId="55">
    <w:name w:val="批注框文本 字符"/>
    <w:link w:val="22"/>
    <w:qFormat/>
    <w:uiPriority w:val="0"/>
    <w:rPr>
      <w:rFonts w:ascii="Tahoma" w:hAnsi="Tahoma"/>
      <w:sz w:val="18"/>
      <w:szCs w:val="18"/>
    </w:rPr>
  </w:style>
  <w:style w:type="character" w:customStyle="1" w:styleId="56">
    <w:name w:val="页脚 字符"/>
    <w:link w:val="23"/>
    <w:qFormat/>
    <w:uiPriority w:val="99"/>
    <w:rPr>
      <w:rFonts w:ascii="Tahoma" w:hAnsi="Tahoma"/>
      <w:sz w:val="18"/>
      <w:szCs w:val="18"/>
    </w:rPr>
  </w:style>
  <w:style w:type="character" w:customStyle="1" w:styleId="57">
    <w:name w:val="页眉 字符"/>
    <w:link w:val="24"/>
    <w:qFormat/>
    <w:uiPriority w:val="0"/>
    <w:rPr>
      <w:rFonts w:ascii="Tahoma" w:hAnsi="Tahoma"/>
      <w:sz w:val="18"/>
      <w:szCs w:val="18"/>
    </w:rPr>
  </w:style>
  <w:style w:type="character" w:customStyle="1" w:styleId="58">
    <w:name w:val="副标题 字符"/>
    <w:link w:val="27"/>
    <w:qFormat/>
    <w:uiPriority w:val="11"/>
    <w:rPr>
      <w:rFonts w:ascii="等线 Light" w:hAnsi="等线 Light" w:cs="Times New Roman"/>
      <w:b/>
      <w:bCs/>
      <w:kern w:val="28"/>
      <w:sz w:val="32"/>
      <w:szCs w:val="32"/>
    </w:rPr>
  </w:style>
  <w:style w:type="character" w:customStyle="1" w:styleId="59">
    <w:name w:val="标题 字符"/>
    <w:link w:val="32"/>
    <w:qFormat/>
    <w:uiPriority w:val="0"/>
    <w:rPr>
      <w:rFonts w:ascii="Calibri Light" w:hAnsi="Calibri Light"/>
      <w:b/>
      <w:bCs/>
      <w:sz w:val="32"/>
      <w:szCs w:val="32"/>
    </w:rPr>
  </w:style>
  <w:style w:type="character" w:customStyle="1" w:styleId="60">
    <w:name w:val="批注主题 字符"/>
    <w:link w:val="33"/>
    <w:qFormat/>
    <w:uiPriority w:val="0"/>
    <w:rPr>
      <w:b/>
      <w:bCs/>
      <w:szCs w:val="24"/>
    </w:rPr>
  </w:style>
  <w:style w:type="character" w:customStyle="1" w:styleId="61">
    <w:name w:val="日期 Char2"/>
    <w:qFormat/>
    <w:uiPriority w:val="0"/>
    <w:rPr>
      <w:szCs w:val="24"/>
    </w:rPr>
  </w:style>
  <w:style w:type="character" w:customStyle="1" w:styleId="62">
    <w:name w:val="标题 3 Char1"/>
    <w:qFormat/>
    <w:uiPriority w:val="0"/>
    <w:rPr>
      <w:rFonts w:ascii="Times New Roman" w:hAnsi="Times New Roman" w:eastAsia="宋体"/>
      <w:bCs/>
      <w:kern w:val="2"/>
      <w:sz w:val="24"/>
      <w:szCs w:val="24"/>
    </w:rPr>
  </w:style>
  <w:style w:type="character" w:customStyle="1" w:styleId="63">
    <w:name w:val="表名 字符"/>
    <w:link w:val="64"/>
    <w:qFormat/>
    <w:uiPriority w:val="0"/>
    <w:rPr>
      <w:rFonts w:ascii="Times New Roman" w:hAnsi="Times New Roman" w:eastAsia="黑体"/>
      <w:sz w:val="18"/>
      <w:szCs w:val="21"/>
    </w:rPr>
  </w:style>
  <w:style w:type="paragraph" w:customStyle="1" w:styleId="64">
    <w:name w:val="表名"/>
    <w:basedOn w:val="14"/>
    <w:link w:val="63"/>
    <w:qFormat/>
    <w:uiPriority w:val="0"/>
    <w:pPr>
      <w:spacing w:beforeLines="25" w:afterLines="25" w:line="240" w:lineRule="auto"/>
      <w:jc w:val="center"/>
    </w:pPr>
    <w:rPr>
      <w:rFonts w:ascii="Times New Roman" w:hAnsi="Times New Roman"/>
      <w:sz w:val="18"/>
      <w:szCs w:val="21"/>
    </w:rPr>
  </w:style>
  <w:style w:type="character" w:customStyle="1" w:styleId="65">
    <w:name w:val="正文文本缩进 Char"/>
    <w:qFormat/>
    <w:uiPriority w:val="0"/>
    <w:rPr>
      <w:rFonts w:ascii="宋体" w:hAnsi="宋体" w:eastAsia="宋体" w:cs="Times New Roman"/>
      <w:kern w:val="2"/>
      <w:sz w:val="28"/>
      <w:szCs w:val="24"/>
    </w:rPr>
  </w:style>
  <w:style w:type="character" w:customStyle="1" w:styleId="66">
    <w:name w:val="批注主题 Char"/>
    <w:qFormat/>
    <w:uiPriority w:val="0"/>
    <w:rPr>
      <w:b/>
      <w:bCs/>
      <w:kern w:val="2"/>
      <w:sz w:val="21"/>
      <w:szCs w:val="24"/>
    </w:rPr>
  </w:style>
  <w:style w:type="character" w:customStyle="1" w:styleId="67">
    <w:name w:val="正文文本 (2)_"/>
    <w:link w:val="68"/>
    <w:qFormat/>
    <w:uiPriority w:val="0"/>
    <w:rPr>
      <w:rFonts w:ascii="宋体" w:cs="宋体"/>
      <w:sz w:val="34"/>
      <w:szCs w:val="34"/>
      <w:shd w:val="clear" w:color="auto" w:fill="FFFFFF"/>
    </w:rPr>
  </w:style>
  <w:style w:type="paragraph" w:customStyle="1" w:styleId="68">
    <w:name w:val="正文文本 (2)"/>
    <w:basedOn w:val="1"/>
    <w:link w:val="67"/>
    <w:qFormat/>
    <w:uiPriority w:val="0"/>
    <w:pPr>
      <w:shd w:val="clear" w:color="auto" w:fill="FFFFFF"/>
      <w:adjustRightInd/>
      <w:snapToGrid/>
      <w:spacing w:line="520" w:lineRule="exact"/>
      <w:jc w:val="distribute"/>
    </w:pPr>
    <w:rPr>
      <w:rFonts w:ascii="宋体"/>
      <w:sz w:val="34"/>
      <w:szCs w:val="34"/>
      <w:shd w:val="clear" w:color="auto" w:fill="FFFFFF"/>
    </w:rPr>
  </w:style>
  <w:style w:type="character" w:customStyle="1" w:styleId="69">
    <w:name w:val="正文文本 (2) + Times New Roman2"/>
    <w:qFormat/>
    <w:uiPriority w:val="0"/>
    <w:rPr>
      <w:rFonts w:ascii="Times New Roman" w:hAnsi="Times New Roman" w:cs="Times New Roman"/>
      <w:spacing w:val="20"/>
      <w:sz w:val="34"/>
      <w:szCs w:val="34"/>
      <w:u w:val="none"/>
      <w:shd w:val="clear" w:color="auto" w:fill="FFFFFF"/>
      <w:lang w:val="en-US" w:eastAsia="en-US"/>
    </w:rPr>
  </w:style>
  <w:style w:type="character" w:customStyle="1" w:styleId="70">
    <w:name w:val="图名 字符"/>
    <w:link w:val="71"/>
    <w:qFormat/>
    <w:uiPriority w:val="0"/>
    <w:rPr>
      <w:rFonts w:ascii="Times New Roman" w:hAnsi="Times New Roman" w:eastAsia="黑体"/>
      <w:sz w:val="18"/>
      <w:szCs w:val="21"/>
    </w:rPr>
  </w:style>
  <w:style w:type="paragraph" w:customStyle="1" w:styleId="71">
    <w:name w:val="图名"/>
    <w:basedOn w:val="14"/>
    <w:link w:val="70"/>
    <w:qFormat/>
    <w:uiPriority w:val="0"/>
    <w:pPr>
      <w:spacing w:beforeLines="25" w:afterLines="25" w:line="240" w:lineRule="auto"/>
      <w:jc w:val="center"/>
    </w:pPr>
    <w:rPr>
      <w:rFonts w:ascii="Times New Roman" w:hAnsi="Times New Roman"/>
      <w:sz w:val="18"/>
      <w:szCs w:val="21"/>
    </w:rPr>
  </w:style>
  <w:style w:type="character" w:customStyle="1" w:styleId="72">
    <w:name w:val="标题 1 Char Char"/>
    <w:qFormat/>
    <w:uiPriority w:val="0"/>
    <w:rPr>
      <w:b/>
      <w:bCs/>
      <w:kern w:val="44"/>
      <w:sz w:val="44"/>
      <w:szCs w:val="44"/>
    </w:rPr>
  </w:style>
  <w:style w:type="character" w:customStyle="1" w:styleId="73">
    <w:name w:val="标题 字符1"/>
    <w:qFormat/>
    <w:uiPriority w:val="10"/>
    <w:rPr>
      <w:rFonts w:ascii="Cambria" w:hAnsi="Cambria" w:eastAsia="宋体" w:cs="Times New Roman"/>
      <w:b/>
      <w:bCs/>
      <w:sz w:val="32"/>
      <w:szCs w:val="32"/>
    </w:rPr>
  </w:style>
  <w:style w:type="character" w:customStyle="1" w:styleId="74">
    <w:name w:val="批注主题 Char1"/>
    <w:semiHidden/>
    <w:qFormat/>
    <w:uiPriority w:val="99"/>
    <w:rPr>
      <w:rFonts w:ascii="Times New Roman" w:hAnsi="Times New Roman" w:eastAsia="宋体" w:cs="Times New Roman"/>
      <w:b/>
      <w:bCs/>
      <w:kern w:val="2"/>
      <w:sz w:val="21"/>
      <w:szCs w:val="24"/>
    </w:rPr>
  </w:style>
  <w:style w:type="character" w:customStyle="1" w:styleId="75">
    <w:name w:val="标题 3 Char"/>
    <w:qFormat/>
    <w:uiPriority w:val="0"/>
    <w:rPr>
      <w:b/>
      <w:bCs/>
      <w:kern w:val="2"/>
      <w:sz w:val="32"/>
      <w:szCs w:val="32"/>
    </w:rPr>
  </w:style>
  <w:style w:type="character" w:customStyle="1" w:styleId="76">
    <w:name w:val="页眉 Char Char"/>
    <w:qFormat/>
    <w:uiPriority w:val="0"/>
    <w:rPr>
      <w:kern w:val="2"/>
      <w:sz w:val="21"/>
      <w:szCs w:val="24"/>
    </w:rPr>
  </w:style>
  <w:style w:type="character" w:customStyle="1" w:styleId="77">
    <w:name w:val="列表段落 字符"/>
    <w:link w:val="78"/>
    <w:qFormat/>
    <w:uiPriority w:val="34"/>
    <w:rPr>
      <w:rFonts w:ascii="Tahoma" w:hAnsi="Tahoma"/>
    </w:rPr>
  </w:style>
  <w:style w:type="paragraph" w:styleId="78">
    <w:name w:val="List Paragraph"/>
    <w:basedOn w:val="1"/>
    <w:link w:val="77"/>
    <w:qFormat/>
    <w:uiPriority w:val="34"/>
    <w:pPr>
      <w:ind w:firstLine="420" w:firstLineChars="200"/>
    </w:pPr>
    <w:rPr>
      <w:rFonts w:ascii="Tahoma" w:hAnsi="Tahoma"/>
      <w:sz w:val="20"/>
      <w:szCs w:val="20"/>
    </w:rPr>
  </w:style>
  <w:style w:type="character" w:customStyle="1" w:styleId="79">
    <w:name w:val="图（表）注 字符"/>
    <w:link w:val="80"/>
    <w:qFormat/>
    <w:uiPriority w:val="0"/>
    <w:rPr>
      <w:rFonts w:ascii="Times New Roman" w:hAnsi="Times New Roman" w:eastAsia="宋体"/>
      <w:sz w:val="16"/>
      <w:szCs w:val="21"/>
    </w:rPr>
  </w:style>
  <w:style w:type="paragraph" w:customStyle="1" w:styleId="80">
    <w:name w:val="图（表）注"/>
    <w:basedOn w:val="71"/>
    <w:link w:val="79"/>
    <w:qFormat/>
    <w:uiPriority w:val="0"/>
    <w:rPr>
      <w:rFonts w:eastAsia="宋体"/>
      <w:sz w:val="16"/>
    </w:rPr>
  </w:style>
  <w:style w:type="character" w:customStyle="1" w:styleId="81">
    <w:name w:val="标题4-1 字符"/>
    <w:link w:val="82"/>
    <w:qFormat/>
    <w:uiPriority w:val="0"/>
    <w:rPr>
      <w:rFonts w:ascii="Times New Roman" w:hAnsi="Times New Roman" w:eastAsia="宋体" w:cs="Times New Roman"/>
      <w:sz w:val="24"/>
      <w:szCs w:val="24"/>
    </w:rPr>
  </w:style>
  <w:style w:type="paragraph" w:customStyle="1" w:styleId="82">
    <w:name w:val="标题4-1"/>
    <w:basedOn w:val="1"/>
    <w:link w:val="81"/>
    <w:qFormat/>
    <w:uiPriority w:val="0"/>
    <w:pPr>
      <w:ind w:left="1555" w:hanging="420"/>
    </w:pPr>
    <w:rPr>
      <w:sz w:val="24"/>
      <w:szCs w:val="24"/>
    </w:rPr>
  </w:style>
  <w:style w:type="character" w:customStyle="1" w:styleId="83">
    <w:name w:val="条文解释 字符"/>
    <w:link w:val="84"/>
    <w:qFormat/>
    <w:uiPriority w:val="0"/>
    <w:rPr>
      <w:rFonts w:ascii="Times New Roman" w:hAnsi="Times New Roman" w:eastAsia="宋体"/>
      <w:sz w:val="21"/>
    </w:rPr>
  </w:style>
  <w:style w:type="paragraph" w:customStyle="1" w:styleId="84">
    <w:name w:val="条文解释"/>
    <w:basedOn w:val="1"/>
    <w:link w:val="83"/>
    <w:qFormat/>
    <w:uiPriority w:val="0"/>
    <w:pPr>
      <w:ind w:firstLine="200" w:firstLineChars="200"/>
    </w:pPr>
    <w:rPr>
      <w:szCs w:val="20"/>
    </w:rPr>
  </w:style>
  <w:style w:type="character" w:customStyle="1" w:styleId="85">
    <w:name w:val="插图 字符"/>
    <w:link w:val="86"/>
    <w:qFormat/>
    <w:uiPriority w:val="0"/>
    <w:rPr>
      <w:rFonts w:ascii="Times New Roman" w:hAnsi="Times New Roman" w:eastAsia="宋体" w:cs="Times New Roman"/>
      <w:sz w:val="18"/>
      <w:szCs w:val="18"/>
    </w:rPr>
  </w:style>
  <w:style w:type="paragraph" w:customStyle="1" w:styleId="86">
    <w:name w:val="插图"/>
    <w:basedOn w:val="78"/>
    <w:link w:val="85"/>
    <w:qFormat/>
    <w:uiPriority w:val="0"/>
    <w:pPr>
      <w:spacing w:beforeLines="50" w:line="240" w:lineRule="auto"/>
      <w:ind w:firstLine="0" w:firstLineChars="0"/>
      <w:jc w:val="center"/>
    </w:pPr>
    <w:rPr>
      <w:rFonts w:ascii="Times New Roman" w:hAnsi="Times New Roman"/>
      <w:sz w:val="18"/>
      <w:szCs w:val="18"/>
    </w:rPr>
  </w:style>
  <w:style w:type="character" w:customStyle="1" w:styleId="87">
    <w:name w:val="我的标题4 字符"/>
    <w:link w:val="88"/>
    <w:qFormat/>
    <w:uiPriority w:val="0"/>
    <w:rPr>
      <w:rFonts w:ascii="宋体" w:hAnsi="宋体"/>
      <w:sz w:val="24"/>
      <w:szCs w:val="22"/>
    </w:rPr>
  </w:style>
  <w:style w:type="paragraph" w:customStyle="1" w:styleId="88">
    <w:name w:val="我的标题4"/>
    <w:basedOn w:val="78"/>
    <w:link w:val="87"/>
    <w:qFormat/>
    <w:uiPriority w:val="0"/>
    <w:pPr>
      <w:numPr>
        <w:ilvl w:val="0"/>
        <w:numId w:val="4"/>
      </w:numPr>
      <w:ind w:firstLine="0" w:firstLineChars="0"/>
      <w:outlineLvl w:val="3"/>
    </w:pPr>
    <w:rPr>
      <w:rFonts w:ascii="宋体" w:hAnsi="宋体"/>
      <w:sz w:val="24"/>
      <w:szCs w:val="22"/>
    </w:rPr>
  </w:style>
  <w:style w:type="character" w:customStyle="1" w:styleId="89">
    <w:name w:val="文档结构图 Char2"/>
    <w:qFormat/>
    <w:uiPriority w:val="0"/>
    <w:rPr>
      <w:rFonts w:ascii="宋体" w:hAnsi="Tahoma" w:eastAsia="宋体"/>
      <w:sz w:val="18"/>
      <w:szCs w:val="18"/>
    </w:rPr>
  </w:style>
  <w:style w:type="character" w:customStyle="1" w:styleId="90">
    <w:name w:val="页脚 Char Char"/>
    <w:qFormat/>
    <w:uiPriority w:val="0"/>
    <w:rPr>
      <w:kern w:val="2"/>
      <w:sz w:val="21"/>
      <w:szCs w:val="24"/>
    </w:rPr>
  </w:style>
  <w:style w:type="character" w:customStyle="1" w:styleId="91">
    <w:name w:val="正文文本 (2) + FangSong"/>
    <w:qFormat/>
    <w:uiPriority w:val="0"/>
    <w:rPr>
      <w:rFonts w:ascii="仿宋" w:eastAsia="仿宋" w:cs="仿宋"/>
      <w:sz w:val="38"/>
      <w:szCs w:val="38"/>
      <w:shd w:val="clear" w:color="auto" w:fill="FFFFFF"/>
      <w:lang w:val="en-US" w:eastAsia="en-US"/>
    </w:rPr>
  </w:style>
  <w:style w:type="character" w:customStyle="1" w:styleId="92">
    <w:name w:val="无间隔 Char Char"/>
    <w:qFormat/>
    <w:uiPriority w:val="0"/>
    <w:rPr>
      <w:rFonts w:eastAsia="宋体"/>
      <w:kern w:val="2"/>
      <w:sz w:val="21"/>
      <w:szCs w:val="32"/>
      <w:lang w:val="en-US" w:eastAsia="zh-CN" w:bidi="ar-SA"/>
    </w:rPr>
  </w:style>
  <w:style w:type="character" w:customStyle="1" w:styleId="93">
    <w:name w:val="批注框文本 Char Char"/>
    <w:qFormat/>
    <w:uiPriority w:val="0"/>
    <w:rPr>
      <w:kern w:val="2"/>
      <w:sz w:val="18"/>
      <w:szCs w:val="18"/>
    </w:rPr>
  </w:style>
  <w:style w:type="character" w:customStyle="1" w:styleId="94">
    <w:name w:val="表格内容 字符"/>
    <w:link w:val="95"/>
    <w:qFormat/>
    <w:uiPriority w:val="0"/>
    <w:rPr>
      <w:rFonts w:ascii="Times New Roman" w:hAnsi="Times New Roman" w:eastAsia="宋体"/>
      <w:bCs/>
      <w:sz w:val="16"/>
    </w:rPr>
  </w:style>
  <w:style w:type="paragraph" w:customStyle="1" w:styleId="95">
    <w:name w:val="表格内容"/>
    <w:basedOn w:val="1"/>
    <w:link w:val="94"/>
    <w:qFormat/>
    <w:uiPriority w:val="0"/>
    <w:pPr>
      <w:spacing w:beforeLines="25" w:afterLines="25" w:line="240" w:lineRule="exact"/>
      <w:jc w:val="center"/>
    </w:pPr>
    <w:rPr>
      <w:bCs/>
      <w:sz w:val="16"/>
      <w:szCs w:val="20"/>
    </w:rPr>
  </w:style>
  <w:style w:type="character" w:customStyle="1" w:styleId="96">
    <w:name w:val="_Style 95"/>
    <w:qFormat/>
    <w:uiPriority w:val="19"/>
    <w:rPr>
      <w:i/>
      <w:iCs/>
      <w:color w:val="404040"/>
    </w:rPr>
  </w:style>
  <w:style w:type="character" w:customStyle="1" w:styleId="97">
    <w:name w:val="日期 Char1"/>
    <w:semiHidden/>
    <w:qFormat/>
    <w:uiPriority w:val="99"/>
    <w:rPr>
      <w:rFonts w:ascii="Times New Roman" w:hAnsi="Times New Roman" w:eastAsia="宋体" w:cs="Times New Roman"/>
      <w:szCs w:val="24"/>
    </w:rPr>
  </w:style>
  <w:style w:type="character" w:customStyle="1" w:styleId="98">
    <w:name w:val="日期 Char"/>
    <w:qFormat/>
    <w:uiPriority w:val="0"/>
    <w:rPr>
      <w:kern w:val="2"/>
      <w:sz w:val="21"/>
      <w:szCs w:val="24"/>
    </w:rPr>
  </w:style>
  <w:style w:type="character" w:customStyle="1" w:styleId="99">
    <w:name w:val="正文文本 (3)_"/>
    <w:link w:val="100"/>
    <w:qFormat/>
    <w:uiPriority w:val="0"/>
    <w:rPr>
      <w:rFonts w:ascii="宋体" w:cs="宋体"/>
      <w:spacing w:val="210"/>
      <w:sz w:val="32"/>
      <w:szCs w:val="32"/>
      <w:shd w:val="clear" w:color="auto" w:fill="FFFFFF"/>
    </w:rPr>
  </w:style>
  <w:style w:type="paragraph" w:customStyle="1" w:styleId="100">
    <w:name w:val="正文文本 (3)"/>
    <w:basedOn w:val="1"/>
    <w:link w:val="99"/>
    <w:qFormat/>
    <w:uiPriority w:val="0"/>
    <w:pPr>
      <w:shd w:val="clear" w:color="auto" w:fill="FFFFFF"/>
      <w:adjustRightInd/>
      <w:snapToGrid/>
      <w:spacing w:before="720" w:after="420" w:line="240" w:lineRule="atLeast"/>
      <w:jc w:val="center"/>
    </w:pPr>
    <w:rPr>
      <w:rFonts w:ascii="宋体"/>
      <w:spacing w:val="210"/>
      <w:sz w:val="32"/>
      <w:szCs w:val="32"/>
      <w:shd w:val="clear" w:color="auto" w:fill="FFFFFF"/>
    </w:rPr>
  </w:style>
  <w:style w:type="character" w:customStyle="1" w:styleId="101">
    <w:name w:val="Char Char1"/>
    <w:qFormat/>
    <w:uiPriority w:val="0"/>
    <w:rPr>
      <w:rFonts w:eastAsia="宋体"/>
      <w:b/>
      <w:bCs/>
      <w:kern w:val="2"/>
      <w:sz w:val="32"/>
      <w:szCs w:val="32"/>
      <w:lang w:val="en-US" w:eastAsia="zh-CN" w:bidi="ar-SA"/>
    </w:rPr>
  </w:style>
  <w:style w:type="character" w:customStyle="1" w:styleId="102">
    <w:name w:val="页眉或页脚_"/>
    <w:link w:val="103"/>
    <w:qFormat/>
    <w:uiPriority w:val="0"/>
    <w:rPr>
      <w:i/>
      <w:iCs/>
      <w:spacing w:val="-10"/>
      <w:sz w:val="32"/>
      <w:szCs w:val="32"/>
      <w:shd w:val="clear" w:color="auto" w:fill="FFFFFF"/>
    </w:rPr>
  </w:style>
  <w:style w:type="paragraph" w:customStyle="1" w:styleId="103">
    <w:name w:val="页眉或页脚"/>
    <w:basedOn w:val="1"/>
    <w:link w:val="102"/>
    <w:qFormat/>
    <w:uiPriority w:val="0"/>
    <w:pPr>
      <w:shd w:val="clear" w:color="auto" w:fill="FFFFFF"/>
      <w:adjustRightInd/>
      <w:snapToGrid/>
      <w:spacing w:line="240" w:lineRule="atLeast"/>
      <w:jc w:val="left"/>
    </w:pPr>
    <w:rPr>
      <w:i/>
      <w:iCs/>
      <w:spacing w:val="-10"/>
      <w:sz w:val="32"/>
      <w:szCs w:val="32"/>
      <w:shd w:val="clear" w:color="auto" w:fill="FFFFFF"/>
    </w:rPr>
  </w:style>
  <w:style w:type="character" w:customStyle="1" w:styleId="104">
    <w:name w:val="文档结构图 Char"/>
    <w:qFormat/>
    <w:uiPriority w:val="0"/>
    <w:rPr>
      <w:kern w:val="2"/>
      <w:sz w:val="21"/>
      <w:szCs w:val="24"/>
      <w:shd w:val="clear" w:color="auto" w:fill="000080"/>
    </w:rPr>
  </w:style>
  <w:style w:type="character" w:customStyle="1" w:styleId="105">
    <w:name w:val="条文说明 字符"/>
    <w:link w:val="106"/>
    <w:qFormat/>
    <w:uiPriority w:val="0"/>
  </w:style>
  <w:style w:type="paragraph" w:customStyle="1" w:styleId="106">
    <w:name w:val="条文说明"/>
    <w:basedOn w:val="1"/>
    <w:link w:val="105"/>
    <w:qFormat/>
    <w:uiPriority w:val="0"/>
    <w:pPr>
      <w:ind w:firstLine="440" w:firstLineChars="200"/>
    </w:pPr>
    <w:rPr>
      <w:sz w:val="20"/>
      <w:szCs w:val="20"/>
    </w:rPr>
  </w:style>
  <w:style w:type="character" w:customStyle="1" w:styleId="107">
    <w:name w:val="标题 Char"/>
    <w:qFormat/>
    <w:uiPriority w:val="0"/>
    <w:rPr>
      <w:rFonts w:ascii="Calibri Light" w:hAnsi="Calibri Light"/>
      <w:b/>
      <w:bCs/>
      <w:kern w:val="2"/>
      <w:sz w:val="32"/>
      <w:szCs w:val="32"/>
    </w:rPr>
  </w:style>
  <w:style w:type="character" w:customStyle="1" w:styleId="108">
    <w:name w:val="标题 1 Char"/>
    <w:qFormat/>
    <w:uiPriority w:val="0"/>
    <w:rPr>
      <w:b/>
      <w:bCs/>
      <w:kern w:val="44"/>
      <w:sz w:val="44"/>
      <w:szCs w:val="44"/>
    </w:rPr>
  </w:style>
  <w:style w:type="character" w:customStyle="1" w:styleId="109">
    <w:name w:val="批注主题 Char2"/>
    <w:qFormat/>
    <w:uiPriority w:val="0"/>
    <w:rPr>
      <w:b/>
      <w:bCs/>
      <w:szCs w:val="24"/>
    </w:rPr>
  </w:style>
  <w:style w:type="character" w:customStyle="1" w:styleId="110">
    <w:name w:val="正文文本 (2) + Times New Roman1"/>
    <w:qFormat/>
    <w:uiPriority w:val="0"/>
    <w:rPr>
      <w:rFonts w:ascii="Times New Roman" w:hAnsi="Times New Roman" w:cs="Times New Roman"/>
      <w:sz w:val="40"/>
      <w:szCs w:val="40"/>
      <w:u w:val="none"/>
      <w:shd w:val="clear" w:color="auto" w:fill="FFFFFF"/>
    </w:rPr>
  </w:style>
  <w:style w:type="character" w:customStyle="1" w:styleId="111">
    <w:name w:val="条文说明2 字符"/>
    <w:link w:val="112"/>
    <w:qFormat/>
    <w:uiPriority w:val="0"/>
    <w:rPr>
      <w:u w:val="single"/>
    </w:rPr>
  </w:style>
  <w:style w:type="paragraph" w:customStyle="1" w:styleId="112">
    <w:name w:val="条文说明2"/>
    <w:basedOn w:val="106"/>
    <w:link w:val="111"/>
    <w:qFormat/>
    <w:uiPriority w:val="0"/>
    <w:pPr>
      <w:ind w:firstLine="0" w:firstLineChars="0"/>
    </w:pPr>
    <w:rPr>
      <w:u w:val="single"/>
    </w:rPr>
  </w:style>
  <w:style w:type="character" w:customStyle="1" w:styleId="113">
    <w:name w:val="日期 字符1"/>
    <w:semiHidden/>
    <w:qFormat/>
    <w:uiPriority w:val="99"/>
    <w:rPr>
      <w:rFonts w:ascii="Tahoma" w:hAnsi="Tahoma"/>
    </w:rPr>
  </w:style>
  <w:style w:type="character" w:customStyle="1" w:styleId="114">
    <w:name w:val="正文文本 (2) + 间距 5 pt"/>
    <w:qFormat/>
    <w:uiPriority w:val="0"/>
    <w:rPr>
      <w:rFonts w:ascii="黑体" w:eastAsia="黑体" w:cs="黑体"/>
      <w:spacing w:val="110"/>
      <w:sz w:val="34"/>
      <w:szCs w:val="34"/>
      <w:u w:val="none"/>
      <w:shd w:val="clear" w:color="auto" w:fill="FFFFFF"/>
    </w:rPr>
  </w:style>
  <w:style w:type="character" w:customStyle="1" w:styleId="115">
    <w:name w:val="标题 Char1"/>
    <w:qFormat/>
    <w:uiPriority w:val="10"/>
    <w:rPr>
      <w:rFonts w:ascii="Cambria" w:hAnsi="Cambria" w:eastAsia="宋体" w:cs="Times New Roman"/>
      <w:b/>
      <w:bCs/>
      <w:sz w:val="32"/>
      <w:szCs w:val="32"/>
    </w:rPr>
  </w:style>
  <w:style w:type="character" w:customStyle="1" w:styleId="116">
    <w:name w:val="标题 2 Char"/>
    <w:qFormat/>
    <w:uiPriority w:val="0"/>
    <w:rPr>
      <w:rFonts w:ascii="Arial" w:hAnsi="Arial" w:eastAsia="黑体"/>
      <w:b/>
      <w:bCs/>
      <w:kern w:val="2"/>
      <w:sz w:val="32"/>
      <w:szCs w:val="32"/>
    </w:rPr>
  </w:style>
  <w:style w:type="character" w:customStyle="1" w:styleId="117">
    <w:name w:val="页脚 Char"/>
    <w:qFormat/>
    <w:uiPriority w:val="99"/>
    <w:rPr>
      <w:lang w:eastAsia="zh-CN"/>
    </w:rPr>
  </w:style>
  <w:style w:type="character" w:customStyle="1" w:styleId="118">
    <w:name w:val="first-child"/>
    <w:qFormat/>
    <w:uiPriority w:val="0"/>
  </w:style>
  <w:style w:type="character" w:customStyle="1" w:styleId="119">
    <w:name w:val="检验项目 字符"/>
    <w:link w:val="120"/>
    <w:qFormat/>
    <w:uiPriority w:val="0"/>
    <w:rPr>
      <w:rFonts w:ascii="Times New Roman" w:hAnsi="Times New Roman" w:eastAsia="黑体" w:cs="Times New Roman"/>
      <w:sz w:val="24"/>
    </w:rPr>
  </w:style>
  <w:style w:type="paragraph" w:customStyle="1" w:styleId="120">
    <w:name w:val="检验项目"/>
    <w:basedOn w:val="1"/>
    <w:link w:val="119"/>
    <w:qFormat/>
    <w:uiPriority w:val="0"/>
    <w:pPr>
      <w:spacing w:afterLines="50"/>
      <w:jc w:val="center"/>
    </w:pPr>
    <w:rPr>
      <w:rFonts w:eastAsia="黑体"/>
      <w:sz w:val="24"/>
      <w:szCs w:val="20"/>
    </w:rPr>
  </w:style>
  <w:style w:type="character" w:customStyle="1" w:styleId="121">
    <w:name w:val="批注文字 Char"/>
    <w:qFormat/>
    <w:uiPriority w:val="0"/>
    <w:rPr>
      <w:kern w:val="2"/>
      <w:sz w:val="21"/>
      <w:szCs w:val="24"/>
    </w:rPr>
  </w:style>
  <w:style w:type="character" w:customStyle="1" w:styleId="122">
    <w:name w:val="子图名 字符"/>
    <w:link w:val="123"/>
    <w:qFormat/>
    <w:uiPriority w:val="0"/>
    <w:rPr>
      <w:rFonts w:ascii="Times New Roman" w:hAnsi="Times New Roman" w:eastAsia="宋体"/>
      <w:sz w:val="18"/>
      <w:szCs w:val="18"/>
    </w:rPr>
  </w:style>
  <w:style w:type="paragraph" w:customStyle="1" w:styleId="123">
    <w:name w:val="子图名"/>
    <w:basedOn w:val="71"/>
    <w:link w:val="122"/>
    <w:qFormat/>
    <w:uiPriority w:val="0"/>
    <w:pPr>
      <w:ind w:firstLine="2000" w:firstLineChars="1000"/>
      <w:jc w:val="left"/>
    </w:pPr>
    <w:rPr>
      <w:rFonts w:eastAsia="宋体"/>
      <w:szCs w:val="18"/>
    </w:rPr>
  </w:style>
  <w:style w:type="character" w:customStyle="1" w:styleId="124">
    <w:name w:val="标题 4 Char"/>
    <w:qFormat/>
    <w:uiPriority w:val="0"/>
    <w:rPr>
      <w:rFonts w:ascii="Calibri Light" w:hAnsi="Calibri Light"/>
      <w:b/>
      <w:bCs/>
      <w:kern w:val="2"/>
      <w:sz w:val="28"/>
      <w:szCs w:val="28"/>
    </w:rPr>
  </w:style>
  <w:style w:type="character" w:customStyle="1" w:styleId="125">
    <w:name w:val="layui-this"/>
    <w:qFormat/>
    <w:uiPriority w:val="0"/>
    <w:rPr>
      <w:bdr w:val="single" w:color="EEEEEE" w:sz="6" w:space="0"/>
      <w:shd w:val="clear" w:color="auto" w:fill="FFFFFF"/>
    </w:rPr>
  </w:style>
  <w:style w:type="character" w:customStyle="1" w:styleId="126">
    <w:name w:val="文档结构图 Char1"/>
    <w:semiHidden/>
    <w:qFormat/>
    <w:uiPriority w:val="99"/>
    <w:rPr>
      <w:rFonts w:ascii="Microsoft YaHei UI" w:hAnsi="Times New Roman" w:eastAsia="Microsoft YaHei UI" w:cs="Times New Roman"/>
      <w:sz w:val="18"/>
      <w:szCs w:val="18"/>
    </w:rPr>
  </w:style>
  <w:style w:type="character" w:customStyle="1" w:styleId="127">
    <w:name w:val="正文文本 (2) + Times New Roman"/>
    <w:qFormat/>
    <w:uiPriority w:val="0"/>
    <w:rPr>
      <w:rFonts w:ascii="Times New Roman" w:hAnsi="Times New Roman" w:cs="Times New Roman"/>
      <w:smallCaps/>
      <w:spacing w:val="20"/>
      <w:sz w:val="34"/>
      <w:szCs w:val="34"/>
      <w:u w:val="none"/>
      <w:shd w:val="clear" w:color="auto" w:fill="FFFFFF"/>
      <w:lang w:val="en-US" w:eastAsia="en-US"/>
    </w:rPr>
  </w:style>
  <w:style w:type="character" w:customStyle="1" w:styleId="128">
    <w:name w:val="正文文本缩进 Char Char"/>
    <w:qFormat/>
    <w:uiPriority w:val="0"/>
    <w:rPr>
      <w:rFonts w:ascii="宋体" w:hAnsi="宋体"/>
      <w:kern w:val="2"/>
      <w:sz w:val="28"/>
      <w:szCs w:val="24"/>
    </w:rPr>
  </w:style>
  <w:style w:type="character" w:customStyle="1" w:styleId="129">
    <w:name w:val="Char Char"/>
    <w:qFormat/>
    <w:uiPriority w:val="0"/>
    <w:rPr>
      <w:rFonts w:eastAsia="宋体"/>
      <w:b/>
      <w:bCs/>
      <w:kern w:val="2"/>
      <w:sz w:val="32"/>
      <w:szCs w:val="32"/>
      <w:lang w:val="en-US" w:eastAsia="zh-CN" w:bidi="ar-SA"/>
    </w:rPr>
  </w:style>
  <w:style w:type="character" w:customStyle="1" w:styleId="130">
    <w:name w:val="标题 2 Char Char"/>
    <w:qFormat/>
    <w:uiPriority w:val="0"/>
    <w:rPr>
      <w:rFonts w:ascii="Arial" w:hAnsi="Arial" w:eastAsia="黑体"/>
      <w:b/>
      <w:bCs/>
      <w:kern w:val="2"/>
      <w:sz w:val="32"/>
      <w:szCs w:val="32"/>
    </w:rPr>
  </w:style>
  <w:style w:type="character" w:customStyle="1" w:styleId="131">
    <w:name w:val="正文文本 (3) + FangSong"/>
    <w:qFormat/>
    <w:uiPriority w:val="0"/>
    <w:rPr>
      <w:rFonts w:ascii="仿宋" w:eastAsia="仿宋" w:cs="仿宋"/>
      <w:spacing w:val="0"/>
      <w:sz w:val="44"/>
      <w:szCs w:val="44"/>
      <w:shd w:val="clear" w:color="auto" w:fill="FFFFFF"/>
    </w:rPr>
  </w:style>
  <w:style w:type="character" w:customStyle="1" w:styleId="132">
    <w:name w:val="正文文本 (2) + 间距 2 pt"/>
    <w:qFormat/>
    <w:uiPriority w:val="0"/>
    <w:rPr>
      <w:rFonts w:ascii="宋体" w:cs="宋体"/>
      <w:spacing w:val="50"/>
      <w:sz w:val="34"/>
      <w:szCs w:val="34"/>
      <w:shd w:val="clear" w:color="auto" w:fill="FFFFFF"/>
    </w:rPr>
  </w:style>
  <w:style w:type="character" w:customStyle="1" w:styleId="133">
    <w:name w:val="批注主题 字符1"/>
    <w:semiHidden/>
    <w:qFormat/>
    <w:uiPriority w:val="99"/>
    <w:rPr>
      <w:rFonts w:ascii="Times New Roman" w:hAnsi="Times New Roman" w:eastAsia="宋体" w:cs="Times New Roman"/>
      <w:b/>
      <w:bCs/>
      <w:kern w:val="2"/>
      <w:sz w:val="21"/>
      <w:szCs w:val="24"/>
    </w:rPr>
  </w:style>
  <w:style w:type="character" w:customStyle="1" w:styleId="134">
    <w:name w:val="ordinary-span-edit2"/>
    <w:qFormat/>
    <w:uiPriority w:val="0"/>
  </w:style>
  <w:style w:type="character" w:customStyle="1" w:styleId="135">
    <w:name w:val="批注文字 字符1"/>
    <w:qFormat/>
    <w:locked/>
    <w:uiPriority w:val="99"/>
    <w:rPr>
      <w:rFonts w:ascii="Calibri" w:hAnsi="Calibri" w:eastAsia="宋体" w:cs="Times New Roman"/>
      <w:sz w:val="22"/>
      <w:szCs w:val="22"/>
      <w:lang w:eastAsia="en-US"/>
    </w:rPr>
  </w:style>
  <w:style w:type="character" w:customStyle="1" w:styleId="136">
    <w:name w:val="批注框文本 Char"/>
    <w:qFormat/>
    <w:uiPriority w:val="0"/>
    <w:rPr>
      <w:rFonts w:ascii="Tahoma" w:hAnsi="Tahoma"/>
      <w:sz w:val="18"/>
      <w:szCs w:val="18"/>
    </w:rPr>
  </w:style>
  <w:style w:type="character" w:customStyle="1" w:styleId="137">
    <w:name w:val="标题 1 Char1"/>
    <w:qFormat/>
    <w:uiPriority w:val="0"/>
    <w:rPr>
      <w:rFonts w:ascii="Times New Roman" w:hAnsi="Times New Roman" w:eastAsia="黑体"/>
      <w:b/>
      <w:bCs/>
      <w:kern w:val="44"/>
      <w:sz w:val="28"/>
      <w:szCs w:val="30"/>
    </w:rPr>
  </w:style>
  <w:style w:type="character" w:customStyle="1" w:styleId="138">
    <w:name w:val="标题 2 Char1"/>
    <w:qFormat/>
    <w:uiPriority w:val="0"/>
    <w:rPr>
      <w:rFonts w:ascii="Times New Roman" w:hAnsi="Times New Roman" w:eastAsia="黑体"/>
      <w:b/>
      <w:bCs/>
      <w:kern w:val="2"/>
      <w:sz w:val="24"/>
      <w:szCs w:val="28"/>
    </w:rPr>
  </w:style>
  <w:style w:type="character" w:customStyle="1" w:styleId="139">
    <w:name w:val="标题 3 Char2"/>
    <w:qFormat/>
    <w:uiPriority w:val="0"/>
    <w:rPr>
      <w:rFonts w:ascii="Times New Roman" w:hAnsi="Times New Roman" w:eastAsia="宋体"/>
      <w:bCs/>
      <w:kern w:val="2"/>
      <w:sz w:val="21"/>
      <w:szCs w:val="24"/>
    </w:rPr>
  </w:style>
  <w:style w:type="character" w:customStyle="1" w:styleId="140">
    <w:name w:val="页眉 Char"/>
    <w:qFormat/>
    <w:uiPriority w:val="0"/>
    <w:rPr>
      <w:rFonts w:ascii="Tahoma" w:hAnsi="Tahoma"/>
      <w:sz w:val="18"/>
      <w:szCs w:val="18"/>
    </w:rPr>
  </w:style>
  <w:style w:type="character" w:customStyle="1" w:styleId="141">
    <w:name w:val="页脚 Char1"/>
    <w:uiPriority w:val="99"/>
    <w:rPr>
      <w:rFonts w:ascii="Tahoma" w:hAnsi="Tahoma"/>
      <w:sz w:val="18"/>
      <w:szCs w:val="18"/>
    </w:rPr>
  </w:style>
  <w:style w:type="character" w:customStyle="1" w:styleId="142">
    <w:name w:val="题注 Char"/>
    <w:uiPriority w:val="35"/>
    <w:rPr>
      <w:rFonts w:ascii="Cambria" w:hAnsi="Cambria" w:eastAsia="黑体" w:cs="Times New Roman"/>
      <w:sz w:val="20"/>
      <w:szCs w:val="20"/>
    </w:rPr>
  </w:style>
  <w:style w:type="character" w:customStyle="1" w:styleId="143">
    <w:name w:val="标题 4 Char1"/>
    <w:uiPriority w:val="0"/>
    <w:rPr>
      <w:rFonts w:ascii="Times New Roman" w:hAnsi="Times New Roman" w:eastAsia="宋体"/>
      <w:sz w:val="21"/>
      <w:szCs w:val="24"/>
    </w:rPr>
  </w:style>
  <w:style w:type="character" w:customStyle="1" w:styleId="144">
    <w:name w:val="列出段落 Char"/>
    <w:uiPriority w:val="34"/>
    <w:rPr>
      <w:rFonts w:ascii="Tahoma" w:hAnsi="Tahoma"/>
    </w:rPr>
  </w:style>
  <w:style w:type="character" w:customStyle="1" w:styleId="145">
    <w:name w:val="标题 Char2"/>
    <w:uiPriority w:val="0"/>
    <w:rPr>
      <w:rFonts w:ascii="Calibri Light" w:hAnsi="Calibri Light"/>
      <w:b/>
      <w:bCs/>
      <w:sz w:val="32"/>
      <w:szCs w:val="32"/>
    </w:rPr>
  </w:style>
  <w:style w:type="character" w:customStyle="1" w:styleId="146">
    <w:name w:val="批注文字 Char1"/>
    <w:uiPriority w:val="0"/>
    <w:rPr>
      <w:rFonts w:ascii="Times New Roman" w:hAnsi="Times New Roman" w:eastAsia="宋体" w:cs="Times New Roman"/>
      <w:kern w:val="2"/>
      <w:sz w:val="21"/>
      <w:szCs w:val="24"/>
    </w:rPr>
  </w:style>
  <w:style w:type="paragraph" w:customStyle="1" w:styleId="147">
    <w:name w:val="正文图标题"/>
    <w:next w:val="1"/>
    <w:uiPriority w:val="0"/>
    <w:pPr>
      <w:numPr>
        <w:ilvl w:val="0"/>
        <w:numId w:val="5"/>
      </w:numPr>
      <w:spacing w:beforeLines="50" w:afterLines="50"/>
      <w:jc w:val="center"/>
    </w:pPr>
    <w:rPr>
      <w:rFonts w:ascii="黑体" w:hAnsi="Times New Roman" w:eastAsia="黑体" w:cs="Times New Roman"/>
      <w:sz w:val="21"/>
      <w:lang w:val="en-US" w:eastAsia="zh-CN" w:bidi="ar-SA"/>
    </w:rPr>
  </w:style>
  <w:style w:type="paragraph" w:styleId="148">
    <w:name w:val="No Spacing"/>
    <w:basedOn w:val="1"/>
    <w:qFormat/>
    <w:uiPriority w:val="0"/>
    <w:pPr>
      <w:snapToGrid/>
      <w:spacing w:line="360" w:lineRule="auto"/>
      <w:jc w:val="left"/>
    </w:pPr>
    <w:rPr>
      <w:kern w:val="2"/>
      <w:szCs w:val="32"/>
    </w:rPr>
  </w:style>
  <w:style w:type="paragraph" w:customStyle="1" w:styleId="149">
    <w:name w:val="_Style 148"/>
    <w:semiHidden/>
    <w:uiPriority w:val="99"/>
    <w:rPr>
      <w:rFonts w:ascii="Times New Roman" w:hAnsi="Times New Roman" w:eastAsia="宋体" w:cs="Times New Roman"/>
      <w:sz w:val="24"/>
      <w:szCs w:val="22"/>
      <w:lang w:val="en-US" w:eastAsia="zh-CN" w:bidi="ar-SA"/>
    </w:rPr>
  </w:style>
  <w:style w:type="paragraph" w:customStyle="1" w:styleId="150">
    <w:name w:val="标题4"/>
    <w:basedOn w:val="84"/>
    <w:uiPriority w:val="0"/>
    <w:pPr>
      <w:numPr>
        <w:ilvl w:val="0"/>
        <w:numId w:val="6"/>
      </w:numPr>
      <w:ind w:left="482" w:firstLine="360" w:firstLineChars="150"/>
      <w:outlineLvl w:val="3"/>
    </w:pPr>
  </w:style>
  <w:style w:type="paragraph" w:customStyle="1" w:styleId="151">
    <w:name w:val="_Style 150"/>
    <w:basedOn w:val="4"/>
    <w:next w:val="1"/>
    <w:qFormat/>
    <w:uiPriority w:val="39"/>
    <w:pPr>
      <w:widowControl/>
      <w:numPr>
        <w:ilvl w:val="0"/>
        <w:numId w:val="0"/>
      </w:numPr>
      <w:spacing w:before="240" w:line="259" w:lineRule="auto"/>
      <w:jc w:val="left"/>
      <w:outlineLvl w:val="9"/>
    </w:pPr>
    <w:rPr>
      <w:rFonts w:ascii="Calibri Light" w:hAnsi="Calibri Light" w:eastAsia="宋体"/>
      <w:b w:val="0"/>
      <w:bCs w:val="0"/>
      <w:color w:val="2E74B5"/>
      <w:kern w:val="0"/>
      <w:sz w:val="32"/>
      <w:szCs w:val="32"/>
    </w:rPr>
  </w:style>
  <w:style w:type="paragraph" w:customStyle="1" w:styleId="152">
    <w:name w:val="正文表标题"/>
    <w:next w:val="1"/>
    <w:uiPriority w:val="0"/>
    <w:pPr>
      <w:tabs>
        <w:tab w:val="left" w:pos="360"/>
      </w:tabs>
      <w:spacing w:beforeLines="50" w:afterLines="50"/>
      <w:jc w:val="center"/>
    </w:pPr>
    <w:rPr>
      <w:rFonts w:ascii="黑体" w:hAnsi="Times New Roman" w:eastAsia="黑体" w:cs="Times New Roman"/>
      <w:sz w:val="21"/>
      <w:lang w:val="en-US" w:eastAsia="zh-CN" w:bidi="ar-SA"/>
    </w:rPr>
  </w:style>
  <w:style w:type="character" w:customStyle="1" w:styleId="153">
    <w:name w:val="_Style 152"/>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72.emf"/><Relationship Id="rId91" Type="http://schemas.openxmlformats.org/officeDocument/2006/relationships/image" Target="media/image71.png"/><Relationship Id="rId90" Type="http://schemas.openxmlformats.org/officeDocument/2006/relationships/image" Target="media/image70.emf"/><Relationship Id="rId9" Type="http://schemas.openxmlformats.org/officeDocument/2006/relationships/header" Target="header1.xml"/><Relationship Id="rId89" Type="http://schemas.openxmlformats.org/officeDocument/2006/relationships/image" Target="media/image69.png"/><Relationship Id="rId88" Type="http://schemas.openxmlformats.org/officeDocument/2006/relationships/image" Target="media/image68.png"/><Relationship Id="rId87" Type="http://schemas.openxmlformats.org/officeDocument/2006/relationships/image" Target="media/image67.png"/><Relationship Id="rId86" Type="http://schemas.openxmlformats.org/officeDocument/2006/relationships/image" Target="media/image66.png"/><Relationship Id="rId85" Type="http://schemas.openxmlformats.org/officeDocument/2006/relationships/image" Target="media/image65.png"/><Relationship Id="rId84" Type="http://schemas.openxmlformats.org/officeDocument/2006/relationships/image" Target="media/image64.png"/><Relationship Id="rId83" Type="http://schemas.openxmlformats.org/officeDocument/2006/relationships/image" Target="media/image63.png"/><Relationship Id="rId82" Type="http://schemas.openxmlformats.org/officeDocument/2006/relationships/image" Target="media/image62.png"/><Relationship Id="rId81" Type="http://schemas.openxmlformats.org/officeDocument/2006/relationships/image" Target="media/image61.png"/><Relationship Id="rId80" Type="http://schemas.openxmlformats.org/officeDocument/2006/relationships/image" Target="media/image60.png"/><Relationship Id="rId8" Type="http://schemas.openxmlformats.org/officeDocument/2006/relationships/footer" Target="footer4.xml"/><Relationship Id="rId79" Type="http://schemas.openxmlformats.org/officeDocument/2006/relationships/image" Target="media/image59.png"/><Relationship Id="rId78" Type="http://schemas.openxmlformats.org/officeDocument/2006/relationships/image" Target="media/image58.png"/><Relationship Id="rId77" Type="http://schemas.openxmlformats.org/officeDocument/2006/relationships/image" Target="media/image57.png"/><Relationship Id="rId76" Type="http://schemas.openxmlformats.org/officeDocument/2006/relationships/image" Target="media/image56.png"/><Relationship Id="rId75" Type="http://schemas.openxmlformats.org/officeDocument/2006/relationships/image" Target="media/image55.png"/><Relationship Id="rId74" Type="http://schemas.openxmlformats.org/officeDocument/2006/relationships/image" Target="media/image54.png"/><Relationship Id="rId73" Type="http://schemas.openxmlformats.org/officeDocument/2006/relationships/image" Target="media/image53.png"/><Relationship Id="rId72" Type="http://schemas.openxmlformats.org/officeDocument/2006/relationships/image" Target="media/image52.png"/><Relationship Id="rId71" Type="http://schemas.openxmlformats.org/officeDocument/2006/relationships/image" Target="media/image51.png"/><Relationship Id="rId70" Type="http://schemas.openxmlformats.org/officeDocument/2006/relationships/image" Target="media/image50.png"/><Relationship Id="rId7" Type="http://schemas.openxmlformats.org/officeDocument/2006/relationships/footer" Target="footer3.xml"/><Relationship Id="rId69" Type="http://schemas.openxmlformats.org/officeDocument/2006/relationships/image" Target="media/image49.png"/><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png"/><Relationship Id="rId64" Type="http://schemas.openxmlformats.org/officeDocument/2006/relationships/image" Target="media/image44.pn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wmf"/><Relationship Id="rId6" Type="http://schemas.openxmlformats.org/officeDocument/2006/relationships/footer" Target="footer2.xml"/><Relationship Id="rId59" Type="http://schemas.openxmlformats.org/officeDocument/2006/relationships/image" Target="media/image39.wmf"/><Relationship Id="rId58" Type="http://schemas.openxmlformats.org/officeDocument/2006/relationships/image" Target="media/image38.wmf"/><Relationship Id="rId57" Type="http://schemas.openxmlformats.org/officeDocument/2006/relationships/image" Target="media/image37.wmf"/><Relationship Id="rId56" Type="http://schemas.openxmlformats.org/officeDocument/2006/relationships/image" Target="media/image36.wmf"/><Relationship Id="rId55" Type="http://schemas.openxmlformats.org/officeDocument/2006/relationships/image" Target="media/image35.wmf"/><Relationship Id="rId54" Type="http://schemas.openxmlformats.org/officeDocument/2006/relationships/oleObject" Target="embeddings/oleObject2.bin"/><Relationship Id="rId53" Type="http://schemas.openxmlformats.org/officeDocument/2006/relationships/image" Target="media/image34.wmf"/><Relationship Id="rId52" Type="http://schemas.openxmlformats.org/officeDocument/2006/relationships/image" Target="media/image33.wmf"/><Relationship Id="rId51" Type="http://schemas.openxmlformats.org/officeDocument/2006/relationships/image" Target="media/image32.wmf"/><Relationship Id="rId50" Type="http://schemas.openxmlformats.org/officeDocument/2006/relationships/image" Target="media/image31.wmf"/><Relationship Id="rId5" Type="http://schemas.openxmlformats.org/officeDocument/2006/relationships/footer" Target="footer1.xml"/><Relationship Id="rId49" Type="http://schemas.openxmlformats.org/officeDocument/2006/relationships/image" Target="media/image30.wmf"/><Relationship Id="rId48" Type="http://schemas.openxmlformats.org/officeDocument/2006/relationships/image" Target="media/image29.wmf"/><Relationship Id="rId47" Type="http://schemas.openxmlformats.org/officeDocument/2006/relationships/image" Target="media/image28.wmf"/><Relationship Id="rId46" Type="http://schemas.openxmlformats.org/officeDocument/2006/relationships/image" Target="media/image27.wmf"/><Relationship Id="rId45" Type="http://schemas.openxmlformats.org/officeDocument/2006/relationships/image" Target="media/image26.wmf"/><Relationship Id="rId44" Type="http://schemas.openxmlformats.org/officeDocument/2006/relationships/image" Target="media/image25.wmf"/><Relationship Id="rId43" Type="http://schemas.openxmlformats.org/officeDocument/2006/relationships/image" Target="media/image24.wmf"/><Relationship Id="rId42" Type="http://schemas.openxmlformats.org/officeDocument/2006/relationships/oleObject" Target="embeddings/oleObject1.bin"/><Relationship Id="rId41" Type="http://schemas.openxmlformats.org/officeDocument/2006/relationships/image" Target="media/image23.wmf"/><Relationship Id="rId40" Type="http://schemas.openxmlformats.org/officeDocument/2006/relationships/image" Target="media/image22.wmf"/><Relationship Id="rId4" Type="http://schemas.openxmlformats.org/officeDocument/2006/relationships/endnotes" Target="endnotes.xml"/><Relationship Id="rId39" Type="http://schemas.openxmlformats.org/officeDocument/2006/relationships/image" Target="media/image21.wmf"/><Relationship Id="rId38" Type="http://schemas.openxmlformats.org/officeDocument/2006/relationships/image" Target="media/image20.wmf"/><Relationship Id="rId37" Type="http://schemas.openxmlformats.org/officeDocument/2006/relationships/image" Target="media/image19.wmf"/><Relationship Id="rId36" Type="http://schemas.openxmlformats.org/officeDocument/2006/relationships/image" Target="media/image18.wmf"/><Relationship Id="rId35" Type="http://schemas.openxmlformats.org/officeDocument/2006/relationships/image" Target="media/image17.wmf"/><Relationship Id="rId34" Type="http://schemas.openxmlformats.org/officeDocument/2006/relationships/image" Target="media/image16.wmf"/><Relationship Id="rId33" Type="http://schemas.openxmlformats.org/officeDocument/2006/relationships/image" Target="media/image15.png"/><Relationship Id="rId32" Type="http://schemas.openxmlformats.org/officeDocument/2006/relationships/image" Target="media/image14.wmf"/><Relationship Id="rId31" Type="http://schemas.openxmlformats.org/officeDocument/2006/relationships/image" Target="media/image13.wmf"/><Relationship Id="rId30" Type="http://schemas.openxmlformats.org/officeDocument/2006/relationships/image" Target="media/image12.wmf"/><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image" Target="media/image10.wmf"/><Relationship Id="rId27" Type="http://schemas.openxmlformats.org/officeDocument/2006/relationships/image" Target="media/image9.wmf"/><Relationship Id="rId26" Type="http://schemas.openxmlformats.org/officeDocument/2006/relationships/image" Target="media/image8.wmf"/><Relationship Id="rId25" Type="http://schemas.openxmlformats.org/officeDocument/2006/relationships/image" Target="media/image7.wmf"/><Relationship Id="rId24" Type="http://schemas.openxmlformats.org/officeDocument/2006/relationships/image" Target="media/image6.wmf"/><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3.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144</Pages>
  <Words>8945</Words>
  <Characters>10700</Characters>
  <Lines>527</Lines>
  <Paragraphs>148</Paragraphs>
  <TotalTime>10</TotalTime>
  <ScaleCrop>false</ScaleCrop>
  <LinksUpToDate>false</LinksUpToDate>
  <CharactersWithSpaces>11188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2021-12-30T01:50:00Z</dcterms:created>
  <dc:creator>liu bin</dc:creator>
  <cp:lastModifiedBy>陌</cp:lastModifiedBy>
  <cp:lastPrinted>2021-01-31T02:34:00Z</cp:lastPrinted>
  <dcterms:modified xsi:type="dcterms:W3CDTF">2025-01-20T09:23:19Z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7D4DFB0C25E64B8F8EEC0EA33950D1C4_13</vt:lpwstr>
  </property>
  <property fmtid="{D5CDD505-2E9C-101B-9397-08002B2CF9AE}" pid="4" name="KSOTemplateDocerSaveRecord">
    <vt:lpwstr>eyJoZGlkIjoiYmNhZDU5Nzc0MWRjZjgzYTk5MjI0N2JhZjg4OWRhMWIiLCJ1c2VySWQiOiIxMjA5OTQ0MDAwIn0=</vt:lpwstr>
  </property>
</Properties>
</file>