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17D608">
      <w:pPr>
        <w:tabs>
          <w:tab w:val="left" w:pos="3208"/>
          <w:tab w:val="left" w:pos="6007"/>
          <w:tab w:val="left" w:pos="8805"/>
        </w:tabs>
        <w:rPr>
          <w:rFonts w:ascii="Times New Roman" w:hAnsi="Times New Roman" w:cs="Times New Roman"/>
          <w:color w:val="000000" w:themeColor="text1"/>
          <w:sz w:val="24"/>
          <w:szCs w:val="36"/>
          <w14:textFill>
            <w14:solidFill>
              <w14:schemeClr w14:val="tx1"/>
            </w14:solidFill>
          </w14:textFill>
        </w:rPr>
      </w:pPr>
      <w:bookmarkStart w:id="0" w:name="_Toc25592928"/>
      <w:bookmarkStart w:id="1" w:name="_Toc33659847"/>
      <w:bookmarkStart w:id="2" w:name="_Toc32652949"/>
      <w:bookmarkStart w:id="3" w:name="_Toc1408"/>
      <w:bookmarkStart w:id="4" w:name="_Toc22958"/>
      <w:bookmarkStart w:id="5" w:name="_Toc9758"/>
      <w:bookmarkStart w:id="6" w:name="_Toc33537580"/>
      <w:bookmarkStart w:id="7" w:name="_Toc32485509"/>
      <w:bookmarkStart w:id="8" w:name="_Toc32501021"/>
      <w:bookmarkStart w:id="9" w:name="_Toc33655899"/>
    </w:p>
    <w:p w14:paraId="1F7AC188">
      <w:pPr>
        <w:tabs>
          <w:tab w:val="left" w:pos="2835"/>
          <w:tab w:val="left" w:pos="5670"/>
          <w:tab w:val="left" w:pos="8505"/>
        </w:tabs>
        <w:rPr>
          <w:rFonts w:ascii="Times New Roman" w:hAnsi="Times New Roman" w:cs="Times New Roman"/>
          <w:color w:val="000000" w:themeColor="text1"/>
          <w:sz w:val="58"/>
          <w14:textFill>
            <w14:solidFill>
              <w14:schemeClr w14:val="tx1"/>
            </w14:solidFill>
          </w14:textFill>
        </w:rPr>
      </w:pPr>
      <w:r>
        <w:rPr>
          <w:rFonts w:hint="eastAsia" w:ascii="Times New Roman" w:hAnsi="Times New Roman" w:cs="Times New Roman"/>
          <w:color w:val="000000" w:themeColor="text1"/>
          <w:w w:val="130"/>
          <w:sz w:val="58"/>
          <w14:textFill>
            <w14:solidFill>
              <w14:schemeClr w14:val="tx1"/>
            </w14:solidFill>
          </w14:textFill>
        </w:rPr>
        <w:t>广东省</w:t>
      </w:r>
      <w:r>
        <w:rPr>
          <w:rFonts w:ascii="Times New Roman" w:hAnsi="Times New Roman" w:cs="Times New Roman"/>
          <w:color w:val="000000" w:themeColor="text1"/>
          <w:w w:val="130"/>
          <w:sz w:val="58"/>
          <w14:textFill>
            <w14:solidFill>
              <w14:schemeClr w14:val="tx1"/>
            </w14:solidFill>
          </w14:textFill>
        </w:rPr>
        <w:t>标准</w:t>
      </w:r>
      <w:r>
        <w:rPr>
          <w:rFonts w:hint="eastAsia" w:ascii="Times New Roman" w:hAnsi="Times New Roman" w:cs="Times New Roman"/>
          <w:color w:val="000000" w:themeColor="text1"/>
          <w:w w:val="130"/>
          <w:sz w:val="58"/>
          <w14:textFill>
            <w14:solidFill>
              <w14:schemeClr w14:val="tx1"/>
            </w14:solidFill>
          </w14:textFill>
        </w:rPr>
        <w:t xml:space="preserve">        GD</w:t>
      </w:r>
    </w:p>
    <w:p w14:paraId="435F42F7">
      <w:pPr>
        <w:pStyle w:val="36"/>
        <w:framePr w:wrap="around"/>
        <w:tabs>
          <w:tab w:val="left" w:pos="6521"/>
        </w:tabs>
        <w:ind w:right="279"/>
        <w:rPr>
          <w:rFonts w:ascii="Times New Roman"/>
          <w:color w:val="000000" w:themeColor="text1"/>
          <w14:textFill>
            <w14:solidFill>
              <w14:schemeClr w14:val="tx1"/>
            </w14:solidFill>
          </w14:textFill>
        </w:rPr>
      </w:pPr>
      <w:r>
        <w:rPr>
          <w:rFonts w:hint="eastAsia" w:ascii="Times New Roman"/>
          <w:b/>
          <w:color w:val="000000" w:themeColor="text1"/>
          <w14:textFill>
            <w14:solidFill>
              <w14:schemeClr w14:val="tx1"/>
            </w14:solidFill>
          </w14:textFill>
        </w:rPr>
        <w:t>DBJ/T xx</w:t>
      </w:r>
      <w:r>
        <w:rPr>
          <w:rFonts w:ascii="Times New Roman"/>
          <w:b/>
          <w:color w:val="000000" w:themeColor="text1"/>
          <w14:textFill>
            <w14:solidFill>
              <w14:schemeClr w14:val="tx1"/>
            </w14:solidFill>
          </w14:textFill>
        </w:rPr>
        <w:t>-2023</w:t>
      </w:r>
    </w:p>
    <w:p w14:paraId="3898DF4A">
      <w:pPr>
        <w:pStyle w:val="6"/>
        <w:spacing w:before="11"/>
        <w:rPr>
          <w:color w:val="000000" w:themeColor="text1"/>
          <w:sz w:val="18"/>
          <w14:textFill>
            <w14:solidFill>
              <w14:schemeClr w14:val="tx1"/>
            </w14:solidFill>
          </w14:textFill>
        </w:rPr>
      </w:pPr>
      <w:r>
        <w:rPr>
          <w:color w:val="000000" w:themeColor="text1"/>
          <w:sz w:val="19"/>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page">
                  <wp:posOffset>733425</wp:posOffset>
                </wp:positionH>
                <wp:positionV relativeFrom="paragraph">
                  <wp:posOffset>168275</wp:posOffset>
                </wp:positionV>
                <wp:extent cx="6109970" cy="0"/>
                <wp:effectExtent l="9525" t="6985" r="5080" b="12065"/>
                <wp:wrapTopAndBottom/>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09970" cy="0"/>
                        </a:xfrm>
                        <a:prstGeom prst="line">
                          <a:avLst/>
                        </a:prstGeom>
                        <a:noFill/>
                        <a:ln w="9703">
                          <a:solidFill>
                            <a:srgbClr val="231F20"/>
                          </a:solidFill>
                          <a:round/>
                        </a:ln>
                      </wps:spPr>
                      <wps:bodyPr/>
                    </wps:wsp>
                  </a:graphicData>
                </a:graphic>
              </wp:anchor>
            </w:drawing>
          </mc:Choice>
          <mc:Fallback>
            <w:pict>
              <v:line id="_x0000_s1026" o:spid="_x0000_s1026" o:spt="20" style="position:absolute;left:0pt;margin-left:57.75pt;margin-top:13.25pt;height:0pt;width:481.1pt;mso-position-horizontal-relative:page;mso-wrap-distance-bottom:0pt;mso-wrap-distance-top:0pt;z-index:251659264;mso-width-relative:page;mso-height-relative:page;" filled="f" stroked="t" coordsize="21600,21600" o:gfxdata="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WNcEqdUAAAAK&#10;AQAADwAAAAAAAAABACAAAAAiAAAAZHJzL2Rvd25yZXYueG1sUEsBAhQAFAAAAAgAh07iQOAK/fjm&#10;AQAAqgMAAA4AAAAAAAAAAQAgAAAAJAEAAGRycy9lMm9Eb2MueG1sUEsFBgAAAAAGAAYAWQEAAHwF&#10;AAAAAA==&#10;">
                <v:fill on="f" focussize="0,0"/>
                <v:stroke weight="0.764015748031496pt" color="#231F20" joinstyle="round"/>
                <v:imagedata o:title=""/>
                <o:lock v:ext="edit" aspectratio="f"/>
                <w10:wrap type="topAndBottom"/>
              </v:line>
            </w:pict>
          </mc:Fallback>
        </mc:AlternateContent>
      </w:r>
    </w:p>
    <w:p w14:paraId="5BBAE064">
      <w:pPr>
        <w:pStyle w:val="6"/>
        <w:rPr>
          <w:color w:val="000000" w:themeColor="text1"/>
          <w:sz w:val="20"/>
          <w14:textFill>
            <w14:solidFill>
              <w14:schemeClr w14:val="tx1"/>
            </w14:solidFill>
          </w14:textFill>
        </w:rPr>
      </w:pPr>
    </w:p>
    <w:p w14:paraId="2B3F333F">
      <w:pPr>
        <w:pStyle w:val="6"/>
        <w:rPr>
          <w:color w:val="000000" w:themeColor="text1"/>
          <w:sz w:val="20"/>
          <w14:textFill>
            <w14:solidFill>
              <w14:schemeClr w14:val="tx1"/>
            </w14:solidFill>
          </w14:textFill>
        </w:rPr>
      </w:pPr>
    </w:p>
    <w:p w14:paraId="329DC656">
      <w:pPr>
        <w:pStyle w:val="6"/>
        <w:rPr>
          <w:color w:val="000000" w:themeColor="text1"/>
          <w:sz w:val="20"/>
          <w14:textFill>
            <w14:solidFill>
              <w14:schemeClr w14:val="tx1"/>
            </w14:solidFill>
          </w14:textFill>
        </w:rPr>
      </w:pPr>
    </w:p>
    <w:p w14:paraId="69CEB1E6">
      <w:pPr>
        <w:pStyle w:val="6"/>
        <w:spacing w:before="8"/>
        <w:rPr>
          <w:color w:val="000000" w:themeColor="text1"/>
          <w:sz w:val="17"/>
          <w14:textFill>
            <w14:solidFill>
              <w14:schemeClr w14:val="tx1"/>
            </w14:solidFill>
          </w14:textFill>
        </w:rPr>
      </w:pPr>
    </w:p>
    <w:p w14:paraId="398BAA88">
      <w:pPr>
        <w:pStyle w:val="33"/>
        <w:framePr w:w="0" w:hRule="auto" w:wrap="auto" w:vAnchor="margin" w:hAnchor="text" w:xAlign="left" w:yAlign="inline"/>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工程泥浆原地处理</w:t>
      </w:r>
      <w:r>
        <w:rPr>
          <w:rFonts w:hint="eastAsia" w:ascii="Times New Roman"/>
          <w:color w:val="000000" w:themeColor="text1"/>
          <w14:textFill>
            <w14:solidFill>
              <w14:schemeClr w14:val="tx1"/>
            </w14:solidFill>
          </w14:textFill>
        </w:rPr>
        <w:t>和资源化利用</w:t>
      </w:r>
    </w:p>
    <w:p w14:paraId="3E1A056A">
      <w:pPr>
        <w:pStyle w:val="33"/>
        <w:framePr w:w="0" w:hRule="auto" w:wrap="auto" w:vAnchor="margin" w:hAnchor="text" w:xAlign="left" w:yAlign="inline"/>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技术</w:t>
      </w:r>
      <w:r>
        <w:rPr>
          <w:rFonts w:hint="eastAsia" w:ascii="Times New Roman"/>
          <w:color w:val="000000" w:themeColor="text1"/>
          <w:szCs w:val="21"/>
          <w14:textFill>
            <w14:solidFill>
              <w14:schemeClr w14:val="tx1"/>
            </w14:solidFill>
          </w14:textFill>
        </w:rPr>
        <w:t>标准</w:t>
      </w:r>
    </w:p>
    <w:p w14:paraId="074E7D77">
      <w:pPr>
        <w:spacing w:before="371"/>
        <w:ind w:right="897"/>
        <w:jc w:val="center"/>
        <w:rPr>
          <w:rFonts w:ascii="Times New Roman" w:hAnsi="Times New Roman" w:cs="Times New Roman"/>
          <w:strike/>
          <w:color w:val="000000" w:themeColor="text1"/>
          <w:sz w:val="30"/>
          <w:szCs w:val="30"/>
          <w14:textFill>
            <w14:solidFill>
              <w14:schemeClr w14:val="tx1"/>
            </w14:solidFill>
          </w14:textFill>
        </w:rPr>
      </w:pPr>
      <w:r>
        <w:rPr>
          <w:rFonts w:ascii="Times New Roman" w:hAnsi="Times New Roman" w:cs="Times New Roman"/>
          <w:color w:val="000000" w:themeColor="text1"/>
          <w:sz w:val="30"/>
          <w:szCs w:val="30"/>
          <w14:textFill>
            <w14:solidFill>
              <w14:schemeClr w14:val="tx1"/>
            </w14:solidFill>
          </w14:textFill>
        </w:rPr>
        <w:t xml:space="preserve"> </w:t>
      </w:r>
    </w:p>
    <w:p w14:paraId="692FFC6B">
      <w:pPr>
        <w:spacing w:before="371"/>
        <w:ind w:left="3300" w:right="897" w:hanging="3300" w:hangingChars="1100"/>
        <w:jc w:val="left"/>
        <w:rPr>
          <w:rFonts w:ascii="Times New Roman" w:hAnsi="Times New Roman" w:cs="Times New Roman"/>
          <w:color w:val="000000" w:themeColor="text1"/>
          <w:sz w:val="30"/>
          <w:szCs w:val="30"/>
          <w14:textFill>
            <w14:solidFill>
              <w14:schemeClr w14:val="tx1"/>
            </w14:solidFill>
          </w14:textFill>
        </w:rPr>
      </w:pPr>
      <w:r>
        <w:rPr>
          <w:rFonts w:hint="eastAsia" w:ascii="Times New Roman" w:hAnsi="Times New Roman" w:cs="Times New Roman"/>
          <w:color w:val="000000" w:themeColor="text1"/>
          <w:sz w:val="30"/>
          <w:szCs w:val="30"/>
          <w14:textFill>
            <w14:solidFill>
              <w14:schemeClr w14:val="tx1"/>
            </w14:solidFill>
          </w14:textFill>
        </w:rPr>
        <w:t xml:space="preserve">         Technical code for in-situ harmless treatment and</w:t>
      </w:r>
    </w:p>
    <w:p w14:paraId="70F38BEE">
      <w:pPr>
        <w:spacing w:before="371"/>
        <w:ind w:right="897" w:firstLine="2100" w:firstLineChars="700"/>
        <w:jc w:val="left"/>
        <w:rPr>
          <w:rFonts w:ascii="Times New Roman" w:hAnsi="Times New Roman" w:cs="Times New Roman"/>
          <w:color w:val="000000" w:themeColor="text1"/>
          <w:sz w:val="30"/>
          <w:szCs w:val="30"/>
          <w14:textFill>
            <w14:solidFill>
              <w14:schemeClr w14:val="tx1"/>
            </w14:solidFill>
          </w14:textFill>
        </w:rPr>
      </w:pPr>
      <w:r>
        <w:rPr>
          <w:rFonts w:hint="eastAsia" w:ascii="Times New Roman" w:hAnsi="Times New Roman" w:cs="Times New Roman"/>
          <w:color w:val="000000" w:themeColor="text1"/>
          <w:sz w:val="30"/>
          <w:szCs w:val="30"/>
          <w14:textFill>
            <w14:solidFill>
              <w14:schemeClr w14:val="tx1"/>
            </w14:solidFill>
          </w14:textFill>
        </w:rPr>
        <w:t>resource utilization of engineering mud</w:t>
      </w:r>
    </w:p>
    <w:p w14:paraId="4A4C1B5A">
      <w:pPr>
        <w:spacing w:before="371"/>
        <w:ind w:right="897"/>
        <w:jc w:val="center"/>
        <w:rPr>
          <w:rFonts w:ascii="Times New Roman" w:hAnsi="Times New Roman" w:cs="Times New Roman"/>
          <w:color w:val="000000" w:themeColor="text1"/>
          <w:sz w:val="30"/>
          <w:szCs w:val="30"/>
          <w14:textFill>
            <w14:solidFill>
              <w14:schemeClr w14:val="tx1"/>
            </w14:solidFill>
          </w14:textFill>
        </w:rPr>
      </w:pPr>
      <w:r>
        <w:rPr>
          <w:rFonts w:ascii="Times New Roman" w:hAnsi="Times New Roman" w:cs="Times New Roman"/>
          <w:color w:val="000000" w:themeColor="text1"/>
          <w:sz w:val="30"/>
          <w:szCs w:val="30"/>
          <w14:textFill>
            <w14:solidFill>
              <w14:schemeClr w14:val="tx1"/>
            </w14:solidFill>
          </w14:textFill>
        </w:rPr>
        <w:t xml:space="preserve"> </w:t>
      </w:r>
      <w:r>
        <w:rPr>
          <w:rFonts w:hint="eastAsia" w:ascii="Times New Roman" w:hAnsi="Times New Roman" w:cs="Times New Roman"/>
          <w:color w:val="000000" w:themeColor="text1"/>
          <w:sz w:val="30"/>
          <w:szCs w:val="30"/>
          <w14:textFill>
            <w14:solidFill>
              <w14:schemeClr w14:val="tx1"/>
            </w14:solidFill>
          </w14:textFill>
        </w:rPr>
        <w:t xml:space="preserve">   </w:t>
      </w:r>
      <w:r>
        <w:rPr>
          <w:rFonts w:ascii="Times New Roman" w:hAnsi="Times New Roman" w:cs="Times New Roman"/>
          <w:color w:val="000000" w:themeColor="text1"/>
          <w:sz w:val="30"/>
          <w:szCs w:val="30"/>
          <w14:textFill>
            <w14:solidFill>
              <w14:schemeClr w14:val="tx1"/>
            </w14:solidFill>
          </w14:textFill>
        </w:rPr>
        <w:t xml:space="preserve">  （</w:t>
      </w:r>
      <w:r>
        <w:rPr>
          <w:rFonts w:hint="eastAsia" w:ascii="Times New Roman" w:hAnsi="Times New Roman" w:cs="Times New Roman"/>
          <w:color w:val="000000" w:themeColor="text1"/>
          <w:sz w:val="30"/>
          <w:szCs w:val="30"/>
          <w:lang w:val="en-US" w:eastAsia="zh-CN"/>
          <w14:textFill>
            <w14:solidFill>
              <w14:schemeClr w14:val="tx1"/>
            </w14:solidFill>
          </w14:textFill>
        </w:rPr>
        <w:t>送审稿</w:t>
      </w:r>
      <w:r>
        <w:rPr>
          <w:rFonts w:ascii="Times New Roman" w:hAnsi="Times New Roman" w:cs="Times New Roman"/>
          <w:color w:val="000000" w:themeColor="text1"/>
          <w:sz w:val="30"/>
          <w:szCs w:val="30"/>
          <w14:textFill>
            <w14:solidFill>
              <w14:schemeClr w14:val="tx1"/>
            </w14:solidFill>
          </w14:textFill>
        </w:rPr>
        <w:t>）</w:t>
      </w:r>
    </w:p>
    <w:p w14:paraId="64C22921">
      <w:pPr>
        <w:pStyle w:val="6"/>
        <w:rPr>
          <w:color w:val="000000" w:themeColor="text1"/>
          <w:sz w:val="44"/>
          <w14:textFill>
            <w14:solidFill>
              <w14:schemeClr w14:val="tx1"/>
            </w14:solidFill>
          </w14:textFill>
        </w:rPr>
      </w:pPr>
    </w:p>
    <w:p w14:paraId="07B0C43D">
      <w:pPr>
        <w:pStyle w:val="6"/>
        <w:spacing w:before="10"/>
        <w:rPr>
          <w:color w:val="000000" w:themeColor="text1"/>
          <w:sz w:val="53"/>
          <w14:textFill>
            <w14:solidFill>
              <w14:schemeClr w14:val="tx1"/>
            </w14:solidFill>
          </w14:textFill>
        </w:rPr>
      </w:pPr>
    </w:p>
    <w:p w14:paraId="23650532">
      <w:pPr>
        <w:pStyle w:val="6"/>
        <w:spacing w:before="10"/>
        <w:rPr>
          <w:color w:val="000000" w:themeColor="text1"/>
          <w:sz w:val="53"/>
          <w14:textFill>
            <w14:solidFill>
              <w14:schemeClr w14:val="tx1"/>
            </w14:solidFill>
          </w14:textFill>
        </w:rPr>
      </w:pPr>
    </w:p>
    <w:p w14:paraId="75850901">
      <w:pPr>
        <w:pStyle w:val="6"/>
        <w:spacing w:before="10"/>
        <w:rPr>
          <w:color w:val="000000" w:themeColor="text1"/>
          <w:sz w:val="53"/>
          <w14:textFill>
            <w14:solidFill>
              <w14:schemeClr w14:val="tx1"/>
            </w14:solidFill>
          </w14:textFill>
        </w:rPr>
      </w:pPr>
      <w:r>
        <w:rPr>
          <w:color w:val="000000" w:themeColor="text1"/>
          <w:sz w:val="53"/>
          <w14:textFill>
            <w14:solidFill>
              <w14:schemeClr w14:val="tx1"/>
            </w14:solidFill>
          </w14:textFill>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377825</wp:posOffset>
                </wp:positionV>
                <wp:extent cx="1725295" cy="365760"/>
                <wp:effectExtent l="0" t="0" r="27940" b="15240"/>
                <wp:wrapNone/>
                <wp:docPr id="8" name="矩形 8"/>
                <wp:cNvGraphicFramePr/>
                <a:graphic xmlns:a="http://schemas.openxmlformats.org/drawingml/2006/main">
                  <a:graphicData uri="http://schemas.microsoft.com/office/word/2010/wordprocessingShape">
                    <wps:wsp>
                      <wps:cNvSpPr/>
                      <wps:spPr>
                        <a:xfrm>
                          <a:off x="0" y="0"/>
                          <a:ext cx="1725074" cy="3657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E143C">
                            <w:pPr>
                              <w:snapToGrid w:val="0"/>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本标准不涉及专利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29.75pt;height:28.8pt;width:135.85pt;mso-position-horizontal:right;mso-position-horizontal-relative:margin;z-index:251663360;v-text-anchor:middle;mso-width-relative:page;mso-height-relative:page;" filled="f" stroked="t" coordsize="21600,21600" o:gfxdata="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FOuJMtcAAAAHAQAADwAAAAAAAAABACAAAAAiAAAAZHJzL2Rvd25yZXYueG1sUEsBAhQA&#10;FAAAAAgAh07iQOLRUJxlAgAAvwQAAA4AAAAAAAAAAQAgAAAAJgEAAGRycy9lMm9Eb2MueG1sUEsF&#10;BgAAAAAGAAYAWQEAAP0FAAAAAA==&#10;">
                <v:fill on="f" focussize="0,0"/>
                <v:stroke weight="2pt" color="#000000 [3213]" joinstyle="round"/>
                <v:imagedata o:title=""/>
                <o:lock v:ext="edit" aspectratio="f"/>
                <v:textbox>
                  <w:txbxContent>
                    <w:p w14:paraId="30AE143C">
                      <w:pPr>
                        <w:snapToGrid w:val="0"/>
                        <w:jc w:val="center"/>
                        <w:rPr>
                          <w:rFonts w:ascii="黑体" w:hAnsi="黑体" w:eastAsia="黑体"/>
                          <w:color w:val="000000" w:themeColor="text1"/>
                          <w:sz w:val="28"/>
                          <w:szCs w:val="28"/>
                          <w14:textFill>
                            <w14:solidFill>
                              <w14:schemeClr w14:val="tx1"/>
                            </w14:solidFill>
                          </w14:textFill>
                        </w:rPr>
                      </w:pPr>
                      <w:r>
                        <w:rPr>
                          <w:rFonts w:hint="eastAsia" w:ascii="黑体" w:hAnsi="黑体" w:eastAsia="黑体"/>
                          <w:color w:val="000000" w:themeColor="text1"/>
                          <w:sz w:val="28"/>
                          <w:szCs w:val="28"/>
                          <w14:textFill>
                            <w14:solidFill>
                              <w14:schemeClr w14:val="tx1"/>
                            </w14:solidFill>
                          </w14:textFill>
                        </w:rPr>
                        <w:t>本标准不涉及专利</w:t>
                      </w:r>
                    </w:p>
                  </w:txbxContent>
                </v:textbox>
              </v:rect>
            </w:pict>
          </mc:Fallback>
        </mc:AlternateContent>
      </w:r>
    </w:p>
    <w:p w14:paraId="0BB77443">
      <w:pPr>
        <w:pStyle w:val="6"/>
        <w:spacing w:before="10"/>
        <w:jc w:val="right"/>
        <w:rPr>
          <w:color w:val="000000" w:themeColor="text1"/>
          <w:sz w:val="32"/>
          <w14:textFill>
            <w14:solidFill>
              <w14:schemeClr w14:val="tx1"/>
            </w14:solidFill>
          </w14:textFill>
        </w:rPr>
      </w:pPr>
    </w:p>
    <w:p w14:paraId="17F3DC6C">
      <w:pPr>
        <w:pStyle w:val="37"/>
        <w:framePr w:w="0" w:hRule="auto" w:vSpace="0" w:wrap="auto" w:vAnchor="margin" w:hAnchor="text" w:xAlign="left" w:yAlign="inline"/>
        <w:rPr>
          <w:color w:val="000000" w:themeColor="text1"/>
          <w14:textFill>
            <w14:solidFill>
              <w14:schemeClr w14:val="tx1"/>
            </w14:solidFill>
          </w14:textFill>
        </w:rPr>
      </w:pPr>
      <w:r>
        <w:rPr>
          <w:color w:val="000000" w:themeColor="text1"/>
          <w:sz w:val="22"/>
          <w14:textFill>
            <w14:solidFill>
              <w14:schemeClr w14:val="tx1"/>
            </w14:solidFill>
          </w14:textFill>
        </w:rPr>
        <mc:AlternateContent>
          <mc:Choice Requires="wps">
            <w:drawing>
              <wp:anchor distT="0" distB="0" distL="114300" distR="114300" simplePos="0" relativeHeight="251660288" behindDoc="1" locked="0" layoutInCell="1" allowOverlap="1">
                <wp:simplePos x="0" y="0"/>
                <wp:positionH relativeFrom="page">
                  <wp:posOffset>733425</wp:posOffset>
                </wp:positionH>
                <wp:positionV relativeFrom="paragraph">
                  <wp:posOffset>281940</wp:posOffset>
                </wp:positionV>
                <wp:extent cx="6109970" cy="0"/>
                <wp:effectExtent l="9525" t="6350" r="5080" b="12700"/>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09970" cy="0"/>
                        </a:xfrm>
                        <a:prstGeom prst="line">
                          <a:avLst/>
                        </a:prstGeom>
                        <a:noFill/>
                        <a:ln w="9703">
                          <a:solidFill>
                            <a:srgbClr val="231F20"/>
                          </a:solidFill>
                          <a:round/>
                        </a:ln>
                      </wps:spPr>
                      <wps:bodyPr/>
                    </wps:wsp>
                  </a:graphicData>
                </a:graphic>
              </wp:anchor>
            </w:drawing>
          </mc:Choice>
          <mc:Fallback>
            <w:pict>
              <v:line id="_x0000_s1026" o:spid="_x0000_s1026" o:spt="20" style="position:absolute;left:0pt;margin-left:57.75pt;margin-top:22.2pt;height:0pt;width:481.1pt;mso-position-horizontal-relative:page;z-index:-251656192;mso-width-relative:page;mso-height-relative:page;" filled="f" stroked="t" coordsize="21600,21600" o:gfxdata="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n8cJ+1AAAAAoB&#10;AAAPAAAAAAAAAAEAIAAAACIAAABkcnMvZG93bnJldi54bWxQSwECFAAUAAAACACHTuJAk3HTLeYB&#10;AACqAwAADgAAAAAAAAABACAAAAAjAQAAZHJzL2Uyb0RvYy54bWxQSwUGAAAAAAYABgBZAQAAewUA&#10;AAAA&#10;">
                <v:fill on="f" focussize="0,0"/>
                <v:stroke weight="0.764015748031496pt" color="#231F20" joinstyle="round"/>
                <v:imagedata o:title=""/>
                <o:lock v:ext="edit" aspectratio="f"/>
              </v:line>
            </w:pict>
          </mc:Fallback>
        </mc:AlternateContent>
      </w:r>
      <w:r>
        <w:rPr>
          <w:color w:val="000000" w:themeColor="text1"/>
          <w14:textFill>
            <w14:solidFill>
              <w14:schemeClr w14:val="tx1"/>
            </w14:solidFill>
          </w14:textFill>
        </w:rPr>
        <w:t xml:space="preserve">2023 - </w:t>
      </w:r>
      <w:r>
        <w:rPr>
          <w:color w:val="000000" w:themeColor="text1"/>
          <w14:textFill>
            <w14:solidFill>
              <w14:schemeClr w14:val="tx1"/>
            </w14:solidFill>
          </w14:textFill>
        </w:rPr>
        <w:fldChar w:fldCharType="begin">
          <w:ffData>
            <w:name w:val="FM"/>
            <w:enabled/>
            <w:calcOnExit w:val="0"/>
            <w:entryMacro w:val="ShowHelp8"/>
            <w:textInput>
              <w:default w:val="XX"/>
              <w:maxLength w:val="2"/>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XX - </w:t>
      </w:r>
      <w:bookmarkStart w:id="10" w:name="FD"/>
      <w:r>
        <w:rPr>
          <w:color w:val="000000" w:themeColor="text1"/>
          <w14:textFill>
            <w14:solidFill>
              <w14:schemeClr w14:val="tx1"/>
            </w14:solidFill>
          </w14:textFill>
        </w:rPr>
        <w:fldChar w:fldCharType="begin">
          <w:ffData>
            <w:name w:val="FD"/>
            <w:enabled/>
            <w:calcOnExit w:val="0"/>
            <w:entryMacro w:val="ShowHelp8"/>
            <w:textInput>
              <w:default w:val="XX"/>
              <w:maxLength w:val="2"/>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bookmarkEnd w:id="10"/>
      <w:r>
        <w:rPr>
          <w:color w:val="000000" w:themeColor="text1"/>
          <w14:textFill>
            <w14:solidFill>
              <w14:schemeClr w14:val="tx1"/>
            </w14:solidFill>
          </w14:textFill>
        </w:rPr>
        <w:t>XX发布</w:t>
      </w:r>
      <w:r>
        <w:rPr>
          <w:color w:val="000000" w:themeColor="text1"/>
          <w:sz w:val="22"/>
          <w14:textFill>
            <w14:solidFill>
              <w14:schemeClr w14:val="tx1"/>
            </w14:solidFill>
          </w14:textFill>
        </w:rPr>
        <mc:AlternateContent>
          <mc:Choice Requires="wps">
            <w:drawing>
              <wp:anchor distT="0" distB="0" distL="114300" distR="114300" simplePos="0" relativeHeight="251661312" behindDoc="1" locked="0" layoutInCell="1" allowOverlap="1">
                <wp:simplePos x="0" y="0"/>
                <wp:positionH relativeFrom="page">
                  <wp:posOffset>733425</wp:posOffset>
                </wp:positionH>
                <wp:positionV relativeFrom="paragraph">
                  <wp:posOffset>281940</wp:posOffset>
                </wp:positionV>
                <wp:extent cx="6109970" cy="0"/>
                <wp:effectExtent l="9525" t="6350" r="5080" b="1270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09970" cy="0"/>
                        </a:xfrm>
                        <a:prstGeom prst="line">
                          <a:avLst/>
                        </a:prstGeom>
                        <a:noFill/>
                        <a:ln w="9703">
                          <a:solidFill>
                            <a:srgbClr val="231F20"/>
                          </a:solidFill>
                          <a:round/>
                        </a:ln>
                      </wps:spPr>
                      <wps:bodyPr/>
                    </wps:wsp>
                  </a:graphicData>
                </a:graphic>
              </wp:anchor>
            </w:drawing>
          </mc:Choice>
          <mc:Fallback>
            <w:pict>
              <v:line id="_x0000_s1026" o:spid="_x0000_s1026" o:spt="20" style="position:absolute;left:0pt;margin-left:57.75pt;margin-top:22.2pt;height:0pt;width:481.1pt;mso-position-horizontal-relative:page;z-index:-251655168;mso-width-relative:page;mso-height-relative:page;" filled="f" stroked="t" coordsize="21600,21600" o:gfxdata="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Gfxwn7UAAAACgEA&#10;AA8AAAAAAAAAAQAgAAAAIgAAAGRycy9kb3ducmV2LnhtbFBLAQIUABQAAAAIAIdO4kAJG4tr5QEA&#10;AKoDAAAOAAAAAAAAAAEAIAAAACMBAABkcnMvZTJvRG9jLnhtbFBLBQYAAAAABgAGAFkBAAB6BQAA&#10;AAA=&#10;">
                <v:fill on="f" focussize="0,0"/>
                <v:stroke weight="0.764015748031496pt" color="#231F20" joinstyle="round"/>
                <v:imagedata o:title=""/>
                <o:lock v:ext="edit" aspectratio="f"/>
              </v:line>
            </w:pict>
          </mc:Fallback>
        </mc:AlternateContent>
      </w:r>
      <w:r>
        <w:rPr>
          <w:color w:val="000000" w:themeColor="text1"/>
          <w14:textFill>
            <w14:solidFill>
              <w14:schemeClr w14:val="tx1"/>
            </w14:solidFill>
          </w14:textFill>
        </w:rPr>
        <w:t xml:space="preserve">                        2023- </w:t>
      </w:r>
      <w:r>
        <w:rPr>
          <w:color w:val="000000" w:themeColor="text1"/>
          <w14:textFill>
            <w14:solidFill>
              <w14:schemeClr w14:val="tx1"/>
            </w14:solidFill>
          </w14:textFill>
        </w:rPr>
        <w:fldChar w:fldCharType="begin">
          <w:ffData>
            <w:name w:val="FM"/>
            <w:enabled/>
            <w:calcOnExit w:val="0"/>
            <w:entryMacro w:val="ShowHelp8"/>
            <w:textInput>
              <w:default w:val="XX"/>
              <w:maxLength w:val="2"/>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r>
        <w:rPr>
          <w:color w:val="000000" w:themeColor="text1"/>
          <w14:textFill>
            <w14:solidFill>
              <w14:schemeClr w14:val="tx1"/>
            </w14:solidFill>
          </w14:textFill>
        </w:rPr>
        <w:t xml:space="preserve">XX– </w:t>
      </w:r>
      <w:r>
        <w:rPr>
          <w:color w:val="000000" w:themeColor="text1"/>
          <w14:textFill>
            <w14:solidFill>
              <w14:schemeClr w14:val="tx1"/>
            </w14:solidFill>
          </w14:textFill>
        </w:rPr>
        <w:fldChar w:fldCharType="begin">
          <w:ffData>
            <w:name w:val="FD"/>
            <w:enabled/>
            <w:calcOnExit w:val="0"/>
            <w:entryMacro w:val="ShowHelp8"/>
            <w:textInput>
              <w:default w:val="XX"/>
              <w:maxLength w:val="2"/>
            </w:textInput>
          </w:ffData>
        </w:fldChar>
      </w:r>
      <w:r>
        <w:rPr>
          <w:color w:val="000000" w:themeColor="text1"/>
          <w14:textFill>
            <w14:solidFill>
              <w14:schemeClr w14:val="tx1"/>
            </w14:solidFill>
          </w14:textFill>
        </w:rPr>
        <w:instrText xml:space="preserve"> FORMTEXT </w:instrText>
      </w:r>
      <w:r>
        <w:rPr>
          <w:color w:val="000000" w:themeColor="text1"/>
          <w14:textFill>
            <w14:solidFill>
              <w14:schemeClr w14:val="tx1"/>
            </w14:solidFill>
          </w14:textFill>
        </w:rPr>
        <w:fldChar w:fldCharType="separate"/>
      </w:r>
      <w:r>
        <w:rPr>
          <w:color w:val="000000" w:themeColor="text1"/>
          <w14:textFill>
            <w14:solidFill>
              <w14:schemeClr w14:val="tx1"/>
            </w14:solidFill>
          </w14:textFill>
        </w:rPr>
        <w:fldChar w:fldCharType="end"/>
      </w:r>
      <w:r>
        <w:rPr>
          <w:color w:val="000000" w:themeColor="text1"/>
          <w14:textFill>
            <w14:solidFill>
              <w14:schemeClr w14:val="tx1"/>
            </w14:solidFill>
          </w14:textFill>
        </w:rPr>
        <w:t>XX实施</w:t>
      </w:r>
    </w:p>
    <w:p w14:paraId="015BE9EA">
      <w:pPr>
        <w:pStyle w:val="35"/>
        <w:framePr w:w="0" w:hRule="auto" w:hSpace="0" w:vSpace="0" w:wrap="auto" w:vAnchor="margin" w:hAnchor="text" w:xAlign="left" w:yAlign="inline"/>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 xml:space="preserve">   </w:t>
      </w:r>
      <w:r>
        <w:rPr>
          <w:rFonts w:ascii="Times New Roman"/>
          <w:color w:val="000000" w:themeColor="text1"/>
          <w14:textFill>
            <w14:solidFill>
              <w14:schemeClr w14:val="tx1"/>
            </w14:solidFill>
          </w14:textFill>
        </w:rPr>
        <w:t>广东省</w:t>
      </w:r>
      <w:r>
        <w:rPr>
          <w:rFonts w:hint="eastAsia" w:ascii="Times New Roman"/>
          <w:color w:val="000000" w:themeColor="text1"/>
          <w14:textFill>
            <w14:solidFill>
              <w14:schemeClr w14:val="tx1"/>
            </w14:solidFill>
          </w14:textFill>
        </w:rPr>
        <w:t>住房和城乡建设厅</w:t>
      </w:r>
      <w:r>
        <w:rPr>
          <w:rFonts w:ascii="Times New Roman"/>
          <w:color w:val="000000" w:themeColor="text1"/>
          <w14:textFill>
            <w14:solidFill>
              <w14:schemeClr w14:val="tx1"/>
            </w14:solidFill>
          </w14:textFill>
        </w:rPr>
        <w:t xml:space="preserve">   </w:t>
      </w:r>
      <w:r>
        <w:rPr>
          <w:rStyle w:val="29"/>
          <w:rFonts w:ascii="Times New Roman"/>
          <w:color w:val="000000" w:themeColor="text1"/>
          <w14:textFill>
            <w14:solidFill>
              <w14:schemeClr w14:val="tx1"/>
            </w14:solidFill>
          </w14:textFill>
        </w:rPr>
        <w:t>发布</w:t>
      </w:r>
    </w:p>
    <w:p w14:paraId="3E295ED8">
      <w:pPr>
        <w:pStyle w:val="35"/>
        <w:framePr w:wrap="around"/>
        <w:rPr>
          <w:rFonts w:ascii="Times New Roman"/>
          <w:color w:val="000000" w:themeColor="text1"/>
          <w14:textFill>
            <w14:solidFill>
              <w14:schemeClr w14:val="tx1"/>
            </w14:solidFill>
          </w14:textFill>
        </w:rPr>
      </w:pPr>
    </w:p>
    <w:p w14:paraId="54285E15">
      <w:pPr>
        <w:spacing w:line="360" w:lineRule="auto"/>
        <w:rPr>
          <w:rFonts w:ascii="Times New Roman" w:hAnsi="Times New Roman" w:eastAsia="黑体" w:cs="Times New Roman"/>
          <w:color w:val="000000" w:themeColor="text1"/>
          <w:sz w:val="24"/>
          <w14:textFill>
            <w14:solidFill>
              <w14:schemeClr w14:val="tx1"/>
            </w14:solidFill>
          </w14:textFill>
        </w:rPr>
      </w:pPr>
      <w:bookmarkStart w:id="11" w:name="_Toc444010143"/>
      <w:bookmarkStart w:id="12" w:name="_Toc444872378"/>
    </w:p>
    <w:bookmarkEnd w:id="11"/>
    <w:bookmarkEnd w:id="12"/>
    <w:p w14:paraId="2BAE3A3A">
      <w:pPr>
        <w:spacing w:line="360" w:lineRule="auto"/>
        <w:jc w:val="center"/>
        <w:rPr>
          <w:rFonts w:ascii="Times New Roman" w:hAnsi="Times New Roman" w:eastAsia="黑体" w:cs="Times New Roman"/>
          <w:b/>
          <w:color w:val="000000" w:themeColor="text1"/>
          <w:sz w:val="32"/>
          <w:szCs w:val="32"/>
          <w14:textFill>
            <w14:solidFill>
              <w14:schemeClr w14:val="tx1"/>
            </w14:solidFill>
          </w14:textFill>
        </w:rPr>
      </w:pPr>
      <w:r>
        <w:rPr>
          <w:rFonts w:ascii="Times New Roman" w:hAnsi="Times New Roman" w:eastAsia="黑体" w:cs="Times New Roman"/>
          <w:b/>
          <w:color w:val="000000" w:themeColor="text1"/>
          <w:sz w:val="32"/>
          <w:szCs w:val="32"/>
          <w14:textFill>
            <w14:solidFill>
              <w14:schemeClr w14:val="tx1"/>
            </w14:solidFill>
          </w14:textFill>
        </w:rPr>
        <w:t>前   言</w:t>
      </w:r>
    </w:p>
    <w:p w14:paraId="55FC7A71">
      <w:pPr>
        <w:spacing w:line="360" w:lineRule="auto"/>
        <w:jc w:val="center"/>
        <w:rPr>
          <w:rFonts w:ascii="Times New Roman" w:hAnsi="Times New Roman" w:eastAsia="黑体" w:cs="Times New Roman"/>
          <w:b/>
          <w:color w:val="000000" w:themeColor="text1"/>
          <w:sz w:val="32"/>
          <w:szCs w:val="32"/>
          <w14:textFill>
            <w14:solidFill>
              <w14:schemeClr w14:val="tx1"/>
            </w14:solidFill>
          </w14:textFill>
        </w:rPr>
      </w:pPr>
    </w:p>
    <w:p w14:paraId="51F223CE">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本标准是</w:t>
      </w:r>
      <w:r>
        <w:rPr>
          <w:rFonts w:hint="eastAsia" w:ascii="Times New Roman" w:hAnsi="Times New Roman" w:cs="Times New Roman"/>
          <w:color w:val="000000" w:themeColor="text1"/>
          <w:sz w:val="24"/>
          <w14:textFill>
            <w14:solidFill>
              <w14:schemeClr w14:val="tx1"/>
            </w14:solidFill>
          </w14:textFill>
        </w:rPr>
        <w:t>根</w:t>
      </w:r>
      <w:r>
        <w:rPr>
          <w:rFonts w:ascii="Times New Roman" w:hAnsi="Times New Roman" w:cs="Times New Roman"/>
          <w:color w:val="000000" w:themeColor="text1"/>
          <w:sz w:val="24"/>
          <w14:textFill>
            <w14:solidFill>
              <w14:schemeClr w14:val="tx1"/>
            </w14:solidFill>
          </w14:textFill>
        </w:rPr>
        <w:t>据</w:t>
      </w:r>
      <w:r>
        <w:rPr>
          <w:rFonts w:hint="eastAsia" w:ascii="Times New Roman" w:hAnsi="Times New Roman" w:cs="Times New Roman"/>
          <w:color w:val="000000" w:themeColor="text1"/>
          <w:sz w:val="24"/>
          <w14:textFill>
            <w14:solidFill>
              <w14:schemeClr w14:val="tx1"/>
            </w14:solidFill>
          </w14:textFill>
        </w:rPr>
        <w:t>《广东省市场监督管理局关于批准下达住房城乡建设类地方标准制修订计划项目的通知》（粤市监标准〔2022〕27</w:t>
      </w:r>
      <w:r>
        <w:rPr>
          <w:rFonts w:ascii="Times New Roman" w:hAnsi="Times New Roman" w:cs="Times New Roman"/>
          <w:color w:val="000000" w:themeColor="text1"/>
          <w:sz w:val="24"/>
          <w14:textFill>
            <w14:solidFill>
              <w14:schemeClr w14:val="tx1"/>
            </w14:solidFill>
          </w14:textFill>
        </w:rPr>
        <w:t>号</w:t>
      </w:r>
      <w:r>
        <w:rPr>
          <w:rFonts w:hint="eastAsia" w:ascii="Times New Roman" w:hAnsi="Times New Roman" w:cs="Times New Roman"/>
          <w:color w:val="000000" w:themeColor="text1"/>
          <w:sz w:val="24"/>
          <w14:textFill>
            <w14:solidFill>
              <w14:schemeClr w14:val="tx1"/>
            </w14:solidFill>
          </w14:textFill>
        </w:rPr>
        <w:t>）</w:t>
      </w:r>
      <w:r>
        <w:rPr>
          <w:rFonts w:ascii="Times New Roman" w:hAnsi="Times New Roman" w:cs="Times New Roman"/>
          <w:color w:val="000000" w:themeColor="text1"/>
          <w:sz w:val="24"/>
          <w14:textFill>
            <w14:solidFill>
              <w14:schemeClr w14:val="tx1"/>
            </w14:solidFill>
          </w14:textFill>
        </w:rPr>
        <w:t>的要求，由广东省建筑科学研究院集团股份有限公司会同有关单位共同编制。</w:t>
      </w:r>
    </w:p>
    <w:p w14:paraId="51547F1C">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标准编制组在编制过程中，进行了广泛、深入的调查研究，认真总结了工程泥浆原地处理的实践经验和有关研究成果，根据我国现行的相关法规和制度，参照了国内、外相关标准，在充分征求意见的基础上，经反复讨论、研究、修改和审查，最终定稿。</w:t>
      </w:r>
    </w:p>
    <w:p w14:paraId="319D36E1">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本标准共分为</w:t>
      </w:r>
      <w:r>
        <w:rPr>
          <w:rFonts w:hint="eastAsia" w:ascii="Times New Roman" w:hAnsi="Times New Roman" w:cs="Times New Roman"/>
          <w:color w:val="000000" w:themeColor="text1"/>
          <w:sz w:val="24"/>
          <w14:textFill>
            <w14:solidFill>
              <w14:schemeClr w14:val="tx1"/>
            </w14:solidFill>
          </w14:textFill>
        </w:rPr>
        <w:t>8</w:t>
      </w:r>
      <w:r>
        <w:rPr>
          <w:rFonts w:ascii="Times New Roman" w:hAnsi="Times New Roman" w:cs="Times New Roman"/>
          <w:color w:val="000000" w:themeColor="text1"/>
          <w:sz w:val="24"/>
          <w14:textFill>
            <w14:solidFill>
              <w14:schemeClr w14:val="tx1"/>
            </w14:solidFill>
          </w14:textFill>
        </w:rPr>
        <w:t>章，主要技术内容包括：总则、术语和符号、基本规定、</w:t>
      </w:r>
      <w:r>
        <w:rPr>
          <w:rFonts w:hint="eastAsia" w:ascii="Times New Roman" w:hAnsi="Times New Roman" w:cs="Times New Roman"/>
          <w:color w:val="000000" w:themeColor="text1"/>
          <w:sz w:val="24"/>
          <w14:textFill>
            <w14:solidFill>
              <w14:schemeClr w14:val="tx1"/>
            </w14:solidFill>
          </w14:textFill>
        </w:rPr>
        <w:t>场地布置</w:t>
      </w:r>
      <w:r>
        <w:rPr>
          <w:rFonts w:ascii="Times New Roman" w:hAnsi="Times New Roman" w:cs="Times New Roman"/>
          <w:color w:val="000000" w:themeColor="text1"/>
          <w:sz w:val="24"/>
          <w14:textFill>
            <w14:solidFill>
              <w14:schemeClr w14:val="tx1"/>
            </w14:solidFill>
          </w14:textFill>
        </w:rPr>
        <w:t>和</w:t>
      </w:r>
      <w:r>
        <w:rPr>
          <w:rFonts w:hint="eastAsia" w:ascii="Times New Roman" w:hAnsi="Times New Roman" w:cs="Times New Roman"/>
          <w:color w:val="000000" w:themeColor="text1"/>
          <w:sz w:val="24"/>
          <w14:textFill>
            <w14:solidFill>
              <w14:schemeClr w14:val="tx1"/>
            </w14:solidFill>
          </w14:textFill>
        </w:rPr>
        <w:t>系统</w:t>
      </w:r>
      <w:r>
        <w:rPr>
          <w:rFonts w:ascii="Times New Roman" w:hAnsi="Times New Roman" w:cs="Times New Roman"/>
          <w:color w:val="000000" w:themeColor="text1"/>
          <w:sz w:val="24"/>
          <w14:textFill>
            <w14:solidFill>
              <w14:schemeClr w14:val="tx1"/>
            </w14:solidFill>
          </w14:textFill>
        </w:rPr>
        <w:t>设计、</w:t>
      </w:r>
      <w:r>
        <w:rPr>
          <w:rFonts w:hint="eastAsia" w:ascii="Times New Roman" w:hAnsi="Times New Roman" w:cs="Times New Roman"/>
          <w:color w:val="000000" w:themeColor="text1"/>
          <w:sz w:val="24"/>
          <w14:textFill>
            <w14:solidFill>
              <w14:schemeClr w14:val="tx1"/>
            </w14:solidFill>
          </w14:textFill>
        </w:rPr>
        <w:t>系统</w:t>
      </w:r>
      <w:r>
        <w:rPr>
          <w:rFonts w:ascii="Times New Roman" w:hAnsi="Times New Roman" w:cs="Times New Roman"/>
          <w:color w:val="000000" w:themeColor="text1"/>
          <w:sz w:val="24"/>
          <w14:textFill>
            <w14:solidFill>
              <w14:schemeClr w14:val="tx1"/>
            </w14:solidFill>
          </w14:textFill>
        </w:rPr>
        <w:t>安装和验收、施工现场泥浆处理、处理效果检测和评价</w:t>
      </w:r>
      <w:r>
        <w:rPr>
          <w:rFonts w:hint="eastAsia" w:ascii="Times New Roman" w:hAnsi="Times New Roman" w:cs="Times New Roman"/>
          <w:color w:val="000000" w:themeColor="text1"/>
          <w:sz w:val="24"/>
          <w14:textFill>
            <w14:solidFill>
              <w14:schemeClr w14:val="tx1"/>
            </w14:solidFill>
          </w14:textFill>
        </w:rPr>
        <w:t>、资源化利用</w:t>
      </w:r>
      <w:r>
        <w:rPr>
          <w:rFonts w:ascii="Times New Roman" w:hAnsi="Times New Roman" w:cs="Times New Roman"/>
          <w:color w:val="000000" w:themeColor="text1"/>
          <w:sz w:val="24"/>
          <w14:textFill>
            <w14:solidFill>
              <w14:schemeClr w14:val="tx1"/>
            </w14:solidFill>
          </w14:textFill>
        </w:rPr>
        <w:t>等。</w:t>
      </w:r>
    </w:p>
    <w:p w14:paraId="774F2A2E">
      <w:pPr>
        <w:spacing w:line="360" w:lineRule="auto"/>
        <w:ind w:firstLine="480" w:firstLineChars="200"/>
        <w:rPr>
          <w:rFonts w:ascii="Times New Roman" w:hAnsi="Times New Roman" w:cs="Times New Roman"/>
          <w:color w:val="000000" w:themeColor="text1"/>
          <w:sz w:val="24"/>
          <w14:textFill>
            <w14:solidFill>
              <w14:schemeClr w14:val="tx1"/>
            </w14:solidFill>
          </w14:textFill>
        </w:rPr>
      </w:pPr>
      <w:r>
        <w:rPr>
          <w:rFonts w:ascii="Times New Roman" w:hAnsi="Times New Roman" w:cs="Times New Roman"/>
          <w:color w:val="000000" w:themeColor="text1"/>
          <w:sz w:val="24"/>
          <w14:textFill>
            <w14:solidFill>
              <w14:schemeClr w14:val="tx1"/>
            </w14:solidFill>
          </w14:textFill>
        </w:rPr>
        <w:t>本标准由</w:t>
      </w:r>
      <w:r>
        <w:rPr>
          <w:rFonts w:hint="eastAsia" w:ascii="Times New Roman" w:hAnsi="Times New Roman" w:cs="Times New Roman"/>
          <w:color w:val="000000" w:themeColor="text1"/>
          <w:sz w:val="24"/>
          <w14:textFill>
            <w14:solidFill>
              <w14:schemeClr w14:val="tx1"/>
            </w14:solidFill>
          </w14:textFill>
        </w:rPr>
        <w:t>广东省住房和城乡建设厅</w:t>
      </w:r>
      <w:r>
        <w:rPr>
          <w:rFonts w:ascii="Times New Roman" w:hAnsi="Times New Roman" w:cs="Times New Roman"/>
          <w:color w:val="000000" w:themeColor="text1"/>
          <w:sz w:val="24"/>
          <w14:textFill>
            <w14:solidFill>
              <w14:schemeClr w14:val="tx1"/>
            </w14:solidFill>
          </w14:textFill>
        </w:rPr>
        <w:t>负责管理，由广东省建筑科学研究院集团股份有限公司负责具体技术内容的解释。为了提高规范的质量，请各单位和个人在执行本标准的过程中，认真总结经验，积累资料，如发现需要修改或补充之处，请将意见和有关资料寄至广东省建筑科学研究院集团股份有限公司（地址：广州市天河区先烈东路121号。邮政编码：510500），以供今后修订时参考。</w:t>
      </w:r>
    </w:p>
    <w:p w14:paraId="33121BC0">
      <w:pPr>
        <w:spacing w:line="360" w:lineRule="auto"/>
        <w:ind w:firstLine="560"/>
        <w:rPr>
          <w:rFonts w:ascii="Times New Roman" w:hAnsi="Times New Roman" w:cs="Times New Roman"/>
          <w:color w:val="000000" w:themeColor="text1"/>
          <w:sz w:val="24"/>
          <w14:textFill>
            <w14:solidFill>
              <w14:schemeClr w14:val="tx1"/>
            </w14:solidFill>
          </w14:textFill>
        </w:rPr>
      </w:pPr>
    </w:p>
    <w:p w14:paraId="58BF6419">
      <w:pPr>
        <w:spacing w:before="312" w:beforeLines="100"/>
        <w:rPr>
          <w:rFonts w:ascii="宋体" w:hAnsi="宋体" w:eastAsia="宋体"/>
          <w:color w:val="000000" w:themeColor="text1"/>
          <w:sz w:val="24"/>
          <w:szCs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主编单位：</w:t>
      </w:r>
      <w:r>
        <w:rPr>
          <w:rFonts w:hint="eastAsia" w:ascii="宋体" w:hAnsi="宋体" w:eastAsia="宋体"/>
          <w:color w:val="000000" w:themeColor="text1"/>
          <w:sz w:val="24"/>
          <w:szCs w:val="24"/>
          <w14:textFill>
            <w14:solidFill>
              <w14:schemeClr w14:val="tx1"/>
            </w14:solidFill>
          </w14:textFill>
        </w:rPr>
        <w:t>广东省建筑科学研究院集团股份有限公司</w:t>
      </w:r>
    </w:p>
    <w:p w14:paraId="416FFAA2">
      <w:pPr>
        <w:spacing w:line="276" w:lineRule="auto"/>
        <w:ind w:firstLine="1200" w:firstLineChars="5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深圳地铁建设集团有限公司</w:t>
      </w:r>
    </w:p>
    <w:p w14:paraId="7FEEF3BC">
      <w:pPr>
        <w:spacing w:line="276" w:lineRule="auto"/>
        <w:ind w:firstLine="1200" w:firstLineChars="500"/>
        <w:rPr>
          <w:rFonts w:ascii="宋体" w:hAnsi="宋体" w:eastAsia="宋体"/>
          <w:color w:val="000000" w:themeColor="text1"/>
          <w:sz w:val="24"/>
          <w:szCs w:val="24"/>
          <w14:textFill>
            <w14:solidFill>
              <w14:schemeClr w14:val="tx1"/>
            </w14:solidFill>
          </w14:textFill>
        </w:rPr>
      </w:pPr>
      <w:r>
        <w:rPr>
          <w:rFonts w:hint="eastAsia" w:ascii="宋体" w:hAnsi="宋体" w:eastAsia="宋体"/>
          <w:color w:val="000000" w:themeColor="text1"/>
          <w:sz w:val="24"/>
          <w:szCs w:val="24"/>
          <w14:textFill>
            <w14:solidFill>
              <w14:schemeClr w14:val="tx1"/>
            </w14:solidFill>
          </w14:textFill>
        </w:rPr>
        <w:t>深圳市中科绿建环保工程有限公司</w:t>
      </w:r>
    </w:p>
    <w:p w14:paraId="0D09802A">
      <w:pPr>
        <w:spacing w:line="276" w:lineRule="auto"/>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参编单位：</w:t>
      </w:r>
      <w:r>
        <w:rPr>
          <w:rFonts w:hint="eastAsia" w:ascii="Times New Roman" w:hAnsi="Times New Roman" w:cs="Times New Roman"/>
          <w:bCs/>
          <w:color w:val="000000" w:themeColor="text1"/>
          <w:sz w:val="24"/>
          <w14:textFill>
            <w14:solidFill>
              <w14:schemeClr w14:val="tx1"/>
            </w14:solidFill>
          </w14:textFill>
        </w:rPr>
        <w:t>广东建科创新技术研究院有限公司</w:t>
      </w:r>
    </w:p>
    <w:p w14:paraId="40869151">
      <w:pPr>
        <w:spacing w:line="276" w:lineRule="auto"/>
        <w:ind w:firstLine="1200" w:firstLineChars="5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清华大学深圳国际研究生院</w:t>
      </w:r>
    </w:p>
    <w:p w14:paraId="0581A3E6">
      <w:pPr>
        <w:spacing w:line="276" w:lineRule="auto"/>
        <w:ind w:firstLine="1200" w:firstLineChars="5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广州地铁集团有限公司</w:t>
      </w:r>
    </w:p>
    <w:p w14:paraId="59796F5E">
      <w:pPr>
        <w:spacing w:line="276" w:lineRule="auto"/>
        <w:ind w:firstLine="1200" w:firstLineChars="5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深圳市市政工程质量安全监督总站</w:t>
      </w:r>
    </w:p>
    <w:p w14:paraId="22B2478F">
      <w:pPr>
        <w:spacing w:line="276" w:lineRule="auto"/>
        <w:ind w:firstLine="1200" w:firstLineChars="5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深圳大学</w:t>
      </w:r>
    </w:p>
    <w:p w14:paraId="2C700DB2">
      <w:pPr>
        <w:spacing w:line="276" w:lineRule="auto"/>
        <w:ind w:firstLine="1200" w:firstLineChars="5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中铁隧道集团三处有限公司</w:t>
      </w:r>
    </w:p>
    <w:p w14:paraId="61CA29D9">
      <w:pPr>
        <w:spacing w:line="276" w:lineRule="auto"/>
        <w:ind w:firstLine="1200" w:firstLineChars="500"/>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中铁工程服务有限公司</w:t>
      </w:r>
    </w:p>
    <w:p w14:paraId="23B44EEA">
      <w:pPr>
        <w:spacing w:line="276" w:lineRule="auto"/>
        <w:ind w:firstLine="1200" w:firstLineChars="500"/>
        <w:rPr>
          <w:rFonts w:ascii="宋体" w:hAnsi="宋体" w:eastAsia="宋体"/>
          <w:bCs/>
          <w:color w:val="000000" w:themeColor="text1"/>
          <w:sz w:val="24"/>
          <w:szCs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中交疏浚技术装备国家工程研究中心有限公司</w:t>
      </w:r>
    </w:p>
    <w:p w14:paraId="45466585">
      <w:pPr>
        <w:spacing w:line="360" w:lineRule="auto"/>
        <w:ind w:left="1532" w:right="-153" w:rightChars="-73" w:hanging="1532" w:hangingChars="636"/>
        <w:rPr>
          <w:rFonts w:ascii="Times New Roman" w:hAnsi="Times New Roman" w:cs="Times New Roman"/>
          <w:bCs/>
          <w:color w:val="000000" w:themeColor="text1"/>
          <w:sz w:val="24"/>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主要起草人：</w:t>
      </w:r>
      <w:r>
        <w:rPr>
          <w:rFonts w:hint="eastAsia" w:ascii="Times New Roman" w:hAnsi="Times New Roman" w:cs="Times New Roman"/>
          <w:bCs/>
          <w:color w:val="000000" w:themeColor="text1"/>
          <w:sz w:val="24"/>
          <w14:textFill>
            <w14:solidFill>
              <w14:schemeClr w14:val="tx1"/>
            </w14:solidFill>
          </w14:textFill>
        </w:rPr>
        <w:t xml:space="preserve">刘远亮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潘海军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吕高杨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刘思俊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李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诚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张正华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强烨佳 </w:t>
      </w:r>
      <w:r>
        <w:rPr>
          <w:rFonts w:ascii="Times New Roman" w:hAnsi="Times New Roman" w:cs="Times New Roman"/>
          <w:bCs/>
          <w:color w:val="000000" w:themeColor="text1"/>
          <w:sz w:val="24"/>
          <w14:textFill>
            <w14:solidFill>
              <w14:schemeClr w14:val="tx1"/>
            </w14:solidFill>
          </w14:textFill>
        </w:rPr>
        <w:t xml:space="preserve"> </w:t>
      </w:r>
    </w:p>
    <w:p w14:paraId="56C17D33">
      <w:pPr>
        <w:spacing w:line="360" w:lineRule="auto"/>
        <w:ind w:left="1418" w:leftChars="675" w:right="-153" w:rightChars="-73" w:firstLine="14" w:firstLineChars="6"/>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 xml:space="preserve">林浩元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吴晔晖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汪全信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孙晓辉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彭远胜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唐贤海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周鸿雏 </w:t>
      </w:r>
      <w:r>
        <w:rPr>
          <w:rFonts w:ascii="Times New Roman" w:hAnsi="Times New Roman" w:cs="Times New Roman"/>
          <w:bCs/>
          <w:color w:val="000000" w:themeColor="text1"/>
          <w:sz w:val="24"/>
          <w14:textFill>
            <w14:solidFill>
              <w14:schemeClr w14:val="tx1"/>
            </w14:solidFill>
          </w14:textFill>
        </w:rPr>
        <w:t xml:space="preserve"> </w:t>
      </w:r>
    </w:p>
    <w:p w14:paraId="57441BC2">
      <w:pPr>
        <w:spacing w:line="360" w:lineRule="auto"/>
        <w:ind w:left="1418" w:leftChars="675" w:right="-153" w:rightChars="-73" w:firstLine="14" w:firstLineChars="6"/>
        <w:rPr>
          <w:rFonts w:ascii="Times New Roman" w:hAnsi="Times New Roman" w:cs="Times New Roman"/>
          <w:bCs/>
          <w:color w:val="000000" w:themeColor="text1"/>
          <w:sz w:val="24"/>
          <w14:textFill>
            <w14:solidFill>
              <w14:schemeClr w14:val="tx1"/>
            </w14:solidFill>
          </w14:textFill>
        </w:rPr>
      </w:pPr>
      <w:r>
        <w:rPr>
          <w:rFonts w:hint="eastAsia" w:ascii="Times New Roman" w:hAnsi="Times New Roman" w:cs="Times New Roman"/>
          <w:bCs/>
          <w:color w:val="000000" w:themeColor="text1"/>
          <w:sz w:val="24"/>
          <w14:textFill>
            <w14:solidFill>
              <w14:schemeClr w14:val="tx1"/>
            </w14:solidFill>
          </w14:textFill>
        </w:rPr>
        <w:t xml:space="preserve">罗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章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 xml:space="preserve">郝宇驰 </w:t>
      </w:r>
      <w:r>
        <w:rPr>
          <w:rFonts w:ascii="Times New Roman" w:hAnsi="Times New Roman" w:cs="Times New Roman"/>
          <w:bCs/>
          <w:color w:val="000000" w:themeColor="text1"/>
          <w:sz w:val="24"/>
          <w14:textFill>
            <w14:solidFill>
              <w14:schemeClr w14:val="tx1"/>
            </w14:solidFill>
          </w14:textFill>
        </w:rPr>
        <w:t xml:space="preserve"> </w:t>
      </w:r>
      <w:r>
        <w:rPr>
          <w:rFonts w:hint="eastAsia" w:ascii="Times New Roman" w:hAnsi="Times New Roman" w:cs="Times New Roman"/>
          <w:bCs/>
          <w:color w:val="000000" w:themeColor="text1"/>
          <w:sz w:val="24"/>
          <w14:textFill>
            <w14:solidFill>
              <w14:schemeClr w14:val="tx1"/>
            </w14:solidFill>
          </w14:textFill>
        </w:rPr>
        <w:t>孙文博</w:t>
      </w:r>
    </w:p>
    <w:p w14:paraId="6AE9B685">
      <w:pPr>
        <w:spacing w:line="360" w:lineRule="auto"/>
        <w:jc w:val="left"/>
        <w:rPr>
          <w:rFonts w:ascii="Times New Roman" w:hAnsi="Times New Roman" w:cs="Times New Roman"/>
          <w:color w:val="000000" w:themeColor="text1"/>
          <w:sz w:val="24"/>
          <w14:textFill>
            <w14:solidFill>
              <w14:schemeClr w14:val="tx1"/>
            </w14:solidFill>
          </w14:textFill>
        </w:rPr>
      </w:pPr>
    </w:p>
    <w:p w14:paraId="230BEC60">
      <w:pPr>
        <w:spacing w:line="360" w:lineRule="auto"/>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cs="Times New Roman"/>
          <w:b/>
          <w:color w:val="000000" w:themeColor="text1"/>
          <w:sz w:val="24"/>
          <w14:textFill>
            <w14:solidFill>
              <w14:schemeClr w14:val="tx1"/>
            </w14:solidFill>
          </w14:textFill>
        </w:rPr>
        <w:t>主要审查人：</w:t>
      </w:r>
      <w:r>
        <w:rPr>
          <w:rFonts w:ascii="Times New Roman" w:hAnsi="Times New Roman" w:cs="Times New Roman"/>
          <w:color w:val="000000" w:themeColor="text1"/>
          <w14:textFill>
            <w14:solidFill>
              <w14:schemeClr w14:val="tx1"/>
            </w14:solidFill>
          </w14:textFill>
        </w:rPr>
        <w:t xml:space="preserve"> </w:t>
      </w:r>
    </w:p>
    <w:bookmarkEnd w:id="0"/>
    <w:bookmarkEnd w:id="1"/>
    <w:bookmarkEnd w:id="2"/>
    <w:bookmarkEnd w:id="3"/>
    <w:bookmarkEnd w:id="4"/>
    <w:bookmarkEnd w:id="5"/>
    <w:bookmarkEnd w:id="6"/>
    <w:bookmarkEnd w:id="7"/>
    <w:bookmarkEnd w:id="8"/>
    <w:bookmarkEnd w:id="9"/>
    <w:p w14:paraId="1B77F39F">
      <w:pPr>
        <w:pStyle w:val="31"/>
        <w:shd w:val="clear" w:color="FFFFFF" w:fill="auto"/>
        <w:spacing w:before="78" w:after="78"/>
        <w:outlineLvl w:val="9"/>
        <w:rPr>
          <w:rFonts w:ascii="Times New Roman"/>
          <w:color w:val="000000" w:themeColor="text1"/>
          <w14:textFill>
            <w14:solidFill>
              <w14:schemeClr w14:val="tx1"/>
            </w14:solidFill>
          </w14:textFill>
        </w:rPr>
      </w:pPr>
      <w:bookmarkStart w:id="13" w:name="_Toc38448009"/>
      <w:bookmarkStart w:id="14" w:name="_Toc38448123"/>
      <w:bookmarkStart w:id="15" w:name="_Toc889"/>
      <w:bookmarkStart w:id="16" w:name="_Toc51678212"/>
      <w:bookmarkStart w:id="17" w:name="_Toc57819215"/>
      <w:bookmarkStart w:id="18" w:name="_Toc31649"/>
      <w:bookmarkStart w:id="19" w:name="_Toc613"/>
      <w:bookmarkStart w:id="20" w:name="_Toc16546"/>
      <w:r>
        <w:rPr>
          <w:rFonts w:ascii="Times New Roman"/>
          <w:color w:val="000000" w:themeColor="text1"/>
          <w14:textFill>
            <w14:solidFill>
              <w14:schemeClr w14:val="tx1"/>
            </w14:solidFill>
          </w14:textFill>
        </w:rPr>
        <w:t>目</w:t>
      </w:r>
      <w:bookmarkStart w:id="21" w:name="BKML"/>
      <w:r>
        <w:rPr>
          <w:rFonts w:ascii="Times New Roman"/>
          <w:color w:val="000000" w:themeColor="text1"/>
          <w14:textFill>
            <w14:solidFill>
              <w14:schemeClr w14:val="tx1"/>
            </w14:solidFill>
          </w14:textFill>
        </w:rPr>
        <w:t>  </w:t>
      </w:r>
      <w:bookmarkEnd w:id="13"/>
      <w:bookmarkEnd w:id="14"/>
      <w:bookmarkEnd w:id="21"/>
      <w:r>
        <w:rPr>
          <w:rFonts w:ascii="Times New Roman"/>
          <w:color w:val="000000" w:themeColor="text1"/>
          <w14:textFill>
            <w14:solidFill>
              <w14:schemeClr w14:val="tx1"/>
            </w14:solidFill>
          </w14:textFill>
        </w:rPr>
        <w:t>次</w:t>
      </w:r>
      <w:bookmarkEnd w:id="15"/>
      <w:bookmarkEnd w:id="16"/>
      <w:bookmarkEnd w:id="17"/>
      <w:bookmarkEnd w:id="18"/>
    </w:p>
    <w:p w14:paraId="63C9DEF2">
      <w:pPr>
        <w:pStyle w:val="11"/>
        <w:spacing w:before="78" w:after="78"/>
        <w:rPr>
          <w:rFonts w:asciiTheme="minorHAnsi" w:hAnsiTheme="minorHAnsi" w:eastAsiaTheme="minorEastAsia" w:cstheme="minorBidi"/>
          <w:color w:val="000000" w:themeColor="text1"/>
          <w:szCs w:val="22"/>
          <w14:textFill>
            <w14:solidFill>
              <w14:schemeClr w14:val="tx1"/>
            </w14:solidFill>
          </w14:textFill>
        </w:rPr>
      </w:pPr>
      <w:r>
        <w:rPr>
          <w:rStyle w:val="21"/>
          <w:rFonts w:ascii="Times New Roman"/>
          <w:color w:val="000000" w:themeColor="text1"/>
          <w:u w:val="none"/>
          <w14:textFill>
            <w14:solidFill>
              <w14:schemeClr w14:val="tx1"/>
            </w14:solidFill>
          </w14:textFill>
        </w:rPr>
        <w:t xml:space="preserve">1  </w:t>
      </w:r>
      <w:r>
        <w:rPr>
          <w:rStyle w:val="21"/>
          <w:rFonts w:hint="eastAsia" w:ascii="Times New Roman"/>
          <w:color w:val="000000" w:themeColor="text1"/>
          <w:u w:val="none"/>
          <w14:textFill>
            <w14:solidFill>
              <w14:schemeClr w14:val="tx1"/>
            </w14:solidFill>
          </w14:textFill>
        </w:rPr>
        <w:t>总则</w:t>
      </w:r>
      <w:r>
        <w:rPr>
          <w:color w:val="000000" w:themeColor="text1"/>
          <w14:textFill>
            <w14:solidFill>
              <w14:schemeClr w14:val="tx1"/>
            </w14:solidFill>
          </w14:textFill>
        </w:rPr>
        <w:tab/>
      </w:r>
      <w:r>
        <w:rPr>
          <w:color w:val="000000" w:themeColor="text1"/>
          <w14:textFill>
            <w14:solidFill>
              <w14:schemeClr w14:val="tx1"/>
            </w14:solidFill>
          </w14:textFill>
        </w:rPr>
        <w:t>1</w:t>
      </w:r>
    </w:p>
    <w:p w14:paraId="527ACEFE">
      <w:pPr>
        <w:pStyle w:val="11"/>
        <w:tabs>
          <w:tab w:val="right" w:leader="dot" w:pos="8306"/>
          <w:tab w:val="clear" w:pos="9241"/>
        </w:tabs>
        <w:spacing w:before="78" w:after="78"/>
      </w:pPr>
      <w:r>
        <w:rPr>
          <w:rFonts w:ascii="Times New Roman" w:eastAsiaTheme="minorEastAsia"/>
          <w:color w:val="000000" w:themeColor="text1"/>
          <w:sz w:val="24"/>
          <w:szCs w:val="24"/>
          <w14:textFill>
            <w14:solidFill>
              <w14:schemeClr w14:val="tx1"/>
            </w14:solidFill>
          </w14:textFill>
        </w:rPr>
        <w:fldChar w:fldCharType="begin"/>
      </w:r>
      <w:r>
        <w:rPr>
          <w:rFonts w:ascii="Times New Roman" w:eastAsiaTheme="minorEastAsia"/>
          <w:color w:val="000000" w:themeColor="text1"/>
          <w:sz w:val="24"/>
          <w:szCs w:val="24"/>
          <w14:textFill>
            <w14:solidFill>
              <w14:schemeClr w14:val="tx1"/>
            </w14:solidFill>
          </w14:textFill>
        </w:rPr>
        <w:instrText xml:space="preserve"> TOC \o "1-3" \h \z \u </w:instrText>
      </w:r>
      <w:r>
        <w:rPr>
          <w:rFonts w:ascii="Times New Roman" w:eastAsiaTheme="minorEastAsia"/>
          <w:color w:val="000000" w:themeColor="text1"/>
          <w:sz w:val="24"/>
          <w:szCs w:val="24"/>
          <w14:textFill>
            <w14:solidFill>
              <w14:schemeClr w14:val="tx1"/>
            </w14:solidFill>
          </w14:textFill>
        </w:rPr>
        <w:fldChar w:fldCharType="separate"/>
      </w:r>
      <w:r>
        <w:fldChar w:fldCharType="begin"/>
      </w:r>
      <w:r>
        <w:instrText xml:space="preserve"> HYPERLINK \l "_Toc20423" </w:instrText>
      </w:r>
      <w:r>
        <w:fldChar w:fldCharType="separate"/>
      </w:r>
      <w:r>
        <w:rPr>
          <w:rFonts w:ascii="Times New Roman"/>
          <w:szCs w:val="32"/>
        </w:rPr>
        <w:t>2  术语和符号</w:t>
      </w:r>
      <w:r>
        <w:tab/>
      </w:r>
      <w:r>
        <w:fldChar w:fldCharType="begin"/>
      </w:r>
      <w:r>
        <w:instrText xml:space="preserve"> PAGEREF _Toc20423 \h </w:instrText>
      </w:r>
      <w:r>
        <w:fldChar w:fldCharType="separate"/>
      </w:r>
      <w:r>
        <w:t>2</w:t>
      </w:r>
      <w:r>
        <w:fldChar w:fldCharType="end"/>
      </w:r>
      <w:r>
        <w:fldChar w:fldCharType="end"/>
      </w:r>
    </w:p>
    <w:p w14:paraId="4C63C163">
      <w:pPr>
        <w:pStyle w:val="7"/>
        <w:tabs>
          <w:tab w:val="right" w:leader="dot" w:pos="8306"/>
          <w:tab w:val="clear" w:pos="9241"/>
        </w:tabs>
        <w:ind w:firstLine="210"/>
      </w:pPr>
      <w:r>
        <w:fldChar w:fldCharType="begin"/>
      </w:r>
      <w:r>
        <w:instrText xml:space="preserve"> HYPERLINK \l "_Toc27483" </w:instrText>
      </w:r>
      <w:r>
        <w:fldChar w:fldCharType="separate"/>
      </w:r>
      <w:r>
        <w:rPr>
          <w:rFonts w:ascii="Times New Roman"/>
          <w:szCs w:val="28"/>
        </w:rPr>
        <w:t>2.1  术语</w:t>
      </w:r>
      <w:r>
        <w:tab/>
      </w:r>
      <w:r>
        <w:fldChar w:fldCharType="begin"/>
      </w:r>
      <w:r>
        <w:instrText xml:space="preserve"> PAGEREF _Toc27483 \h </w:instrText>
      </w:r>
      <w:r>
        <w:fldChar w:fldCharType="separate"/>
      </w:r>
      <w:r>
        <w:t>2</w:t>
      </w:r>
      <w:r>
        <w:fldChar w:fldCharType="end"/>
      </w:r>
      <w:r>
        <w:fldChar w:fldCharType="end"/>
      </w:r>
    </w:p>
    <w:p w14:paraId="29FEC803">
      <w:pPr>
        <w:pStyle w:val="7"/>
        <w:tabs>
          <w:tab w:val="right" w:leader="dot" w:pos="8306"/>
          <w:tab w:val="clear" w:pos="9241"/>
        </w:tabs>
        <w:ind w:firstLine="210"/>
      </w:pPr>
      <w:r>
        <w:fldChar w:fldCharType="begin"/>
      </w:r>
      <w:r>
        <w:instrText xml:space="preserve"> HYPERLINK \l "_Toc22611" </w:instrText>
      </w:r>
      <w:r>
        <w:fldChar w:fldCharType="separate"/>
      </w:r>
      <w:r>
        <w:rPr>
          <w:rFonts w:ascii="Times New Roman"/>
          <w:szCs w:val="28"/>
        </w:rPr>
        <w:t>2.2  符号</w:t>
      </w:r>
      <w:r>
        <w:tab/>
      </w:r>
      <w:r>
        <w:fldChar w:fldCharType="begin"/>
      </w:r>
      <w:r>
        <w:instrText xml:space="preserve"> PAGEREF _Toc22611 \h </w:instrText>
      </w:r>
      <w:r>
        <w:fldChar w:fldCharType="separate"/>
      </w:r>
      <w:r>
        <w:t>2</w:t>
      </w:r>
      <w:r>
        <w:fldChar w:fldCharType="end"/>
      </w:r>
      <w:r>
        <w:fldChar w:fldCharType="end"/>
      </w:r>
    </w:p>
    <w:p w14:paraId="2E4BD4C9">
      <w:pPr>
        <w:pStyle w:val="11"/>
        <w:tabs>
          <w:tab w:val="right" w:leader="dot" w:pos="8306"/>
          <w:tab w:val="clear" w:pos="9241"/>
        </w:tabs>
        <w:spacing w:before="78" w:after="78"/>
      </w:pPr>
      <w:r>
        <w:fldChar w:fldCharType="begin"/>
      </w:r>
      <w:r>
        <w:instrText xml:space="preserve"> HYPERLINK \l "_Toc20159" </w:instrText>
      </w:r>
      <w:r>
        <w:fldChar w:fldCharType="separate"/>
      </w:r>
      <w:r>
        <w:rPr>
          <w:rFonts w:ascii="Times New Roman"/>
          <w:szCs w:val="32"/>
        </w:rPr>
        <w:t>3  基本规定</w:t>
      </w:r>
      <w:r>
        <w:tab/>
      </w:r>
      <w:r>
        <w:fldChar w:fldCharType="begin"/>
      </w:r>
      <w:r>
        <w:instrText xml:space="preserve"> PAGEREF _Toc20159 \h </w:instrText>
      </w:r>
      <w:r>
        <w:fldChar w:fldCharType="separate"/>
      </w:r>
      <w:r>
        <w:t>3</w:t>
      </w:r>
      <w:r>
        <w:fldChar w:fldCharType="end"/>
      </w:r>
      <w:r>
        <w:fldChar w:fldCharType="end"/>
      </w:r>
    </w:p>
    <w:p w14:paraId="2E2EF79D">
      <w:pPr>
        <w:pStyle w:val="11"/>
        <w:tabs>
          <w:tab w:val="right" w:leader="dot" w:pos="8306"/>
          <w:tab w:val="clear" w:pos="9241"/>
        </w:tabs>
        <w:spacing w:before="78" w:after="78"/>
      </w:pPr>
      <w:r>
        <w:fldChar w:fldCharType="begin"/>
      </w:r>
      <w:r>
        <w:instrText xml:space="preserve"> HYPERLINK \l "_Toc32305" </w:instrText>
      </w:r>
      <w:r>
        <w:fldChar w:fldCharType="separate"/>
      </w:r>
      <w:r>
        <w:rPr>
          <w:rFonts w:ascii="Times New Roman"/>
          <w:szCs w:val="32"/>
        </w:rPr>
        <w:t>4</w:t>
      </w:r>
      <w:r>
        <w:rPr>
          <w:rFonts w:hint="eastAsia" w:ascii="Times New Roman"/>
          <w:szCs w:val="32"/>
        </w:rPr>
        <w:t>.</w:t>
      </w:r>
      <w:r>
        <w:rPr>
          <w:rFonts w:ascii="Times New Roman"/>
          <w:szCs w:val="32"/>
        </w:rPr>
        <w:t xml:space="preserve">  </w:t>
      </w:r>
      <w:r>
        <w:rPr>
          <w:rFonts w:hint="eastAsia" w:ascii="Times New Roman"/>
          <w:szCs w:val="32"/>
        </w:rPr>
        <w:t>场地布置和系统设计</w:t>
      </w:r>
      <w:r>
        <w:tab/>
      </w:r>
      <w:r>
        <w:fldChar w:fldCharType="begin"/>
      </w:r>
      <w:r>
        <w:instrText xml:space="preserve"> PAGEREF _Toc32305 \h </w:instrText>
      </w:r>
      <w:r>
        <w:fldChar w:fldCharType="separate"/>
      </w:r>
      <w:r>
        <w:t>4</w:t>
      </w:r>
      <w:r>
        <w:fldChar w:fldCharType="end"/>
      </w:r>
      <w:r>
        <w:fldChar w:fldCharType="end"/>
      </w:r>
    </w:p>
    <w:p w14:paraId="5ADE1EA5">
      <w:pPr>
        <w:pStyle w:val="7"/>
        <w:tabs>
          <w:tab w:val="right" w:leader="dot" w:pos="8306"/>
          <w:tab w:val="clear" w:pos="9241"/>
        </w:tabs>
        <w:ind w:firstLine="210"/>
      </w:pPr>
      <w:r>
        <w:fldChar w:fldCharType="begin"/>
      </w:r>
      <w:r>
        <w:instrText xml:space="preserve"> HYPERLINK \l "_Toc6054" </w:instrText>
      </w:r>
      <w:r>
        <w:fldChar w:fldCharType="separate"/>
      </w:r>
      <w:r>
        <w:rPr>
          <w:rFonts w:ascii="Times New Roman"/>
          <w:szCs w:val="28"/>
        </w:rPr>
        <w:t>4.1  一般规定</w:t>
      </w:r>
      <w:r>
        <w:tab/>
      </w:r>
      <w:r>
        <w:fldChar w:fldCharType="begin"/>
      </w:r>
      <w:r>
        <w:instrText xml:space="preserve"> PAGEREF _Toc6054 \h </w:instrText>
      </w:r>
      <w:r>
        <w:fldChar w:fldCharType="separate"/>
      </w:r>
      <w:r>
        <w:t>4</w:t>
      </w:r>
      <w:r>
        <w:fldChar w:fldCharType="end"/>
      </w:r>
      <w:r>
        <w:fldChar w:fldCharType="end"/>
      </w:r>
    </w:p>
    <w:p w14:paraId="164A8D44">
      <w:pPr>
        <w:pStyle w:val="7"/>
        <w:tabs>
          <w:tab w:val="right" w:leader="dot" w:pos="8306"/>
          <w:tab w:val="clear" w:pos="9241"/>
        </w:tabs>
        <w:ind w:firstLine="210"/>
      </w:pPr>
      <w:r>
        <w:fldChar w:fldCharType="begin"/>
      </w:r>
      <w:r>
        <w:instrText xml:space="preserve"> HYPERLINK \l "_Toc29722" </w:instrText>
      </w:r>
      <w:r>
        <w:fldChar w:fldCharType="separate"/>
      </w:r>
      <w:r>
        <w:rPr>
          <w:rFonts w:ascii="Times New Roman"/>
          <w:szCs w:val="28"/>
        </w:rPr>
        <w:t>4.2  场地</w:t>
      </w:r>
      <w:r>
        <w:rPr>
          <w:rFonts w:hint="eastAsia" w:ascii="Times New Roman"/>
          <w:szCs w:val="28"/>
        </w:rPr>
        <w:t>布置</w:t>
      </w:r>
      <w:r>
        <w:tab/>
      </w:r>
      <w:r>
        <w:fldChar w:fldCharType="begin"/>
      </w:r>
      <w:r>
        <w:instrText xml:space="preserve"> PAGEREF _Toc29722 \h </w:instrText>
      </w:r>
      <w:r>
        <w:fldChar w:fldCharType="separate"/>
      </w:r>
      <w:r>
        <w:t>4</w:t>
      </w:r>
      <w:r>
        <w:fldChar w:fldCharType="end"/>
      </w:r>
      <w:r>
        <w:fldChar w:fldCharType="end"/>
      </w:r>
    </w:p>
    <w:p w14:paraId="451A1DB4">
      <w:pPr>
        <w:pStyle w:val="7"/>
        <w:tabs>
          <w:tab w:val="right" w:leader="dot" w:pos="8306"/>
          <w:tab w:val="clear" w:pos="9241"/>
        </w:tabs>
        <w:ind w:firstLine="210"/>
      </w:pPr>
      <w:r>
        <w:fldChar w:fldCharType="begin"/>
      </w:r>
      <w:r>
        <w:instrText xml:space="preserve"> HYPERLINK \l "_Toc17339" </w:instrText>
      </w:r>
      <w:r>
        <w:fldChar w:fldCharType="separate"/>
      </w:r>
      <w:r>
        <w:rPr>
          <w:rFonts w:ascii="Times New Roman"/>
          <w:szCs w:val="28"/>
        </w:rPr>
        <w:t>4.3  系统设计</w:t>
      </w:r>
      <w:r>
        <w:tab/>
      </w:r>
      <w:r>
        <w:fldChar w:fldCharType="begin"/>
      </w:r>
      <w:r>
        <w:instrText xml:space="preserve"> PAGEREF _Toc17339 \h </w:instrText>
      </w:r>
      <w:r>
        <w:fldChar w:fldCharType="separate"/>
      </w:r>
      <w:r>
        <w:t>4</w:t>
      </w:r>
      <w:r>
        <w:fldChar w:fldCharType="end"/>
      </w:r>
      <w:r>
        <w:fldChar w:fldCharType="end"/>
      </w:r>
    </w:p>
    <w:p w14:paraId="15F25E7B">
      <w:pPr>
        <w:pStyle w:val="7"/>
        <w:tabs>
          <w:tab w:val="right" w:leader="dot" w:pos="8306"/>
          <w:tab w:val="clear" w:pos="9241"/>
        </w:tabs>
        <w:ind w:firstLine="210"/>
      </w:pPr>
      <w:r>
        <w:fldChar w:fldCharType="begin"/>
      </w:r>
      <w:r>
        <w:instrText xml:space="preserve"> HYPERLINK \l "_Toc18321" </w:instrText>
      </w:r>
      <w:r>
        <w:fldChar w:fldCharType="separate"/>
      </w:r>
      <w:r>
        <w:rPr>
          <w:rFonts w:ascii="Times New Roman"/>
          <w:szCs w:val="28"/>
        </w:rPr>
        <w:t>4.4  安全</w:t>
      </w:r>
      <w:r>
        <w:rPr>
          <w:rFonts w:hint="eastAsia" w:ascii="Times New Roman"/>
          <w:szCs w:val="28"/>
        </w:rPr>
        <w:t>和</w:t>
      </w:r>
      <w:r>
        <w:rPr>
          <w:rFonts w:ascii="Times New Roman"/>
          <w:szCs w:val="28"/>
        </w:rPr>
        <w:t>环保</w:t>
      </w:r>
      <w:r>
        <w:tab/>
      </w:r>
      <w:r>
        <w:fldChar w:fldCharType="begin"/>
      </w:r>
      <w:r>
        <w:instrText xml:space="preserve"> PAGEREF _Toc18321 \h </w:instrText>
      </w:r>
      <w:r>
        <w:fldChar w:fldCharType="separate"/>
      </w:r>
      <w:r>
        <w:t>4</w:t>
      </w:r>
      <w:r>
        <w:fldChar w:fldCharType="end"/>
      </w:r>
      <w:r>
        <w:fldChar w:fldCharType="end"/>
      </w:r>
    </w:p>
    <w:p w14:paraId="0E1F513B">
      <w:pPr>
        <w:pStyle w:val="11"/>
        <w:tabs>
          <w:tab w:val="right" w:leader="dot" w:pos="8306"/>
          <w:tab w:val="clear" w:pos="9241"/>
        </w:tabs>
        <w:spacing w:before="78" w:after="78"/>
      </w:pPr>
      <w:r>
        <w:fldChar w:fldCharType="begin"/>
      </w:r>
      <w:r>
        <w:instrText xml:space="preserve"> HYPERLINK \l "_Toc16079" </w:instrText>
      </w:r>
      <w:r>
        <w:fldChar w:fldCharType="separate"/>
      </w:r>
      <w:r>
        <w:rPr>
          <w:rFonts w:ascii="Times New Roman"/>
          <w:szCs w:val="32"/>
        </w:rPr>
        <w:t>5  安装和验收</w:t>
      </w:r>
      <w:r>
        <w:tab/>
      </w:r>
      <w:r>
        <w:fldChar w:fldCharType="begin"/>
      </w:r>
      <w:r>
        <w:instrText xml:space="preserve"> PAGEREF _Toc16079 \h </w:instrText>
      </w:r>
      <w:r>
        <w:fldChar w:fldCharType="separate"/>
      </w:r>
      <w:r>
        <w:t>6</w:t>
      </w:r>
      <w:r>
        <w:fldChar w:fldCharType="end"/>
      </w:r>
      <w:r>
        <w:fldChar w:fldCharType="end"/>
      </w:r>
    </w:p>
    <w:p w14:paraId="627BEEEB">
      <w:pPr>
        <w:pStyle w:val="7"/>
        <w:tabs>
          <w:tab w:val="right" w:leader="dot" w:pos="8306"/>
          <w:tab w:val="clear" w:pos="9241"/>
        </w:tabs>
        <w:ind w:firstLine="210"/>
      </w:pPr>
      <w:r>
        <w:fldChar w:fldCharType="begin"/>
      </w:r>
      <w:r>
        <w:instrText xml:space="preserve"> HYPERLINK \l "_Toc0" </w:instrText>
      </w:r>
      <w:r>
        <w:fldChar w:fldCharType="separate"/>
      </w:r>
      <w:r>
        <w:rPr>
          <w:rFonts w:ascii="Times New Roman"/>
          <w:szCs w:val="28"/>
        </w:rPr>
        <w:t>5.1  一般规定</w:t>
      </w:r>
      <w:r>
        <w:tab/>
      </w:r>
      <w:r>
        <w:fldChar w:fldCharType="begin"/>
      </w:r>
      <w:r>
        <w:instrText xml:space="preserve"> PAGEREF _Toc0 \h </w:instrText>
      </w:r>
      <w:r>
        <w:fldChar w:fldCharType="separate"/>
      </w:r>
      <w:r>
        <w:t>6</w:t>
      </w:r>
      <w:r>
        <w:fldChar w:fldCharType="end"/>
      </w:r>
      <w:r>
        <w:fldChar w:fldCharType="end"/>
      </w:r>
    </w:p>
    <w:p w14:paraId="478986D6">
      <w:pPr>
        <w:pStyle w:val="7"/>
        <w:tabs>
          <w:tab w:val="right" w:leader="dot" w:pos="8306"/>
          <w:tab w:val="clear" w:pos="9241"/>
        </w:tabs>
        <w:ind w:firstLine="210"/>
      </w:pPr>
      <w:r>
        <w:fldChar w:fldCharType="begin"/>
      </w:r>
      <w:r>
        <w:instrText xml:space="preserve"> HYPERLINK \l "_Toc31263" </w:instrText>
      </w:r>
      <w:r>
        <w:fldChar w:fldCharType="separate"/>
      </w:r>
      <w:r>
        <w:rPr>
          <w:rFonts w:ascii="Times New Roman"/>
          <w:szCs w:val="28"/>
        </w:rPr>
        <w:t>5.2  场地验收</w:t>
      </w:r>
      <w:r>
        <w:tab/>
      </w:r>
      <w:r>
        <w:fldChar w:fldCharType="begin"/>
      </w:r>
      <w:r>
        <w:instrText xml:space="preserve"> PAGEREF _Toc31263 \h </w:instrText>
      </w:r>
      <w:r>
        <w:fldChar w:fldCharType="separate"/>
      </w:r>
      <w:r>
        <w:t>6</w:t>
      </w:r>
      <w:r>
        <w:fldChar w:fldCharType="end"/>
      </w:r>
      <w:r>
        <w:fldChar w:fldCharType="end"/>
      </w:r>
    </w:p>
    <w:p w14:paraId="020694F1">
      <w:pPr>
        <w:pStyle w:val="7"/>
        <w:tabs>
          <w:tab w:val="right" w:leader="dot" w:pos="8306"/>
          <w:tab w:val="clear" w:pos="9241"/>
        </w:tabs>
        <w:ind w:firstLine="210"/>
      </w:pPr>
      <w:r>
        <w:fldChar w:fldCharType="begin"/>
      </w:r>
      <w:r>
        <w:instrText xml:space="preserve"> HYPERLINK \l "_Toc31578" </w:instrText>
      </w:r>
      <w:r>
        <w:fldChar w:fldCharType="separate"/>
      </w:r>
      <w:r>
        <w:rPr>
          <w:rFonts w:ascii="Times New Roman"/>
          <w:szCs w:val="28"/>
        </w:rPr>
        <w:t>5.3  系统安装</w:t>
      </w:r>
      <w:r>
        <w:tab/>
      </w:r>
      <w:r>
        <w:fldChar w:fldCharType="begin"/>
      </w:r>
      <w:r>
        <w:instrText xml:space="preserve"> PAGEREF _Toc31578 \h </w:instrText>
      </w:r>
      <w:r>
        <w:fldChar w:fldCharType="separate"/>
      </w:r>
      <w:r>
        <w:t>6</w:t>
      </w:r>
      <w:r>
        <w:fldChar w:fldCharType="end"/>
      </w:r>
      <w:r>
        <w:fldChar w:fldCharType="end"/>
      </w:r>
    </w:p>
    <w:p w14:paraId="518C82D1">
      <w:pPr>
        <w:pStyle w:val="7"/>
        <w:tabs>
          <w:tab w:val="right" w:leader="dot" w:pos="8306"/>
          <w:tab w:val="clear" w:pos="9241"/>
        </w:tabs>
        <w:ind w:firstLine="210"/>
      </w:pPr>
      <w:r>
        <w:fldChar w:fldCharType="begin"/>
      </w:r>
      <w:r>
        <w:instrText xml:space="preserve"> HYPERLINK \l "_Toc28367" </w:instrText>
      </w:r>
      <w:r>
        <w:fldChar w:fldCharType="separate"/>
      </w:r>
      <w:r>
        <w:rPr>
          <w:rFonts w:ascii="Times New Roman"/>
          <w:szCs w:val="28"/>
        </w:rPr>
        <w:t>5.4  系统验收</w:t>
      </w:r>
      <w:r>
        <w:tab/>
      </w:r>
      <w:r>
        <w:fldChar w:fldCharType="begin"/>
      </w:r>
      <w:r>
        <w:instrText xml:space="preserve"> PAGEREF _Toc28367 \h </w:instrText>
      </w:r>
      <w:r>
        <w:fldChar w:fldCharType="separate"/>
      </w:r>
      <w:r>
        <w:t>6</w:t>
      </w:r>
      <w:r>
        <w:fldChar w:fldCharType="end"/>
      </w:r>
      <w:r>
        <w:fldChar w:fldCharType="end"/>
      </w:r>
    </w:p>
    <w:p w14:paraId="16837EA5">
      <w:pPr>
        <w:pStyle w:val="11"/>
        <w:tabs>
          <w:tab w:val="right" w:leader="dot" w:pos="8306"/>
          <w:tab w:val="clear" w:pos="9241"/>
        </w:tabs>
        <w:spacing w:before="78" w:after="78"/>
      </w:pPr>
      <w:r>
        <w:fldChar w:fldCharType="begin"/>
      </w:r>
      <w:r>
        <w:instrText xml:space="preserve"> HYPERLINK \l "_Toc7472" </w:instrText>
      </w:r>
      <w:r>
        <w:fldChar w:fldCharType="separate"/>
      </w:r>
      <w:r>
        <w:rPr>
          <w:rFonts w:ascii="Times New Roman"/>
          <w:szCs w:val="32"/>
        </w:rPr>
        <w:t>6  施工现场泥浆处理</w:t>
      </w:r>
      <w:r>
        <w:tab/>
      </w:r>
      <w:r>
        <w:fldChar w:fldCharType="begin"/>
      </w:r>
      <w:r>
        <w:instrText xml:space="preserve"> PAGEREF _Toc7472 \h </w:instrText>
      </w:r>
      <w:r>
        <w:fldChar w:fldCharType="separate"/>
      </w:r>
      <w:r>
        <w:t>8</w:t>
      </w:r>
      <w:r>
        <w:fldChar w:fldCharType="end"/>
      </w:r>
      <w:r>
        <w:fldChar w:fldCharType="end"/>
      </w:r>
    </w:p>
    <w:p w14:paraId="4D9E4DF1">
      <w:pPr>
        <w:pStyle w:val="7"/>
        <w:tabs>
          <w:tab w:val="right" w:leader="dot" w:pos="8306"/>
          <w:tab w:val="clear" w:pos="9241"/>
        </w:tabs>
        <w:ind w:firstLine="210"/>
      </w:pPr>
      <w:r>
        <w:fldChar w:fldCharType="begin"/>
      </w:r>
      <w:r>
        <w:instrText xml:space="preserve"> HYPERLINK \l "_Toc27969" </w:instrText>
      </w:r>
      <w:r>
        <w:fldChar w:fldCharType="separate"/>
      </w:r>
      <w:r>
        <w:rPr>
          <w:rFonts w:ascii="Times New Roman"/>
          <w:szCs w:val="28"/>
        </w:rPr>
        <w:t>6.1  一般规定</w:t>
      </w:r>
      <w:r>
        <w:tab/>
      </w:r>
      <w:r>
        <w:fldChar w:fldCharType="begin"/>
      </w:r>
      <w:r>
        <w:instrText xml:space="preserve"> PAGEREF _Toc27969 \h </w:instrText>
      </w:r>
      <w:r>
        <w:fldChar w:fldCharType="separate"/>
      </w:r>
      <w:r>
        <w:t>8</w:t>
      </w:r>
      <w:r>
        <w:fldChar w:fldCharType="end"/>
      </w:r>
      <w:r>
        <w:fldChar w:fldCharType="end"/>
      </w:r>
    </w:p>
    <w:p w14:paraId="4D20F3C3">
      <w:pPr>
        <w:pStyle w:val="7"/>
        <w:tabs>
          <w:tab w:val="right" w:leader="dot" w:pos="8306"/>
          <w:tab w:val="clear" w:pos="9241"/>
        </w:tabs>
        <w:ind w:firstLine="210"/>
      </w:pPr>
      <w:r>
        <w:fldChar w:fldCharType="begin"/>
      </w:r>
      <w:r>
        <w:instrText xml:space="preserve"> HYPERLINK \l "_Toc19233" </w:instrText>
      </w:r>
      <w:r>
        <w:fldChar w:fldCharType="separate"/>
      </w:r>
      <w:r>
        <w:rPr>
          <w:rFonts w:ascii="Times New Roman"/>
          <w:szCs w:val="28"/>
        </w:rPr>
        <w:t>6.2  泥浆处理</w:t>
      </w:r>
      <w:r>
        <w:rPr>
          <w:rFonts w:hint="eastAsia" w:ascii="Times New Roman"/>
          <w:szCs w:val="28"/>
        </w:rPr>
        <w:t>流程</w:t>
      </w:r>
      <w:r>
        <w:tab/>
      </w:r>
      <w:r>
        <w:fldChar w:fldCharType="begin"/>
      </w:r>
      <w:r>
        <w:instrText xml:space="preserve"> PAGEREF _Toc19233 \h </w:instrText>
      </w:r>
      <w:r>
        <w:fldChar w:fldCharType="separate"/>
      </w:r>
      <w:r>
        <w:t>8</w:t>
      </w:r>
      <w:r>
        <w:fldChar w:fldCharType="end"/>
      </w:r>
      <w:r>
        <w:fldChar w:fldCharType="end"/>
      </w:r>
    </w:p>
    <w:p w14:paraId="0434582F">
      <w:pPr>
        <w:pStyle w:val="7"/>
        <w:tabs>
          <w:tab w:val="right" w:leader="dot" w:pos="8306"/>
          <w:tab w:val="clear" w:pos="9241"/>
        </w:tabs>
        <w:ind w:firstLine="210"/>
      </w:pPr>
      <w:r>
        <w:fldChar w:fldCharType="begin"/>
      </w:r>
      <w:r>
        <w:instrText xml:space="preserve"> HYPERLINK \l "_Toc26678" </w:instrText>
      </w:r>
      <w:r>
        <w:fldChar w:fldCharType="separate"/>
      </w:r>
      <w:r>
        <w:rPr>
          <w:rFonts w:ascii="Times New Roman"/>
          <w:szCs w:val="28"/>
        </w:rPr>
        <w:t>6.3  计</w:t>
      </w:r>
      <w:r>
        <w:rPr>
          <w:rFonts w:hint="eastAsia" w:ascii="Times New Roman"/>
          <w:szCs w:val="28"/>
        </w:rPr>
        <w:t>算</w:t>
      </w:r>
      <w:r>
        <w:tab/>
      </w:r>
      <w:r>
        <w:fldChar w:fldCharType="begin"/>
      </w:r>
      <w:r>
        <w:instrText xml:space="preserve"> PAGEREF _Toc26678 \h </w:instrText>
      </w:r>
      <w:r>
        <w:fldChar w:fldCharType="separate"/>
      </w:r>
      <w:r>
        <w:t>8</w:t>
      </w:r>
      <w:r>
        <w:fldChar w:fldCharType="end"/>
      </w:r>
      <w:r>
        <w:fldChar w:fldCharType="end"/>
      </w:r>
    </w:p>
    <w:p w14:paraId="6727BC78">
      <w:pPr>
        <w:pStyle w:val="11"/>
        <w:tabs>
          <w:tab w:val="right" w:leader="dot" w:pos="8306"/>
          <w:tab w:val="clear" w:pos="9241"/>
        </w:tabs>
        <w:spacing w:before="78" w:after="78"/>
      </w:pPr>
      <w:r>
        <w:fldChar w:fldCharType="begin"/>
      </w:r>
      <w:r>
        <w:instrText xml:space="preserve"> HYPERLINK \l "_Toc18951" </w:instrText>
      </w:r>
      <w:r>
        <w:fldChar w:fldCharType="separate"/>
      </w:r>
      <w:r>
        <w:rPr>
          <w:rFonts w:ascii="Times New Roman"/>
          <w:szCs w:val="32"/>
        </w:rPr>
        <w:t>7  处理效果检测</w:t>
      </w:r>
      <w:r>
        <w:tab/>
      </w:r>
      <w:r>
        <w:fldChar w:fldCharType="begin"/>
      </w:r>
      <w:r>
        <w:instrText xml:space="preserve"> PAGEREF _Toc18951 \h </w:instrText>
      </w:r>
      <w:r>
        <w:fldChar w:fldCharType="separate"/>
      </w:r>
      <w:r>
        <w:t>9</w:t>
      </w:r>
      <w:r>
        <w:fldChar w:fldCharType="end"/>
      </w:r>
      <w:r>
        <w:fldChar w:fldCharType="end"/>
      </w:r>
    </w:p>
    <w:p w14:paraId="7A7626AD">
      <w:pPr>
        <w:pStyle w:val="7"/>
        <w:tabs>
          <w:tab w:val="right" w:leader="dot" w:pos="8306"/>
          <w:tab w:val="clear" w:pos="9241"/>
        </w:tabs>
        <w:ind w:firstLine="210"/>
      </w:pPr>
      <w:r>
        <w:fldChar w:fldCharType="begin"/>
      </w:r>
      <w:r>
        <w:instrText xml:space="preserve"> HYPERLINK \l "_Toc8663" </w:instrText>
      </w:r>
      <w:r>
        <w:fldChar w:fldCharType="separate"/>
      </w:r>
      <w:r>
        <w:rPr>
          <w:rFonts w:ascii="Times New Roman"/>
          <w:szCs w:val="28"/>
        </w:rPr>
        <w:t>7.1  一般规定</w:t>
      </w:r>
      <w:r>
        <w:tab/>
      </w:r>
      <w:r>
        <w:fldChar w:fldCharType="begin"/>
      </w:r>
      <w:r>
        <w:instrText xml:space="preserve"> PAGEREF _Toc8663 \h </w:instrText>
      </w:r>
      <w:r>
        <w:fldChar w:fldCharType="separate"/>
      </w:r>
      <w:r>
        <w:t>9</w:t>
      </w:r>
      <w:r>
        <w:fldChar w:fldCharType="end"/>
      </w:r>
      <w:r>
        <w:fldChar w:fldCharType="end"/>
      </w:r>
    </w:p>
    <w:p w14:paraId="21B6A7F2">
      <w:pPr>
        <w:pStyle w:val="7"/>
        <w:tabs>
          <w:tab w:val="right" w:leader="dot" w:pos="8306"/>
          <w:tab w:val="clear" w:pos="9241"/>
        </w:tabs>
        <w:ind w:firstLine="210"/>
      </w:pPr>
      <w:r>
        <w:fldChar w:fldCharType="begin"/>
      </w:r>
      <w:r>
        <w:instrText xml:space="preserve"> HYPERLINK \l "_Toc26961" </w:instrText>
      </w:r>
      <w:r>
        <w:fldChar w:fldCharType="separate"/>
      </w:r>
      <w:r>
        <w:rPr>
          <w:rFonts w:ascii="Times New Roman"/>
          <w:szCs w:val="28"/>
        </w:rPr>
        <w:t>7.2  处理效果检测</w:t>
      </w:r>
      <w:r>
        <w:tab/>
      </w:r>
      <w:r>
        <w:fldChar w:fldCharType="begin"/>
      </w:r>
      <w:r>
        <w:instrText xml:space="preserve"> PAGEREF _Toc26961 \h </w:instrText>
      </w:r>
      <w:r>
        <w:fldChar w:fldCharType="separate"/>
      </w:r>
      <w:r>
        <w:t>9</w:t>
      </w:r>
      <w:r>
        <w:fldChar w:fldCharType="end"/>
      </w:r>
      <w:r>
        <w:fldChar w:fldCharType="end"/>
      </w:r>
    </w:p>
    <w:p w14:paraId="7755B45F">
      <w:pPr>
        <w:pStyle w:val="7"/>
        <w:tabs>
          <w:tab w:val="right" w:leader="dot" w:pos="8306"/>
          <w:tab w:val="clear" w:pos="9241"/>
        </w:tabs>
        <w:ind w:firstLine="210"/>
      </w:pPr>
      <w:r>
        <w:fldChar w:fldCharType="begin"/>
      </w:r>
      <w:r>
        <w:instrText xml:space="preserve"> HYPERLINK \l "_Toc4627" </w:instrText>
      </w:r>
      <w:r>
        <w:fldChar w:fldCharType="separate"/>
      </w:r>
      <w:r>
        <w:rPr>
          <w:rFonts w:ascii="Times New Roman"/>
          <w:szCs w:val="28"/>
        </w:rPr>
        <w:t xml:space="preserve">7.3  </w:t>
      </w:r>
      <w:r>
        <w:rPr>
          <w:rFonts w:hint="eastAsia" w:ascii="Times New Roman"/>
          <w:szCs w:val="28"/>
        </w:rPr>
        <w:t>档案管理</w:t>
      </w:r>
      <w:r>
        <w:tab/>
      </w:r>
      <w:r>
        <w:fldChar w:fldCharType="begin"/>
      </w:r>
      <w:r>
        <w:instrText xml:space="preserve"> PAGEREF _Toc4627 \h </w:instrText>
      </w:r>
      <w:r>
        <w:fldChar w:fldCharType="separate"/>
      </w:r>
      <w:r>
        <w:t>9</w:t>
      </w:r>
      <w:r>
        <w:fldChar w:fldCharType="end"/>
      </w:r>
      <w:r>
        <w:fldChar w:fldCharType="end"/>
      </w:r>
    </w:p>
    <w:p w14:paraId="2DF588F7">
      <w:pPr>
        <w:pStyle w:val="11"/>
        <w:tabs>
          <w:tab w:val="right" w:leader="dot" w:pos="8306"/>
          <w:tab w:val="clear" w:pos="9241"/>
        </w:tabs>
        <w:spacing w:before="78" w:after="78"/>
      </w:pPr>
      <w:r>
        <w:fldChar w:fldCharType="begin"/>
      </w:r>
      <w:r>
        <w:instrText xml:space="preserve"> HYPERLINK \l "_Toc5739" </w:instrText>
      </w:r>
      <w:r>
        <w:fldChar w:fldCharType="separate"/>
      </w:r>
      <w:r>
        <w:rPr>
          <w:rFonts w:ascii="Times New Roman"/>
          <w:szCs w:val="32"/>
        </w:rPr>
        <w:t xml:space="preserve">8.  </w:t>
      </w:r>
      <w:r>
        <w:rPr>
          <w:rFonts w:hint="eastAsia" w:ascii="Times New Roman"/>
          <w:szCs w:val="32"/>
        </w:rPr>
        <w:t>资源化利用</w:t>
      </w:r>
      <w:r>
        <w:tab/>
      </w:r>
      <w:r>
        <w:fldChar w:fldCharType="begin"/>
      </w:r>
      <w:r>
        <w:instrText xml:space="preserve"> PAGEREF _Toc5739 \h </w:instrText>
      </w:r>
      <w:r>
        <w:fldChar w:fldCharType="separate"/>
      </w:r>
      <w:r>
        <w:t>10</w:t>
      </w:r>
      <w:r>
        <w:fldChar w:fldCharType="end"/>
      </w:r>
      <w:r>
        <w:fldChar w:fldCharType="end"/>
      </w:r>
    </w:p>
    <w:p w14:paraId="3F94274C">
      <w:pPr>
        <w:pStyle w:val="7"/>
        <w:tabs>
          <w:tab w:val="right" w:leader="dot" w:pos="8306"/>
          <w:tab w:val="clear" w:pos="9241"/>
        </w:tabs>
        <w:ind w:firstLine="210"/>
      </w:pPr>
      <w:r>
        <w:fldChar w:fldCharType="begin"/>
      </w:r>
      <w:r>
        <w:instrText xml:space="preserve"> HYPERLINK \l "_Toc22782" </w:instrText>
      </w:r>
      <w:r>
        <w:fldChar w:fldCharType="separate"/>
      </w:r>
      <w:r>
        <w:rPr>
          <w:rFonts w:hint="eastAsia" w:ascii="Times New Roman"/>
          <w:szCs w:val="28"/>
        </w:rPr>
        <w:t xml:space="preserve">8.1 </w:t>
      </w:r>
      <w:r>
        <w:rPr>
          <w:rFonts w:ascii="Times New Roman"/>
          <w:szCs w:val="28"/>
        </w:rPr>
        <w:t xml:space="preserve"> </w:t>
      </w:r>
      <w:r>
        <w:rPr>
          <w:rFonts w:hint="eastAsia" w:ascii="Times New Roman"/>
          <w:szCs w:val="28"/>
        </w:rPr>
        <w:t>一般规定</w:t>
      </w:r>
      <w:r>
        <w:tab/>
      </w:r>
      <w:r>
        <w:fldChar w:fldCharType="begin"/>
      </w:r>
      <w:r>
        <w:instrText xml:space="preserve"> PAGEREF _Toc22782 \h </w:instrText>
      </w:r>
      <w:r>
        <w:fldChar w:fldCharType="separate"/>
      </w:r>
      <w:r>
        <w:t>10</w:t>
      </w:r>
      <w:r>
        <w:fldChar w:fldCharType="end"/>
      </w:r>
      <w:r>
        <w:fldChar w:fldCharType="end"/>
      </w:r>
    </w:p>
    <w:p w14:paraId="31B477F6">
      <w:pPr>
        <w:pStyle w:val="7"/>
        <w:tabs>
          <w:tab w:val="right" w:leader="dot" w:pos="8306"/>
          <w:tab w:val="clear" w:pos="9241"/>
        </w:tabs>
        <w:ind w:firstLine="210"/>
      </w:pPr>
      <w:r>
        <w:fldChar w:fldCharType="begin"/>
      </w:r>
      <w:r>
        <w:instrText xml:space="preserve"> HYPERLINK \l "_Toc32" </w:instrText>
      </w:r>
      <w:r>
        <w:fldChar w:fldCharType="separate"/>
      </w:r>
      <w:r>
        <w:rPr>
          <w:rFonts w:hint="eastAsia" w:ascii="Times New Roman"/>
          <w:szCs w:val="28"/>
        </w:rPr>
        <w:t xml:space="preserve">8.2 </w:t>
      </w:r>
      <w:r>
        <w:rPr>
          <w:rFonts w:ascii="Times New Roman"/>
          <w:szCs w:val="28"/>
        </w:rPr>
        <w:t xml:space="preserve"> </w:t>
      </w:r>
      <w:r>
        <w:rPr>
          <w:rFonts w:hint="eastAsia" w:ascii="Times New Roman"/>
          <w:szCs w:val="28"/>
        </w:rPr>
        <w:t>干泥再生处理</w:t>
      </w:r>
      <w:r>
        <w:tab/>
      </w:r>
      <w:r>
        <w:fldChar w:fldCharType="begin"/>
      </w:r>
      <w:r>
        <w:instrText xml:space="preserve"> PAGEREF _Toc32 \h </w:instrText>
      </w:r>
      <w:r>
        <w:fldChar w:fldCharType="separate"/>
      </w:r>
      <w:r>
        <w:t>10</w:t>
      </w:r>
      <w:r>
        <w:fldChar w:fldCharType="end"/>
      </w:r>
      <w:r>
        <w:fldChar w:fldCharType="end"/>
      </w:r>
    </w:p>
    <w:p w14:paraId="736ADAAD">
      <w:pPr>
        <w:pStyle w:val="7"/>
        <w:tabs>
          <w:tab w:val="right" w:leader="dot" w:pos="8306"/>
          <w:tab w:val="clear" w:pos="9241"/>
        </w:tabs>
        <w:ind w:firstLine="210"/>
      </w:pPr>
      <w:r>
        <w:fldChar w:fldCharType="begin"/>
      </w:r>
      <w:r>
        <w:instrText xml:space="preserve"> HYPERLINK \l "_Toc25876" </w:instrText>
      </w:r>
      <w:r>
        <w:fldChar w:fldCharType="separate"/>
      </w:r>
      <w:r>
        <w:rPr>
          <w:rFonts w:hint="eastAsia" w:ascii="Times New Roman"/>
          <w:szCs w:val="28"/>
        </w:rPr>
        <w:t xml:space="preserve">8.3 </w:t>
      </w:r>
      <w:r>
        <w:rPr>
          <w:rFonts w:ascii="Times New Roman"/>
          <w:szCs w:val="28"/>
        </w:rPr>
        <w:t xml:space="preserve"> </w:t>
      </w:r>
      <w:r>
        <w:rPr>
          <w:rFonts w:hint="eastAsia" w:ascii="Times New Roman"/>
          <w:szCs w:val="28"/>
        </w:rPr>
        <w:t>砂土再生处理</w:t>
      </w:r>
      <w:r>
        <w:tab/>
      </w:r>
      <w:r>
        <w:fldChar w:fldCharType="begin"/>
      </w:r>
      <w:r>
        <w:instrText xml:space="preserve"> PAGEREF _Toc25876 \h </w:instrText>
      </w:r>
      <w:r>
        <w:fldChar w:fldCharType="separate"/>
      </w:r>
      <w:r>
        <w:t>11</w:t>
      </w:r>
      <w:r>
        <w:fldChar w:fldCharType="end"/>
      </w:r>
      <w:r>
        <w:fldChar w:fldCharType="end"/>
      </w:r>
    </w:p>
    <w:p w14:paraId="65541588">
      <w:pPr>
        <w:pStyle w:val="7"/>
        <w:tabs>
          <w:tab w:val="right" w:leader="dot" w:pos="8306"/>
          <w:tab w:val="clear" w:pos="9241"/>
        </w:tabs>
        <w:ind w:firstLine="210"/>
      </w:pPr>
      <w:r>
        <w:fldChar w:fldCharType="begin"/>
      </w:r>
      <w:r>
        <w:instrText xml:space="preserve"> HYPERLINK \l "_Toc29278" </w:instrText>
      </w:r>
      <w:r>
        <w:fldChar w:fldCharType="separate"/>
      </w:r>
      <w:r>
        <w:rPr>
          <w:rFonts w:hint="eastAsia" w:ascii="Times New Roman"/>
          <w:szCs w:val="28"/>
        </w:rPr>
        <w:t>8.4</w:t>
      </w:r>
      <w:r>
        <w:rPr>
          <w:rFonts w:ascii="Times New Roman"/>
          <w:szCs w:val="28"/>
        </w:rPr>
        <w:t xml:space="preserve"> </w:t>
      </w:r>
      <w:r>
        <w:rPr>
          <w:rFonts w:hint="eastAsia" w:ascii="Times New Roman"/>
          <w:szCs w:val="28"/>
        </w:rPr>
        <w:t xml:space="preserve"> 清液再利用</w:t>
      </w:r>
      <w:r>
        <w:tab/>
      </w:r>
      <w:r>
        <w:fldChar w:fldCharType="begin"/>
      </w:r>
      <w:r>
        <w:instrText xml:space="preserve"> PAGEREF _Toc29278 \h </w:instrText>
      </w:r>
      <w:r>
        <w:fldChar w:fldCharType="separate"/>
      </w:r>
      <w:r>
        <w:t>11</w:t>
      </w:r>
      <w:r>
        <w:fldChar w:fldCharType="end"/>
      </w:r>
      <w:r>
        <w:fldChar w:fldCharType="end"/>
      </w:r>
    </w:p>
    <w:p w14:paraId="65CAF7D1">
      <w:pPr>
        <w:pStyle w:val="11"/>
        <w:tabs>
          <w:tab w:val="right" w:leader="dot" w:pos="8306"/>
          <w:tab w:val="clear" w:pos="9241"/>
        </w:tabs>
        <w:spacing w:before="78" w:after="78"/>
      </w:pPr>
      <w:r>
        <w:fldChar w:fldCharType="begin"/>
      </w:r>
      <w:r>
        <w:instrText xml:space="preserve"> HYPERLINK \l "_Toc29826" </w:instrText>
      </w:r>
      <w:r>
        <w:fldChar w:fldCharType="separate"/>
      </w:r>
      <w:r>
        <w:rPr>
          <w:rFonts w:ascii="Times New Roman"/>
          <w:szCs w:val="32"/>
        </w:rPr>
        <w:t xml:space="preserve">附录A </w:t>
      </w:r>
      <w:r>
        <w:rPr>
          <w:rFonts w:hint="eastAsia" w:ascii="Times New Roman"/>
          <w:szCs w:val="32"/>
        </w:rPr>
        <w:t>设备</w:t>
      </w:r>
      <w:r>
        <w:rPr>
          <w:rFonts w:ascii="Times New Roman"/>
          <w:szCs w:val="32"/>
        </w:rPr>
        <w:t>日常维护</w:t>
      </w:r>
      <w:r>
        <w:rPr>
          <w:rFonts w:hint="eastAsia" w:ascii="Times New Roman"/>
          <w:szCs w:val="32"/>
        </w:rPr>
        <w:t>保养</w:t>
      </w:r>
      <w:r>
        <w:rPr>
          <w:rFonts w:ascii="Times New Roman"/>
          <w:szCs w:val="32"/>
        </w:rPr>
        <w:t>记录表</w:t>
      </w:r>
      <w:r>
        <w:tab/>
      </w:r>
      <w:r>
        <w:fldChar w:fldCharType="begin"/>
      </w:r>
      <w:r>
        <w:instrText xml:space="preserve"> PAGEREF _Toc29826 \h </w:instrText>
      </w:r>
      <w:r>
        <w:fldChar w:fldCharType="separate"/>
      </w:r>
      <w:r>
        <w:t>13</w:t>
      </w:r>
      <w:r>
        <w:fldChar w:fldCharType="end"/>
      </w:r>
      <w:r>
        <w:fldChar w:fldCharType="end"/>
      </w:r>
    </w:p>
    <w:p w14:paraId="3691FEF8">
      <w:pPr>
        <w:pStyle w:val="11"/>
        <w:tabs>
          <w:tab w:val="right" w:leader="dot" w:pos="8306"/>
          <w:tab w:val="clear" w:pos="9241"/>
        </w:tabs>
        <w:spacing w:before="78" w:after="78"/>
      </w:pPr>
      <w:r>
        <w:fldChar w:fldCharType="begin"/>
      </w:r>
      <w:r>
        <w:instrText xml:space="preserve"> HYPERLINK \l "_Toc5314" </w:instrText>
      </w:r>
      <w:r>
        <w:fldChar w:fldCharType="separate"/>
      </w:r>
      <w:r>
        <w:rPr>
          <w:rFonts w:hint="eastAsia" w:ascii="Times New Roman"/>
          <w:szCs w:val="32"/>
        </w:rPr>
        <w:t>附录B 工程泥浆原地处理生产信息记录表</w:t>
      </w:r>
      <w:r>
        <w:tab/>
      </w:r>
      <w:r>
        <w:fldChar w:fldCharType="begin"/>
      </w:r>
      <w:r>
        <w:instrText xml:space="preserve"> PAGEREF _Toc5314 \h </w:instrText>
      </w:r>
      <w:r>
        <w:fldChar w:fldCharType="separate"/>
      </w:r>
      <w:r>
        <w:t>14</w:t>
      </w:r>
      <w:r>
        <w:fldChar w:fldCharType="end"/>
      </w:r>
      <w:r>
        <w:fldChar w:fldCharType="end"/>
      </w:r>
    </w:p>
    <w:p w14:paraId="19EF351B">
      <w:pPr>
        <w:pStyle w:val="11"/>
        <w:tabs>
          <w:tab w:val="right" w:leader="dot" w:pos="8306"/>
          <w:tab w:val="clear" w:pos="9241"/>
        </w:tabs>
        <w:spacing w:before="78" w:after="78"/>
      </w:pPr>
      <w:r>
        <w:fldChar w:fldCharType="begin"/>
      </w:r>
      <w:r>
        <w:instrText xml:space="preserve"> HYPERLINK \l "_Toc4590" </w:instrText>
      </w:r>
      <w:r>
        <w:fldChar w:fldCharType="separate"/>
      </w:r>
      <w:r>
        <w:rPr>
          <w:rFonts w:ascii="Times New Roman"/>
          <w:szCs w:val="32"/>
        </w:rPr>
        <w:t>本标准用词说明</w:t>
      </w:r>
      <w:r>
        <w:tab/>
      </w:r>
      <w:r>
        <w:fldChar w:fldCharType="begin"/>
      </w:r>
      <w:r>
        <w:instrText xml:space="preserve"> PAGEREF _Toc4590 \h </w:instrText>
      </w:r>
      <w:r>
        <w:fldChar w:fldCharType="separate"/>
      </w:r>
      <w:r>
        <w:t>15</w:t>
      </w:r>
      <w:r>
        <w:fldChar w:fldCharType="end"/>
      </w:r>
      <w:r>
        <w:fldChar w:fldCharType="end"/>
      </w:r>
    </w:p>
    <w:p w14:paraId="08D50B74">
      <w:pPr>
        <w:pStyle w:val="11"/>
        <w:tabs>
          <w:tab w:val="right" w:leader="dot" w:pos="8306"/>
          <w:tab w:val="clear" w:pos="9241"/>
        </w:tabs>
        <w:spacing w:before="78" w:after="78"/>
      </w:pPr>
      <w:r>
        <w:fldChar w:fldCharType="begin"/>
      </w:r>
      <w:r>
        <w:instrText xml:space="preserve"> HYPERLINK \l "_Toc19154" </w:instrText>
      </w:r>
      <w:r>
        <w:fldChar w:fldCharType="separate"/>
      </w:r>
      <w:r>
        <w:rPr>
          <w:rFonts w:ascii="Times New Roman"/>
          <w:szCs w:val="32"/>
        </w:rPr>
        <w:t>引用标准名录</w:t>
      </w:r>
      <w:r>
        <w:tab/>
      </w:r>
      <w:r>
        <w:fldChar w:fldCharType="begin"/>
      </w:r>
      <w:r>
        <w:instrText xml:space="preserve"> PAGEREF _Toc19154 \h </w:instrText>
      </w:r>
      <w:r>
        <w:fldChar w:fldCharType="separate"/>
      </w:r>
      <w:r>
        <w:t>16</w:t>
      </w:r>
      <w:r>
        <w:fldChar w:fldCharType="end"/>
      </w:r>
      <w:r>
        <w:fldChar w:fldCharType="end"/>
      </w:r>
    </w:p>
    <w:p w14:paraId="70250EEB">
      <w:pPr>
        <w:pStyle w:val="11"/>
        <w:tabs>
          <w:tab w:val="right" w:leader="dot" w:pos="8306"/>
          <w:tab w:val="clear" w:pos="9241"/>
        </w:tabs>
        <w:spacing w:before="78" w:after="78"/>
      </w:pPr>
      <w:r>
        <w:fldChar w:fldCharType="begin"/>
      </w:r>
      <w:r>
        <w:instrText xml:space="preserve"> HYPERLINK \l "_Toc28761" </w:instrText>
      </w:r>
      <w:r>
        <w:fldChar w:fldCharType="separate"/>
      </w:r>
      <w:r>
        <w:rPr>
          <w:rFonts w:ascii="Times New Roman"/>
          <w:szCs w:val="32"/>
        </w:rPr>
        <w:t>条文说明</w:t>
      </w:r>
      <w:r>
        <w:tab/>
      </w:r>
      <w:r>
        <w:fldChar w:fldCharType="begin"/>
      </w:r>
      <w:r>
        <w:instrText xml:space="preserve"> PAGEREF _Toc28761 \h </w:instrText>
      </w:r>
      <w:r>
        <w:fldChar w:fldCharType="separate"/>
      </w:r>
      <w:r>
        <w:t>17</w:t>
      </w:r>
      <w:r>
        <w:fldChar w:fldCharType="end"/>
      </w:r>
      <w:r>
        <w:fldChar w:fldCharType="end"/>
      </w:r>
    </w:p>
    <w:p w14:paraId="58BA4CE6">
      <w:pPr>
        <w:spacing w:before="25" w:after="25" w:line="288" w:lineRule="auto"/>
        <w:jc w:val="center"/>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Cs w:val="24"/>
          <w14:textFill>
            <w14:solidFill>
              <w14:schemeClr w14:val="tx1"/>
            </w14:solidFill>
          </w14:textFill>
        </w:rPr>
        <w:fldChar w:fldCharType="end"/>
      </w:r>
    </w:p>
    <w:p w14:paraId="7E24F362">
      <w:pPr>
        <w:spacing w:before="25" w:after="25" w:line="288" w:lineRule="auto"/>
        <w:jc w:val="center"/>
        <w:rPr>
          <w:rFonts w:ascii="Times New Roman" w:hAnsi="Times New Roman" w:cs="Times New Roman"/>
          <w:color w:val="000000" w:themeColor="text1"/>
          <w:sz w:val="24"/>
          <w:szCs w:val="24"/>
          <w14:textFill>
            <w14:solidFill>
              <w14:schemeClr w14:val="tx1"/>
            </w14:solidFill>
          </w14:textFill>
        </w:rPr>
      </w:pPr>
    </w:p>
    <w:p w14:paraId="6A9A0304">
      <w:pPr>
        <w:spacing w:before="25" w:after="25" w:line="288" w:lineRule="auto"/>
        <w:jc w:val="center"/>
        <w:rPr>
          <w:rFonts w:ascii="Times New Roman" w:hAnsi="Times New Roman" w:cs="Times New Roman"/>
          <w:color w:val="000000" w:themeColor="text1"/>
          <w:sz w:val="24"/>
          <w:szCs w:val="24"/>
          <w14:textFill>
            <w14:solidFill>
              <w14:schemeClr w14:val="tx1"/>
            </w14:solidFill>
          </w14:textFill>
        </w:rPr>
      </w:pPr>
    </w:p>
    <w:p w14:paraId="31729994">
      <w:pPr>
        <w:spacing w:before="25" w:after="25" w:line="288" w:lineRule="auto"/>
        <w:jc w:val="center"/>
        <w:rPr>
          <w:rFonts w:ascii="Times New Roman" w:hAnsi="Times New Roman" w:cs="Times New Roman"/>
          <w:color w:val="000000" w:themeColor="text1"/>
          <w:sz w:val="24"/>
          <w:szCs w:val="24"/>
          <w14:textFill>
            <w14:solidFill>
              <w14:schemeClr w14:val="tx1"/>
            </w14:solidFill>
          </w14:textFill>
        </w:rPr>
      </w:pPr>
    </w:p>
    <w:p w14:paraId="53870234">
      <w:pPr>
        <w:spacing w:before="25" w:after="25" w:line="288" w:lineRule="auto"/>
        <w:jc w:val="center"/>
        <w:rPr>
          <w:rFonts w:ascii="Times New Roman" w:hAnsi="Times New Roman" w:cs="Times New Roman"/>
          <w:color w:val="000000" w:themeColor="text1"/>
          <w14:textFill>
            <w14:solidFill>
              <w14:schemeClr w14:val="tx1"/>
            </w14:solidFill>
          </w14:textFill>
        </w:rPr>
      </w:pPr>
      <w:r>
        <w:rPr>
          <w:rFonts w:ascii="Times New Roman" w:hAnsi="Times New Roman" w:eastAsia="黑体" w:cs="Times New Roman"/>
          <w:color w:val="000000" w:themeColor="text1"/>
          <w:kern w:val="0"/>
          <w:sz w:val="32"/>
          <w:szCs w:val="20"/>
          <w:lang w:bidi="ar"/>
          <w14:textFill>
            <w14:solidFill>
              <w14:schemeClr w14:val="tx1"/>
            </w14:solidFill>
          </w14:textFill>
        </w:rPr>
        <w:t>Contents</w:t>
      </w:r>
      <w:r>
        <w:rPr>
          <w:rFonts w:ascii="Times New Roman" w:hAnsi="Times New Roman" w:cs="Times New Roman"/>
          <w:color w:val="000000" w:themeColor="text1"/>
          <w:kern w:val="0"/>
          <w:lang w:bidi="ar"/>
          <w14:textFill>
            <w14:solidFill>
              <w14:schemeClr w14:val="tx1"/>
            </w14:solidFill>
          </w14:textFill>
        </w:rPr>
        <w:fldChar w:fldCharType="begin"/>
      </w:r>
      <w:r>
        <w:rPr>
          <w:rFonts w:ascii="Times New Roman" w:hAnsi="Times New Roman" w:eastAsia="黑体" w:cs="Times New Roman"/>
          <w:color w:val="000000" w:themeColor="text1"/>
          <w:kern w:val="0"/>
          <w:sz w:val="24"/>
          <w:szCs w:val="24"/>
          <w:lang w:bidi="ar"/>
          <w14:textFill>
            <w14:solidFill>
              <w14:schemeClr w14:val="tx1"/>
            </w14:solidFill>
          </w14:textFill>
        </w:rPr>
        <w:instrText xml:space="preserve"> TOC \o "1-3" \h \z \u </w:instrText>
      </w:r>
      <w:r>
        <w:rPr>
          <w:rFonts w:ascii="Times New Roman" w:hAnsi="Times New Roman" w:cs="Times New Roman"/>
          <w:color w:val="000000" w:themeColor="text1"/>
          <w:kern w:val="0"/>
          <w:lang w:bidi="ar"/>
          <w14:textFill>
            <w14:solidFill>
              <w14:schemeClr w14:val="tx1"/>
            </w14:solidFill>
          </w14:textFill>
        </w:rPr>
        <w:fldChar w:fldCharType="separate"/>
      </w:r>
    </w:p>
    <w:p w14:paraId="7D6C6159">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bookmarkStart w:id="22" w:name="_Hlk73540715"/>
      <w:r>
        <w:fldChar w:fldCharType="begin"/>
      </w:r>
      <w:r>
        <w:rPr>
          <w:color w:val="000000" w:themeColor="text1"/>
          <w14:textFill>
            <w14:solidFill>
              <w14:schemeClr w14:val="tx1"/>
            </w14:solidFill>
          </w14:textFill>
        </w:rPr>
        <w:instrText xml:space="preserve"> HYPERLINK "file:///D:/Data/Wechat/Kelly/WeChat%20Files/wxid_0u0sdso7vz2121/FileStorage/File/2020-09/目录v1.docx" \l "_Toc51678213" </w:instrText>
      </w:r>
      <w:r>
        <w:fldChar w:fldCharType="separate"/>
      </w:r>
      <w:r>
        <w:rPr>
          <w:rStyle w:val="21"/>
          <w:color w:val="000000" w:themeColor="text1"/>
          <w:szCs w:val="24"/>
          <w14:textFill>
            <w14:solidFill>
              <w14:schemeClr w14:val="tx1"/>
            </w14:solidFill>
          </w14:textFill>
        </w:rPr>
        <w:t>1 　General Provisions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w:t>
      </w:r>
      <w:r>
        <w:rPr>
          <w:rStyle w:val="21"/>
          <w:color w:val="000000" w:themeColor="text1"/>
          <w:szCs w:val="24"/>
          <w:u w:val="none"/>
          <w14:textFill>
            <w14:solidFill>
              <w14:schemeClr w14:val="tx1"/>
            </w14:solidFill>
          </w14:textFill>
        </w:rPr>
        <w:fldChar w:fldCharType="end"/>
      </w:r>
    </w:p>
    <w:p w14:paraId="41DF9914">
      <w:pPr>
        <w:pStyle w:val="14"/>
        <w:tabs>
          <w:tab w:val="right" w:leader="dot" w:pos="8222"/>
        </w:tabs>
        <w:snapToGrid w:val="0"/>
        <w:spacing w:before="78" w:beforeLines="25" w:after="78" w:afterLines="25" w:line="288" w:lineRule="auto"/>
        <w:jc w:val="left"/>
        <w:rPr>
          <w:rStyle w:val="21"/>
          <w:color w:val="000000" w:themeColor="text1"/>
          <w:szCs w:val="24"/>
          <w:u w:val="none"/>
          <w14:textFill>
            <w14:solidFill>
              <w14:schemeClr w14:val="tx1"/>
            </w14:solidFill>
          </w14:textFill>
        </w:rPr>
      </w:pPr>
      <w:r>
        <w:fldChar w:fldCharType="begin"/>
      </w:r>
      <w:r>
        <w:instrText xml:space="preserve"> HYPERLINK "file:///D:/Data/Wechat/Kelly/WeChat%20Files/wxid_0u0sdso7vz2121/FileStorage/File/2020-09/目录v1.docx" \l "_Toc51678214" </w:instrText>
      </w:r>
      <w:r>
        <w:fldChar w:fldCharType="separate"/>
      </w:r>
      <w:r>
        <w:rPr>
          <w:rStyle w:val="21"/>
          <w:color w:val="000000" w:themeColor="text1"/>
          <w:szCs w:val="24"/>
          <w14:textFill>
            <w14:solidFill>
              <w14:schemeClr w14:val="tx1"/>
            </w14:solidFill>
          </w14:textFill>
        </w:rPr>
        <w:t>2 　Terms and Symbols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2</w:t>
      </w:r>
      <w:r>
        <w:rPr>
          <w:rStyle w:val="21"/>
          <w:color w:val="000000" w:themeColor="text1"/>
          <w:szCs w:val="24"/>
          <w:u w:val="none"/>
          <w14:textFill>
            <w14:solidFill>
              <w14:schemeClr w14:val="tx1"/>
            </w14:solidFill>
          </w14:textFill>
        </w:rPr>
        <w:fldChar w:fldCharType="end"/>
      </w:r>
    </w:p>
    <w:p w14:paraId="3A0076F2">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"_Toc51678217" </w:instrText>
      </w:r>
      <w:r>
        <w:fldChar w:fldCharType="separate"/>
      </w:r>
      <w:r>
        <w:rPr>
          <w:rStyle w:val="21"/>
          <w:color w:val="000000" w:themeColor="text1"/>
          <w:szCs w:val="24"/>
          <w14:textFill>
            <w14:solidFill>
              <w14:schemeClr w14:val="tx1"/>
            </w14:solidFill>
          </w14:textFill>
        </w:rPr>
        <w:t>2.1 Terms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2</w:t>
      </w:r>
      <w:r>
        <w:rPr>
          <w:rStyle w:val="21"/>
          <w:color w:val="000000" w:themeColor="text1"/>
          <w:szCs w:val="24"/>
          <w:u w:val="none"/>
          <w14:textFill>
            <w14:solidFill>
              <w14:schemeClr w14:val="tx1"/>
            </w14:solidFill>
          </w14:textFill>
        </w:rPr>
        <w:fldChar w:fldCharType="end"/>
      </w:r>
    </w:p>
    <w:p w14:paraId="3EE00438">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"_Toc51678218" </w:instrText>
      </w:r>
      <w:r>
        <w:fldChar w:fldCharType="separate"/>
      </w:r>
      <w:r>
        <w:rPr>
          <w:rStyle w:val="21"/>
          <w:color w:val="000000" w:themeColor="text1"/>
          <w:szCs w:val="24"/>
          <w14:textFill>
            <w14:solidFill>
              <w14:schemeClr w14:val="tx1"/>
            </w14:solidFill>
          </w14:textFill>
        </w:rPr>
        <w:t>2.2 Symbols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2</w:t>
      </w:r>
      <w:r>
        <w:rPr>
          <w:rStyle w:val="21"/>
          <w:color w:val="000000" w:themeColor="text1"/>
          <w:szCs w:val="24"/>
          <w:u w:val="none"/>
          <w14:textFill>
            <w14:solidFill>
              <w14:schemeClr w14:val="tx1"/>
            </w14:solidFill>
          </w14:textFill>
        </w:rPr>
        <w:fldChar w:fldCharType="end"/>
      </w:r>
    </w:p>
    <w:p w14:paraId="330EBE2C">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"_Toc51678215" </w:instrText>
      </w:r>
      <w:r>
        <w:fldChar w:fldCharType="separate"/>
      </w:r>
      <w:r>
        <w:rPr>
          <w:rStyle w:val="21"/>
          <w:color w:val="000000" w:themeColor="text1"/>
          <w:szCs w:val="24"/>
          <w14:textFill>
            <w14:solidFill>
              <w14:schemeClr w14:val="tx1"/>
            </w14:solidFill>
          </w14:textFill>
        </w:rPr>
        <w:t>3 　Basic Requirements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3</w:t>
      </w:r>
      <w:r>
        <w:rPr>
          <w:rStyle w:val="21"/>
          <w:color w:val="000000" w:themeColor="text1"/>
          <w:szCs w:val="24"/>
          <w:u w:val="none"/>
          <w14:textFill>
            <w14:solidFill>
              <w14:schemeClr w14:val="tx1"/>
            </w14:solidFill>
          </w14:textFill>
        </w:rPr>
        <w:fldChar w:fldCharType="end"/>
      </w:r>
    </w:p>
    <w:p w14:paraId="57A2720E">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"_Toc51678216" </w:instrText>
      </w:r>
      <w:r>
        <w:fldChar w:fldCharType="separate"/>
      </w:r>
      <w:r>
        <w:rPr>
          <w:rStyle w:val="21"/>
          <w:color w:val="000000" w:themeColor="text1"/>
          <w:szCs w:val="24"/>
          <w14:textFill>
            <w14:solidFill>
              <w14:schemeClr w14:val="tx1"/>
            </w14:solidFill>
          </w14:textFill>
        </w:rPr>
        <w:t>4 　Planning and Design</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4</w:t>
      </w:r>
      <w:r>
        <w:rPr>
          <w:rStyle w:val="21"/>
          <w:color w:val="000000" w:themeColor="text1"/>
          <w:szCs w:val="24"/>
          <w:u w:val="none"/>
          <w14:textFill>
            <w14:solidFill>
              <w14:schemeClr w14:val="tx1"/>
            </w14:solidFill>
          </w14:textFill>
        </w:rPr>
        <w:fldChar w:fldCharType="end"/>
      </w:r>
    </w:p>
    <w:p w14:paraId="0DFE5549">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"_Toc51678217" </w:instrText>
      </w:r>
      <w:r>
        <w:fldChar w:fldCharType="separate"/>
      </w:r>
      <w:r>
        <w:rPr>
          <w:rStyle w:val="21"/>
          <w:color w:val="000000" w:themeColor="text1"/>
          <w:szCs w:val="24"/>
          <w14:textFill>
            <w14:solidFill>
              <w14:schemeClr w14:val="tx1"/>
            </w14:solidFill>
          </w14:textFill>
        </w:rPr>
        <w:t>4.1 General Requirements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4</w:t>
      </w:r>
      <w:r>
        <w:rPr>
          <w:rStyle w:val="21"/>
          <w:color w:val="000000" w:themeColor="text1"/>
          <w:szCs w:val="24"/>
          <w:u w:val="none"/>
          <w14:textFill>
            <w14:solidFill>
              <w14:schemeClr w14:val="tx1"/>
            </w14:solidFill>
          </w14:textFill>
        </w:rPr>
        <w:fldChar w:fldCharType="end"/>
      </w:r>
    </w:p>
    <w:p w14:paraId="711A8EF5">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"_Toc51678218" </w:instrText>
      </w:r>
      <w:r>
        <w:fldChar w:fldCharType="separate"/>
      </w:r>
      <w:r>
        <w:rPr>
          <w:rStyle w:val="21"/>
          <w:color w:val="000000" w:themeColor="text1"/>
          <w:szCs w:val="24"/>
          <w14:textFill>
            <w14:solidFill>
              <w14:schemeClr w14:val="tx1"/>
            </w14:solidFill>
          </w14:textFill>
        </w:rPr>
        <w:t>4.2 Site Planning</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4</w:t>
      </w:r>
      <w:r>
        <w:rPr>
          <w:rStyle w:val="21"/>
          <w:color w:val="000000" w:themeColor="text1"/>
          <w:szCs w:val="24"/>
          <w:u w:val="none"/>
          <w14:textFill>
            <w14:solidFill>
              <w14:schemeClr w14:val="tx1"/>
            </w14:solidFill>
          </w14:textFill>
        </w:rPr>
        <w:fldChar w:fldCharType="end"/>
      </w:r>
    </w:p>
    <w:p w14:paraId="22EB4B1C">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"_Toc51678219" </w:instrText>
      </w:r>
      <w:r>
        <w:fldChar w:fldCharType="separate"/>
      </w:r>
      <w:r>
        <w:rPr>
          <w:rStyle w:val="21"/>
          <w:color w:val="000000" w:themeColor="text1"/>
          <w:szCs w:val="24"/>
          <w14:textFill>
            <w14:solidFill>
              <w14:schemeClr w14:val="tx1"/>
            </w14:solidFill>
          </w14:textFill>
        </w:rPr>
        <w:t>4.3 System Design</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5</w:t>
      </w:r>
      <w:r>
        <w:rPr>
          <w:rStyle w:val="21"/>
          <w:color w:val="000000" w:themeColor="text1"/>
          <w:szCs w:val="24"/>
          <w:u w:val="none"/>
          <w14:textFill>
            <w14:solidFill>
              <w14:schemeClr w14:val="tx1"/>
            </w14:solidFill>
          </w14:textFill>
        </w:rPr>
        <w:fldChar w:fldCharType="end"/>
      </w:r>
    </w:p>
    <w:p w14:paraId="37AD3F9F">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"_Toc51678220" </w:instrText>
      </w:r>
      <w:r>
        <w:fldChar w:fldCharType="separate"/>
      </w:r>
      <w:r>
        <w:rPr>
          <w:rStyle w:val="21"/>
          <w:color w:val="000000" w:themeColor="text1"/>
          <w:szCs w:val="24"/>
          <w14:textFill>
            <w14:solidFill>
              <w14:schemeClr w14:val="tx1"/>
            </w14:solidFill>
          </w14:textFill>
        </w:rPr>
        <w:t xml:space="preserve">4.4 Design of Safety, Environmental Protection </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5</w:t>
      </w:r>
      <w:r>
        <w:rPr>
          <w:rStyle w:val="21"/>
          <w:color w:val="000000" w:themeColor="text1"/>
          <w:szCs w:val="24"/>
          <w:u w:val="none"/>
          <w14:textFill>
            <w14:solidFill>
              <w14:schemeClr w14:val="tx1"/>
            </w14:solidFill>
          </w14:textFill>
        </w:rPr>
        <w:fldChar w:fldCharType="end"/>
      </w:r>
    </w:p>
    <w:p w14:paraId="0C6E976C">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"_Toc51678222" </w:instrText>
      </w:r>
      <w:r>
        <w:fldChar w:fldCharType="separate"/>
      </w:r>
      <w:r>
        <w:rPr>
          <w:rStyle w:val="21"/>
          <w:color w:val="000000" w:themeColor="text1"/>
          <w:szCs w:val="24"/>
          <w14:textFill>
            <w14:solidFill>
              <w14:schemeClr w14:val="tx1"/>
            </w14:solidFill>
          </w14:textFill>
        </w:rPr>
        <w:t>5 　Installation and Inspection</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6</w:t>
      </w:r>
      <w:r>
        <w:rPr>
          <w:rStyle w:val="21"/>
          <w:color w:val="000000" w:themeColor="text1"/>
          <w:szCs w:val="24"/>
          <w:u w:val="none"/>
          <w14:textFill>
            <w14:solidFill>
              <w14:schemeClr w14:val="tx1"/>
            </w14:solidFill>
          </w14:textFill>
        </w:rPr>
        <w:fldChar w:fldCharType="end"/>
      </w:r>
    </w:p>
    <w:p w14:paraId="09B3C9DA">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"_Toc51678223" </w:instrText>
      </w:r>
      <w:r>
        <w:fldChar w:fldCharType="separate"/>
      </w:r>
      <w:r>
        <w:rPr>
          <w:rStyle w:val="21"/>
          <w:color w:val="000000" w:themeColor="text1"/>
          <w:szCs w:val="24"/>
          <w14:textFill>
            <w14:solidFill>
              <w14:schemeClr w14:val="tx1"/>
            </w14:solidFill>
          </w14:textFill>
        </w:rPr>
        <w:t>5.1 General Requirements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6</w:t>
      </w:r>
    </w:p>
    <w:p w14:paraId="51536BD6">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"_Toc51678224" </w:instrText>
      </w:r>
      <w:r>
        <w:fldChar w:fldCharType="separate"/>
      </w:r>
      <w:r>
        <w:rPr>
          <w:rStyle w:val="21"/>
          <w:color w:val="000000" w:themeColor="text1"/>
          <w:szCs w:val="24"/>
          <w14:textFill>
            <w14:solidFill>
              <w14:schemeClr w14:val="tx1"/>
            </w14:solidFill>
          </w14:textFill>
        </w:rPr>
        <w:t>5.2 Site Inspection</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6</w:t>
      </w:r>
    </w:p>
    <w:p w14:paraId="085CE110">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"_Toc51678225" </w:instrText>
      </w:r>
      <w:r>
        <w:fldChar w:fldCharType="separate"/>
      </w:r>
      <w:r>
        <w:rPr>
          <w:rStyle w:val="21"/>
          <w:color w:val="000000" w:themeColor="text1"/>
          <w:szCs w:val="24"/>
          <w14:textFill>
            <w14:solidFill>
              <w14:schemeClr w14:val="tx1"/>
            </w14:solidFill>
          </w14:textFill>
        </w:rPr>
        <w:t>5.3 System Installation</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6</w:t>
      </w:r>
    </w:p>
    <w:p w14:paraId="6E32E100">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"_Toc51678226" </w:instrText>
      </w:r>
      <w:r>
        <w:fldChar w:fldCharType="separate"/>
      </w:r>
      <w:r>
        <w:rPr>
          <w:rStyle w:val="21"/>
          <w:color w:val="000000" w:themeColor="text1"/>
          <w:szCs w:val="24"/>
          <w:u w:val="none"/>
          <w14:textFill>
            <w14:solidFill>
              <w14:schemeClr w14:val="tx1"/>
            </w14:solidFill>
          </w14:textFill>
        </w:rPr>
        <w:t>5.4 System Inspection</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6</w:t>
      </w:r>
    </w:p>
    <w:p w14:paraId="30EEB410">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"_Toc51678227" </w:instrText>
      </w:r>
      <w:r>
        <w:fldChar w:fldCharType="separate"/>
      </w:r>
      <w:r>
        <w:rPr>
          <w:rStyle w:val="21"/>
          <w:color w:val="000000" w:themeColor="text1"/>
          <w:szCs w:val="24"/>
          <w14:textFill>
            <w14:solidFill>
              <w14:schemeClr w14:val="tx1"/>
            </w14:solidFill>
          </w14:textFill>
        </w:rPr>
        <w:t>6 　Mud Treatment at Construction Site</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8</w:t>
      </w:r>
    </w:p>
    <w:p w14:paraId="507E956A">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"_Toc51678228" </w:instrText>
      </w:r>
      <w:r>
        <w:fldChar w:fldCharType="separate"/>
      </w:r>
      <w:r>
        <w:rPr>
          <w:rStyle w:val="21"/>
          <w:color w:val="000000" w:themeColor="text1"/>
          <w:szCs w:val="24"/>
          <w14:textFill>
            <w14:solidFill>
              <w14:schemeClr w14:val="tx1"/>
            </w14:solidFill>
          </w14:textFill>
        </w:rPr>
        <w:t>6.1 General Requirements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8</w:t>
      </w:r>
    </w:p>
    <w:p w14:paraId="2336E7EA">
      <w:pPr>
        <w:pStyle w:val="14"/>
        <w:tabs>
          <w:tab w:val="right" w:leader="dot" w:pos="8222"/>
        </w:tabs>
        <w:snapToGrid w:val="0"/>
        <w:spacing w:line="288" w:lineRule="auto"/>
        <w:rPr>
          <w:rStyle w:val="21"/>
          <w:color w:val="000000" w:themeColor="text1"/>
          <w:szCs w:val="24"/>
          <w:u w:val="none"/>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"_Toc51678229" </w:instrText>
      </w:r>
      <w:r>
        <w:fldChar w:fldCharType="separate"/>
      </w:r>
      <w:r>
        <w:rPr>
          <w:rStyle w:val="21"/>
          <w:color w:val="000000" w:themeColor="text1"/>
          <w:szCs w:val="24"/>
          <w14:textFill>
            <w14:solidFill>
              <w14:schemeClr w14:val="tx1"/>
            </w14:solidFill>
          </w14:textFill>
        </w:rPr>
        <w:t>6.2 Mud Treatment Process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8</w:t>
      </w:r>
    </w:p>
    <w:p w14:paraId="0C6BBEC6">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"_Toc51678229" </w:instrText>
      </w:r>
      <w:r>
        <w:fldChar w:fldCharType="separate"/>
      </w:r>
      <w:r>
        <w:rPr>
          <w:rStyle w:val="21"/>
          <w:color w:val="000000" w:themeColor="text1"/>
          <w:szCs w:val="24"/>
          <w14:textFill>
            <w14:solidFill>
              <w14:schemeClr w14:val="tx1"/>
            </w14:solidFill>
          </w14:textFill>
        </w:rPr>
        <w:t>6.3 Estimate</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8</w:t>
      </w:r>
    </w:p>
    <w:p w14:paraId="1C825F57">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"_Toc51678230" </w:instrText>
      </w:r>
      <w:r>
        <w:fldChar w:fldCharType="separate"/>
      </w:r>
      <w:r>
        <w:rPr>
          <w:rStyle w:val="21"/>
          <w:color w:val="000000" w:themeColor="text1"/>
          <w:szCs w:val="24"/>
          <w14:textFill>
            <w14:solidFill>
              <w14:schemeClr w14:val="tx1"/>
            </w14:solidFill>
          </w14:textFill>
        </w:rPr>
        <w:t>7 　Measurement of Treatment Effect</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9</w:t>
      </w:r>
    </w:p>
    <w:p w14:paraId="509042EE">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"_Toc51678231" </w:instrText>
      </w:r>
      <w:r>
        <w:fldChar w:fldCharType="separate"/>
      </w:r>
      <w:r>
        <w:rPr>
          <w:rStyle w:val="21"/>
          <w:color w:val="000000" w:themeColor="text1"/>
          <w:szCs w:val="24"/>
          <w14:textFill>
            <w14:solidFill>
              <w14:schemeClr w14:val="tx1"/>
            </w14:solidFill>
          </w14:textFill>
        </w:rPr>
        <w:t>7.1 General Requirements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9</w:t>
      </w:r>
    </w:p>
    <w:p w14:paraId="49647263">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"_Toc51678234" </w:instrText>
      </w:r>
      <w:r>
        <w:fldChar w:fldCharType="separate"/>
      </w:r>
      <w:r>
        <w:rPr>
          <w:rStyle w:val="21"/>
          <w:color w:val="000000" w:themeColor="text1"/>
          <w:szCs w:val="24"/>
          <w14:textFill>
            <w14:solidFill>
              <w14:schemeClr w14:val="tx1"/>
            </w14:solidFill>
          </w14:textFill>
        </w:rPr>
        <w:t>7.2 Treatment Effect Measurement</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9</w:t>
      </w:r>
    </w:p>
    <w:p w14:paraId="2D851635">
      <w:pPr>
        <w:pStyle w:val="14"/>
        <w:tabs>
          <w:tab w:val="right" w:leader="dot" w:pos="8222"/>
        </w:tabs>
        <w:snapToGrid w:val="0"/>
        <w:spacing w:line="288" w:lineRule="auto"/>
        <w:rPr>
          <w:rStyle w:val="21"/>
          <w:color w:val="000000" w:themeColor="text1"/>
          <w:szCs w:val="24"/>
          <w:u w:val="none"/>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"_Toc51678249" </w:instrText>
      </w:r>
      <w:r>
        <w:fldChar w:fldCharType="separate"/>
      </w:r>
      <w:r>
        <w:rPr>
          <w:rStyle w:val="21"/>
          <w:color w:val="000000" w:themeColor="text1"/>
          <w:szCs w:val="24"/>
          <w14:textFill>
            <w14:solidFill>
              <w14:schemeClr w14:val="tx1"/>
            </w14:solidFill>
          </w14:textFill>
        </w:rPr>
        <w:t xml:space="preserve">7.3 File Management </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9</w:t>
      </w:r>
      <w:r>
        <w:rPr>
          <w:rStyle w:val="21"/>
          <w:color w:val="000000" w:themeColor="text1"/>
          <w:szCs w:val="24"/>
          <w:u w:val="none"/>
          <w14:textFill>
            <w14:solidFill>
              <w14:schemeClr w14:val="tx1"/>
            </w14:solidFill>
          </w14:textFill>
        </w:rPr>
        <w:fldChar w:fldCharType="end"/>
      </w:r>
    </w:p>
    <w:p w14:paraId="01A0CD58">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"_Toc51678230" </w:instrText>
      </w:r>
      <w:r>
        <w:fldChar w:fldCharType="separate"/>
      </w:r>
      <w:r>
        <w:rPr>
          <w:rStyle w:val="21"/>
          <w:color w:val="000000" w:themeColor="text1"/>
          <w:szCs w:val="24"/>
          <w14:textFill>
            <w14:solidFill>
              <w14:schemeClr w14:val="tx1"/>
            </w14:solidFill>
          </w14:textFill>
        </w:rPr>
        <w:t>8 　</w:t>
      </w:r>
      <w:r>
        <w:t xml:space="preserve"> </w:t>
      </w:r>
      <w:r>
        <w:rPr>
          <w:rStyle w:val="21"/>
          <w:color w:val="000000" w:themeColor="text1"/>
          <w:szCs w:val="24"/>
          <w14:textFill>
            <w14:solidFill>
              <w14:schemeClr w14:val="tx1"/>
            </w14:solidFill>
          </w14:textFill>
        </w:rPr>
        <w:t xml:space="preserve">Resource Utilization </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10</w:t>
      </w:r>
    </w:p>
    <w:p w14:paraId="10F2648A">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"_Toc51678231" </w:instrText>
      </w:r>
      <w:r>
        <w:fldChar w:fldCharType="separate"/>
      </w:r>
      <w:r>
        <w:rPr>
          <w:rStyle w:val="21"/>
          <w:color w:val="000000" w:themeColor="text1"/>
          <w:szCs w:val="24"/>
          <w14:textFill>
            <w14:solidFill>
              <w14:schemeClr w14:val="tx1"/>
            </w14:solidFill>
          </w14:textFill>
        </w:rPr>
        <w:t>8.1 General Requirements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10</w:t>
      </w:r>
    </w:p>
    <w:p w14:paraId="3E07C51F">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"_Toc51678234" </w:instrText>
      </w:r>
      <w:r>
        <w:fldChar w:fldCharType="separate"/>
      </w:r>
      <w:r>
        <w:rPr>
          <w:rStyle w:val="21"/>
          <w:color w:val="000000" w:themeColor="text1"/>
          <w:szCs w:val="24"/>
          <w14:textFill>
            <w14:solidFill>
              <w14:schemeClr w14:val="tx1"/>
            </w14:solidFill>
          </w14:textFill>
        </w:rPr>
        <w:t xml:space="preserve">8.2 Reclamation Treatment of Dry Mud  </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fldChar w:fldCharType="end"/>
      </w:r>
      <w:r>
        <w:rPr>
          <w:rStyle w:val="21"/>
          <w:color w:val="000000" w:themeColor="text1"/>
          <w:szCs w:val="24"/>
          <w:u w:val="none"/>
          <w14:textFill>
            <w14:solidFill>
              <w14:schemeClr w14:val="tx1"/>
            </w14:solidFill>
          </w14:textFill>
        </w:rPr>
        <w:t>1</w:t>
      </w:r>
      <w:r>
        <w:rPr>
          <w:rStyle w:val="21"/>
          <w:rFonts w:hint="eastAsia"/>
          <w:color w:val="000000" w:themeColor="text1"/>
          <w:szCs w:val="24"/>
          <w:u w:val="none"/>
          <w14:textFill>
            <w14:solidFill>
              <w14:schemeClr w14:val="tx1"/>
            </w14:solidFill>
          </w14:textFill>
        </w:rPr>
        <w:t>0</w:t>
      </w:r>
    </w:p>
    <w:p w14:paraId="504A8BE4">
      <w:pPr>
        <w:pStyle w:val="14"/>
        <w:tabs>
          <w:tab w:val="right" w:leader="dot" w:pos="8222"/>
        </w:tabs>
        <w:snapToGrid w:val="0"/>
        <w:spacing w:line="288" w:lineRule="auto"/>
        <w:rPr>
          <w:rStyle w:val="21"/>
          <w:color w:val="000000" w:themeColor="text1"/>
          <w:szCs w:val="24"/>
          <w:u w:val="none"/>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"_Toc51678249" </w:instrText>
      </w:r>
      <w:r>
        <w:fldChar w:fldCharType="separate"/>
      </w:r>
      <w:r>
        <w:rPr>
          <w:rStyle w:val="21"/>
          <w:color w:val="000000" w:themeColor="text1"/>
          <w:szCs w:val="24"/>
          <w14:textFill>
            <w14:solidFill>
              <w14:schemeClr w14:val="tx1"/>
            </w14:solidFill>
          </w14:textFill>
        </w:rPr>
        <w:t xml:space="preserve">8.3 Reclamation Treatment of Sand </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11</w:t>
      </w:r>
      <w:r>
        <w:rPr>
          <w:rStyle w:val="21"/>
          <w:color w:val="000000" w:themeColor="text1"/>
          <w:szCs w:val="24"/>
          <w:u w:val="none"/>
          <w14:textFill>
            <w14:solidFill>
              <w14:schemeClr w14:val="tx1"/>
            </w14:solidFill>
          </w14:textFill>
        </w:rPr>
        <w:fldChar w:fldCharType="end"/>
      </w:r>
    </w:p>
    <w:p w14:paraId="06D22792">
      <w:pPr>
        <w:pStyle w:val="14"/>
        <w:tabs>
          <w:tab w:val="right" w:leader="dot" w:pos="8222"/>
        </w:tabs>
        <w:snapToGrid w:val="0"/>
        <w:spacing w:line="288" w:lineRule="auto"/>
        <w:rPr>
          <w:color w:val="000000" w:themeColor="text1"/>
          <w14:textFill>
            <w14:solidFill>
              <w14:schemeClr w14:val="tx1"/>
            </w14:solidFill>
          </w14:textFill>
        </w:rPr>
      </w:pPr>
      <w:r>
        <w:rPr>
          <w:color w:val="000000" w:themeColor="text1"/>
          <w:lang w:bidi="ar"/>
          <w14:textFill>
            <w14:solidFill>
              <w14:schemeClr w14:val="tx1"/>
            </w14:solidFill>
          </w14:textFill>
        </w:rPr>
        <w:t>　　</w:t>
      </w:r>
      <w:r>
        <w:fldChar w:fldCharType="begin"/>
      </w:r>
      <w:r>
        <w:instrText xml:space="preserve"> HYPERLINK "file:///D:/Data/Wechat/Kelly/WeChat%20Files/wxid_0u0sdso7vz2121/FileStorage/File/2020-09/目录v1.docx" \l "_Toc51678249" </w:instrText>
      </w:r>
      <w:r>
        <w:fldChar w:fldCharType="separate"/>
      </w:r>
      <w:r>
        <w:rPr>
          <w:rStyle w:val="21"/>
          <w:color w:val="000000" w:themeColor="text1"/>
          <w:szCs w:val="24"/>
          <w14:textFill>
            <w14:solidFill>
              <w14:schemeClr w14:val="tx1"/>
            </w14:solidFill>
          </w14:textFill>
        </w:rPr>
        <w:t xml:space="preserve">8.4 Reclamation Treatment of Tail Water </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11</w:t>
      </w:r>
      <w:r>
        <w:rPr>
          <w:rStyle w:val="21"/>
          <w:color w:val="000000" w:themeColor="text1"/>
          <w:szCs w:val="24"/>
          <w:u w:val="none"/>
          <w14:textFill>
            <w14:solidFill>
              <w14:schemeClr w14:val="tx1"/>
            </w14:solidFill>
          </w14:textFill>
        </w:rPr>
        <w:fldChar w:fldCharType="end"/>
      </w:r>
    </w:p>
    <w:p w14:paraId="65B1CBB7">
      <w:pPr>
        <w:pStyle w:val="14"/>
        <w:tabs>
          <w:tab w:val="right" w:leader="dot" w:pos="8222"/>
        </w:tabs>
        <w:snapToGrid w:val="0"/>
        <w:spacing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"_Toc51678255" </w:instrText>
      </w:r>
      <w:r>
        <w:fldChar w:fldCharType="separate"/>
      </w:r>
      <w:r>
        <w:rPr>
          <w:rStyle w:val="21"/>
          <w:color w:val="000000" w:themeColor="text1"/>
          <w:szCs w:val="24"/>
          <w14:textFill>
            <w14:solidFill>
              <w14:schemeClr w14:val="tx1"/>
            </w14:solidFill>
          </w14:textFill>
        </w:rPr>
        <w:t>Appendix A 　Record Table of Routine Maintenance of Filter Press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13</w:t>
      </w:r>
      <w:r>
        <w:rPr>
          <w:rStyle w:val="21"/>
          <w:color w:val="000000" w:themeColor="text1"/>
          <w:szCs w:val="24"/>
          <w:u w:val="none"/>
          <w14:textFill>
            <w14:solidFill>
              <w14:schemeClr w14:val="tx1"/>
            </w14:solidFill>
          </w14:textFill>
        </w:rPr>
        <w:fldChar w:fldCharType="end"/>
      </w:r>
    </w:p>
    <w:p w14:paraId="70E10ADD">
      <w:pPr>
        <w:pStyle w:val="14"/>
        <w:tabs>
          <w:tab w:val="right" w:leader="dot" w:pos="8222"/>
        </w:tabs>
        <w:snapToGrid w:val="0"/>
        <w:spacing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"_Toc51678256" </w:instrText>
      </w:r>
      <w:r>
        <w:fldChar w:fldCharType="separate"/>
      </w:r>
      <w:r>
        <w:rPr>
          <w:rStyle w:val="21"/>
          <w:color w:val="000000" w:themeColor="text1"/>
          <w:szCs w:val="24"/>
          <w:lang w:bidi="ar"/>
          <w14:textFill>
            <w14:solidFill>
              <w14:schemeClr w14:val="tx1"/>
            </w14:solidFill>
          </w14:textFill>
        </w:rPr>
        <w:t>Appendix B 　Record Table of Routine Maintenance of Screening Equipment</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14</w:t>
      </w:r>
      <w:r>
        <w:rPr>
          <w:rStyle w:val="21"/>
          <w:color w:val="000000" w:themeColor="text1"/>
          <w:szCs w:val="24"/>
          <w:u w:val="none"/>
          <w14:textFill>
            <w14:solidFill>
              <w14:schemeClr w14:val="tx1"/>
            </w14:solidFill>
          </w14:textFill>
        </w:rPr>
        <w:fldChar w:fldCharType="end"/>
      </w:r>
    </w:p>
    <w:p w14:paraId="046AA2E5">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"_Toc51678258" </w:instrText>
      </w:r>
      <w:r>
        <w:fldChar w:fldCharType="separate"/>
      </w:r>
      <w:r>
        <w:rPr>
          <w:rStyle w:val="21"/>
          <w:color w:val="000000" w:themeColor="text1"/>
          <w:szCs w:val="24"/>
          <w14:textFill>
            <w14:solidFill>
              <w14:schemeClr w14:val="tx1"/>
            </w14:solidFill>
          </w14:textFill>
        </w:rPr>
        <w:t>Explanation of Wording in This Code</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15</w:t>
      </w:r>
      <w:r>
        <w:rPr>
          <w:rStyle w:val="21"/>
          <w:color w:val="000000" w:themeColor="text1"/>
          <w:szCs w:val="24"/>
          <w:u w:val="none"/>
          <w14:textFill>
            <w14:solidFill>
              <w14:schemeClr w14:val="tx1"/>
            </w14:solidFill>
          </w14:textFill>
        </w:rPr>
        <w:fldChar w:fldCharType="end"/>
      </w:r>
    </w:p>
    <w:p w14:paraId="09F7E02B">
      <w:pPr>
        <w:pStyle w:val="14"/>
        <w:tabs>
          <w:tab w:val="right" w:leader="dot" w:pos="8222"/>
        </w:tabs>
        <w:snapToGrid w:val="0"/>
        <w:spacing w:before="78" w:beforeLines="25" w:after="78" w:afterLines="25" w:line="288" w:lineRule="auto"/>
        <w:jc w:val="left"/>
        <w:rPr>
          <w:color w:val="000000" w:themeColor="text1"/>
          <w14:textFill>
            <w14:solidFill>
              <w14:schemeClr w14:val="tx1"/>
            </w14:solidFill>
          </w14:textFill>
        </w:rPr>
      </w:pPr>
      <w:r>
        <w:fldChar w:fldCharType="begin"/>
      </w:r>
      <w:r>
        <w:instrText xml:space="preserve"> HYPERLINK "file:///D:/Data/Wechat/Kelly/WeChat%20Files/wxid_0u0sdso7vz2121/FileStorage/File/2020-09/目录v1.docx" \l "_Toc51678259" </w:instrText>
      </w:r>
      <w:r>
        <w:fldChar w:fldCharType="separate"/>
      </w:r>
      <w:r>
        <w:rPr>
          <w:rStyle w:val="21"/>
          <w:color w:val="000000" w:themeColor="text1"/>
          <w:szCs w:val="24"/>
          <w14:textFill>
            <w14:solidFill>
              <w14:schemeClr w14:val="tx1"/>
            </w14:solidFill>
          </w14:textFill>
        </w:rPr>
        <w:t>List of Quoted Standards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16</w:t>
      </w:r>
      <w:r>
        <w:rPr>
          <w:rStyle w:val="21"/>
          <w:color w:val="000000" w:themeColor="text1"/>
          <w:szCs w:val="24"/>
          <w:u w:val="none"/>
          <w14:textFill>
            <w14:solidFill>
              <w14:schemeClr w14:val="tx1"/>
            </w14:solidFill>
          </w14:textFill>
        </w:rPr>
        <w:fldChar w:fldCharType="end"/>
      </w:r>
    </w:p>
    <w:p w14:paraId="6FAE8098">
      <w:pPr>
        <w:pStyle w:val="14"/>
        <w:tabs>
          <w:tab w:val="right" w:leader="dot" w:pos="8222"/>
        </w:tabs>
        <w:snapToGrid w:val="0"/>
        <w:spacing w:before="78" w:beforeLines="25" w:after="78" w:afterLines="25" w:line="288" w:lineRule="auto"/>
        <w:jc w:val="left"/>
        <w:rPr>
          <w:rStyle w:val="21"/>
          <w:color w:val="000000" w:themeColor="text1"/>
          <w:szCs w:val="24"/>
          <w:u w:val="none"/>
          <w14:textFill>
            <w14:solidFill>
              <w14:schemeClr w14:val="tx1"/>
            </w14:solidFill>
          </w14:textFill>
        </w:rPr>
        <w:sectPr>
          <w:footerReference r:id="rId3" w:type="default"/>
          <w:pgSz w:w="11906" w:h="16838"/>
          <w:pgMar w:top="1440" w:right="1800" w:bottom="1440" w:left="1800" w:header="851" w:footer="992" w:gutter="0"/>
          <w:pgNumType w:start="1"/>
          <w:cols w:space="425" w:num="1"/>
          <w:docGrid w:type="lines" w:linePitch="312" w:charSpace="0"/>
        </w:sectPr>
      </w:pPr>
      <w:r>
        <w:fldChar w:fldCharType="begin"/>
      </w:r>
      <w:r>
        <w:instrText xml:space="preserve"> HYPERLINK "file:///D:/Data/Wechat/Kelly/WeChat%20Files/wxid_0u0sdso7vz2121/FileStorage/File/2020-09/目录v1.docx" \l "_Toc51678260" </w:instrText>
      </w:r>
      <w:r>
        <w:fldChar w:fldCharType="separate"/>
      </w:r>
      <w:r>
        <w:rPr>
          <w:rStyle w:val="21"/>
          <w:rFonts w:eastAsia="仿宋_GB2312"/>
          <w:bCs/>
          <w:color w:val="000000" w:themeColor="text1"/>
          <w:szCs w:val="24"/>
          <w:u w:val="none"/>
          <w14:textFill>
            <w14:solidFill>
              <w14:schemeClr w14:val="tx1"/>
            </w14:solidFill>
          </w14:textFill>
        </w:rPr>
        <w:t>Explanation of Provisions</w:t>
      </w:r>
      <w:r>
        <w:rPr>
          <w:rStyle w:val="21"/>
          <w:color w:val="000000" w:themeColor="text1"/>
          <w:szCs w:val="24"/>
          <w:u w:val="none"/>
          <w14:textFill>
            <w14:solidFill>
              <w14:schemeClr w14:val="tx1"/>
            </w14:solidFill>
          </w14:textFill>
        </w:rPr>
        <w:tab/>
      </w:r>
      <w:r>
        <w:rPr>
          <w:rStyle w:val="21"/>
          <w:color w:val="000000" w:themeColor="text1"/>
          <w:szCs w:val="24"/>
          <w:u w:val="none"/>
          <w14:textFill>
            <w14:solidFill>
              <w14:schemeClr w14:val="tx1"/>
            </w14:solidFill>
          </w14:textFill>
        </w:rPr>
        <w:t>17</w:t>
      </w:r>
      <w:r>
        <w:rPr>
          <w:rStyle w:val="21"/>
          <w:color w:val="000000" w:themeColor="text1"/>
          <w:szCs w:val="24"/>
          <w:u w:val="none"/>
          <w14:textFill>
            <w14:solidFill>
              <w14:schemeClr w14:val="tx1"/>
            </w14:solidFill>
          </w14:textFill>
        </w:rPr>
        <w:fldChar w:fldCharType="end"/>
      </w:r>
    </w:p>
    <w:bookmarkEnd w:id="22"/>
    <w:p w14:paraId="262E5F9C">
      <w:pPr>
        <w:spacing w:before="25" w:after="25" w:line="288" w:lineRule="auto"/>
        <w:jc w:val="center"/>
        <w:rPr>
          <w:rFonts w:ascii="Times New Roman" w:hAnsi="Times New Roman" w:cs="Times New Roman"/>
          <w:b/>
          <w:bCs/>
          <w:color w:val="000000" w:themeColor="text1"/>
          <w:kern w:val="44"/>
          <w:sz w:val="32"/>
          <w:szCs w:val="32"/>
          <w14:textFill>
            <w14:solidFill>
              <w14:schemeClr w14:val="tx1"/>
            </w14:solidFill>
          </w14:textFill>
        </w:rPr>
      </w:pPr>
      <w:r>
        <w:rPr>
          <w:rFonts w:ascii="Times New Roman" w:hAnsi="Times New Roman" w:eastAsia="宋体" w:cs="Times New Roman"/>
          <w:color w:val="000000" w:themeColor="text1"/>
          <w:sz w:val="24"/>
          <w:szCs w:val="24"/>
          <w:lang w:bidi="ar"/>
          <w14:textFill>
            <w14:solidFill>
              <w14:schemeClr w14:val="tx1"/>
            </w14:solidFill>
          </w14:textFill>
        </w:rPr>
        <w:fldChar w:fldCharType="end"/>
      </w:r>
      <w:bookmarkEnd w:id="19"/>
      <w:bookmarkEnd w:id="20"/>
      <w:bookmarkStart w:id="23" w:name="_Toc57819216"/>
      <w:r>
        <w:rPr>
          <w:rFonts w:ascii="Times New Roman" w:hAnsi="Times New Roman" w:cs="Times New Roman"/>
          <w:b/>
          <w:bCs/>
          <w:color w:val="000000" w:themeColor="text1"/>
          <w:kern w:val="44"/>
          <w:sz w:val="32"/>
          <w:szCs w:val="32"/>
          <w14:textFill>
            <w14:solidFill>
              <w14:schemeClr w14:val="tx1"/>
            </w14:solidFill>
          </w14:textFill>
        </w:rPr>
        <w:t>1  总则</w:t>
      </w:r>
      <w:bookmarkEnd w:id="23"/>
    </w:p>
    <w:p w14:paraId="5C169E6A">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1.0.1</w:t>
      </w:r>
      <w:r>
        <w:rPr>
          <w:rFonts w:ascii="Times New Roman" w:hAnsi="Times New Roman" w:eastAsia="仿宋_GB2312" w:cs="Times New Roman"/>
          <w:color w:val="000000" w:themeColor="text1"/>
          <w:sz w:val="24"/>
          <w:szCs w:val="24"/>
          <w14:textFill>
            <w14:solidFill>
              <w14:schemeClr w14:val="tx1"/>
            </w14:solidFill>
          </w14:textFill>
        </w:rPr>
        <w:t xml:space="preserve"> 为贯彻落实国家和</w:t>
      </w:r>
      <w:r>
        <w:rPr>
          <w:rFonts w:hint="eastAsia" w:ascii="Times New Roman" w:hAnsi="Times New Roman" w:eastAsia="仿宋_GB2312" w:cs="Times New Roman"/>
          <w:color w:val="000000" w:themeColor="text1"/>
          <w:sz w:val="24"/>
          <w:szCs w:val="24"/>
          <w14:textFill>
            <w14:solidFill>
              <w14:schemeClr w14:val="tx1"/>
            </w14:solidFill>
          </w14:textFill>
        </w:rPr>
        <w:t>地方</w:t>
      </w:r>
      <w:r>
        <w:rPr>
          <w:rFonts w:ascii="Times New Roman" w:hAnsi="Times New Roman" w:eastAsia="仿宋_GB2312" w:cs="Times New Roman"/>
          <w:color w:val="000000" w:themeColor="text1"/>
          <w:sz w:val="24"/>
          <w:szCs w:val="24"/>
          <w14:textFill>
            <w14:solidFill>
              <w14:schemeClr w14:val="tx1"/>
            </w14:solidFill>
          </w14:textFill>
        </w:rPr>
        <w:t>有关法律、法规和方针、政策，规范工程泥浆原地处理</w:t>
      </w:r>
      <w:r>
        <w:rPr>
          <w:rFonts w:hint="eastAsia" w:ascii="Times New Roman" w:hAnsi="Times New Roman" w:eastAsia="仿宋_GB2312" w:cs="Times New Roman"/>
          <w:color w:val="000000" w:themeColor="text1"/>
          <w:sz w:val="24"/>
          <w:szCs w:val="24"/>
          <w14:textFill>
            <w14:solidFill>
              <w14:schemeClr w14:val="tx1"/>
            </w14:solidFill>
          </w14:textFill>
        </w:rPr>
        <w:t>技术</w:t>
      </w:r>
      <w:r>
        <w:rPr>
          <w:rFonts w:ascii="Times New Roman" w:hAnsi="Times New Roman" w:eastAsia="仿宋_GB2312" w:cs="Times New Roman"/>
          <w:color w:val="000000" w:themeColor="text1"/>
          <w:sz w:val="24"/>
          <w:szCs w:val="24"/>
          <w14:textFill>
            <w14:solidFill>
              <w14:schemeClr w14:val="tx1"/>
            </w14:solidFill>
          </w14:textFill>
        </w:rPr>
        <w:t>，做到绿色、环保</w:t>
      </w:r>
      <w:r>
        <w:rPr>
          <w:rFonts w:hint="eastAsia" w:ascii="Times New Roman" w:hAnsi="Times New Roman" w:eastAsia="仿宋_GB2312" w:cs="Times New Roman"/>
          <w:color w:val="000000" w:themeColor="text1"/>
          <w:sz w:val="24"/>
          <w:szCs w:val="24"/>
          <w14:textFill>
            <w14:solidFill>
              <w14:schemeClr w14:val="tx1"/>
            </w14:solidFill>
          </w14:textFill>
        </w:rPr>
        <w:t>和资源化利用</w:t>
      </w:r>
      <w:r>
        <w:rPr>
          <w:rFonts w:ascii="Times New Roman" w:hAnsi="Times New Roman" w:eastAsia="仿宋_GB2312" w:cs="Times New Roman"/>
          <w:color w:val="000000" w:themeColor="text1"/>
          <w:sz w:val="24"/>
          <w:szCs w:val="24"/>
          <w14:textFill>
            <w14:solidFill>
              <w14:schemeClr w14:val="tx1"/>
            </w14:solidFill>
          </w14:textFill>
        </w:rPr>
        <w:t>，制定本标准。</w:t>
      </w:r>
    </w:p>
    <w:p w14:paraId="6AC83D6E">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1.0.2</w:t>
      </w:r>
      <w:r>
        <w:rPr>
          <w:rFonts w:ascii="Times New Roman" w:hAnsi="Times New Roman" w:eastAsia="仿宋_GB2312" w:cs="Times New Roman"/>
          <w:color w:val="000000" w:themeColor="text1"/>
          <w:sz w:val="24"/>
          <w:szCs w:val="24"/>
          <w14:textFill>
            <w14:solidFill>
              <w14:schemeClr w14:val="tx1"/>
            </w14:solidFill>
          </w14:textFill>
        </w:rPr>
        <w:t xml:space="preserve"> 本标准适用于工程建设过程中产生的工程泥浆的收集</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原地处理</w:t>
      </w:r>
      <w:r>
        <w:rPr>
          <w:rFonts w:hint="eastAsia" w:ascii="Times New Roman" w:hAnsi="Times New Roman" w:eastAsia="仿宋_GB2312" w:cs="Times New Roman"/>
          <w:color w:val="000000" w:themeColor="text1"/>
          <w:sz w:val="24"/>
          <w:szCs w:val="24"/>
          <w14:textFill>
            <w14:solidFill>
              <w14:schemeClr w14:val="tx1"/>
            </w14:solidFill>
          </w14:textFill>
        </w:rPr>
        <w:t>和资源化利用</w:t>
      </w:r>
      <w:r>
        <w:rPr>
          <w:rFonts w:ascii="Times New Roman" w:hAnsi="Times New Roman" w:eastAsia="仿宋_GB2312" w:cs="Times New Roman"/>
          <w:color w:val="000000" w:themeColor="text1"/>
          <w:sz w:val="24"/>
          <w:szCs w:val="24"/>
          <w14:textFill>
            <w14:solidFill>
              <w14:schemeClr w14:val="tx1"/>
            </w14:solidFill>
          </w14:textFill>
        </w:rPr>
        <w:t>。</w:t>
      </w:r>
    </w:p>
    <w:p w14:paraId="428B26AA">
      <w:pPr>
        <w:spacing w:line="360" w:lineRule="auto"/>
        <w:rPr>
          <w:rFonts w:ascii="Times New Roman" w:hAnsi="Times New Roman" w:eastAsia="仿宋_GB2312" w:cs="Times New Roman"/>
          <w:color w:val="000000" w:themeColor="text1"/>
          <w:sz w:val="24"/>
          <w:szCs w:val="24"/>
          <w14:textFill>
            <w14:solidFill>
              <w14:schemeClr w14:val="tx1"/>
            </w14:solidFill>
          </w14:textFill>
        </w:rPr>
        <w:sectPr>
          <w:footerReference r:id="rId4" w:type="default"/>
          <w:pgSz w:w="11906" w:h="16838"/>
          <w:pgMar w:top="1440" w:right="1800" w:bottom="1440" w:left="1800" w:header="851" w:footer="992" w:gutter="0"/>
          <w:pgNumType w:start="1"/>
          <w:cols w:space="425" w:num="1"/>
          <w:docGrid w:type="lines" w:linePitch="312" w:charSpace="0"/>
        </w:sectPr>
      </w:pPr>
      <w:r>
        <w:rPr>
          <w:rFonts w:ascii="Times New Roman" w:hAnsi="Times New Roman" w:eastAsia="仿宋_GB2312" w:cs="Times New Roman"/>
          <w:b/>
          <w:color w:val="000000" w:themeColor="text1"/>
          <w:sz w:val="24"/>
          <w:szCs w:val="24"/>
          <w14:textFill>
            <w14:solidFill>
              <w14:schemeClr w14:val="tx1"/>
            </w14:solidFill>
          </w14:textFill>
        </w:rPr>
        <w:t>1.0.3</w:t>
      </w:r>
      <w:r>
        <w:rPr>
          <w:rFonts w:ascii="Times New Roman" w:hAnsi="Times New Roman" w:eastAsia="仿宋_GB2312" w:cs="Times New Roman"/>
          <w:color w:val="000000" w:themeColor="text1"/>
          <w:sz w:val="24"/>
          <w:szCs w:val="24"/>
          <w14:textFill>
            <w14:solidFill>
              <w14:schemeClr w14:val="tx1"/>
            </w14:solidFill>
          </w14:textFill>
        </w:rPr>
        <w:t xml:space="preserve"> 工程泥浆原地处理除应符合本标准外，尚应符合国家</w:t>
      </w:r>
      <w:r>
        <w:rPr>
          <w:rFonts w:hint="eastAsia" w:ascii="Times New Roman" w:hAnsi="Times New Roman" w:eastAsia="仿宋_GB2312" w:cs="Times New Roman"/>
          <w:color w:val="000000" w:themeColor="text1"/>
          <w:sz w:val="24"/>
          <w:szCs w:val="24"/>
          <w14:textFill>
            <w14:solidFill>
              <w14:schemeClr w14:val="tx1"/>
            </w14:solidFill>
          </w14:textFill>
        </w:rPr>
        <w:t>和地方</w:t>
      </w:r>
      <w:r>
        <w:rPr>
          <w:rFonts w:ascii="Times New Roman" w:hAnsi="Times New Roman" w:eastAsia="仿宋_GB2312" w:cs="Times New Roman"/>
          <w:color w:val="000000" w:themeColor="text1"/>
          <w:sz w:val="24"/>
          <w:szCs w:val="24"/>
          <w14:textFill>
            <w14:solidFill>
              <w14:schemeClr w14:val="tx1"/>
            </w14:solidFill>
          </w14:textFill>
        </w:rPr>
        <w:t>现行有关标准的规定。</w:t>
      </w:r>
    </w:p>
    <w:p w14:paraId="3903BC7B">
      <w:pPr>
        <w:pStyle w:val="2"/>
        <w:jc w:val="center"/>
        <w:rPr>
          <w:rFonts w:ascii="Times New Roman" w:hAnsi="Times New Roman" w:cs="Times New Roman"/>
          <w:color w:val="000000" w:themeColor="text1"/>
          <w:sz w:val="32"/>
          <w:szCs w:val="32"/>
          <w14:textFill>
            <w14:solidFill>
              <w14:schemeClr w14:val="tx1"/>
            </w14:solidFill>
          </w14:textFill>
        </w:rPr>
      </w:pPr>
      <w:bookmarkStart w:id="24" w:name="_Toc57819217"/>
      <w:bookmarkStart w:id="25" w:name="_Toc24421"/>
      <w:bookmarkStart w:id="26" w:name="_Toc20423"/>
      <w:r>
        <w:rPr>
          <w:rFonts w:ascii="Times New Roman" w:hAnsi="Times New Roman" w:cs="Times New Roman"/>
          <w:color w:val="000000" w:themeColor="text1"/>
          <w:sz w:val="32"/>
          <w:szCs w:val="32"/>
          <w14:textFill>
            <w14:solidFill>
              <w14:schemeClr w14:val="tx1"/>
            </w14:solidFill>
          </w14:textFill>
        </w:rPr>
        <w:t>2  术语和符号</w:t>
      </w:r>
      <w:bookmarkEnd w:id="24"/>
      <w:bookmarkEnd w:id="25"/>
      <w:bookmarkEnd w:id="26"/>
    </w:p>
    <w:p w14:paraId="5F6291D3">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27" w:name="_Toc27483"/>
      <w:bookmarkStart w:id="28" w:name="_Toc57819218"/>
      <w:bookmarkStart w:id="29" w:name="_Toc22045"/>
      <w:r>
        <w:rPr>
          <w:rFonts w:ascii="Times New Roman" w:hAnsi="Times New Roman" w:cs="Times New Roman"/>
          <w:color w:val="000000" w:themeColor="text1"/>
          <w:sz w:val="28"/>
          <w:szCs w:val="28"/>
          <w14:textFill>
            <w14:solidFill>
              <w14:schemeClr w14:val="tx1"/>
            </w14:solidFill>
          </w14:textFill>
        </w:rPr>
        <w:t>2.1 术语</w:t>
      </w:r>
      <w:bookmarkEnd w:id="27"/>
      <w:bookmarkEnd w:id="28"/>
      <w:bookmarkEnd w:id="29"/>
    </w:p>
    <w:p w14:paraId="63812F01">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2.1.1 工程泥浆　</w:t>
      </w:r>
      <w:r>
        <w:rPr>
          <w:rFonts w:ascii="Times New Roman" w:hAnsi="Times New Roman" w:eastAsia="仿宋_GB2312" w:cs="Times New Roman"/>
          <w:b/>
          <w:color w:val="000000" w:themeColor="text1"/>
          <w:sz w:val="28"/>
          <w:szCs w:val="28"/>
          <w14:textFill>
            <w14:solidFill>
              <w14:schemeClr w14:val="tx1"/>
            </w14:solidFill>
          </w14:textFill>
        </w:rPr>
        <w:t>engineering mud</w:t>
      </w:r>
    </w:p>
    <w:p w14:paraId="6DF53405">
      <w:pPr>
        <w:spacing w:line="360" w:lineRule="auto"/>
        <w:ind w:firstLine="480" w:firstLineChars="200"/>
        <w:rPr>
          <w:rFonts w:ascii="Times New Roman"/>
          <w:color w:val="000000" w:themeColor="text1"/>
          <w:w w:val="105"/>
          <w:sz w:val="20"/>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钻孔桩基施工、地下连续墙施工、泥水盾构施工、水平定向钻及泥水顶管等施工产生的泥浆</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color w:val="000000" w:themeColor="text1"/>
          <w:w w:val="105"/>
          <w:sz w:val="20"/>
          <w14:textFill>
            <w14:solidFill>
              <w14:schemeClr w14:val="tx1"/>
            </w14:solidFill>
          </w14:textFill>
        </w:rPr>
        <w:t>。</w:t>
      </w:r>
    </w:p>
    <w:p w14:paraId="72D98AEA">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w:t>
      </w:r>
      <w:r>
        <w:rPr>
          <w:rFonts w:hint="eastAsia" w:ascii="Times New Roman" w:hAnsi="Times New Roman" w:eastAsia="仿宋_GB2312" w:cs="Times New Roman"/>
          <w:b/>
          <w:color w:val="000000" w:themeColor="text1"/>
          <w:sz w:val="24"/>
          <w:szCs w:val="24"/>
          <w14:textFill>
            <w14:solidFill>
              <w14:schemeClr w14:val="tx1"/>
            </w14:solidFill>
          </w14:textFill>
        </w:rPr>
        <w:t>2</w:t>
      </w:r>
      <w:r>
        <w:rPr>
          <w:rFonts w:ascii="Times New Roman" w:hAnsi="Times New Roman" w:eastAsia="仿宋_GB2312" w:cs="Times New Roman"/>
          <w:b/>
          <w:color w:val="000000" w:themeColor="text1"/>
          <w:sz w:val="24"/>
          <w:szCs w:val="24"/>
          <w14:textFill>
            <w14:solidFill>
              <w14:schemeClr w14:val="tx1"/>
            </w14:solidFill>
          </w14:textFill>
        </w:rPr>
        <w:t xml:space="preserve"> 泥浆原地处理</w:t>
      </w:r>
      <w:r>
        <w:rPr>
          <w:rFonts w:ascii="Times New Roman" w:hAnsi="Times New Roman" w:eastAsia="仿宋_GB2312" w:cs="Times New Roman"/>
          <w:b/>
          <w:color w:val="000000" w:themeColor="text1"/>
          <w:sz w:val="28"/>
          <w:szCs w:val="28"/>
          <w14:textFill>
            <w14:solidFill>
              <w14:schemeClr w14:val="tx1"/>
            </w14:solidFill>
          </w14:textFill>
        </w:rPr>
        <w:t>　</w:t>
      </w:r>
      <w:r>
        <w:rPr>
          <w:rFonts w:hint="eastAsia" w:ascii="Times New Roman" w:hAnsi="Times New Roman" w:eastAsia="仿宋_GB2312" w:cs="Times New Roman"/>
          <w:b/>
          <w:color w:val="000000" w:themeColor="text1"/>
          <w:sz w:val="28"/>
          <w:szCs w:val="28"/>
          <w14:textFill>
            <w14:solidFill>
              <w14:schemeClr w14:val="tx1"/>
            </w14:solidFill>
          </w14:textFill>
        </w:rPr>
        <w:t>mud in-situ harmless treatment</w:t>
      </w:r>
    </w:p>
    <w:p w14:paraId="1EB330D1">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泥浆原地处理是指在施工现场对泥浆中的泥土、砂石和水进行分离和分类处理，达到</w:t>
      </w:r>
      <w:r>
        <w:rPr>
          <w:rFonts w:hint="eastAsia" w:ascii="Times New Roman" w:hAnsi="Times New Roman" w:eastAsia="仿宋_GB2312" w:cs="Times New Roman"/>
          <w:color w:val="000000" w:themeColor="text1"/>
          <w:sz w:val="24"/>
          <w:szCs w:val="24"/>
          <w14:textFill>
            <w14:solidFill>
              <w14:schemeClr w14:val="tx1"/>
            </w14:solidFill>
          </w14:textFill>
        </w:rPr>
        <w:t>现行外运和</w:t>
      </w:r>
      <w:r>
        <w:rPr>
          <w:rFonts w:ascii="Times New Roman" w:hAnsi="Times New Roman" w:eastAsia="仿宋_GB2312" w:cs="Times New Roman"/>
          <w:color w:val="000000" w:themeColor="text1"/>
          <w:sz w:val="24"/>
          <w:szCs w:val="24"/>
          <w14:textFill>
            <w14:solidFill>
              <w14:schemeClr w14:val="tx1"/>
            </w14:solidFill>
          </w14:textFill>
        </w:rPr>
        <w:t>排放</w:t>
      </w:r>
      <w:r>
        <w:rPr>
          <w:rFonts w:hint="eastAsia" w:ascii="Times New Roman" w:hAnsi="Times New Roman" w:eastAsia="仿宋_GB2312" w:cs="Times New Roman"/>
          <w:color w:val="000000" w:themeColor="text1"/>
          <w:sz w:val="24"/>
          <w:szCs w:val="24"/>
          <w14:textFill>
            <w14:solidFill>
              <w14:schemeClr w14:val="tx1"/>
            </w14:solidFill>
          </w14:textFill>
        </w:rPr>
        <w:t>相关</w:t>
      </w:r>
      <w:r>
        <w:rPr>
          <w:rFonts w:ascii="Times New Roman" w:hAnsi="Times New Roman" w:eastAsia="仿宋_GB2312" w:cs="Times New Roman"/>
          <w:color w:val="000000" w:themeColor="text1"/>
          <w:sz w:val="24"/>
          <w:szCs w:val="24"/>
          <w14:textFill>
            <w14:solidFill>
              <w14:schemeClr w14:val="tx1"/>
            </w14:solidFill>
          </w14:textFill>
        </w:rPr>
        <w:t>标准。</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p>
    <w:p w14:paraId="5B647480">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w:t>
      </w:r>
      <w:r>
        <w:rPr>
          <w:rFonts w:hint="eastAsia" w:ascii="Times New Roman" w:hAnsi="Times New Roman" w:eastAsia="仿宋_GB2312" w:cs="Times New Roman"/>
          <w:b/>
          <w:color w:val="000000" w:themeColor="text1"/>
          <w:sz w:val="24"/>
          <w:szCs w:val="24"/>
          <w14:textFill>
            <w14:solidFill>
              <w14:schemeClr w14:val="tx1"/>
            </w14:solidFill>
          </w14:textFill>
        </w:rPr>
        <w:t>3</w:t>
      </w:r>
      <w:r>
        <w:rPr>
          <w:rFonts w:ascii="Times New Roman" w:hAnsi="Times New Roman" w:eastAsia="仿宋_GB2312" w:cs="Times New Roman"/>
          <w:b/>
          <w:color w:val="000000" w:themeColor="text1"/>
          <w:sz w:val="24"/>
          <w:szCs w:val="24"/>
          <w14:textFill>
            <w14:solidFill>
              <w14:schemeClr w14:val="tx1"/>
            </w14:solidFill>
          </w14:textFill>
        </w:rPr>
        <w:t xml:space="preserve"> 泥浆原地处理系统</w:t>
      </w:r>
      <w:r>
        <w:rPr>
          <w:rFonts w:hint="eastAsia" w:ascii="Times New Roman" w:hAnsi="Times New Roman" w:eastAsia="仿宋_GB2312" w:cs="Times New Roman"/>
          <w:b/>
          <w:color w:val="000000" w:themeColor="text1"/>
          <w:sz w:val="28"/>
          <w:szCs w:val="28"/>
          <w14:textFill>
            <w14:solidFill>
              <w14:schemeClr w14:val="tx1"/>
            </w14:solidFill>
          </w14:textFill>
        </w:rPr>
        <w:t xml:space="preserve">  mud in-situ harmless treatment system</w:t>
      </w:r>
    </w:p>
    <w:p w14:paraId="37D643A4">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泥浆原地处理系统是集泥浆的现场收集、尾水处置和尾渣处置等多功能为一体的系统。</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p>
    <w:p w14:paraId="31EDCF0F">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w:t>
      </w:r>
      <w:r>
        <w:rPr>
          <w:rFonts w:hint="eastAsia" w:ascii="Times New Roman" w:hAnsi="Times New Roman" w:eastAsia="仿宋_GB2312" w:cs="Times New Roman"/>
          <w:b/>
          <w:color w:val="000000" w:themeColor="text1"/>
          <w:sz w:val="24"/>
          <w:szCs w:val="24"/>
          <w14:textFill>
            <w14:solidFill>
              <w14:schemeClr w14:val="tx1"/>
            </w14:solidFill>
          </w14:textFill>
        </w:rPr>
        <w:t>4</w:t>
      </w:r>
      <w:r>
        <w:rPr>
          <w:rFonts w:ascii="Times New Roman" w:hAnsi="Times New Roman" w:eastAsia="仿宋_GB2312" w:cs="Times New Roman"/>
          <w:b/>
          <w:color w:val="000000" w:themeColor="text1"/>
          <w:sz w:val="24"/>
          <w:szCs w:val="24"/>
          <w14:textFill>
            <w14:solidFill>
              <w14:schemeClr w14:val="tx1"/>
            </w14:solidFill>
          </w14:textFill>
        </w:rPr>
        <w:t xml:space="preserve"> 尾水</w:t>
      </w:r>
      <w:r>
        <w:rPr>
          <w:rFonts w:hint="eastAsia" w:ascii="Times New Roman" w:hAnsi="Times New Roman" w:eastAsia="仿宋_GB2312" w:cs="Times New Roman"/>
          <w:b/>
          <w:color w:val="000000" w:themeColor="text1"/>
          <w:sz w:val="24"/>
          <w:szCs w:val="24"/>
          <w14:textFill>
            <w14:solidFill>
              <w14:schemeClr w14:val="tx1"/>
            </w14:solidFill>
          </w14:textFill>
        </w:rPr>
        <w:t>处理</w:t>
      </w:r>
      <w:r>
        <w:rPr>
          <w:rFonts w:ascii="Times New Roman" w:hAnsi="Times New Roman" w:eastAsia="仿宋_GB2312" w:cs="Times New Roman"/>
          <w:b/>
          <w:color w:val="000000" w:themeColor="text1"/>
          <w:sz w:val="24"/>
          <w:szCs w:val="24"/>
          <w14:textFill>
            <w14:solidFill>
              <w14:schemeClr w14:val="tx1"/>
            </w14:solidFill>
          </w14:textFill>
        </w:rPr>
        <w:t>　</w:t>
      </w:r>
      <w:r>
        <w:rPr>
          <w:rFonts w:ascii="Times New Roman" w:hAnsi="Times New Roman" w:eastAsia="仿宋_GB2312" w:cs="Times New Roman"/>
          <w:b/>
          <w:color w:val="000000" w:themeColor="text1"/>
          <w:sz w:val="28"/>
          <w:szCs w:val="28"/>
          <w14:textFill>
            <w14:solidFill>
              <w14:schemeClr w14:val="tx1"/>
            </w14:solidFill>
          </w14:textFill>
        </w:rPr>
        <w:t>tail water disposal</w:t>
      </w:r>
    </w:p>
    <w:p w14:paraId="4DCB267B">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在泥浆的处理过程中</w:t>
      </w:r>
      <w:r>
        <w:rPr>
          <w:rFonts w:hint="eastAsia" w:ascii="Times New Roman" w:hAnsi="Times New Roman" w:eastAsia="仿宋_GB2312" w:cs="Times New Roman"/>
          <w:color w:val="000000" w:themeColor="text1"/>
          <w:sz w:val="24"/>
          <w:szCs w:val="24"/>
          <w14:textFill>
            <w14:solidFill>
              <w14:schemeClr w14:val="tx1"/>
            </w14:solidFill>
          </w14:textFill>
        </w:rPr>
        <w:t>经净化处理</w:t>
      </w:r>
      <w:r>
        <w:rPr>
          <w:rFonts w:ascii="Times New Roman" w:hAnsi="Times New Roman" w:eastAsia="仿宋_GB2312" w:cs="Times New Roman"/>
          <w:color w:val="000000" w:themeColor="text1"/>
          <w:sz w:val="24"/>
          <w:szCs w:val="24"/>
          <w14:textFill>
            <w14:solidFill>
              <w14:schemeClr w14:val="tx1"/>
            </w14:solidFill>
          </w14:textFill>
        </w:rPr>
        <w:t>所产生的清液</w:t>
      </w:r>
      <w:r>
        <w:rPr>
          <w:rFonts w:hint="eastAsia" w:ascii="Times New Roman" w:hAnsi="Times New Roman" w:eastAsia="仿宋_GB2312" w:cs="Times New Roman"/>
          <w:color w:val="000000" w:themeColor="text1"/>
          <w:sz w:val="24"/>
          <w:szCs w:val="24"/>
          <w14:textFill>
            <w14:solidFill>
              <w14:schemeClr w14:val="tx1"/>
            </w14:solidFill>
          </w14:textFill>
        </w:rPr>
        <w:t>经</w:t>
      </w:r>
      <w:r>
        <w:rPr>
          <w:rFonts w:ascii="Times New Roman" w:hAnsi="Times New Roman" w:eastAsia="仿宋_GB2312" w:cs="Times New Roman"/>
          <w:color w:val="000000" w:themeColor="text1"/>
          <w:sz w:val="24"/>
          <w:szCs w:val="24"/>
          <w14:textFill>
            <w14:solidFill>
              <w14:schemeClr w14:val="tx1"/>
            </w14:solidFill>
          </w14:textFill>
        </w:rPr>
        <w:t>水质检测达标后，排放至管网或者循环利用。</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p>
    <w:p w14:paraId="05902D74">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w:t>
      </w:r>
      <w:r>
        <w:rPr>
          <w:rFonts w:hint="eastAsia" w:ascii="Times New Roman" w:hAnsi="Times New Roman" w:eastAsia="仿宋_GB2312" w:cs="Times New Roman"/>
          <w:b/>
          <w:color w:val="000000" w:themeColor="text1"/>
          <w:sz w:val="24"/>
          <w:szCs w:val="24"/>
          <w14:textFill>
            <w14:solidFill>
              <w14:schemeClr w14:val="tx1"/>
            </w14:solidFill>
          </w14:textFill>
        </w:rPr>
        <w:t>5</w:t>
      </w:r>
      <w:r>
        <w:rPr>
          <w:rFonts w:ascii="Times New Roman" w:hAnsi="Times New Roman" w:eastAsia="仿宋_GB2312" w:cs="Times New Roman"/>
          <w:b/>
          <w:color w:val="000000" w:themeColor="text1"/>
          <w:sz w:val="24"/>
          <w:szCs w:val="24"/>
          <w14:textFill>
            <w14:solidFill>
              <w14:schemeClr w14:val="tx1"/>
            </w14:solidFill>
          </w14:textFill>
        </w:rPr>
        <w:t xml:space="preserve"> 尾渣处置　</w:t>
      </w:r>
      <w:r>
        <w:rPr>
          <w:rFonts w:ascii="Times New Roman" w:hAnsi="Times New Roman" w:eastAsia="仿宋_GB2312" w:cs="Times New Roman"/>
          <w:b/>
          <w:color w:val="000000" w:themeColor="text1"/>
          <w:sz w:val="28"/>
          <w:szCs w:val="28"/>
          <w14:textFill>
            <w14:solidFill>
              <w14:schemeClr w14:val="tx1"/>
            </w14:solidFill>
          </w14:textFill>
        </w:rPr>
        <w:t>tailings disposal</w:t>
      </w:r>
    </w:p>
    <w:p w14:paraId="072C7CC8">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尾渣处置是指将泥浆的处理环节中实现固液分离所产生的干泥和砂土等固体物进行处置。</w:t>
      </w:r>
    </w:p>
    <w:p w14:paraId="50BBBCA1">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泥浆根据其状态和处理方法，可分为流态状的泥浆和流塑状的余泥渣土。</w:t>
      </w:r>
    </w:p>
    <w:p w14:paraId="34080B03">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30" w:name="_Toc17820"/>
      <w:bookmarkStart w:id="31" w:name="_Toc22611"/>
      <w:bookmarkStart w:id="32" w:name="_Toc57819219"/>
      <w:r>
        <w:rPr>
          <w:rFonts w:ascii="Times New Roman" w:hAnsi="Times New Roman" w:cs="Times New Roman"/>
          <w:color w:val="000000" w:themeColor="text1"/>
          <w:sz w:val="28"/>
          <w:szCs w:val="28"/>
          <w14:textFill>
            <w14:solidFill>
              <w14:schemeClr w14:val="tx1"/>
            </w14:solidFill>
          </w14:textFill>
        </w:rPr>
        <w:t>2.2 符号</w:t>
      </w:r>
      <w:bookmarkEnd w:id="30"/>
      <w:bookmarkEnd w:id="31"/>
      <w:bookmarkEnd w:id="32"/>
    </w:p>
    <w:p w14:paraId="339B306E">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i/>
          <w:iCs/>
          <w:color w:val="000000" w:themeColor="text1"/>
          <w:sz w:val="24"/>
          <w:szCs w:val="24"/>
          <w14:textFill>
            <w14:solidFill>
              <w14:schemeClr w14:val="tx1"/>
            </w14:solidFill>
          </w14:textFill>
        </w:rPr>
        <w:t>V</w:t>
      </w:r>
      <w:r>
        <w:rPr>
          <w:rFonts w:ascii="Times New Roman" w:hAnsi="Times New Roman" w:eastAsia="仿宋_GB2312" w:cs="Times New Roman"/>
          <w:color w:val="000000" w:themeColor="text1"/>
          <w:sz w:val="24"/>
          <w:szCs w:val="24"/>
          <w14:textFill>
            <w14:solidFill>
              <w14:schemeClr w14:val="tx1"/>
            </w14:solidFill>
          </w14:textFill>
        </w:rPr>
        <w:t>—渣土产生</w:t>
      </w:r>
      <w:r>
        <w:rPr>
          <w:rFonts w:hint="eastAsia" w:ascii="Times New Roman" w:hAnsi="Times New Roman" w:eastAsia="仿宋_GB2312" w:cs="Times New Roman"/>
          <w:color w:val="000000" w:themeColor="text1"/>
          <w:sz w:val="24"/>
          <w:szCs w:val="24"/>
          <w14:textFill>
            <w14:solidFill>
              <w14:schemeClr w14:val="tx1"/>
            </w14:solidFill>
          </w14:textFill>
        </w:rPr>
        <w:t>体积</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m³</w:t>
      </w:r>
      <w:r>
        <w:rPr>
          <w:rFonts w:ascii="Times New Roman" w:hAnsi="Times New Roman" w:eastAsia="仿宋_GB2312" w:cs="Times New Roman"/>
          <w:color w:val="000000" w:themeColor="text1"/>
          <w:sz w:val="24"/>
          <w:szCs w:val="24"/>
          <w14:textFill>
            <w14:solidFill>
              <w14:schemeClr w14:val="tx1"/>
            </w14:solidFill>
          </w14:textFill>
        </w:rPr>
        <w:t>）。</w:t>
      </w:r>
    </w:p>
    <w:p w14:paraId="639DCA98">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i/>
          <w:iCs/>
          <w:color w:val="000000" w:themeColor="text1"/>
          <w:sz w:val="24"/>
          <w:szCs w:val="24"/>
          <w14:textFill>
            <w14:solidFill>
              <w14:schemeClr w14:val="tx1"/>
            </w14:solidFill>
          </w14:textFill>
        </w:rPr>
        <w:t>V</w:t>
      </w:r>
      <w:r>
        <w:rPr>
          <w:rFonts w:ascii="Times New Roman" w:hAnsi="Times New Roman" w:eastAsia="仿宋_GB2312" w:cs="Times New Roman"/>
          <w:i/>
          <w:iCs/>
          <w:color w:val="000000" w:themeColor="text1"/>
          <w:sz w:val="24"/>
          <w:szCs w:val="24"/>
          <w:vertAlign w:val="subscript"/>
          <w14:textFill>
            <w14:solidFill>
              <w14:schemeClr w14:val="tx1"/>
            </w14:solidFill>
          </w14:textFill>
        </w:rPr>
        <w:t>g</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产生渣土的理论体积</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lang w:eastAsia="zh-CN"/>
          <w14:textFill>
            <w14:solidFill>
              <w14:schemeClr w14:val="tx1"/>
            </w14:solidFill>
          </w14:textFill>
        </w:rPr>
        <w:t>m³</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w:t>
      </w:r>
    </w:p>
    <w:p w14:paraId="377212DE">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i/>
          <w:iCs/>
          <w:color w:val="000000" w:themeColor="text1"/>
          <w:sz w:val="24"/>
          <w:szCs w:val="24"/>
          <w14:textFill>
            <w14:solidFill>
              <w14:schemeClr w14:val="tx1"/>
            </w14:solidFill>
          </w14:textFill>
        </w:rPr>
        <w:t>K</w:t>
      </w:r>
      <w:r>
        <w:rPr>
          <w:rFonts w:ascii="Times New Roman" w:hAnsi="Times New Roman" w:eastAsia="仿宋_GB2312" w:cs="Times New Roman"/>
          <w:color w:val="000000" w:themeColor="text1"/>
          <w:sz w:val="24"/>
          <w:szCs w:val="24"/>
          <w14:textFill>
            <w14:solidFill>
              <w14:schemeClr w14:val="tx1"/>
            </w14:solidFill>
          </w14:textFill>
        </w:rPr>
        <w:t>—渣土松散系数（</w:t>
      </w:r>
      <w:r>
        <w:rPr>
          <w:rFonts w:hint="eastAsia" w:ascii="Times New Roman" w:hAnsi="Times New Roman" w:eastAsia="仿宋_GB2312" w:cs="Times New Roman"/>
          <w:color w:val="000000" w:themeColor="text1"/>
          <w:sz w:val="24"/>
          <w:szCs w:val="24"/>
          <w14:textFill>
            <w14:solidFill>
              <w14:schemeClr w14:val="tx1"/>
            </w14:solidFill>
          </w14:textFill>
        </w:rPr>
        <w:t>无量纲</w:t>
      </w:r>
      <w:r>
        <w:rPr>
          <w:rFonts w:ascii="Times New Roman" w:hAnsi="Times New Roman" w:eastAsia="仿宋_GB2312" w:cs="Times New Roman"/>
          <w:color w:val="000000" w:themeColor="text1"/>
          <w:sz w:val="24"/>
          <w:szCs w:val="24"/>
          <w14:textFill>
            <w14:solidFill>
              <w14:schemeClr w14:val="tx1"/>
            </w14:solidFill>
          </w14:textFill>
        </w:rPr>
        <w:t>）。</w:t>
      </w:r>
    </w:p>
    <w:p w14:paraId="35D7D13A">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1D54D96">
      <w:pPr>
        <w:pStyle w:val="2"/>
        <w:jc w:val="center"/>
        <w:rPr>
          <w:rFonts w:ascii="Times New Roman" w:hAnsi="Times New Roman" w:cs="Times New Roman"/>
          <w:color w:val="000000" w:themeColor="text1"/>
          <w:sz w:val="32"/>
          <w:szCs w:val="32"/>
          <w14:textFill>
            <w14:solidFill>
              <w14:schemeClr w14:val="tx1"/>
            </w14:solidFill>
          </w14:textFill>
        </w:rPr>
      </w:pPr>
      <w:bookmarkStart w:id="33" w:name="_Toc3864"/>
      <w:bookmarkStart w:id="34" w:name="_Toc20159"/>
      <w:bookmarkStart w:id="35" w:name="_Toc57819220"/>
      <w:r>
        <w:rPr>
          <w:rFonts w:ascii="Times New Roman" w:hAnsi="Times New Roman" w:cs="Times New Roman"/>
          <w:color w:val="000000" w:themeColor="text1"/>
          <w:sz w:val="32"/>
          <w:szCs w:val="32"/>
          <w14:textFill>
            <w14:solidFill>
              <w14:schemeClr w14:val="tx1"/>
            </w14:solidFill>
          </w14:textFill>
        </w:rPr>
        <w:t>3  基本规定</w:t>
      </w:r>
      <w:bookmarkEnd w:id="33"/>
      <w:bookmarkEnd w:id="34"/>
      <w:bookmarkEnd w:id="35"/>
    </w:p>
    <w:p w14:paraId="6F0E1DAD">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3.0.1 </w:t>
      </w:r>
      <w:r>
        <w:rPr>
          <w:rFonts w:hint="eastAsia" w:ascii="Times New Roman" w:hAnsi="Times New Roman" w:eastAsia="仿宋_GB2312" w:cs="Times New Roman"/>
          <w:color w:val="000000" w:themeColor="text1"/>
          <w:sz w:val="24"/>
          <w:szCs w:val="24"/>
          <w14:textFill>
            <w14:solidFill>
              <w14:schemeClr w14:val="tx1"/>
            </w14:solidFill>
          </w14:textFill>
        </w:rPr>
        <w:t>泥浆处理工作流程应包括泥浆收集、处理、尾水处置、尾渣处置和资源化利用等环节</w:t>
      </w:r>
    </w:p>
    <w:p w14:paraId="0B9559CF">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3.0.2 </w:t>
      </w:r>
      <w:r>
        <w:rPr>
          <w:rFonts w:hint="eastAsia" w:ascii="Times New Roman" w:hAnsi="Times New Roman" w:eastAsia="仿宋_GB2312" w:cs="Times New Roman"/>
          <w:color w:val="000000" w:themeColor="text1"/>
          <w:sz w:val="24"/>
          <w:szCs w:val="24"/>
          <w14:textFill>
            <w14:solidFill>
              <w14:schemeClr w14:val="tx1"/>
            </w14:solidFill>
          </w14:textFill>
        </w:rPr>
        <w:t>泥浆处理应达到减量、稳定、环保安全和经济可行的要求。</w:t>
      </w:r>
    </w:p>
    <w:p w14:paraId="7BA30A3A">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3.0.3 </w:t>
      </w:r>
      <w:r>
        <w:rPr>
          <w:rFonts w:hint="eastAsia" w:ascii="Times New Roman" w:hAnsi="Times New Roman" w:eastAsia="仿宋_GB2312" w:cs="Times New Roman"/>
          <w:color w:val="000000" w:themeColor="text1"/>
          <w:sz w:val="24"/>
          <w:szCs w:val="24"/>
          <w14:textFill>
            <w14:solidFill>
              <w14:schemeClr w14:val="tx1"/>
            </w14:solidFill>
          </w14:textFill>
        </w:rPr>
        <w:t>现场经处理产生的干泥、砂土和清液应满足相应的环保要求方可进行外运排放。</w:t>
      </w:r>
    </w:p>
    <w:p w14:paraId="38CC3D78">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3.0.4 </w:t>
      </w:r>
      <w:r>
        <w:rPr>
          <w:rFonts w:hint="eastAsia" w:ascii="Times New Roman" w:hAnsi="Times New Roman" w:eastAsia="仿宋_GB2312" w:cs="Times New Roman"/>
          <w:color w:val="000000" w:themeColor="text1"/>
          <w:sz w:val="24"/>
          <w:szCs w:val="24"/>
          <w14:textFill>
            <w14:solidFill>
              <w14:schemeClr w14:val="tx1"/>
            </w14:solidFill>
          </w14:textFill>
        </w:rPr>
        <w:t>现场泥浆处理应建立完善的安全生产管理制度，泥浆处理系统和操作人员应满足环保和安全等相关规定。</w:t>
      </w:r>
    </w:p>
    <w:p w14:paraId="36E6BB82">
      <w:pPr>
        <w:rPr>
          <w:rFonts w:ascii="Times New Roman" w:hAnsi="Times New Roman" w:cs="Times New Roman"/>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CEC3EA6">
      <w:pPr>
        <w:pStyle w:val="2"/>
        <w:jc w:val="center"/>
        <w:rPr>
          <w:rFonts w:ascii="Times New Roman" w:hAnsi="Times New Roman" w:eastAsia="黑体" w:cs="Times New Roman"/>
          <w:color w:val="000000" w:themeColor="text1"/>
          <w:kern w:val="2"/>
          <w:sz w:val="28"/>
          <w:szCs w:val="28"/>
          <w14:textFill>
            <w14:solidFill>
              <w14:schemeClr w14:val="tx1"/>
            </w14:solidFill>
          </w14:textFill>
        </w:rPr>
      </w:pPr>
      <w:bookmarkStart w:id="36" w:name="_Toc57819221"/>
      <w:bookmarkStart w:id="37" w:name="_Toc29164"/>
      <w:bookmarkStart w:id="38" w:name="_Toc32305"/>
      <w:r>
        <w:rPr>
          <w:rFonts w:ascii="Times New Roman" w:hAnsi="Times New Roman" w:cs="Times New Roman"/>
          <w:color w:val="000000" w:themeColor="text1"/>
          <w:sz w:val="32"/>
          <w:szCs w:val="32"/>
          <w14:textFill>
            <w14:solidFill>
              <w14:schemeClr w14:val="tx1"/>
            </w14:solidFill>
          </w14:textFill>
        </w:rPr>
        <w:t xml:space="preserve">4  </w:t>
      </w:r>
      <w:r>
        <w:rPr>
          <w:rFonts w:hint="eastAsia" w:ascii="Times New Roman" w:hAnsi="Times New Roman" w:cs="Times New Roman"/>
          <w:color w:val="000000" w:themeColor="text1"/>
          <w:sz w:val="32"/>
          <w:szCs w:val="32"/>
          <w14:textFill>
            <w14:solidFill>
              <w14:schemeClr w14:val="tx1"/>
            </w14:solidFill>
          </w14:textFill>
        </w:rPr>
        <w:t>场地布置和系统设计</w:t>
      </w:r>
      <w:bookmarkEnd w:id="36"/>
      <w:bookmarkEnd w:id="37"/>
      <w:bookmarkEnd w:id="38"/>
    </w:p>
    <w:p w14:paraId="3E2C60F6">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39" w:name="_Toc6054"/>
      <w:bookmarkStart w:id="40" w:name="_Toc57819222"/>
      <w:bookmarkStart w:id="41" w:name="_Toc13833"/>
      <w:r>
        <w:rPr>
          <w:rFonts w:ascii="Times New Roman" w:hAnsi="Times New Roman" w:cs="Times New Roman"/>
          <w:color w:val="000000" w:themeColor="text1"/>
          <w:sz w:val="28"/>
          <w:szCs w:val="28"/>
          <w14:textFill>
            <w14:solidFill>
              <w14:schemeClr w14:val="tx1"/>
            </w14:solidFill>
          </w14:textFill>
        </w:rPr>
        <w:t>4.1  一般规定</w:t>
      </w:r>
      <w:bookmarkEnd w:id="39"/>
      <w:bookmarkEnd w:id="40"/>
      <w:bookmarkEnd w:id="41"/>
    </w:p>
    <w:p w14:paraId="4790A48B">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4.1.1</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泥浆处理的</w:t>
      </w:r>
      <w:r>
        <w:rPr>
          <w:rFonts w:hint="eastAsia" w:ascii="Times New Roman" w:hAnsi="Times New Roman" w:eastAsia="仿宋_GB2312" w:cs="Times New Roman"/>
          <w:color w:val="000000" w:themeColor="text1"/>
          <w:sz w:val="24"/>
          <w:szCs w:val="24"/>
          <w14:textFill>
            <w14:solidFill>
              <w14:schemeClr w14:val="tx1"/>
            </w14:solidFill>
          </w14:textFill>
        </w:rPr>
        <w:t>场地</w:t>
      </w:r>
      <w:r>
        <w:rPr>
          <w:rFonts w:ascii="Times New Roman" w:hAnsi="Times New Roman" w:eastAsia="仿宋_GB2312" w:cs="Times New Roman"/>
          <w:color w:val="000000" w:themeColor="text1"/>
          <w:sz w:val="24"/>
          <w:szCs w:val="24"/>
          <w14:textFill>
            <w14:solidFill>
              <w14:schemeClr w14:val="tx1"/>
            </w14:solidFill>
          </w14:textFill>
        </w:rPr>
        <w:t>规划和设计应根据项目工程泥浆产生总量、工期、地质条件和施工工艺等情况来确定</w:t>
      </w:r>
      <w:r>
        <w:rPr>
          <w:rFonts w:hint="eastAsia" w:ascii="Times New Roman" w:hAnsi="Times New Roman" w:eastAsia="仿宋_GB2312" w:cs="Times New Roman"/>
          <w:color w:val="000000" w:themeColor="text1"/>
          <w:sz w:val="24"/>
          <w:szCs w:val="24"/>
          <w14:textFill>
            <w14:solidFill>
              <w14:schemeClr w14:val="tx1"/>
            </w14:solidFill>
          </w14:textFill>
        </w:rPr>
        <w:t>。</w:t>
      </w:r>
    </w:p>
    <w:p w14:paraId="130546E9">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w:t>
      </w:r>
      <w:r>
        <w:rPr>
          <w:rFonts w:ascii="Times New Roman" w:hAnsi="Times New Roman" w:eastAsia="仿宋_GB2312" w:cs="Times New Roman"/>
          <w:b/>
          <w:color w:val="000000" w:themeColor="text1"/>
          <w:sz w:val="24"/>
          <w:szCs w:val="24"/>
          <w14:textFill>
            <w14:solidFill>
              <w14:schemeClr w14:val="tx1"/>
            </w14:solidFill>
          </w14:textFill>
        </w:rPr>
        <w:t>.1.2</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泥浆处理的场地规划和设计应</w:t>
      </w:r>
      <w:r>
        <w:rPr>
          <w:rFonts w:ascii="Times New Roman" w:hAnsi="Times New Roman" w:eastAsia="仿宋_GB2312" w:cs="Times New Roman"/>
          <w:color w:val="000000" w:themeColor="text1"/>
          <w:sz w:val="24"/>
          <w:szCs w:val="24"/>
          <w14:textFill>
            <w14:solidFill>
              <w14:schemeClr w14:val="tx1"/>
            </w14:solidFill>
          </w14:textFill>
        </w:rPr>
        <w:t>符合工程建设的相关规定。</w:t>
      </w:r>
    </w:p>
    <w:p w14:paraId="4C7E0706">
      <w:pPr>
        <w:pStyle w:val="4"/>
        <w:spacing w:beforeLines="0" w:after="156" w:afterLines="50" w:line="360" w:lineRule="auto"/>
        <w:jc w:val="center"/>
        <w:rPr>
          <w:rFonts w:ascii="Times New Roman" w:hAnsi="Times New Roman" w:eastAsia="仿宋_GB2312" w:cs="Times New Roman"/>
          <w:color w:val="000000" w:themeColor="text1"/>
          <w:sz w:val="24"/>
          <w:szCs w:val="24"/>
          <w14:textFill>
            <w14:solidFill>
              <w14:schemeClr w14:val="tx1"/>
            </w14:solidFill>
          </w14:textFill>
        </w:rPr>
      </w:pPr>
      <w:bookmarkStart w:id="42" w:name="_Toc29722"/>
      <w:bookmarkStart w:id="43" w:name="_Toc57819223"/>
      <w:bookmarkStart w:id="44" w:name="_Toc25751"/>
      <w:r>
        <w:rPr>
          <w:rFonts w:ascii="Times New Roman" w:hAnsi="Times New Roman" w:cs="Times New Roman"/>
          <w:color w:val="000000" w:themeColor="text1"/>
          <w:sz w:val="28"/>
          <w:szCs w:val="28"/>
          <w14:textFill>
            <w14:solidFill>
              <w14:schemeClr w14:val="tx1"/>
            </w14:solidFill>
          </w14:textFill>
        </w:rPr>
        <w:t>4.2  场地</w:t>
      </w:r>
      <w:r>
        <w:rPr>
          <w:rFonts w:hint="eastAsia" w:ascii="Times New Roman" w:hAnsi="Times New Roman" w:cs="Times New Roman"/>
          <w:color w:val="000000" w:themeColor="text1"/>
          <w:sz w:val="28"/>
          <w:szCs w:val="28"/>
          <w14:textFill>
            <w14:solidFill>
              <w14:schemeClr w14:val="tx1"/>
            </w14:solidFill>
          </w14:textFill>
        </w:rPr>
        <w:t>布置</w:t>
      </w:r>
      <w:bookmarkEnd w:id="42"/>
      <w:bookmarkEnd w:id="43"/>
      <w:bookmarkEnd w:id="44"/>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p>
    <w:p w14:paraId="19E05BBB">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4.2.</w:t>
      </w:r>
      <w:r>
        <w:rPr>
          <w:rFonts w:hint="eastAsia" w:ascii="Times New Roman" w:hAnsi="Times New Roman" w:eastAsia="仿宋_GB2312" w:cs="Times New Roman"/>
          <w:b/>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规划场地时，应综合考虑电力供给，如电箱存放位置；以及用水接入，尾水排放管渠布置等实际问题。</w:t>
      </w:r>
    </w:p>
    <w:p w14:paraId="4F2BD3A6">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4.</w:t>
      </w:r>
      <w:r>
        <w:rPr>
          <w:rFonts w:hint="eastAsia" w:ascii="Times New Roman" w:hAnsi="Times New Roman" w:eastAsia="仿宋_GB2312" w:cs="Times New Roman"/>
          <w:b/>
          <w:color w:val="000000" w:themeColor="text1"/>
          <w:sz w:val="24"/>
          <w:szCs w:val="24"/>
          <w14:textFill>
            <w14:solidFill>
              <w14:schemeClr w14:val="tx1"/>
            </w14:solidFill>
          </w14:textFill>
        </w:rPr>
        <w:t>2</w:t>
      </w:r>
      <w:r>
        <w:rPr>
          <w:rFonts w:ascii="Times New Roman" w:hAnsi="Times New Roman" w:eastAsia="仿宋_GB2312" w:cs="Times New Roman"/>
          <w:b/>
          <w:color w:val="000000" w:themeColor="text1"/>
          <w:sz w:val="24"/>
          <w:szCs w:val="24"/>
          <w14:textFill>
            <w14:solidFill>
              <w14:schemeClr w14:val="tx1"/>
            </w14:solidFill>
          </w14:textFill>
        </w:rPr>
        <w:t>.</w:t>
      </w:r>
      <w:r>
        <w:rPr>
          <w:rFonts w:hint="eastAsia" w:ascii="Times New Roman" w:hAnsi="Times New Roman" w:eastAsia="仿宋_GB2312" w:cs="Times New Roman"/>
          <w:b/>
          <w:color w:val="000000" w:themeColor="text1"/>
          <w:sz w:val="24"/>
          <w:szCs w:val="24"/>
          <w14:textFill>
            <w14:solidFill>
              <w14:schemeClr w14:val="tx1"/>
            </w14:solidFill>
          </w14:textFill>
        </w:rPr>
        <w:t>2</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泥浆处理的规划和设计，应包括工程泥浆存放区</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输送区、接料区、筛分区</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净化区、预处理区、脱水区、粗细砂存放区、干泥存放区和泥砂装卸区等。</w:t>
      </w:r>
    </w:p>
    <w:p w14:paraId="26DF9A89">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w:t>
      </w:r>
      <w:r>
        <w:rPr>
          <w:rFonts w:ascii="Times New Roman" w:hAnsi="Times New Roman" w:eastAsia="仿宋_GB2312" w:cs="Times New Roman"/>
          <w:b/>
          <w:color w:val="000000" w:themeColor="text1"/>
          <w:sz w:val="24"/>
          <w:szCs w:val="24"/>
          <w14:textFill>
            <w14:solidFill>
              <w14:schemeClr w14:val="tx1"/>
            </w14:solidFill>
          </w14:textFill>
        </w:rPr>
        <w:t>.2.</w:t>
      </w:r>
      <w:r>
        <w:rPr>
          <w:rFonts w:hint="eastAsia" w:ascii="Times New Roman" w:hAnsi="Times New Roman" w:eastAsia="仿宋_GB2312" w:cs="Times New Roman"/>
          <w:b/>
          <w:color w:val="000000" w:themeColor="text1"/>
          <w:sz w:val="24"/>
          <w:szCs w:val="24"/>
          <w14:textFill>
            <w14:solidFill>
              <w14:schemeClr w14:val="tx1"/>
            </w14:solidFill>
          </w14:textFill>
        </w:rPr>
        <w:t>3</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地基础承载力应满足《建筑地基础设计规范》GB 50007的要求。</w:t>
      </w:r>
    </w:p>
    <w:p w14:paraId="6AC13B48">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45" w:name="_Toc17564"/>
      <w:bookmarkStart w:id="46" w:name="_Toc17339"/>
      <w:bookmarkStart w:id="47" w:name="_Toc57819224"/>
      <w:r>
        <w:rPr>
          <w:rFonts w:ascii="Times New Roman" w:hAnsi="Times New Roman" w:cs="Times New Roman"/>
          <w:color w:val="000000" w:themeColor="text1"/>
          <w:sz w:val="28"/>
          <w:szCs w:val="28"/>
          <w14:textFill>
            <w14:solidFill>
              <w14:schemeClr w14:val="tx1"/>
            </w14:solidFill>
          </w14:textFill>
        </w:rPr>
        <w:t>4.3  系统设计</w:t>
      </w:r>
      <w:bookmarkEnd w:id="45"/>
      <w:bookmarkEnd w:id="46"/>
      <w:bookmarkEnd w:id="47"/>
      <w:r>
        <w:rPr>
          <w:rFonts w:ascii="Times New Roman" w:hAnsi="Times New Roman" w:cs="Times New Roman"/>
          <w:color w:val="000000" w:themeColor="text1"/>
          <w:sz w:val="28"/>
          <w:szCs w:val="28"/>
          <w14:textFill>
            <w14:solidFill>
              <w14:schemeClr w14:val="tx1"/>
            </w14:solidFill>
          </w14:textFill>
        </w:rPr>
        <w:t xml:space="preserve"> </w:t>
      </w:r>
    </w:p>
    <w:p w14:paraId="120C2A14">
      <w:pPr>
        <w:autoSpaceDE w:val="0"/>
        <w:autoSpaceDN w:val="0"/>
        <w:jc w:val="left"/>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4.3.1</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泥浆处理系统功能应符合以下规定：</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51"/>
        <w:gridCol w:w="4145"/>
      </w:tblGrid>
      <w:tr w14:paraId="78BA6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Pr>
          <w:p w14:paraId="3F4E206A">
            <w:pPr>
              <w:jc w:val="center"/>
              <w:rPr>
                <w:color w:val="000000" w:themeColor="text1"/>
                <w:vertAlign w:val="superscript"/>
                <w14:textFill>
                  <w14:solidFill>
                    <w14:schemeClr w14:val="tx1"/>
                  </w14:solidFill>
                </w14:textFill>
              </w:rPr>
            </w:pPr>
            <w:r>
              <w:rPr>
                <w:rFonts w:hint="eastAsia"/>
                <w:color w:val="000000" w:themeColor="text1"/>
                <w14:textFill>
                  <w14:solidFill>
                    <w14:schemeClr w14:val="tx1"/>
                  </w14:solidFill>
                </w14:textFill>
              </w:rPr>
              <w:t>处理量（</w:t>
            </w:r>
            <w:r>
              <w:rPr>
                <w:rFonts w:hint="eastAsia"/>
                <w:color w:val="000000" w:themeColor="text1"/>
                <w:lang w:eastAsia="zh-CN"/>
                <w14:textFill>
                  <w14:solidFill>
                    <w14:schemeClr w14:val="tx1"/>
                  </w14:solidFill>
                </w14:textFill>
              </w:rPr>
              <w:t>m³</w:t>
            </w:r>
            <w:r>
              <w:rPr>
                <w:rFonts w:hint="eastAsia"/>
                <w:color w:val="000000" w:themeColor="text1"/>
                <w14:textFill>
                  <w14:solidFill>
                    <w14:schemeClr w14:val="tx1"/>
                  </w14:solidFill>
                </w14:textFill>
              </w:rPr>
              <w:t>/d）</w:t>
            </w:r>
          </w:p>
        </w:tc>
        <w:tc>
          <w:tcPr>
            <w:tcW w:w="4145" w:type="dxa"/>
          </w:tcPr>
          <w:p w14:paraId="333E511C">
            <w:pPr>
              <w:jc w:val="center"/>
              <w:rPr>
                <w:color w:val="000000" w:themeColor="text1"/>
                <w:vertAlign w:val="superscript"/>
                <w14:textFill>
                  <w14:solidFill>
                    <w14:schemeClr w14:val="tx1"/>
                  </w14:solidFill>
                </w14:textFill>
              </w:rPr>
            </w:pPr>
            <w:r>
              <w:rPr>
                <w:rFonts w:hint="eastAsia"/>
                <w:color w:val="000000" w:themeColor="text1"/>
                <w14:textFill>
                  <w14:solidFill>
                    <w14:schemeClr w14:val="tx1"/>
                  </w14:solidFill>
                </w14:textFill>
              </w:rPr>
              <w:t>占地面积（m</w:t>
            </w:r>
            <w:r>
              <w:rPr>
                <w:rFonts w:hint="eastAsia"/>
                <w:color w:val="000000" w:themeColor="text1"/>
                <w:vertAlign w:val="superscript"/>
                <w14:textFill>
                  <w14:solidFill>
                    <w14:schemeClr w14:val="tx1"/>
                  </w14:solidFill>
                </w14:textFill>
              </w:rPr>
              <w:t>2</w:t>
            </w:r>
            <w:r>
              <w:rPr>
                <w:rFonts w:hint="eastAsia"/>
                <w:color w:val="000000" w:themeColor="text1"/>
                <w14:textFill>
                  <w14:solidFill>
                    <w14:schemeClr w14:val="tx1"/>
                  </w14:solidFill>
                </w14:textFill>
              </w:rPr>
              <w:t>）</w:t>
            </w:r>
          </w:p>
        </w:tc>
      </w:tr>
      <w:tr w14:paraId="3ACA3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Pr>
          <w:p w14:paraId="221DB828">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200</w:t>
            </w:r>
          </w:p>
        </w:tc>
        <w:tc>
          <w:tcPr>
            <w:tcW w:w="4145" w:type="dxa"/>
          </w:tcPr>
          <w:p w14:paraId="692E92FF">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100</w:t>
            </w:r>
          </w:p>
        </w:tc>
      </w:tr>
      <w:tr w14:paraId="457EB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Pr>
          <w:p w14:paraId="79C20552">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600</w:t>
            </w:r>
          </w:p>
        </w:tc>
        <w:tc>
          <w:tcPr>
            <w:tcW w:w="4145" w:type="dxa"/>
          </w:tcPr>
          <w:p w14:paraId="235315F9">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300</w:t>
            </w:r>
          </w:p>
        </w:tc>
      </w:tr>
      <w:tr w14:paraId="59B12C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Pr>
          <w:p w14:paraId="2A168DA1">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1200</w:t>
            </w:r>
          </w:p>
        </w:tc>
        <w:tc>
          <w:tcPr>
            <w:tcW w:w="4145" w:type="dxa"/>
          </w:tcPr>
          <w:p w14:paraId="3E4434FA">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600</w:t>
            </w:r>
          </w:p>
        </w:tc>
      </w:tr>
      <w:tr w14:paraId="6CFB84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1" w:type="dxa"/>
          </w:tcPr>
          <w:p w14:paraId="7CFEF76B">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2400</w:t>
            </w:r>
          </w:p>
        </w:tc>
        <w:tc>
          <w:tcPr>
            <w:tcW w:w="4145" w:type="dxa"/>
          </w:tcPr>
          <w:p w14:paraId="5C66C0B3">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1200</w:t>
            </w:r>
          </w:p>
        </w:tc>
      </w:tr>
    </w:tbl>
    <w:p w14:paraId="3529A2C7">
      <w:pPr>
        <w:autoSpaceDE w:val="0"/>
        <w:autoSpaceDN w:val="0"/>
        <w:jc w:val="left"/>
        <w:rPr>
          <w:rFonts w:ascii="Times New Roman" w:hAnsi="Times New Roman" w:eastAsia="仿宋_GB2312" w:cs="Times New Roman"/>
          <w:color w:val="000000" w:themeColor="text1"/>
          <w:sz w:val="24"/>
          <w:szCs w:val="24"/>
          <w14:textFill>
            <w14:solidFill>
              <w14:schemeClr w14:val="tx1"/>
            </w14:solidFill>
          </w14:textFill>
        </w:rPr>
      </w:pPr>
    </w:p>
    <w:p w14:paraId="19568BC1">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4.3.2</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尾水处理应</w:t>
      </w:r>
      <w:r>
        <w:rPr>
          <w:rFonts w:ascii="Times New Roman" w:hAnsi="Times New Roman" w:eastAsia="仿宋_GB2312" w:cs="Times New Roman"/>
          <w:color w:val="000000" w:themeColor="text1"/>
          <w:sz w:val="24"/>
          <w:szCs w:val="24"/>
          <w14:textFill>
            <w14:solidFill>
              <w14:schemeClr w14:val="tx1"/>
            </w14:solidFill>
          </w14:textFill>
        </w:rPr>
        <w:t>达</w:t>
      </w:r>
      <w:r>
        <w:rPr>
          <w:rFonts w:hint="eastAsia" w:ascii="Times New Roman" w:hAnsi="Times New Roman" w:eastAsia="仿宋_GB2312" w:cs="Times New Roman"/>
          <w:color w:val="000000" w:themeColor="text1"/>
          <w:sz w:val="24"/>
          <w:szCs w:val="24"/>
          <w14:textFill>
            <w14:solidFill>
              <w14:schemeClr w14:val="tx1"/>
            </w14:solidFill>
          </w14:textFill>
        </w:rPr>
        <w:t>到《城镇污水处理厂污染物排放标准》GB</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18918一级排放标准</w:t>
      </w:r>
      <w:r>
        <w:rPr>
          <w:rFonts w:ascii="Times New Roman" w:hAnsi="Times New Roman" w:eastAsia="仿宋_GB2312" w:cs="Times New Roman"/>
          <w:color w:val="000000" w:themeColor="text1"/>
          <w:sz w:val="24"/>
          <w:szCs w:val="24"/>
          <w14:textFill>
            <w14:solidFill>
              <w14:schemeClr w14:val="tx1"/>
            </w14:solidFill>
          </w14:textFill>
        </w:rPr>
        <w:t>，脱水后的干泥可用作培植土、铺路、回填或新型建筑原材料</w:t>
      </w:r>
      <w:r>
        <w:rPr>
          <w:rFonts w:hint="eastAsia" w:ascii="Times New Roman" w:hAnsi="Times New Roman" w:eastAsia="仿宋_GB2312" w:cs="Times New Roman"/>
          <w:color w:val="000000" w:themeColor="text1"/>
          <w:sz w:val="24"/>
          <w:szCs w:val="24"/>
          <w14:textFill>
            <w14:solidFill>
              <w14:schemeClr w14:val="tx1"/>
            </w14:solidFill>
          </w14:textFill>
        </w:rPr>
        <w:t>。</w:t>
      </w:r>
    </w:p>
    <w:p w14:paraId="27C9FD5F">
      <w:pPr>
        <w:autoSpaceDE w:val="0"/>
        <w:autoSpaceDN w:val="0"/>
        <w:snapToGrid w:val="0"/>
        <w:spacing w:line="360" w:lineRule="auto"/>
        <w:jc w:val="left"/>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4.3.3</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管道设计应保证安全、正常生产及便利操作、检修，以管线短和附件少</w:t>
      </w:r>
      <w:r>
        <w:rPr>
          <w:rFonts w:hint="eastAsia" w:ascii="Times New Roman" w:hAnsi="Times New Roman" w:eastAsia="仿宋_GB2312" w:cs="Times New Roman"/>
          <w:color w:val="000000" w:themeColor="text1"/>
          <w:sz w:val="24"/>
          <w:szCs w:val="24"/>
          <w14:textFill>
            <w14:solidFill>
              <w14:schemeClr w14:val="tx1"/>
            </w14:solidFill>
          </w14:textFill>
        </w:rPr>
        <w:t>为原则</w:t>
      </w:r>
      <w:r>
        <w:rPr>
          <w:rFonts w:ascii="Times New Roman" w:hAnsi="Times New Roman" w:eastAsia="仿宋_GB2312" w:cs="Times New Roman"/>
          <w:color w:val="000000" w:themeColor="text1"/>
          <w:sz w:val="24"/>
          <w:szCs w:val="24"/>
          <w14:textFill>
            <w14:solidFill>
              <w14:schemeClr w14:val="tx1"/>
            </w14:solidFill>
          </w14:textFill>
        </w:rPr>
        <w:t>。</w:t>
      </w:r>
    </w:p>
    <w:p w14:paraId="0B09E97A">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48" w:name="_Toc18321"/>
      <w:bookmarkStart w:id="49" w:name="_Toc57819225"/>
      <w:bookmarkStart w:id="50" w:name="_Toc14419"/>
      <w:r>
        <w:rPr>
          <w:rFonts w:ascii="Times New Roman" w:hAnsi="Times New Roman" w:cs="Times New Roman"/>
          <w:color w:val="000000" w:themeColor="text1"/>
          <w:sz w:val="28"/>
          <w:szCs w:val="28"/>
          <w14:textFill>
            <w14:solidFill>
              <w14:schemeClr w14:val="tx1"/>
            </w14:solidFill>
          </w14:textFill>
        </w:rPr>
        <w:t>4.4  安全</w:t>
      </w:r>
      <w:r>
        <w:rPr>
          <w:rFonts w:hint="eastAsia" w:ascii="Times New Roman" w:hAnsi="Times New Roman" w:cs="Times New Roman"/>
          <w:color w:val="000000" w:themeColor="text1"/>
          <w:sz w:val="28"/>
          <w:szCs w:val="28"/>
          <w14:textFill>
            <w14:solidFill>
              <w14:schemeClr w14:val="tx1"/>
            </w14:solidFill>
          </w14:textFill>
        </w:rPr>
        <w:t>和</w:t>
      </w:r>
      <w:r>
        <w:rPr>
          <w:rFonts w:ascii="Times New Roman" w:hAnsi="Times New Roman" w:cs="Times New Roman"/>
          <w:color w:val="000000" w:themeColor="text1"/>
          <w:sz w:val="28"/>
          <w:szCs w:val="28"/>
          <w14:textFill>
            <w14:solidFill>
              <w14:schemeClr w14:val="tx1"/>
            </w14:solidFill>
          </w14:textFill>
        </w:rPr>
        <w:t>环保</w:t>
      </w:r>
      <w:bookmarkEnd w:id="48"/>
      <w:bookmarkEnd w:id="49"/>
      <w:bookmarkEnd w:id="50"/>
    </w:p>
    <w:p w14:paraId="164E9722">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4.4.</w:t>
      </w:r>
      <w:r>
        <w:rPr>
          <w:rFonts w:hint="eastAsia" w:ascii="Times New Roman" w:hAnsi="Times New Roman" w:eastAsia="仿宋_GB2312" w:cs="Times New Roman"/>
          <w:b/>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入料</w:t>
      </w:r>
      <w:r>
        <w:rPr>
          <w:rFonts w:ascii="Times New Roman" w:hAnsi="Times New Roman" w:eastAsia="仿宋_GB2312" w:cs="Times New Roman"/>
          <w:color w:val="000000" w:themeColor="text1"/>
          <w:sz w:val="24"/>
          <w:szCs w:val="24"/>
          <w14:textFill>
            <w14:solidFill>
              <w14:schemeClr w14:val="tx1"/>
            </w14:solidFill>
          </w14:textFill>
        </w:rPr>
        <w:t>泵和振动筛等设备</w:t>
      </w:r>
      <w:r>
        <w:rPr>
          <w:rFonts w:hint="eastAsia" w:ascii="Times New Roman" w:hAnsi="Times New Roman" w:eastAsia="仿宋_GB2312" w:cs="Times New Roman"/>
          <w:color w:val="000000" w:themeColor="text1"/>
          <w:sz w:val="24"/>
          <w:szCs w:val="24"/>
          <w14:textFill>
            <w14:solidFill>
              <w14:schemeClr w14:val="tx1"/>
            </w14:solidFill>
          </w14:textFill>
        </w:rPr>
        <w:t>应</w:t>
      </w:r>
      <w:r>
        <w:rPr>
          <w:rFonts w:ascii="Times New Roman" w:hAnsi="Times New Roman" w:eastAsia="仿宋_GB2312" w:cs="Times New Roman"/>
          <w:color w:val="000000" w:themeColor="text1"/>
          <w:sz w:val="24"/>
          <w:szCs w:val="24"/>
          <w14:textFill>
            <w14:solidFill>
              <w14:schemeClr w14:val="tx1"/>
            </w14:solidFill>
          </w14:textFill>
        </w:rPr>
        <w:t>安装隔</w:t>
      </w:r>
      <w:r>
        <w:rPr>
          <w:rFonts w:hint="eastAsia" w:ascii="Times New Roman" w:hAnsi="Times New Roman" w:eastAsia="仿宋_GB2312" w:cs="Times New Roman"/>
          <w:color w:val="000000" w:themeColor="text1"/>
          <w:sz w:val="24"/>
          <w:szCs w:val="24"/>
          <w14:textFill>
            <w14:solidFill>
              <w14:schemeClr w14:val="tx1"/>
            </w14:solidFill>
          </w14:textFill>
        </w:rPr>
        <w:t>音</w:t>
      </w:r>
      <w:r>
        <w:rPr>
          <w:rFonts w:ascii="Times New Roman" w:hAnsi="Times New Roman" w:eastAsia="仿宋_GB2312" w:cs="Times New Roman"/>
          <w:color w:val="000000" w:themeColor="text1"/>
          <w:sz w:val="24"/>
          <w:szCs w:val="24"/>
          <w14:textFill>
            <w14:solidFill>
              <w14:schemeClr w14:val="tx1"/>
            </w14:solidFill>
          </w14:textFill>
        </w:rPr>
        <w:t>设施，隔</w:t>
      </w:r>
      <w:r>
        <w:rPr>
          <w:rFonts w:hint="eastAsia" w:ascii="Times New Roman" w:hAnsi="Times New Roman" w:eastAsia="仿宋_GB2312" w:cs="Times New Roman"/>
          <w:color w:val="000000" w:themeColor="text1"/>
          <w:sz w:val="24"/>
          <w:szCs w:val="24"/>
          <w14:textFill>
            <w14:solidFill>
              <w14:schemeClr w14:val="tx1"/>
            </w14:solidFill>
          </w14:textFill>
        </w:rPr>
        <w:t>音</w:t>
      </w:r>
      <w:r>
        <w:rPr>
          <w:rFonts w:ascii="Times New Roman" w:hAnsi="Times New Roman" w:eastAsia="仿宋_GB2312" w:cs="Times New Roman"/>
          <w:color w:val="000000" w:themeColor="text1"/>
          <w:sz w:val="24"/>
          <w:szCs w:val="24"/>
          <w14:textFill>
            <w14:solidFill>
              <w14:schemeClr w14:val="tx1"/>
            </w14:solidFill>
          </w14:textFill>
        </w:rPr>
        <w:t>设施宜采用多孔吸声材料</w:t>
      </w:r>
      <w:r>
        <w:rPr>
          <w:rFonts w:hint="eastAsia" w:ascii="Times New Roman" w:hAnsi="Times New Roman" w:eastAsia="仿宋_GB2312" w:cs="Times New Roman"/>
          <w:color w:val="000000" w:themeColor="text1"/>
          <w:sz w:val="24"/>
          <w:szCs w:val="24"/>
          <w14:textFill>
            <w14:solidFill>
              <w14:schemeClr w14:val="tx1"/>
            </w14:solidFill>
          </w14:textFill>
        </w:rPr>
        <w:t>等</w:t>
      </w:r>
      <w:r>
        <w:rPr>
          <w:rFonts w:ascii="Times New Roman" w:hAnsi="Times New Roman" w:eastAsia="仿宋_GB2312" w:cs="Times New Roman"/>
          <w:color w:val="000000" w:themeColor="text1"/>
          <w:sz w:val="24"/>
          <w:szCs w:val="24"/>
          <w14:textFill>
            <w14:solidFill>
              <w14:schemeClr w14:val="tx1"/>
            </w14:solidFill>
          </w14:textFill>
        </w:rPr>
        <w:t>。</w:t>
      </w:r>
    </w:p>
    <w:p w14:paraId="49000D26">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4.4.</w:t>
      </w:r>
      <w:r>
        <w:rPr>
          <w:rFonts w:hint="eastAsia" w:ascii="Times New Roman" w:hAnsi="Times New Roman" w:eastAsia="仿宋_GB2312" w:cs="Times New Roman"/>
          <w:b/>
          <w:color w:val="000000" w:themeColor="text1"/>
          <w:sz w:val="24"/>
          <w:szCs w:val="24"/>
          <w14:textFill>
            <w14:solidFill>
              <w14:schemeClr w14:val="tx1"/>
            </w14:solidFill>
          </w14:textFill>
        </w:rPr>
        <w:t>2</w:t>
      </w:r>
      <w:r>
        <w:rPr>
          <w:rFonts w:ascii="Times New Roman" w:hAnsi="Times New Roman" w:eastAsia="仿宋_GB2312" w:cs="Times New Roman"/>
          <w:color w:val="000000" w:themeColor="text1"/>
          <w:sz w:val="24"/>
          <w:szCs w:val="24"/>
          <w14:textFill>
            <w14:solidFill>
              <w14:schemeClr w14:val="tx1"/>
            </w14:solidFill>
          </w14:textFill>
        </w:rPr>
        <w:t xml:space="preserve"> 筛分系统设备</w:t>
      </w:r>
      <w:r>
        <w:rPr>
          <w:rFonts w:hint="eastAsia" w:ascii="Times New Roman" w:hAnsi="Times New Roman" w:eastAsia="仿宋_GB2312" w:cs="Times New Roman"/>
          <w:color w:val="000000" w:themeColor="text1"/>
          <w:sz w:val="24"/>
          <w:szCs w:val="24"/>
          <w14:textFill>
            <w14:solidFill>
              <w14:schemeClr w14:val="tx1"/>
            </w14:solidFill>
          </w14:textFill>
        </w:rPr>
        <w:t>应</w:t>
      </w:r>
      <w:r>
        <w:rPr>
          <w:rFonts w:ascii="Times New Roman" w:hAnsi="Times New Roman" w:eastAsia="仿宋_GB2312" w:cs="Times New Roman"/>
          <w:color w:val="000000" w:themeColor="text1"/>
          <w:sz w:val="24"/>
          <w:szCs w:val="24"/>
          <w14:textFill>
            <w14:solidFill>
              <w14:schemeClr w14:val="tx1"/>
            </w14:solidFill>
          </w14:textFill>
        </w:rPr>
        <w:t>采用下沉式设计</w:t>
      </w:r>
      <w:bookmarkStart w:id="51" w:name="_Toc38915298"/>
      <w:r>
        <w:rPr>
          <w:rFonts w:hint="eastAsia" w:ascii="Times New Roman" w:hAnsi="Times New Roman" w:eastAsia="仿宋_GB2312" w:cs="Times New Roman"/>
          <w:color w:val="000000" w:themeColor="text1"/>
          <w:sz w:val="24"/>
          <w:szCs w:val="24"/>
          <w14:textFill>
            <w14:solidFill>
              <w14:schemeClr w14:val="tx1"/>
            </w14:solidFill>
          </w14:textFill>
        </w:rPr>
        <w:t>。</w:t>
      </w:r>
    </w:p>
    <w:p w14:paraId="41AB22A5">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4.4.</w:t>
      </w:r>
      <w:r>
        <w:rPr>
          <w:rFonts w:hint="eastAsia" w:ascii="Times New Roman" w:hAnsi="Times New Roman" w:eastAsia="仿宋_GB2312" w:cs="Times New Roman"/>
          <w:b/>
          <w:color w:val="000000" w:themeColor="text1"/>
          <w:sz w:val="24"/>
          <w:szCs w:val="24"/>
          <w14:textFill>
            <w14:solidFill>
              <w14:schemeClr w14:val="tx1"/>
            </w14:solidFill>
          </w14:textFill>
        </w:rPr>
        <w:t>3</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ascii="Times New Roman" w:hAnsi="Times New Roman" w:eastAsia="仿宋_GB2312" w:cs="Times New Roman"/>
          <w:bCs/>
          <w:color w:val="000000" w:themeColor="text1"/>
          <w:sz w:val="24"/>
          <w:szCs w:val="24"/>
          <w14:textFill>
            <w14:solidFill>
              <w14:schemeClr w14:val="tx1"/>
            </w14:solidFill>
          </w14:textFill>
        </w:rPr>
        <w:t>文明施工</w:t>
      </w:r>
      <w:bookmarkEnd w:id="51"/>
      <w:r>
        <w:rPr>
          <w:rFonts w:ascii="Times New Roman" w:hAnsi="Times New Roman" w:eastAsia="仿宋_GB2312" w:cs="Times New Roman"/>
          <w:color w:val="000000" w:themeColor="text1"/>
          <w:sz w:val="24"/>
          <w:szCs w:val="24"/>
          <w14:textFill>
            <w14:solidFill>
              <w14:schemeClr w14:val="tx1"/>
            </w14:solidFill>
          </w14:textFill>
        </w:rPr>
        <w:t>应符</w:t>
      </w:r>
      <w:r>
        <w:rPr>
          <w:rFonts w:hint="eastAsia" w:ascii="Times New Roman" w:hAnsi="Times New Roman" w:eastAsia="仿宋_GB2312" w:cs="Times New Roman"/>
          <w:color w:val="000000" w:themeColor="text1"/>
          <w:sz w:val="24"/>
          <w:szCs w:val="24"/>
          <w14:textFill>
            <w14:solidFill>
              <w14:schemeClr w14:val="tx1"/>
            </w14:solidFill>
          </w14:textFill>
        </w:rPr>
        <w:t>合《建设工程施工现场环境与卫生标准》JGJ</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146等标准的规定。</w:t>
      </w:r>
    </w:p>
    <w:p w14:paraId="5D5CEAEF">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4.4.4</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施工现场的主要道路应进行硬化处理，道路应畅通，地面应平整坚实。</w:t>
      </w:r>
    </w:p>
    <w:p w14:paraId="50ADA83E">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4.4.5</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应设置排水系统。</w:t>
      </w:r>
    </w:p>
    <w:p w14:paraId="311C2F10">
      <w:pPr>
        <w:spacing w:line="360" w:lineRule="auto"/>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4</w:t>
      </w:r>
      <w:r>
        <w:rPr>
          <w:rFonts w:ascii="Times New Roman" w:hAnsi="Times New Roman" w:eastAsia="仿宋" w:cs="Times New Roman"/>
          <w:b/>
          <w:color w:val="000000" w:themeColor="text1"/>
          <w:sz w:val="24"/>
          <w:szCs w:val="24"/>
          <w14:textFill>
            <w14:solidFill>
              <w14:schemeClr w14:val="tx1"/>
            </w14:solidFill>
          </w14:textFill>
        </w:rPr>
        <w:t>.</w:t>
      </w:r>
      <w:r>
        <w:rPr>
          <w:rFonts w:hint="eastAsia" w:ascii="Times New Roman" w:hAnsi="Times New Roman" w:eastAsia="仿宋" w:cs="Times New Roman"/>
          <w:b/>
          <w:color w:val="000000" w:themeColor="text1"/>
          <w:sz w:val="24"/>
          <w:szCs w:val="24"/>
          <w14:textFill>
            <w14:solidFill>
              <w14:schemeClr w14:val="tx1"/>
            </w14:solidFill>
          </w14:textFill>
        </w:rPr>
        <w:t>4</w:t>
      </w:r>
      <w:r>
        <w:rPr>
          <w:rFonts w:ascii="Times New Roman" w:hAnsi="Times New Roman" w:eastAsia="仿宋" w:cs="Times New Roman"/>
          <w:b/>
          <w:color w:val="000000" w:themeColor="text1"/>
          <w:sz w:val="24"/>
          <w:szCs w:val="24"/>
          <w14:textFill>
            <w14:solidFill>
              <w14:schemeClr w14:val="tx1"/>
            </w14:solidFill>
          </w14:textFill>
        </w:rPr>
        <w:t>.</w:t>
      </w:r>
      <w:r>
        <w:rPr>
          <w:rFonts w:hint="eastAsia" w:ascii="Times New Roman" w:hAnsi="Times New Roman" w:eastAsia="仿宋" w:cs="Times New Roman"/>
          <w:b/>
          <w:color w:val="000000" w:themeColor="text1"/>
          <w:sz w:val="24"/>
          <w:szCs w:val="24"/>
          <w14:textFill>
            <w14:solidFill>
              <w14:schemeClr w14:val="tx1"/>
            </w14:solidFill>
          </w14:textFill>
        </w:rPr>
        <w:t>6</w:t>
      </w:r>
      <w:r>
        <w:rPr>
          <w:rFonts w:ascii="Times New Roman" w:hAnsi="Times New Roman" w:eastAsia="仿宋" w:cs="Times New Roman"/>
          <w:color w:val="000000" w:themeColor="text1"/>
          <w:sz w:val="24"/>
          <w:szCs w:val="24"/>
          <w14:textFill>
            <w14:solidFill>
              <w14:schemeClr w14:val="tx1"/>
            </w14:solidFill>
          </w14:textFill>
        </w:rPr>
        <w:t xml:space="preserve"> 应符合《中华人民共和国安全生产法》、《建设工程安全生产管理条例》等相关规定。</w:t>
      </w:r>
    </w:p>
    <w:p w14:paraId="214638CE">
      <w:pPr>
        <w:spacing w:line="360" w:lineRule="auto"/>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4</w:t>
      </w:r>
      <w:r>
        <w:rPr>
          <w:rFonts w:ascii="Times New Roman" w:hAnsi="Times New Roman" w:eastAsia="仿宋" w:cs="Times New Roman"/>
          <w:b/>
          <w:color w:val="000000" w:themeColor="text1"/>
          <w:sz w:val="24"/>
          <w:szCs w:val="24"/>
          <w14:textFill>
            <w14:solidFill>
              <w14:schemeClr w14:val="tx1"/>
            </w14:solidFill>
          </w14:textFill>
        </w:rPr>
        <w:t>.</w:t>
      </w:r>
      <w:r>
        <w:rPr>
          <w:rFonts w:hint="eastAsia" w:ascii="Times New Roman" w:hAnsi="Times New Roman" w:eastAsia="仿宋" w:cs="Times New Roman"/>
          <w:b/>
          <w:color w:val="000000" w:themeColor="text1"/>
          <w:sz w:val="24"/>
          <w:szCs w:val="24"/>
          <w14:textFill>
            <w14:solidFill>
              <w14:schemeClr w14:val="tx1"/>
            </w14:solidFill>
          </w14:textFill>
        </w:rPr>
        <w:t>4</w:t>
      </w:r>
      <w:r>
        <w:rPr>
          <w:rFonts w:ascii="Times New Roman" w:hAnsi="Times New Roman" w:eastAsia="仿宋" w:cs="Times New Roman"/>
          <w:b/>
          <w:color w:val="000000" w:themeColor="text1"/>
          <w:sz w:val="24"/>
          <w:szCs w:val="24"/>
          <w14:textFill>
            <w14:solidFill>
              <w14:schemeClr w14:val="tx1"/>
            </w14:solidFill>
          </w14:textFill>
        </w:rPr>
        <w:t>.</w:t>
      </w:r>
      <w:r>
        <w:rPr>
          <w:rFonts w:hint="eastAsia" w:ascii="Times New Roman" w:hAnsi="Times New Roman" w:eastAsia="仿宋" w:cs="Times New Roman"/>
          <w:b/>
          <w:color w:val="000000" w:themeColor="text1"/>
          <w:sz w:val="24"/>
          <w:szCs w:val="24"/>
          <w14:textFill>
            <w14:solidFill>
              <w14:schemeClr w14:val="tx1"/>
            </w14:solidFill>
          </w14:textFill>
        </w:rPr>
        <w:t>7</w:t>
      </w:r>
      <w:r>
        <w:rPr>
          <w:rFonts w:ascii="Times New Roman" w:hAnsi="Times New Roman" w:eastAsia="仿宋" w:cs="Times New Roman"/>
          <w:b/>
          <w:color w:val="000000" w:themeColor="text1"/>
          <w:sz w:val="24"/>
          <w:szCs w:val="24"/>
          <w14:textFill>
            <w14:solidFill>
              <w14:schemeClr w14:val="tx1"/>
            </w14:solidFill>
          </w14:textFill>
        </w:rPr>
        <w:t xml:space="preserve"> </w:t>
      </w:r>
      <w:r>
        <w:rPr>
          <w:rFonts w:ascii="Times New Roman" w:hAnsi="Times New Roman" w:eastAsia="仿宋" w:cs="Times New Roman"/>
          <w:color w:val="000000" w:themeColor="text1"/>
          <w:sz w:val="24"/>
          <w:szCs w:val="24"/>
          <w14:textFill>
            <w14:solidFill>
              <w14:schemeClr w14:val="tx1"/>
            </w14:solidFill>
          </w14:textFill>
        </w:rPr>
        <w:t>工地现场应张贴设备安全操作规程、文明施工规范及应急响应机制。</w:t>
      </w:r>
    </w:p>
    <w:p w14:paraId="1DFDEEF6">
      <w:pPr>
        <w:spacing w:line="360" w:lineRule="auto"/>
        <w:rPr>
          <w:rFonts w:ascii="Times New Roman" w:hAnsi="Times New Roman" w:eastAsia="仿宋" w:cs="Times New Roman"/>
          <w:color w:val="000000" w:themeColor="text1"/>
          <w:sz w:val="24"/>
          <w:szCs w:val="24"/>
          <w14:textFill>
            <w14:solidFill>
              <w14:schemeClr w14:val="tx1"/>
            </w14:solidFill>
          </w14:textFill>
        </w:rPr>
      </w:pPr>
      <w:r>
        <w:rPr>
          <w:rFonts w:hint="eastAsia" w:ascii="Times New Roman" w:hAnsi="Times New Roman" w:eastAsia="仿宋" w:cs="Times New Roman"/>
          <w:b/>
          <w:color w:val="000000" w:themeColor="text1"/>
          <w:sz w:val="24"/>
          <w:szCs w:val="24"/>
          <w14:textFill>
            <w14:solidFill>
              <w14:schemeClr w14:val="tx1"/>
            </w14:solidFill>
          </w14:textFill>
        </w:rPr>
        <w:t>4</w:t>
      </w:r>
      <w:r>
        <w:rPr>
          <w:rFonts w:ascii="Times New Roman" w:hAnsi="Times New Roman" w:eastAsia="仿宋" w:cs="Times New Roman"/>
          <w:b/>
          <w:color w:val="000000" w:themeColor="text1"/>
          <w:sz w:val="24"/>
          <w:szCs w:val="24"/>
          <w14:textFill>
            <w14:solidFill>
              <w14:schemeClr w14:val="tx1"/>
            </w14:solidFill>
          </w14:textFill>
        </w:rPr>
        <w:t>.</w:t>
      </w:r>
      <w:r>
        <w:rPr>
          <w:rFonts w:hint="eastAsia" w:ascii="Times New Roman" w:hAnsi="Times New Roman" w:eastAsia="仿宋" w:cs="Times New Roman"/>
          <w:b/>
          <w:color w:val="000000" w:themeColor="text1"/>
          <w:sz w:val="24"/>
          <w:szCs w:val="24"/>
          <w14:textFill>
            <w14:solidFill>
              <w14:schemeClr w14:val="tx1"/>
            </w14:solidFill>
          </w14:textFill>
        </w:rPr>
        <w:t>4</w:t>
      </w:r>
      <w:r>
        <w:rPr>
          <w:rFonts w:ascii="Times New Roman" w:hAnsi="Times New Roman" w:eastAsia="仿宋" w:cs="Times New Roman"/>
          <w:b/>
          <w:color w:val="000000" w:themeColor="text1"/>
          <w:sz w:val="24"/>
          <w:szCs w:val="24"/>
          <w14:textFill>
            <w14:solidFill>
              <w14:schemeClr w14:val="tx1"/>
            </w14:solidFill>
          </w14:textFill>
        </w:rPr>
        <w:t>.</w:t>
      </w:r>
      <w:r>
        <w:rPr>
          <w:rFonts w:hint="eastAsia" w:ascii="Times New Roman" w:hAnsi="Times New Roman" w:eastAsia="仿宋" w:cs="Times New Roman"/>
          <w:b/>
          <w:color w:val="000000" w:themeColor="text1"/>
          <w:sz w:val="24"/>
          <w:szCs w:val="24"/>
          <w14:textFill>
            <w14:solidFill>
              <w14:schemeClr w14:val="tx1"/>
            </w14:solidFill>
          </w14:textFill>
        </w:rPr>
        <w:t>8</w:t>
      </w:r>
      <w:r>
        <w:rPr>
          <w:rFonts w:ascii="Times New Roman" w:hAnsi="Times New Roman" w:eastAsia="仿宋" w:cs="Times New Roman"/>
          <w:b/>
          <w:color w:val="000000" w:themeColor="text1"/>
          <w:sz w:val="24"/>
          <w:szCs w:val="24"/>
          <w14:textFill>
            <w14:solidFill>
              <w14:schemeClr w14:val="tx1"/>
            </w14:solidFill>
          </w14:textFill>
        </w:rPr>
        <w:t xml:space="preserve"> </w:t>
      </w:r>
      <w:r>
        <w:rPr>
          <w:rFonts w:ascii="Times New Roman" w:hAnsi="Times New Roman" w:eastAsia="仿宋" w:cs="Times New Roman"/>
          <w:color w:val="000000" w:themeColor="text1"/>
          <w:sz w:val="24"/>
          <w:szCs w:val="24"/>
          <w14:textFill>
            <w14:solidFill>
              <w14:schemeClr w14:val="tx1"/>
            </w14:solidFill>
          </w14:textFill>
        </w:rPr>
        <w:t>施工现场应做好噪声、水、大气及固体废弃物污染控制。</w:t>
      </w:r>
    </w:p>
    <w:p w14:paraId="79690958">
      <w:pPr>
        <w:spacing w:line="360" w:lineRule="auto"/>
        <w:rPr>
          <w:rFonts w:ascii="Times New Roman" w:hAnsi="Times New Roman" w:eastAsia="仿宋"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EEC3AE8">
      <w:pPr>
        <w:pStyle w:val="2"/>
        <w:jc w:val="center"/>
        <w:rPr>
          <w:rFonts w:ascii="Times New Roman" w:hAnsi="Times New Roman" w:cs="Times New Roman"/>
          <w:color w:val="000000" w:themeColor="text1"/>
          <w:sz w:val="32"/>
          <w:szCs w:val="32"/>
          <w14:textFill>
            <w14:solidFill>
              <w14:schemeClr w14:val="tx1"/>
            </w14:solidFill>
          </w14:textFill>
        </w:rPr>
      </w:pPr>
      <w:bookmarkStart w:id="52" w:name="_Toc16079"/>
      <w:bookmarkStart w:id="53" w:name="_Toc28890"/>
      <w:bookmarkStart w:id="54" w:name="_Toc57819226"/>
      <w:r>
        <w:rPr>
          <w:rFonts w:ascii="Times New Roman" w:hAnsi="Times New Roman" w:cs="Times New Roman"/>
          <w:color w:val="000000" w:themeColor="text1"/>
          <w:sz w:val="32"/>
          <w:szCs w:val="32"/>
          <w14:textFill>
            <w14:solidFill>
              <w14:schemeClr w14:val="tx1"/>
            </w14:solidFill>
          </w14:textFill>
        </w:rPr>
        <w:t>5  安装和验收</w:t>
      </w:r>
      <w:bookmarkEnd w:id="52"/>
      <w:bookmarkEnd w:id="53"/>
      <w:bookmarkEnd w:id="54"/>
    </w:p>
    <w:p w14:paraId="779CBBBB">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55" w:name="_Toc0"/>
      <w:bookmarkStart w:id="56" w:name="_Toc57819227"/>
      <w:bookmarkStart w:id="57" w:name="_Toc16755"/>
      <w:r>
        <w:rPr>
          <w:rFonts w:ascii="Times New Roman" w:hAnsi="Times New Roman" w:cs="Times New Roman"/>
          <w:color w:val="000000" w:themeColor="text1"/>
          <w:sz w:val="28"/>
          <w:szCs w:val="28"/>
          <w14:textFill>
            <w14:solidFill>
              <w14:schemeClr w14:val="tx1"/>
            </w14:solidFill>
          </w14:textFill>
        </w:rPr>
        <w:t>5.1  一般规定</w:t>
      </w:r>
      <w:bookmarkEnd w:id="55"/>
      <w:bookmarkEnd w:id="56"/>
      <w:bookmarkEnd w:id="57"/>
    </w:p>
    <w:p w14:paraId="34AA9515">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5.1.</w:t>
      </w:r>
      <w:r>
        <w:rPr>
          <w:rFonts w:hint="eastAsia" w:ascii="Times New Roman" w:hAnsi="Times New Roman" w:eastAsia="仿宋_GB2312" w:cs="Times New Roman"/>
          <w:b/>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 xml:space="preserve"> 泥浆处理系统应按</w:t>
      </w:r>
      <w:r>
        <w:rPr>
          <w:rFonts w:hint="eastAsia" w:ascii="Times New Roman" w:hAnsi="Times New Roman" w:eastAsia="仿宋_GB2312" w:cs="Times New Roman"/>
          <w:color w:val="000000" w:themeColor="text1"/>
          <w:sz w:val="24"/>
          <w:szCs w:val="24"/>
          <w14:textFill>
            <w14:solidFill>
              <w14:schemeClr w14:val="tx1"/>
            </w14:solidFill>
          </w14:textFill>
        </w:rPr>
        <w:t>场地布置规划</w:t>
      </w:r>
      <w:r>
        <w:rPr>
          <w:rFonts w:ascii="Times New Roman" w:hAnsi="Times New Roman" w:eastAsia="仿宋_GB2312" w:cs="Times New Roman"/>
          <w:color w:val="000000" w:themeColor="text1"/>
          <w:sz w:val="24"/>
          <w:szCs w:val="24"/>
          <w14:textFill>
            <w14:solidFill>
              <w14:schemeClr w14:val="tx1"/>
            </w14:solidFill>
          </w14:textFill>
        </w:rPr>
        <w:t>图等技术文件要求，划定设备安装基准线并进行定位基准标记。</w:t>
      </w:r>
    </w:p>
    <w:p w14:paraId="45BE017F">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5.1.</w:t>
      </w:r>
      <w:r>
        <w:rPr>
          <w:rFonts w:hint="eastAsia" w:ascii="Times New Roman" w:hAnsi="Times New Roman" w:eastAsia="仿宋_GB2312" w:cs="Times New Roman"/>
          <w:b/>
          <w:color w:val="000000" w:themeColor="text1"/>
          <w:sz w:val="24"/>
          <w:szCs w:val="24"/>
          <w14:textFill>
            <w14:solidFill>
              <w14:schemeClr w14:val="tx1"/>
            </w14:solidFill>
          </w14:textFill>
        </w:rPr>
        <w:t>2</w:t>
      </w:r>
      <w:r>
        <w:rPr>
          <w:rFonts w:ascii="Times New Roman" w:hAnsi="Times New Roman" w:eastAsia="仿宋_GB2312" w:cs="Times New Roman"/>
          <w:color w:val="000000" w:themeColor="text1"/>
          <w:sz w:val="24"/>
          <w:szCs w:val="24"/>
          <w14:textFill>
            <w14:solidFill>
              <w14:schemeClr w14:val="tx1"/>
            </w14:solidFill>
          </w14:textFill>
        </w:rPr>
        <w:t xml:space="preserve"> 泥浆处理系统安装应按以下流程进行：设备吊装→机电安装→管道安装→安全设施安装→安装调试验收</w:t>
      </w:r>
      <w:r>
        <w:rPr>
          <w:rFonts w:hint="eastAsia" w:ascii="Times New Roman" w:hAnsi="Times New Roman" w:eastAsia="仿宋_GB2312" w:cs="Times New Roman"/>
          <w:color w:val="000000" w:themeColor="text1"/>
          <w:sz w:val="24"/>
          <w:szCs w:val="24"/>
          <w14:textFill>
            <w14:solidFill>
              <w14:schemeClr w14:val="tx1"/>
            </w14:solidFill>
          </w14:textFill>
        </w:rPr>
        <w:t>，现场安装</w:t>
      </w:r>
      <w:r>
        <w:rPr>
          <w:rFonts w:ascii="Times New Roman" w:hAnsi="Times New Roman" w:eastAsia="仿宋_GB2312" w:cs="Times New Roman"/>
          <w:color w:val="000000" w:themeColor="text1"/>
          <w:sz w:val="24"/>
          <w:szCs w:val="24"/>
          <w14:textFill>
            <w14:solidFill>
              <w14:schemeClr w14:val="tx1"/>
            </w14:solidFill>
          </w14:textFill>
        </w:rPr>
        <w:t>宜采用模块化</w:t>
      </w:r>
      <w:r>
        <w:rPr>
          <w:rFonts w:hint="eastAsia" w:ascii="Times New Roman" w:hAnsi="Times New Roman" w:eastAsia="仿宋_GB2312" w:cs="Times New Roman"/>
          <w:color w:val="000000" w:themeColor="text1"/>
          <w:sz w:val="24"/>
          <w:szCs w:val="24"/>
          <w14:textFill>
            <w14:solidFill>
              <w14:schemeClr w14:val="tx1"/>
            </w14:solidFill>
          </w14:textFill>
        </w:rPr>
        <w:t>安装</w:t>
      </w:r>
      <w:r>
        <w:rPr>
          <w:rFonts w:ascii="Times New Roman" w:hAnsi="Times New Roman" w:eastAsia="仿宋_GB2312" w:cs="Times New Roman"/>
          <w:color w:val="000000" w:themeColor="text1"/>
          <w:sz w:val="24"/>
          <w:szCs w:val="24"/>
          <w14:textFill>
            <w14:solidFill>
              <w14:schemeClr w14:val="tx1"/>
            </w14:solidFill>
          </w14:textFill>
        </w:rPr>
        <w:t>。</w:t>
      </w:r>
    </w:p>
    <w:p w14:paraId="7A522064">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58" w:name="_Toc31263"/>
      <w:bookmarkStart w:id="59" w:name="_Toc57819228"/>
      <w:bookmarkStart w:id="60" w:name="_Toc398"/>
      <w:r>
        <w:rPr>
          <w:rFonts w:ascii="Times New Roman" w:hAnsi="Times New Roman" w:cs="Times New Roman"/>
          <w:color w:val="000000" w:themeColor="text1"/>
          <w:sz w:val="28"/>
          <w:szCs w:val="28"/>
          <w14:textFill>
            <w14:solidFill>
              <w14:schemeClr w14:val="tx1"/>
            </w14:solidFill>
          </w14:textFill>
        </w:rPr>
        <w:t>5.2  场地验收</w:t>
      </w:r>
      <w:bookmarkEnd w:id="58"/>
      <w:bookmarkEnd w:id="59"/>
      <w:bookmarkEnd w:id="60"/>
    </w:p>
    <w:p w14:paraId="3BB1A73F">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5.2.1 </w:t>
      </w:r>
      <w:r>
        <w:rPr>
          <w:rFonts w:ascii="Times New Roman" w:hAnsi="Times New Roman" w:eastAsia="仿宋_GB2312" w:cs="Times New Roman"/>
          <w:color w:val="000000" w:themeColor="text1"/>
          <w:sz w:val="24"/>
          <w:szCs w:val="24"/>
          <w14:textFill>
            <w14:solidFill>
              <w14:schemeClr w14:val="tx1"/>
            </w14:solidFill>
          </w14:textFill>
        </w:rPr>
        <w:t>应根据</w:t>
      </w:r>
      <w:r>
        <w:rPr>
          <w:rFonts w:hint="eastAsia" w:ascii="Times New Roman" w:hAnsi="Times New Roman" w:eastAsia="仿宋_GB2312" w:cs="Times New Roman"/>
          <w:color w:val="000000" w:themeColor="text1"/>
          <w:sz w:val="24"/>
          <w:szCs w:val="24"/>
          <w14:textFill>
            <w14:solidFill>
              <w14:schemeClr w14:val="tx1"/>
            </w14:solidFill>
          </w14:textFill>
        </w:rPr>
        <w:t>场地布置</w:t>
      </w:r>
      <w:r>
        <w:rPr>
          <w:rFonts w:ascii="Times New Roman" w:hAnsi="Times New Roman" w:eastAsia="仿宋_GB2312" w:cs="Times New Roman"/>
          <w:color w:val="000000" w:themeColor="text1"/>
          <w:sz w:val="24"/>
          <w:szCs w:val="24"/>
          <w14:textFill>
            <w14:solidFill>
              <w14:schemeClr w14:val="tx1"/>
            </w14:solidFill>
          </w14:textFill>
        </w:rPr>
        <w:t>图纸等技术文件要求对场地进行验收。</w:t>
      </w:r>
    </w:p>
    <w:p w14:paraId="2969ECBC">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5.2.2</w:t>
      </w:r>
      <w:r>
        <w:rPr>
          <w:rFonts w:ascii="Times New Roman" w:hAnsi="Times New Roman" w:eastAsia="仿宋_GB2312" w:cs="Times New Roman"/>
          <w:color w:val="000000" w:themeColor="text1"/>
          <w:sz w:val="24"/>
          <w:szCs w:val="24"/>
          <w14:textFill>
            <w14:solidFill>
              <w14:schemeClr w14:val="tx1"/>
            </w14:solidFill>
          </w14:textFill>
        </w:rPr>
        <w:t xml:space="preserve"> 地基基础工程验收应符合《</w:t>
      </w:r>
      <w:r>
        <w:rPr>
          <w:rFonts w:hint="eastAsia" w:ascii="Times New Roman" w:hAnsi="Times New Roman" w:eastAsia="仿宋_GB2312" w:cs="Times New Roman"/>
          <w:color w:val="000000" w:themeColor="text1"/>
          <w:sz w:val="24"/>
          <w:szCs w:val="24"/>
          <w14:textFill>
            <w14:solidFill>
              <w14:schemeClr w14:val="tx1"/>
            </w14:solidFill>
          </w14:textFill>
        </w:rPr>
        <w:t>建筑地基基础工程施工质量验收规范</w:t>
      </w:r>
      <w:r>
        <w:rPr>
          <w:rFonts w:ascii="Times New Roman" w:hAnsi="Times New Roman" w:eastAsia="仿宋_GB2312" w:cs="Times New Roman"/>
          <w:color w:val="000000" w:themeColor="text1"/>
          <w:sz w:val="24"/>
          <w:szCs w:val="24"/>
          <w14:textFill>
            <w14:solidFill>
              <w14:schemeClr w14:val="tx1"/>
            </w14:solidFill>
          </w14:textFill>
        </w:rPr>
        <w:t>》GB</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50202</w:t>
      </w:r>
      <w:r>
        <w:rPr>
          <w:rFonts w:hint="eastAsia" w:ascii="Times New Roman" w:hAnsi="Times New Roman" w:eastAsia="仿宋_GB2312" w:cs="Times New Roman"/>
          <w:color w:val="000000" w:themeColor="text1"/>
          <w:sz w:val="24"/>
          <w:szCs w:val="24"/>
          <w14:textFill>
            <w14:solidFill>
              <w14:schemeClr w14:val="tx1"/>
            </w14:solidFill>
          </w14:textFill>
        </w:rPr>
        <w:t>等</w:t>
      </w:r>
      <w:r>
        <w:rPr>
          <w:rFonts w:ascii="Times New Roman" w:hAnsi="Times New Roman" w:eastAsia="仿宋_GB2312" w:cs="Times New Roman"/>
          <w:color w:val="000000" w:themeColor="text1"/>
          <w:sz w:val="24"/>
          <w:szCs w:val="24"/>
          <w14:textFill>
            <w14:solidFill>
              <w14:schemeClr w14:val="tx1"/>
            </w14:solidFill>
          </w14:textFill>
        </w:rPr>
        <w:t>的有关规定。</w:t>
      </w:r>
    </w:p>
    <w:p w14:paraId="5FABC1C2">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5.2.3</w:t>
      </w:r>
      <w:r>
        <w:rPr>
          <w:rFonts w:ascii="Times New Roman" w:hAnsi="Times New Roman" w:eastAsia="仿宋_GB2312" w:cs="Times New Roman"/>
          <w:color w:val="000000" w:themeColor="text1"/>
          <w:sz w:val="24"/>
          <w:szCs w:val="24"/>
          <w14:textFill>
            <w14:solidFill>
              <w14:schemeClr w14:val="tx1"/>
            </w14:solidFill>
          </w14:textFill>
        </w:rPr>
        <w:t xml:space="preserve"> 压滤系统、筛分系统等重要设备安装基础</w:t>
      </w:r>
      <w:r>
        <w:rPr>
          <w:rFonts w:hint="eastAsia" w:ascii="Times New Roman" w:hAnsi="Times New Roman" w:eastAsia="仿宋_GB2312" w:cs="Times New Roman"/>
          <w:color w:val="000000" w:themeColor="text1"/>
          <w:sz w:val="24"/>
          <w:szCs w:val="24"/>
          <w14:textFill>
            <w14:solidFill>
              <w14:schemeClr w14:val="tx1"/>
            </w14:solidFill>
          </w14:textFill>
        </w:rPr>
        <w:t>平整</w:t>
      </w:r>
      <w:r>
        <w:rPr>
          <w:rFonts w:ascii="Times New Roman" w:hAnsi="Times New Roman" w:eastAsia="仿宋_GB2312" w:cs="Times New Roman"/>
          <w:color w:val="000000" w:themeColor="text1"/>
          <w:sz w:val="24"/>
          <w:szCs w:val="24"/>
          <w14:textFill>
            <w14:solidFill>
              <w14:schemeClr w14:val="tx1"/>
            </w14:solidFill>
          </w14:textFill>
        </w:rPr>
        <w:t>度应</w:t>
      </w:r>
      <w:r>
        <w:rPr>
          <w:rFonts w:hint="eastAsia" w:ascii="Times New Roman" w:hAnsi="Times New Roman" w:eastAsia="仿宋_GB2312" w:cs="Times New Roman"/>
          <w:color w:val="000000" w:themeColor="text1"/>
          <w:sz w:val="24"/>
          <w:szCs w:val="24"/>
          <w14:textFill>
            <w14:solidFill>
              <w14:schemeClr w14:val="tx1"/>
            </w14:solidFill>
          </w14:textFill>
        </w:rPr>
        <w:t>不大于</w:t>
      </w:r>
      <w:r>
        <w:rPr>
          <w:rFonts w:ascii="Times New Roman" w:hAnsi="Times New Roman" w:eastAsia="仿宋_GB2312" w:cs="Times New Roman"/>
          <w:color w:val="000000" w:themeColor="text1"/>
          <w:sz w:val="24"/>
          <w:szCs w:val="24"/>
          <w14:textFill>
            <w14:solidFill>
              <w14:schemeClr w14:val="tx1"/>
            </w14:solidFill>
          </w14:textFill>
        </w:rPr>
        <w:t>5mm。</w:t>
      </w:r>
    </w:p>
    <w:p w14:paraId="5B352B08">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5.2.4</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场地验收时应确认场地布置环境，宜避开高压线和燃气管线等</w:t>
      </w:r>
      <w:r>
        <w:rPr>
          <w:rFonts w:ascii="Times New Roman" w:hAnsi="Times New Roman" w:eastAsia="仿宋_GB2312" w:cs="Times New Roman"/>
          <w:color w:val="000000" w:themeColor="text1"/>
          <w:sz w:val="24"/>
          <w:szCs w:val="24"/>
          <w14:textFill>
            <w14:solidFill>
              <w14:schemeClr w14:val="tx1"/>
            </w14:solidFill>
          </w14:textFill>
        </w:rPr>
        <w:t>。</w:t>
      </w:r>
    </w:p>
    <w:p w14:paraId="7A8ECD44">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5.2.5</w:t>
      </w:r>
      <w:r>
        <w:rPr>
          <w:rFonts w:ascii="Times New Roman" w:hAnsi="Times New Roman" w:cs="Times New Roman"/>
          <w:color w:val="000000" w:themeColor="text1"/>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泥浆处理系统基础平台与龙门吊等其它活动设备，间隔净空应不小于1m。</w:t>
      </w:r>
    </w:p>
    <w:p w14:paraId="6A226CA1">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5.2.6</w:t>
      </w:r>
      <w:r>
        <w:rPr>
          <w:rFonts w:hint="eastAsia" w:ascii="Times New Roman" w:hAnsi="Times New Roman" w:eastAsia="仿宋_GB2312" w:cs="Times New Roman"/>
          <w:color w:val="000000" w:themeColor="text1"/>
          <w:sz w:val="24"/>
          <w:szCs w:val="24"/>
          <w14:textFill>
            <w14:solidFill>
              <w14:schemeClr w14:val="tx1"/>
            </w14:solidFill>
          </w14:textFill>
        </w:rPr>
        <w:t xml:space="preserve"> 设备安装基础达到设计承载力要求。</w:t>
      </w:r>
    </w:p>
    <w:p w14:paraId="45AE5A98">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61" w:name="_Toc2613"/>
      <w:bookmarkStart w:id="62" w:name="_Toc31578"/>
      <w:bookmarkStart w:id="63" w:name="_Toc57819229"/>
      <w:r>
        <w:rPr>
          <w:rFonts w:ascii="Times New Roman" w:hAnsi="Times New Roman" w:cs="Times New Roman"/>
          <w:color w:val="000000" w:themeColor="text1"/>
          <w:sz w:val="28"/>
          <w:szCs w:val="28"/>
          <w14:textFill>
            <w14:solidFill>
              <w14:schemeClr w14:val="tx1"/>
            </w14:solidFill>
          </w14:textFill>
        </w:rPr>
        <w:t>5.3  系统安装</w:t>
      </w:r>
      <w:bookmarkEnd w:id="61"/>
      <w:bookmarkEnd w:id="62"/>
      <w:bookmarkEnd w:id="63"/>
    </w:p>
    <w:p w14:paraId="4CD64798">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5.3.1 </w:t>
      </w:r>
      <w:r>
        <w:rPr>
          <w:rFonts w:hint="eastAsia" w:ascii="Times New Roman" w:hAnsi="Times New Roman" w:eastAsia="仿宋_GB2312" w:cs="Times New Roman"/>
          <w:color w:val="000000" w:themeColor="text1"/>
          <w:sz w:val="24"/>
          <w:szCs w:val="24"/>
          <w14:textFill>
            <w14:solidFill>
              <w14:schemeClr w14:val="tx1"/>
            </w14:solidFill>
          </w14:textFill>
        </w:rPr>
        <w:t>泥浆处理单位应编制吊装方案，</w:t>
      </w:r>
      <w:r>
        <w:rPr>
          <w:rFonts w:ascii="Times New Roman" w:hAnsi="Times New Roman" w:eastAsia="仿宋_GB2312" w:cs="Times New Roman"/>
          <w:color w:val="000000" w:themeColor="text1"/>
          <w:sz w:val="24"/>
          <w:szCs w:val="24"/>
          <w14:textFill>
            <w14:solidFill>
              <w14:schemeClr w14:val="tx1"/>
            </w14:solidFill>
          </w14:textFill>
        </w:rPr>
        <w:t>吊装设备应</w:t>
      </w:r>
      <w:r>
        <w:rPr>
          <w:rFonts w:hint="eastAsia" w:ascii="Times New Roman" w:hAnsi="Times New Roman" w:eastAsia="仿宋_GB2312" w:cs="Times New Roman"/>
          <w:color w:val="000000" w:themeColor="text1"/>
          <w:sz w:val="24"/>
          <w:szCs w:val="24"/>
          <w14:textFill>
            <w14:solidFill>
              <w14:schemeClr w14:val="tx1"/>
            </w14:solidFill>
          </w14:textFill>
        </w:rPr>
        <w:t>与设备选型相</w:t>
      </w:r>
      <w:r>
        <w:rPr>
          <w:rFonts w:ascii="Times New Roman" w:hAnsi="Times New Roman" w:eastAsia="仿宋_GB2312" w:cs="Times New Roman"/>
          <w:color w:val="000000" w:themeColor="text1"/>
          <w:sz w:val="24"/>
          <w:szCs w:val="24"/>
          <w14:textFill>
            <w14:solidFill>
              <w14:schemeClr w14:val="tx1"/>
            </w14:solidFill>
          </w14:textFill>
        </w:rPr>
        <w:t>匹配和状况良好</w:t>
      </w:r>
      <w:r>
        <w:rPr>
          <w:rFonts w:hint="eastAsia" w:ascii="Times New Roman" w:hAnsi="Times New Roman" w:eastAsia="仿宋_GB2312" w:cs="Times New Roman"/>
          <w:color w:val="000000" w:themeColor="text1"/>
          <w:sz w:val="24"/>
          <w:szCs w:val="24"/>
          <w14:textFill>
            <w14:solidFill>
              <w14:schemeClr w14:val="tx1"/>
            </w14:solidFill>
          </w14:textFill>
        </w:rPr>
        <w:t>。</w:t>
      </w:r>
    </w:p>
    <w:p w14:paraId="53856BE8">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5.3.2</w:t>
      </w:r>
      <w:r>
        <w:rPr>
          <w:rFonts w:ascii="Times New Roman" w:hAnsi="Times New Roman" w:eastAsia="仿宋_GB2312" w:cs="Times New Roman"/>
          <w:color w:val="000000" w:themeColor="text1"/>
          <w:sz w:val="24"/>
          <w:szCs w:val="24"/>
          <w14:textFill>
            <w14:solidFill>
              <w14:schemeClr w14:val="tx1"/>
            </w14:solidFill>
          </w14:textFill>
        </w:rPr>
        <w:t xml:space="preserve"> 各系统设备应按系统设计图纸吊装就位。</w:t>
      </w:r>
    </w:p>
    <w:p w14:paraId="40898D61">
      <w:pPr>
        <w:widowControl/>
        <w:snapToGrid w:val="0"/>
        <w:spacing w:line="360" w:lineRule="auto"/>
        <w:jc w:val="left"/>
        <w:rPr>
          <w:rFonts w:ascii="Times New Roman" w:hAnsi="Times New Roman" w:eastAsia="华文仿宋" w:cs="Times New Roman"/>
          <w:color w:val="000000" w:themeColor="text1"/>
          <w:sz w:val="24"/>
          <w:szCs w:val="24"/>
          <w14:textFill>
            <w14:solidFill>
              <w14:schemeClr w14:val="tx1"/>
            </w14:solidFill>
          </w14:textFill>
        </w:rPr>
      </w:pPr>
      <w:r>
        <w:rPr>
          <w:rFonts w:ascii="Times New Roman" w:hAnsi="Times New Roman" w:eastAsia="华文仿宋" w:cs="Times New Roman"/>
          <w:b/>
          <w:color w:val="000000" w:themeColor="text1"/>
          <w:sz w:val="24"/>
          <w:szCs w:val="24"/>
          <w14:textFill>
            <w14:solidFill>
              <w14:schemeClr w14:val="tx1"/>
            </w14:solidFill>
          </w14:textFill>
        </w:rPr>
        <w:t>5.3.3</w:t>
      </w:r>
      <w:r>
        <w:rPr>
          <w:rFonts w:ascii="Times New Roman" w:hAnsi="Times New Roman" w:eastAsia="华文仿宋" w:cs="Times New Roman"/>
          <w:color w:val="000000" w:themeColor="text1"/>
          <w:sz w:val="24"/>
          <w:szCs w:val="24"/>
          <w14:textFill>
            <w14:solidFill>
              <w14:schemeClr w14:val="tx1"/>
            </w14:solidFill>
          </w14:textFill>
        </w:rPr>
        <w:t xml:space="preserve"> 配电柜</w:t>
      </w:r>
      <w:r>
        <w:rPr>
          <w:rFonts w:hint="eastAsia" w:ascii="Times New Roman" w:hAnsi="Times New Roman" w:eastAsia="华文仿宋" w:cs="Times New Roman"/>
          <w:color w:val="000000" w:themeColor="text1"/>
          <w:sz w:val="24"/>
          <w:szCs w:val="24"/>
          <w14:textFill>
            <w14:solidFill>
              <w14:schemeClr w14:val="tx1"/>
            </w14:solidFill>
          </w14:textFill>
        </w:rPr>
        <w:t>和</w:t>
      </w:r>
      <w:r>
        <w:rPr>
          <w:rFonts w:ascii="Times New Roman" w:hAnsi="Times New Roman" w:eastAsia="华文仿宋" w:cs="Times New Roman"/>
          <w:color w:val="000000" w:themeColor="text1"/>
          <w:sz w:val="24"/>
          <w:szCs w:val="24"/>
          <w14:textFill>
            <w14:solidFill>
              <w14:schemeClr w14:val="tx1"/>
            </w14:solidFill>
          </w14:textFill>
        </w:rPr>
        <w:t>控制箱等</w:t>
      </w:r>
      <w:r>
        <w:rPr>
          <w:rFonts w:ascii="Times New Roman" w:hAnsi="Times New Roman" w:eastAsia="华文仿宋" w:cs="Times New Roman"/>
          <w:color w:val="000000" w:themeColor="text1"/>
          <w:kern w:val="0"/>
          <w:sz w:val="24"/>
          <w:szCs w:val="24"/>
          <w:lang w:bidi="ar"/>
          <w14:textFill>
            <w14:solidFill>
              <w14:schemeClr w14:val="tx1"/>
            </w14:solidFill>
          </w14:textFill>
        </w:rPr>
        <w:t>应做好防水防潮措施</w:t>
      </w:r>
      <w:r>
        <w:rPr>
          <w:rFonts w:ascii="Times New Roman" w:hAnsi="Times New Roman" w:eastAsia="仿宋_GB2312" w:cs="Times New Roman"/>
          <w:color w:val="000000" w:themeColor="text1"/>
          <w:sz w:val="24"/>
          <w:szCs w:val="24"/>
          <w14:textFill>
            <w14:solidFill>
              <w14:schemeClr w14:val="tx1"/>
            </w14:solidFill>
          </w14:textFill>
        </w:rPr>
        <w:t>。</w:t>
      </w:r>
    </w:p>
    <w:p w14:paraId="7801A3DE">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5.3.4</w:t>
      </w:r>
      <w:r>
        <w:rPr>
          <w:rFonts w:ascii="Times New Roman" w:hAnsi="Times New Roman" w:eastAsia="仿宋_GB2312" w:cs="Times New Roman"/>
          <w:color w:val="000000" w:themeColor="text1"/>
          <w:sz w:val="24"/>
          <w:szCs w:val="24"/>
          <w14:textFill>
            <w14:solidFill>
              <w14:schemeClr w14:val="tx1"/>
            </w14:solidFill>
          </w14:textFill>
        </w:rPr>
        <w:t xml:space="preserve"> 管道安装应排列整齐，横平竖直。</w:t>
      </w:r>
    </w:p>
    <w:p w14:paraId="71F86F7C">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5.3.5</w:t>
      </w:r>
      <w:r>
        <w:rPr>
          <w:rFonts w:hint="eastAsia" w:ascii="Times New Roman" w:hAnsi="Times New Roman" w:eastAsia="仿宋_GB2312" w:cs="Times New Roman"/>
          <w:color w:val="000000" w:themeColor="text1"/>
          <w:sz w:val="24"/>
          <w:szCs w:val="24"/>
          <w14:textFill>
            <w14:solidFill>
              <w14:schemeClr w14:val="tx1"/>
            </w14:solidFill>
          </w14:textFill>
        </w:rPr>
        <w:t xml:space="preserve"> 系统未符合周边环境噪音控制标准时应安装降噪音设施。</w:t>
      </w:r>
    </w:p>
    <w:p w14:paraId="62D9E15B">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64" w:name="_Toc57819230"/>
      <w:bookmarkStart w:id="65" w:name="_Toc14663"/>
      <w:bookmarkStart w:id="66" w:name="_Toc28367"/>
      <w:r>
        <w:rPr>
          <w:rFonts w:ascii="Times New Roman" w:hAnsi="Times New Roman" w:cs="Times New Roman"/>
          <w:color w:val="000000" w:themeColor="text1"/>
          <w:sz w:val="28"/>
          <w:szCs w:val="28"/>
          <w14:textFill>
            <w14:solidFill>
              <w14:schemeClr w14:val="tx1"/>
            </w14:solidFill>
          </w14:textFill>
        </w:rPr>
        <w:t>5.4  系统验收</w:t>
      </w:r>
      <w:bookmarkEnd w:id="64"/>
      <w:bookmarkEnd w:id="65"/>
      <w:bookmarkEnd w:id="66"/>
      <w:r>
        <w:rPr>
          <w:rFonts w:hint="eastAsia" w:ascii="Times New Roman" w:hAnsi="Times New Roman" w:cs="Times New Roman"/>
          <w:color w:val="000000" w:themeColor="text1"/>
          <w:sz w:val="28"/>
          <w:szCs w:val="28"/>
          <w14:textFill>
            <w14:solidFill>
              <w14:schemeClr w14:val="tx1"/>
            </w14:solidFill>
          </w14:textFill>
        </w:rPr>
        <w:t xml:space="preserve"> </w:t>
      </w:r>
    </w:p>
    <w:p w14:paraId="39D7F90E">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5.4.1</w:t>
      </w:r>
      <w:r>
        <w:rPr>
          <w:rFonts w:ascii="Times New Roman" w:hAnsi="Times New Roman" w:eastAsia="仿宋_GB2312" w:cs="Times New Roman"/>
          <w:color w:val="000000" w:themeColor="text1"/>
          <w:sz w:val="24"/>
          <w:szCs w:val="24"/>
          <w14:textFill>
            <w14:solidFill>
              <w14:schemeClr w14:val="tx1"/>
            </w14:solidFill>
          </w14:textFill>
        </w:rPr>
        <w:t xml:space="preserve"> 系统设备应按照设计要求安装到位。</w:t>
      </w:r>
    </w:p>
    <w:p w14:paraId="2D7A5C16">
      <w:pPr>
        <w:widowControl/>
        <w:snapToGrid w:val="0"/>
        <w:spacing w:line="360" w:lineRule="auto"/>
        <w:ind w:left="480" w:hanging="480" w:hangingChars="200"/>
        <w:jc w:val="left"/>
        <w:rPr>
          <w:rFonts w:ascii="Times New Roman" w:hAnsi="Times New Roman" w:eastAsia="华文仿宋" w:cs="Times New Roman"/>
          <w:color w:val="000000" w:themeColor="text1"/>
          <w:sz w:val="24"/>
          <w:szCs w:val="24"/>
          <w14:textFill>
            <w14:solidFill>
              <w14:schemeClr w14:val="tx1"/>
            </w14:solidFill>
          </w14:textFill>
        </w:rPr>
      </w:pPr>
      <w:r>
        <w:rPr>
          <w:rFonts w:ascii="Times New Roman" w:hAnsi="Times New Roman" w:eastAsia="华文仿宋" w:cs="Times New Roman"/>
          <w:b/>
          <w:color w:val="000000" w:themeColor="text1"/>
          <w:sz w:val="24"/>
          <w:szCs w:val="24"/>
          <w14:textFill>
            <w14:solidFill>
              <w14:schemeClr w14:val="tx1"/>
            </w14:solidFill>
          </w14:textFill>
        </w:rPr>
        <w:t>5.4.2</w:t>
      </w:r>
      <w:r>
        <w:rPr>
          <w:rFonts w:hint="eastAsia" w:ascii="Times New Roman" w:hAnsi="Times New Roman" w:eastAsia="华文仿宋" w:cs="Times New Roman"/>
          <w:color w:val="000000" w:themeColor="text1"/>
          <w:sz w:val="24"/>
          <w:szCs w:val="24"/>
          <w14:textFill>
            <w14:solidFill>
              <w14:schemeClr w14:val="tx1"/>
            </w14:solidFill>
          </w14:textFill>
        </w:rPr>
        <w:t xml:space="preserve"> 经泥浆净化器处理后的颗粒粒径不超过15</w:t>
      </w:r>
      <w:r>
        <w:rPr>
          <w:rFonts w:ascii="Times New Roman" w:hAnsi="Times New Roman" w:eastAsia="华文仿宋" w:cs="Times New Roman"/>
          <w:color w:val="000000" w:themeColor="text1"/>
          <w:sz w:val="24"/>
          <w:szCs w:val="24"/>
          <w14:textFill>
            <w14:solidFill>
              <w14:schemeClr w14:val="tx1"/>
            </w14:solidFill>
          </w14:textFill>
        </w:rPr>
        <w:t>µ</w:t>
      </w:r>
      <w:r>
        <w:rPr>
          <w:rFonts w:hint="eastAsia" w:ascii="Times New Roman" w:hAnsi="Times New Roman" w:eastAsia="华文仿宋" w:cs="Times New Roman"/>
          <w:color w:val="000000" w:themeColor="text1"/>
          <w:sz w:val="24"/>
          <w:szCs w:val="24"/>
          <w14:textFill>
            <w14:solidFill>
              <w14:schemeClr w14:val="tx1"/>
            </w14:solidFill>
          </w14:textFill>
        </w:rPr>
        <w:t>m，且含沙量不大于4%</w:t>
      </w:r>
      <w:r>
        <w:rPr>
          <w:rFonts w:hint="eastAsia" w:ascii="Times New Roman" w:hAnsi="Times New Roman" w:eastAsia="仿宋_GB2312" w:cs="Times New Roman"/>
          <w:color w:val="000000" w:themeColor="text1"/>
          <w:sz w:val="24"/>
          <w:szCs w:val="24"/>
          <w14:textFill>
            <w14:solidFill>
              <w14:schemeClr w14:val="tx1"/>
            </w14:solidFill>
          </w14:textFill>
        </w:rPr>
        <w:t>。</w:t>
      </w:r>
    </w:p>
    <w:p w14:paraId="4A2B9534">
      <w:pPr>
        <w:widowControl/>
        <w:snapToGrid w:val="0"/>
        <w:spacing w:line="360" w:lineRule="auto"/>
        <w:ind w:left="480" w:hanging="480" w:hangingChars="200"/>
        <w:jc w:val="left"/>
        <w:rPr>
          <w:rFonts w:ascii="Times New Roman" w:hAnsi="Times New Roman" w:eastAsia="华文仿宋" w:cs="Times New Roman"/>
          <w:color w:val="000000" w:themeColor="text1"/>
          <w:sz w:val="24"/>
          <w:szCs w:val="24"/>
          <w14:textFill>
            <w14:solidFill>
              <w14:schemeClr w14:val="tx1"/>
            </w14:solidFill>
          </w14:textFill>
        </w:rPr>
      </w:pPr>
      <w:r>
        <w:rPr>
          <w:rFonts w:hint="eastAsia" w:ascii="Times New Roman" w:hAnsi="Times New Roman" w:eastAsia="华文仿宋" w:cs="Times New Roman"/>
          <w:b/>
          <w:color w:val="000000" w:themeColor="text1"/>
          <w:sz w:val="24"/>
          <w:szCs w:val="24"/>
          <w14:textFill>
            <w14:solidFill>
              <w14:schemeClr w14:val="tx1"/>
            </w14:solidFill>
          </w14:textFill>
        </w:rPr>
        <w:t>5.4.3</w:t>
      </w:r>
      <w:r>
        <w:rPr>
          <w:rFonts w:hint="eastAsia" w:ascii="Times New Roman" w:hAnsi="Times New Roman" w:eastAsia="华文仿宋" w:cs="Times New Roman"/>
          <w:color w:val="000000" w:themeColor="text1"/>
          <w:sz w:val="24"/>
          <w:szCs w:val="24"/>
          <w14:textFill>
            <w14:solidFill>
              <w14:schemeClr w14:val="tx1"/>
            </w14:solidFill>
          </w14:textFill>
        </w:rPr>
        <w:t xml:space="preserve"> 场地平整度不大于10mm，日处理量是否达到设计要求</w:t>
      </w:r>
      <w:r>
        <w:rPr>
          <w:rFonts w:hint="eastAsia" w:ascii="Times New Roman" w:hAnsi="Times New Roman" w:eastAsia="仿宋_GB2312" w:cs="Times New Roman"/>
          <w:color w:val="000000" w:themeColor="text1"/>
          <w:sz w:val="24"/>
          <w:szCs w:val="24"/>
          <w14:textFill>
            <w14:solidFill>
              <w14:schemeClr w14:val="tx1"/>
            </w14:solidFill>
          </w14:textFill>
        </w:rPr>
        <w:t>。</w:t>
      </w:r>
    </w:p>
    <w:p w14:paraId="0507C43C">
      <w:pPr>
        <w:widowControl/>
        <w:snapToGrid w:val="0"/>
        <w:spacing w:line="360" w:lineRule="auto"/>
        <w:ind w:left="480" w:hanging="480" w:hangingChars="200"/>
        <w:jc w:val="left"/>
        <w:rPr>
          <w:rFonts w:ascii="Times New Roman" w:hAnsi="Times New Roman" w:eastAsia="华文仿宋" w:cs="Times New Roman"/>
          <w:color w:val="000000" w:themeColor="text1"/>
          <w:sz w:val="24"/>
          <w:szCs w:val="24"/>
          <w14:textFill>
            <w14:solidFill>
              <w14:schemeClr w14:val="tx1"/>
            </w14:solidFill>
          </w14:textFill>
        </w:rPr>
      </w:pPr>
      <w:r>
        <w:rPr>
          <w:rFonts w:ascii="Times New Roman" w:hAnsi="Times New Roman" w:eastAsia="华文仿宋" w:cs="Times New Roman"/>
          <w:b/>
          <w:color w:val="000000" w:themeColor="text1"/>
          <w:sz w:val="24"/>
          <w:szCs w:val="24"/>
          <w14:textFill>
            <w14:solidFill>
              <w14:schemeClr w14:val="tx1"/>
            </w14:solidFill>
          </w14:textFill>
        </w:rPr>
        <w:t>5.4.</w:t>
      </w:r>
      <w:r>
        <w:rPr>
          <w:rFonts w:hint="eastAsia" w:ascii="Times New Roman" w:hAnsi="Times New Roman" w:eastAsia="华文仿宋" w:cs="Times New Roman"/>
          <w:b/>
          <w:color w:val="000000" w:themeColor="text1"/>
          <w:sz w:val="24"/>
          <w:szCs w:val="24"/>
          <w14:textFill>
            <w14:solidFill>
              <w14:schemeClr w14:val="tx1"/>
            </w14:solidFill>
          </w14:textFill>
        </w:rPr>
        <w:t>4</w:t>
      </w:r>
      <w:r>
        <w:rPr>
          <w:rFonts w:ascii="Times New Roman" w:hAnsi="Times New Roman" w:eastAsia="华文仿宋" w:cs="Times New Roman"/>
          <w:color w:val="000000" w:themeColor="text1"/>
          <w:sz w:val="24"/>
          <w:szCs w:val="24"/>
          <w14:textFill>
            <w14:solidFill>
              <w14:schemeClr w14:val="tx1"/>
            </w14:solidFill>
          </w14:textFill>
        </w:rPr>
        <w:t xml:space="preserve"> 电气装置安装应符合《电气装置安装工程接地装置施工及验收规范</w:t>
      </w:r>
      <w:r>
        <w:rPr>
          <w:rFonts w:hint="eastAsia" w:ascii="Times New Roman" w:hAnsi="Times New Roman" w:eastAsia="华文仿宋" w:cs="Times New Roman"/>
          <w:color w:val="000000" w:themeColor="text1"/>
          <w:sz w:val="24"/>
          <w:szCs w:val="24"/>
          <w14:textFill>
            <w14:solidFill>
              <w14:schemeClr w14:val="tx1"/>
            </w14:solidFill>
          </w14:textFill>
        </w:rPr>
        <w:t>》</w:t>
      </w:r>
    </w:p>
    <w:p w14:paraId="15FFEB32">
      <w:pPr>
        <w:widowControl/>
        <w:snapToGrid w:val="0"/>
        <w:spacing w:line="360" w:lineRule="auto"/>
        <w:ind w:left="480" w:hanging="480" w:hangingChars="200"/>
        <w:jc w:val="left"/>
        <w:rPr>
          <w:rFonts w:ascii="Times New Roman" w:hAnsi="Times New Roman" w:eastAsia="华文仿宋" w:cs="Times New Roman"/>
          <w:color w:val="000000" w:themeColor="text1"/>
          <w:sz w:val="24"/>
          <w:szCs w:val="24"/>
          <w14:textFill>
            <w14:solidFill>
              <w14:schemeClr w14:val="tx1"/>
            </w14:solidFill>
          </w14:textFill>
        </w:rPr>
      </w:pPr>
      <w:r>
        <w:rPr>
          <w:rFonts w:ascii="Times New Roman" w:hAnsi="Times New Roman" w:eastAsia="华文仿宋" w:cs="Times New Roman"/>
          <w:color w:val="000000" w:themeColor="text1"/>
          <w:sz w:val="24"/>
          <w:szCs w:val="24"/>
          <w14:textFill>
            <w14:solidFill>
              <w14:schemeClr w14:val="tx1"/>
            </w14:solidFill>
          </w14:textFill>
        </w:rPr>
        <w:t>GB 50169和《建筑电气工程施工质量验收规范》GB 50303的相关规定</w:t>
      </w:r>
      <w:r>
        <w:rPr>
          <w:rFonts w:hint="eastAsia" w:ascii="Times New Roman" w:hAnsi="Times New Roman" w:eastAsia="仿宋_GB2312" w:cs="Times New Roman"/>
          <w:color w:val="000000" w:themeColor="text1"/>
          <w:sz w:val="24"/>
          <w:szCs w:val="24"/>
          <w14:textFill>
            <w14:solidFill>
              <w14:schemeClr w14:val="tx1"/>
            </w14:solidFill>
          </w14:textFill>
        </w:rPr>
        <w:t>。</w:t>
      </w:r>
    </w:p>
    <w:p w14:paraId="15EE95E3">
      <w:pPr>
        <w:snapToGrid w:val="0"/>
        <w:spacing w:line="360" w:lineRule="auto"/>
        <w:rPr>
          <w:rFonts w:ascii="Times New Roman" w:hAnsi="Times New Roman" w:cs="Times New Roman"/>
          <w:color w:val="000000" w:themeColor="text1"/>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5.4.</w:t>
      </w:r>
      <w:r>
        <w:rPr>
          <w:rFonts w:hint="eastAsia" w:ascii="Times New Roman" w:hAnsi="Times New Roman" w:eastAsia="仿宋_GB2312" w:cs="Times New Roman"/>
          <w:b/>
          <w:color w:val="000000" w:themeColor="text1"/>
          <w:sz w:val="24"/>
          <w:szCs w:val="24"/>
          <w14:textFill>
            <w14:solidFill>
              <w14:schemeClr w14:val="tx1"/>
            </w14:solidFill>
          </w14:textFill>
        </w:rPr>
        <w:t>5</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作业通道防护设施应安装到位，安全文明设施应符合《建筑施工安全技术统一规范》GB 50870</w:t>
      </w:r>
      <w:r>
        <w:rPr>
          <w:rFonts w:ascii="Times New Roman" w:hAnsi="Times New Roman" w:eastAsia="华文仿宋" w:cs="Times New Roman"/>
          <w:color w:val="000000" w:themeColor="text1"/>
          <w:sz w:val="24"/>
          <w:szCs w:val="24"/>
          <w14:textFill>
            <w14:solidFill>
              <w14:schemeClr w14:val="tx1"/>
            </w14:solidFill>
          </w14:textFill>
        </w:rPr>
        <w:t>的相关规定</w:t>
      </w:r>
      <w:r>
        <w:rPr>
          <w:rFonts w:hint="eastAsia" w:ascii="Times New Roman" w:hAnsi="Times New Roman" w:eastAsia="仿宋_GB2312" w:cs="Times New Roman"/>
          <w:color w:val="000000" w:themeColor="text1"/>
          <w:sz w:val="24"/>
          <w:szCs w:val="24"/>
          <w14:textFill>
            <w14:solidFill>
              <w14:schemeClr w14:val="tx1"/>
            </w14:solidFill>
          </w14:textFill>
        </w:rPr>
        <w:t>。</w:t>
      </w:r>
    </w:p>
    <w:p w14:paraId="7CF8EC32">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5.4.</w:t>
      </w:r>
      <w:r>
        <w:rPr>
          <w:rFonts w:hint="eastAsia" w:ascii="Times New Roman" w:hAnsi="Times New Roman" w:eastAsia="仿宋_GB2312" w:cs="Times New Roman"/>
          <w:b/>
          <w:color w:val="000000" w:themeColor="text1"/>
          <w:sz w:val="24"/>
          <w:szCs w:val="24"/>
          <w14:textFill>
            <w14:solidFill>
              <w14:schemeClr w14:val="tx1"/>
            </w14:solidFill>
          </w14:textFill>
        </w:rPr>
        <w:t>6</w:t>
      </w:r>
      <w:r>
        <w:rPr>
          <w:rFonts w:ascii="Times New Roman" w:hAnsi="Times New Roman" w:eastAsia="仿宋_GB2312" w:cs="Times New Roman"/>
          <w:color w:val="000000" w:themeColor="text1"/>
          <w:sz w:val="24"/>
          <w:szCs w:val="24"/>
          <w14:textFill>
            <w14:solidFill>
              <w14:schemeClr w14:val="tx1"/>
            </w14:solidFill>
          </w14:textFill>
        </w:rPr>
        <w:t xml:space="preserve"> 泥浆处理系统安装结束后，应调试</w:t>
      </w:r>
      <w:r>
        <w:rPr>
          <w:rFonts w:hint="eastAsia" w:ascii="Times New Roman" w:hAnsi="Times New Roman" w:eastAsia="仿宋_GB2312" w:cs="Times New Roman"/>
          <w:color w:val="000000" w:themeColor="text1"/>
          <w:sz w:val="24"/>
          <w:szCs w:val="24"/>
          <w14:textFill>
            <w14:solidFill>
              <w14:schemeClr w14:val="tx1"/>
            </w14:solidFill>
          </w14:textFill>
        </w:rPr>
        <w:t>达到系统设计要求并</w:t>
      </w:r>
      <w:r>
        <w:rPr>
          <w:rFonts w:ascii="Times New Roman" w:hAnsi="Times New Roman" w:eastAsia="仿宋_GB2312" w:cs="Times New Roman"/>
          <w:color w:val="000000" w:themeColor="text1"/>
          <w:sz w:val="24"/>
          <w:szCs w:val="24"/>
          <w14:textFill>
            <w14:solidFill>
              <w14:schemeClr w14:val="tx1"/>
            </w14:solidFill>
          </w14:textFill>
        </w:rPr>
        <w:t>连续正常运行3天，方可通过系统验收</w:t>
      </w:r>
      <w:r>
        <w:rPr>
          <w:rFonts w:hint="eastAsia" w:ascii="Times New Roman" w:hAnsi="Times New Roman" w:eastAsia="仿宋_GB2312" w:cs="Times New Roman"/>
          <w:color w:val="000000" w:themeColor="text1"/>
          <w:sz w:val="24"/>
          <w:szCs w:val="24"/>
          <w14:textFill>
            <w14:solidFill>
              <w14:schemeClr w14:val="tx1"/>
            </w14:solidFill>
          </w14:textFill>
        </w:rPr>
        <w:t>。</w:t>
      </w:r>
    </w:p>
    <w:p w14:paraId="748A25FC">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72E01D12">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1AC8245E">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0B27E220">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141A8D0A">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59A180F0">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23DC5BE5">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57BE1876">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32BD5084">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23C6B624">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194642EB">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378201EB">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11907854">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6E64EDD4">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3104CA83">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1FD9DE08">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0427959A">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7DA2ED5D">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6E79005E">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33101275">
      <w:pPr>
        <w:spacing w:line="360" w:lineRule="auto"/>
        <w:rPr>
          <w:rFonts w:ascii="Times New Roman" w:hAnsi="Times New Roman" w:cs="Times New Roman"/>
          <w:color w:val="000000" w:themeColor="text1"/>
          <w14:textFill>
            <w14:solidFill>
              <w14:schemeClr w14:val="tx1"/>
            </w14:solidFill>
          </w14:textFill>
        </w:rPr>
      </w:pPr>
    </w:p>
    <w:p w14:paraId="0AA0D32C">
      <w:pPr>
        <w:rPr>
          <w:rFonts w:ascii="Times New Roman" w:hAnsi="Times New Roman" w:cs="Times New Roman"/>
          <w:color w:val="000000" w:themeColor="text1"/>
          <w14:textFill>
            <w14:solidFill>
              <w14:schemeClr w14:val="tx1"/>
            </w14:solidFill>
          </w14:textFill>
        </w:rPr>
      </w:pPr>
    </w:p>
    <w:p w14:paraId="56D1E918">
      <w:pPr>
        <w:pStyle w:val="2"/>
        <w:jc w:val="center"/>
        <w:rPr>
          <w:rFonts w:ascii="Times New Roman" w:hAnsi="Times New Roman" w:cs="Times New Roman"/>
          <w:color w:val="000000" w:themeColor="text1"/>
          <w:sz w:val="32"/>
          <w:szCs w:val="32"/>
          <w14:textFill>
            <w14:solidFill>
              <w14:schemeClr w14:val="tx1"/>
            </w14:solidFill>
          </w14:textFill>
        </w:rPr>
      </w:pPr>
      <w:bookmarkStart w:id="67" w:name="_Toc7472"/>
      <w:bookmarkStart w:id="68" w:name="_Toc9516"/>
      <w:bookmarkStart w:id="69" w:name="_Toc57819231"/>
      <w:r>
        <w:rPr>
          <w:rFonts w:ascii="Times New Roman" w:hAnsi="Times New Roman" w:cs="Times New Roman"/>
          <w:color w:val="000000" w:themeColor="text1"/>
          <w:sz w:val="32"/>
          <w:szCs w:val="32"/>
          <w14:textFill>
            <w14:solidFill>
              <w14:schemeClr w14:val="tx1"/>
            </w14:solidFill>
          </w14:textFill>
        </w:rPr>
        <w:t>6  施工现场泥浆处理</w:t>
      </w:r>
      <w:bookmarkEnd w:id="67"/>
      <w:bookmarkEnd w:id="68"/>
      <w:bookmarkEnd w:id="69"/>
    </w:p>
    <w:p w14:paraId="4DE81AB4">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70" w:name="_Toc57819232"/>
      <w:bookmarkStart w:id="71" w:name="_Toc27969"/>
      <w:bookmarkStart w:id="72" w:name="_Toc14752"/>
      <w:r>
        <w:rPr>
          <w:rFonts w:ascii="Times New Roman" w:hAnsi="Times New Roman" w:cs="Times New Roman"/>
          <w:color w:val="000000" w:themeColor="text1"/>
          <w:sz w:val="28"/>
          <w:szCs w:val="28"/>
          <w14:textFill>
            <w14:solidFill>
              <w14:schemeClr w14:val="tx1"/>
            </w14:solidFill>
          </w14:textFill>
        </w:rPr>
        <w:t>6.1  一般规定</w:t>
      </w:r>
      <w:bookmarkEnd w:id="70"/>
      <w:bookmarkEnd w:id="71"/>
      <w:bookmarkEnd w:id="72"/>
    </w:p>
    <w:p w14:paraId="50B1FE8F">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6.1.1</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施工现场应编制专项泥浆处理方案，方案内容应包括处理方法、工艺流程</w:t>
      </w:r>
      <w:r>
        <w:rPr>
          <w:rFonts w:hint="eastAsia" w:ascii="Times New Roman" w:hAnsi="Times New Roman" w:eastAsia="仿宋_GB2312" w:cs="Times New Roman"/>
          <w:color w:val="000000" w:themeColor="text1"/>
          <w:sz w:val="24"/>
          <w:szCs w:val="24"/>
          <w14:textFill>
            <w14:solidFill>
              <w14:schemeClr w14:val="tx1"/>
            </w14:solidFill>
          </w14:textFill>
        </w:rPr>
        <w:t>和参数</w:t>
      </w:r>
      <w:r>
        <w:rPr>
          <w:rFonts w:ascii="Times New Roman" w:hAnsi="Times New Roman" w:eastAsia="仿宋_GB2312" w:cs="Times New Roman"/>
          <w:color w:val="000000" w:themeColor="text1"/>
          <w:sz w:val="24"/>
          <w:szCs w:val="24"/>
          <w14:textFill>
            <w14:solidFill>
              <w14:schemeClr w14:val="tx1"/>
            </w14:solidFill>
          </w14:textFill>
        </w:rPr>
        <w:t>、安全防护、文明施工及环境污染防护措施等。</w:t>
      </w:r>
    </w:p>
    <w:p w14:paraId="577F91E8">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6.1.2</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泥浆处理作业</w:t>
      </w:r>
      <w:r>
        <w:rPr>
          <w:rFonts w:ascii="Times New Roman" w:hAnsi="Times New Roman" w:eastAsia="仿宋_GB2312" w:cs="Times New Roman"/>
          <w:color w:val="000000" w:themeColor="text1"/>
          <w:sz w:val="24"/>
          <w:szCs w:val="24"/>
          <w14:textFill>
            <w14:solidFill>
              <w14:schemeClr w14:val="tx1"/>
            </w14:solidFill>
          </w14:textFill>
        </w:rPr>
        <w:t>应按照文明施工要求，科学组织施工</w:t>
      </w:r>
      <w:r>
        <w:rPr>
          <w:rFonts w:hint="eastAsia" w:ascii="Times New Roman" w:hAnsi="Times New Roman" w:eastAsia="仿宋_GB2312" w:cs="Times New Roman"/>
          <w:color w:val="000000" w:themeColor="text1"/>
          <w:sz w:val="24"/>
          <w:szCs w:val="24"/>
          <w14:textFill>
            <w14:solidFill>
              <w14:schemeClr w14:val="tx1"/>
            </w14:solidFill>
          </w14:textFill>
        </w:rPr>
        <w:t>。</w:t>
      </w:r>
    </w:p>
    <w:p w14:paraId="540D68F1">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6.1.3</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施工现场应设置明显的标识牌和警示标识，机具设备不得占用安全通道，必须保证现场通道畅通，保持场内整洁。</w:t>
      </w:r>
    </w:p>
    <w:p w14:paraId="217FC277">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6.1.4</w:t>
      </w:r>
      <w:r>
        <w:rPr>
          <w:rFonts w:ascii="Times New Roman" w:hAnsi="Times New Roman" w:eastAsia="仿宋_GB2312" w:cs="Times New Roman"/>
          <w:color w:val="000000" w:themeColor="text1"/>
          <w:sz w:val="24"/>
          <w:szCs w:val="24"/>
          <w14:textFill>
            <w14:solidFill>
              <w14:schemeClr w14:val="tx1"/>
            </w14:solidFill>
          </w14:textFill>
        </w:rPr>
        <w:t xml:space="preserve"> 施工现场应按照《</w:t>
      </w:r>
      <w:r>
        <w:rPr>
          <w:rFonts w:hint="eastAsia" w:ascii="Times New Roman" w:hAnsi="Times New Roman" w:eastAsia="仿宋_GB2312" w:cs="Times New Roman"/>
          <w:color w:val="000000" w:themeColor="text1"/>
          <w:sz w:val="24"/>
          <w:szCs w:val="24"/>
          <w14:textFill>
            <w14:solidFill>
              <w14:schemeClr w14:val="tx1"/>
            </w14:solidFill>
          </w14:textFill>
        </w:rPr>
        <w:t>建设工程施工现场消防安全技术规范</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GB</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50720</w:t>
      </w:r>
      <w:r>
        <w:rPr>
          <w:rFonts w:ascii="Times New Roman" w:hAnsi="Times New Roman" w:eastAsia="仿宋_GB2312" w:cs="Times New Roman"/>
          <w:color w:val="000000" w:themeColor="text1"/>
          <w:sz w:val="24"/>
          <w:szCs w:val="24"/>
          <w14:textFill>
            <w14:solidFill>
              <w14:schemeClr w14:val="tx1"/>
            </w14:solidFill>
          </w14:textFill>
        </w:rPr>
        <w:t>的规定设置消防设施。</w:t>
      </w:r>
    </w:p>
    <w:p w14:paraId="3D540BB3">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6.1.5</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泥浆处理作业</w:t>
      </w:r>
      <w:r>
        <w:rPr>
          <w:rFonts w:ascii="Times New Roman" w:hAnsi="Times New Roman" w:eastAsia="仿宋_GB2312" w:cs="Times New Roman"/>
          <w:color w:val="000000" w:themeColor="text1"/>
          <w:sz w:val="24"/>
          <w:szCs w:val="24"/>
          <w14:textFill>
            <w14:solidFill>
              <w14:schemeClr w14:val="tx1"/>
            </w14:solidFill>
          </w14:textFill>
        </w:rPr>
        <w:t>应遵守国家有关环境保护的法律规定。</w:t>
      </w:r>
    </w:p>
    <w:p w14:paraId="41D6F0DE">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6.1.6</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倒入工程泥浆存放区的原料应不含其他杂物（如钢铁、沙袋和木方等）。</w:t>
      </w:r>
    </w:p>
    <w:p w14:paraId="6DE34977">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73" w:name="_Toc57819233"/>
      <w:bookmarkStart w:id="74" w:name="_Toc19233"/>
      <w:bookmarkStart w:id="75" w:name="_Toc27022"/>
      <w:r>
        <w:rPr>
          <w:rFonts w:ascii="Times New Roman" w:hAnsi="Times New Roman" w:cs="Times New Roman"/>
          <w:color w:val="000000" w:themeColor="text1"/>
          <w:sz w:val="28"/>
          <w:szCs w:val="28"/>
          <w14:textFill>
            <w14:solidFill>
              <w14:schemeClr w14:val="tx1"/>
            </w14:solidFill>
          </w14:textFill>
        </w:rPr>
        <w:t>6.2  泥浆处理</w:t>
      </w:r>
      <w:bookmarkEnd w:id="73"/>
      <w:r>
        <w:rPr>
          <w:rFonts w:hint="eastAsia" w:ascii="Times New Roman" w:hAnsi="Times New Roman" w:cs="Times New Roman"/>
          <w:color w:val="000000" w:themeColor="text1"/>
          <w:sz w:val="28"/>
          <w:szCs w:val="28"/>
          <w14:textFill>
            <w14:solidFill>
              <w14:schemeClr w14:val="tx1"/>
            </w14:solidFill>
          </w14:textFill>
        </w:rPr>
        <w:t>流程</w:t>
      </w:r>
      <w:bookmarkEnd w:id="74"/>
      <w:bookmarkEnd w:id="75"/>
    </w:p>
    <w:p w14:paraId="43864BBF">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6.2.1</w:t>
      </w:r>
      <w:r>
        <w:rPr>
          <w:rFonts w:ascii="Times New Roman" w:hAnsi="Times New Roman" w:eastAsia="仿宋_GB2312" w:cs="Times New Roman"/>
          <w:color w:val="000000" w:themeColor="text1"/>
          <w:sz w:val="24"/>
          <w:szCs w:val="24"/>
          <w14:textFill>
            <w14:solidFill>
              <w14:schemeClr w14:val="tx1"/>
            </w14:solidFill>
          </w14:textFill>
        </w:rPr>
        <w:t xml:space="preserve"> 在开机前应对照设备日常保养记录，检查设备状况，对设备进行巡查和保养（见附录Ａ</w:t>
      </w:r>
      <w:r>
        <w:rPr>
          <w:rFonts w:hint="eastAsia" w:ascii="Times New Roman" w:hAnsi="Times New Roman" w:eastAsia="仿宋_GB2312" w:cs="Times New Roman"/>
          <w:color w:val="000000" w:themeColor="text1"/>
          <w:sz w:val="24"/>
          <w:szCs w:val="24"/>
          <w14:textFill>
            <w14:solidFill>
              <w14:schemeClr w14:val="tx1"/>
            </w14:solidFill>
          </w14:textFill>
        </w:rPr>
        <w:t>和</w:t>
      </w:r>
      <w:r>
        <w:rPr>
          <w:rFonts w:ascii="Times New Roman" w:hAnsi="Times New Roman" w:eastAsia="仿宋_GB2312" w:cs="Times New Roman"/>
          <w:color w:val="000000" w:themeColor="text1"/>
          <w:sz w:val="24"/>
          <w:szCs w:val="24"/>
          <w14:textFill>
            <w14:solidFill>
              <w14:schemeClr w14:val="tx1"/>
            </w14:solidFill>
          </w14:textFill>
        </w:rPr>
        <w:t>Ｂ）。</w:t>
      </w:r>
    </w:p>
    <w:p w14:paraId="1214BF6C">
      <w:pPr>
        <w:spacing w:line="360" w:lineRule="auto"/>
        <w:rPr>
          <w:color w:val="000000" w:themeColor="text1"/>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6.2.2</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在泥浆</w:t>
      </w:r>
      <w:r>
        <w:rPr>
          <w:rFonts w:hint="eastAsia" w:ascii="Times New Roman" w:hAnsi="Times New Roman" w:eastAsia="仿宋_GB2312" w:cs="Times New Roman"/>
          <w:color w:val="000000" w:themeColor="text1"/>
          <w:sz w:val="24"/>
          <w:szCs w:val="24"/>
          <w14:textFill>
            <w14:solidFill>
              <w14:schemeClr w14:val="tx1"/>
            </w14:solidFill>
          </w14:textFill>
        </w:rPr>
        <w:t>（渣土化浆后）</w:t>
      </w:r>
      <w:r>
        <w:rPr>
          <w:rFonts w:ascii="Times New Roman" w:hAnsi="Times New Roman" w:eastAsia="仿宋_GB2312" w:cs="Times New Roman"/>
          <w:color w:val="000000" w:themeColor="text1"/>
          <w:sz w:val="24"/>
          <w:szCs w:val="24"/>
          <w14:textFill>
            <w14:solidFill>
              <w14:schemeClr w14:val="tx1"/>
            </w14:solidFill>
          </w14:textFill>
        </w:rPr>
        <w:t>进筛分</w:t>
      </w:r>
      <w:r>
        <w:rPr>
          <w:rFonts w:hint="eastAsia" w:ascii="Times New Roman" w:hAnsi="Times New Roman" w:eastAsia="仿宋_GB2312" w:cs="Times New Roman"/>
          <w:color w:val="000000" w:themeColor="text1"/>
          <w:sz w:val="24"/>
          <w:szCs w:val="24"/>
          <w14:textFill>
            <w14:solidFill>
              <w14:schemeClr w14:val="tx1"/>
            </w14:solidFill>
          </w14:textFill>
        </w:rPr>
        <w:t>区</w:t>
      </w:r>
      <w:r>
        <w:rPr>
          <w:rFonts w:ascii="Times New Roman" w:hAnsi="Times New Roman" w:eastAsia="仿宋_GB2312" w:cs="Times New Roman"/>
          <w:color w:val="000000" w:themeColor="text1"/>
          <w:sz w:val="24"/>
          <w:szCs w:val="24"/>
          <w14:textFill>
            <w14:solidFill>
              <w14:schemeClr w14:val="tx1"/>
            </w14:solidFill>
          </w14:textFill>
        </w:rPr>
        <w:t>前，应将泥浆含水</w:t>
      </w:r>
      <w:r>
        <w:rPr>
          <w:rFonts w:hint="eastAsia" w:ascii="Times New Roman" w:hAnsi="Times New Roman" w:eastAsia="仿宋_GB2312" w:cs="Times New Roman"/>
          <w:color w:val="000000" w:themeColor="text1"/>
          <w:sz w:val="24"/>
          <w:szCs w:val="24"/>
          <w14:textFill>
            <w14:solidFill>
              <w14:schemeClr w14:val="tx1"/>
            </w14:solidFill>
          </w14:textFill>
        </w:rPr>
        <w:t>率</w:t>
      </w:r>
      <w:r>
        <w:rPr>
          <w:rFonts w:ascii="Times New Roman" w:hAnsi="Times New Roman" w:eastAsia="仿宋_GB2312" w:cs="Times New Roman"/>
          <w:color w:val="000000" w:themeColor="text1"/>
          <w:sz w:val="24"/>
          <w:szCs w:val="24"/>
          <w14:textFill>
            <w14:solidFill>
              <w14:schemeClr w14:val="tx1"/>
            </w14:solidFill>
          </w14:textFill>
        </w:rPr>
        <w:t>预调至</w:t>
      </w:r>
      <w:r>
        <w:rPr>
          <w:rFonts w:hint="eastAsia" w:ascii="Times New Roman" w:hAnsi="Times New Roman" w:eastAsia="仿宋_GB2312" w:cs="Times New Roman"/>
          <w:color w:val="000000" w:themeColor="text1"/>
          <w:sz w:val="24"/>
          <w:szCs w:val="24"/>
          <w14:textFill>
            <w14:solidFill>
              <w14:schemeClr w14:val="tx1"/>
            </w14:solidFill>
          </w14:textFill>
        </w:rPr>
        <w:t>适应相应筛分设备范围内</w:t>
      </w:r>
      <w:r>
        <w:rPr>
          <w:rFonts w:hint="eastAsia"/>
          <w:color w:val="000000" w:themeColor="text1"/>
          <w14:textFill>
            <w14:solidFill>
              <w14:schemeClr w14:val="tx1"/>
            </w14:solidFill>
          </w14:textFill>
        </w:rPr>
        <w:t>。</w:t>
      </w:r>
    </w:p>
    <w:p w14:paraId="43C9B9EB">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6.2.3</w:t>
      </w:r>
      <w:r>
        <w:rPr>
          <w:rFonts w:ascii="Times New Roman" w:hAnsi="Times New Roman" w:eastAsia="仿宋_GB2312" w:cs="Times New Roman"/>
          <w:color w:val="000000" w:themeColor="text1"/>
          <w:sz w:val="24"/>
          <w:szCs w:val="24"/>
          <w14:textFill>
            <w14:solidFill>
              <w14:schemeClr w14:val="tx1"/>
            </w14:solidFill>
          </w14:textFill>
        </w:rPr>
        <w:t xml:space="preserve"> 筛分设备应把大于1mm的砂石分离出来，泥浆通过泵送至泥浆净化器。</w:t>
      </w:r>
    </w:p>
    <w:p w14:paraId="49EECF79">
      <w:pPr>
        <w:spacing w:line="360" w:lineRule="auto"/>
        <w:jc w:val="lef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6.2.4</w:t>
      </w:r>
      <w:r>
        <w:rPr>
          <w:rFonts w:ascii="Times New Roman" w:hAnsi="Times New Roman" w:eastAsia="仿宋_GB2312" w:cs="Times New Roman"/>
          <w:color w:val="000000" w:themeColor="text1"/>
          <w:sz w:val="24"/>
          <w:szCs w:val="24"/>
          <w14:textFill>
            <w14:solidFill>
              <w14:schemeClr w14:val="tx1"/>
            </w14:solidFill>
          </w14:textFill>
        </w:rPr>
        <w:t xml:space="preserve"> 经筛分净化后的泥浆应进行脱水处理，脱水后干泥</w:t>
      </w:r>
      <w:r>
        <w:rPr>
          <w:rFonts w:hint="eastAsia" w:ascii="Times New Roman" w:hAnsi="Times New Roman" w:eastAsia="仿宋_GB2312" w:cs="Times New Roman"/>
          <w:color w:val="000000" w:themeColor="text1"/>
          <w:sz w:val="24"/>
          <w:szCs w:val="24"/>
          <w14:textFill>
            <w14:solidFill>
              <w14:schemeClr w14:val="tx1"/>
            </w14:solidFill>
          </w14:textFill>
        </w:rPr>
        <w:t>含水率应低于</w:t>
      </w:r>
      <w:r>
        <w:rPr>
          <w:rFonts w:ascii="Times New Roman" w:hAnsi="Times New Roman" w:eastAsia="仿宋_GB2312" w:cs="Times New Roman"/>
          <w:color w:val="000000" w:themeColor="text1"/>
          <w:sz w:val="24"/>
          <w:szCs w:val="24"/>
          <w14:textFill>
            <w14:solidFill>
              <w14:schemeClr w14:val="tx1"/>
            </w14:solidFill>
          </w14:textFill>
        </w:rPr>
        <w:t>40</w:t>
      </w:r>
      <w:r>
        <w:rPr>
          <w:rFonts w:hint="eastAsia" w:ascii="Times New Roman" w:hAnsi="Times New Roman" w:eastAsia="仿宋_GB2312" w:cs="Times New Roman"/>
          <w:color w:val="000000" w:themeColor="text1"/>
          <w:sz w:val="24"/>
          <w:szCs w:val="24"/>
          <w14:textFill>
            <w14:solidFill>
              <w14:schemeClr w14:val="tx1"/>
            </w14:solidFill>
          </w14:textFill>
        </w:rPr>
        <w:t>％，干泥通过输送带传输至干泥存放区。</w:t>
      </w:r>
    </w:p>
    <w:p w14:paraId="5B7234BC">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6.2.5</w:t>
      </w:r>
      <w:r>
        <w:rPr>
          <w:rFonts w:ascii="Times New Roman" w:hAnsi="Times New Roman" w:eastAsia="仿宋_GB2312" w:cs="Times New Roman"/>
          <w:color w:val="000000" w:themeColor="text1"/>
          <w:sz w:val="24"/>
          <w:szCs w:val="24"/>
          <w14:textFill>
            <w14:solidFill>
              <w14:schemeClr w14:val="tx1"/>
            </w14:solidFill>
          </w14:textFill>
        </w:rPr>
        <w:t>根据</w:t>
      </w:r>
      <w:r>
        <w:rPr>
          <w:rFonts w:hint="eastAsia" w:ascii="Times New Roman" w:hAnsi="Times New Roman" w:eastAsia="仿宋_GB2312" w:cs="Times New Roman"/>
          <w:color w:val="000000" w:themeColor="text1"/>
          <w:sz w:val="24"/>
          <w:szCs w:val="24"/>
          <w14:textFill>
            <w14:solidFill>
              <w14:schemeClr w14:val="tx1"/>
            </w14:solidFill>
          </w14:textFill>
        </w:rPr>
        <w:t>地质状况、泥浆性质等实际情况</w:t>
      </w:r>
      <w:r>
        <w:rPr>
          <w:rFonts w:ascii="Times New Roman" w:hAnsi="Times New Roman" w:eastAsia="仿宋_GB2312" w:cs="Times New Roman"/>
          <w:color w:val="000000" w:themeColor="text1"/>
          <w:sz w:val="24"/>
          <w:szCs w:val="24"/>
          <w14:textFill>
            <w14:solidFill>
              <w14:schemeClr w14:val="tx1"/>
            </w14:solidFill>
          </w14:textFill>
        </w:rPr>
        <w:t>增加</w:t>
      </w:r>
      <w:r>
        <w:rPr>
          <w:rFonts w:hint="eastAsia" w:ascii="Times New Roman" w:hAnsi="Times New Roman" w:eastAsia="仿宋_GB2312" w:cs="Times New Roman"/>
          <w:color w:val="000000" w:themeColor="text1"/>
          <w:sz w:val="24"/>
          <w:szCs w:val="24"/>
          <w14:textFill>
            <w14:solidFill>
              <w14:schemeClr w14:val="tx1"/>
            </w14:solidFill>
          </w14:textFill>
        </w:rPr>
        <w:t>絮凝泥浆调理调节环节，调理剂浓缩设备，絮凝剂的使用应符合绿色环保的原则</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（不同的土用不同的絮凝剂）。</w:t>
      </w:r>
    </w:p>
    <w:p w14:paraId="475E08C8">
      <w:pPr>
        <w:pStyle w:val="4"/>
        <w:spacing w:before="0"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76" w:name="_Toc57819235"/>
      <w:bookmarkStart w:id="77" w:name="_Toc26678"/>
      <w:bookmarkStart w:id="78" w:name="_Toc14595"/>
      <w:r>
        <w:rPr>
          <w:rFonts w:ascii="Times New Roman" w:hAnsi="Times New Roman" w:cs="Times New Roman"/>
          <w:color w:val="000000" w:themeColor="text1"/>
          <w:sz w:val="28"/>
          <w:szCs w:val="28"/>
          <w14:textFill>
            <w14:solidFill>
              <w14:schemeClr w14:val="tx1"/>
            </w14:solidFill>
          </w14:textFill>
        </w:rPr>
        <w:t>6.3  计</w:t>
      </w:r>
      <w:bookmarkEnd w:id="76"/>
      <w:bookmarkEnd w:id="77"/>
      <w:bookmarkEnd w:id="78"/>
      <w:r>
        <w:rPr>
          <w:rFonts w:ascii="Times New Roman" w:hAnsi="Times New Roman" w:cs="Times New Roman"/>
          <w:color w:val="000000" w:themeColor="text1"/>
          <w:sz w:val="28"/>
          <w:szCs w:val="28"/>
          <w14:textFill>
            <w14:solidFill>
              <w14:schemeClr w14:val="tx1"/>
            </w14:solidFill>
          </w14:textFill>
        </w:rPr>
        <w:t>算</w:t>
      </w:r>
    </w:p>
    <w:p w14:paraId="7D83BD7D">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6.3.1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泥浆处理量</w:t>
      </w:r>
      <w:r>
        <w:rPr>
          <w:rFonts w:ascii="Times New Roman" w:hAnsi="Times New Roman" w:eastAsia="仿宋_GB2312" w:cs="Times New Roman"/>
          <w:color w:val="000000" w:themeColor="text1"/>
          <w:sz w:val="24"/>
          <w:szCs w:val="24"/>
          <w14:textFill>
            <w14:solidFill>
              <w14:schemeClr w14:val="tx1"/>
            </w14:solidFill>
          </w14:textFill>
        </w:rPr>
        <w:t>可按下式计算：</w:t>
      </w:r>
    </w:p>
    <w:p w14:paraId="62125FEE">
      <w:pPr>
        <w:spacing w:line="360" w:lineRule="auto"/>
        <w:jc w:val="center"/>
        <w:rPr>
          <w:rFonts w:ascii="宋体" w:hAnsi="宋体" w:eastAsia="宋体" w:cs="Times New Roman"/>
          <w:iCs/>
          <w:color w:val="000000" w:themeColor="text1"/>
          <w14:textFill>
            <w14:solidFill>
              <w14:schemeClr w14:val="tx1"/>
            </w14:solidFill>
          </w14:textFill>
        </w:rPr>
      </w:pPr>
      <w:r>
        <w:rPr>
          <w:rFonts w:ascii="Times New Roman" w:hAnsi="Times New Roman" w:eastAsia="仿宋_GB2312" w:cs="Times New Roman"/>
          <w:i/>
          <w:iCs/>
          <w:color w:val="000000" w:themeColor="text1"/>
          <w:sz w:val="24"/>
          <w:szCs w:val="24"/>
          <w14:textFill>
            <w14:solidFill>
              <w14:schemeClr w14:val="tx1"/>
            </w14:solidFill>
          </w14:textFill>
        </w:rPr>
        <w:t xml:space="preserve">                        V=Vg×</w:t>
      </w:r>
      <w:r>
        <w:rPr>
          <w:rFonts w:ascii="Times New Roman" w:hAnsi="Times New Roman" w:cs="Times New Roman"/>
          <w:i/>
          <w:iCs/>
          <w:color w:val="000000" w:themeColor="text1"/>
          <w14:textFill>
            <w14:solidFill>
              <w14:schemeClr w14:val="tx1"/>
            </w14:solidFill>
          </w14:textFill>
        </w:rPr>
        <w:t xml:space="preserve">K                                 </w:t>
      </w:r>
      <w:r>
        <w:rPr>
          <w:rFonts w:hint="eastAsia" w:ascii="宋体" w:hAnsi="宋体" w:eastAsia="宋体" w:cs="Times New Roman"/>
          <w:iCs/>
          <w:color w:val="000000" w:themeColor="text1"/>
          <w14:textFill>
            <w14:solidFill>
              <w14:schemeClr w14:val="tx1"/>
            </w14:solidFill>
          </w14:textFill>
        </w:rPr>
        <w:t>（1）</w:t>
      </w:r>
    </w:p>
    <w:p w14:paraId="75F72412">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6</w:t>
      </w:r>
      <w:r>
        <w:rPr>
          <w:rFonts w:ascii="Times New Roman" w:hAnsi="Times New Roman" w:eastAsia="仿宋_GB2312" w:cs="Times New Roman"/>
          <w:b/>
          <w:color w:val="000000" w:themeColor="text1"/>
          <w:sz w:val="24"/>
          <w:szCs w:val="24"/>
          <w14:textFill>
            <w14:solidFill>
              <w14:schemeClr w14:val="tx1"/>
            </w14:solidFill>
          </w14:textFill>
        </w:rPr>
        <w:t xml:space="preserve">.3.2 </w:t>
      </w:r>
      <w:r>
        <w:rPr>
          <w:rFonts w:hint="eastAsia" w:ascii="Times New Roman" w:hAnsi="Times New Roman" w:eastAsia="仿宋_GB2312" w:cs="Times New Roman"/>
          <w:color w:val="000000" w:themeColor="text1"/>
          <w:sz w:val="24"/>
          <w:szCs w:val="24"/>
          <w14:textFill>
            <w14:solidFill>
              <w14:schemeClr w14:val="tx1"/>
            </w14:solidFill>
          </w14:textFill>
        </w:rPr>
        <w:t>渣土松散系数</w:t>
      </w:r>
      <w:r>
        <w:rPr>
          <w:rFonts w:hint="eastAsia" w:ascii="Times New Roman" w:hAnsi="Times New Roman" w:eastAsia="仿宋_GB2312" w:cs="Times New Roman"/>
          <w:i/>
          <w:iCs/>
          <w:color w:val="000000" w:themeColor="text1"/>
          <w:sz w:val="24"/>
          <w:szCs w:val="24"/>
          <w14:textFill>
            <w14:solidFill>
              <w14:schemeClr w14:val="tx1"/>
            </w14:solidFill>
          </w14:textFill>
        </w:rPr>
        <w:t>K</w:t>
      </w:r>
      <w:r>
        <w:rPr>
          <w:rFonts w:hint="eastAsia" w:ascii="Times New Roman" w:hAnsi="Times New Roman" w:eastAsia="仿宋_GB2312" w:cs="Times New Roman"/>
          <w:color w:val="000000" w:themeColor="text1"/>
          <w:sz w:val="24"/>
          <w:szCs w:val="24"/>
          <w14:textFill>
            <w14:solidFill>
              <w14:schemeClr w14:val="tx1"/>
            </w14:solidFill>
          </w14:textFill>
        </w:rPr>
        <w:t>取值范围为1.</w:t>
      </w:r>
      <w:r>
        <w:rPr>
          <w:rFonts w:ascii="Times New Roman" w:hAnsi="Times New Roman" w:eastAsia="仿宋_GB2312" w:cs="Times New Roman"/>
          <w:color w:val="000000" w:themeColor="text1"/>
          <w:sz w:val="24"/>
          <w:szCs w:val="24"/>
          <w14:textFill>
            <w14:solidFill>
              <w14:schemeClr w14:val="tx1"/>
            </w14:solidFill>
          </w14:textFill>
        </w:rPr>
        <w:t>2</w:t>
      </w:r>
      <w:r>
        <w:rPr>
          <w:rFonts w:hint="eastAsia" w:ascii="仿宋_GB2312"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1.8</w:t>
      </w:r>
      <w:r>
        <w:rPr>
          <w:rFonts w:ascii="Times New Roman" w:hAnsi="Times New Roman" w:eastAsia="仿宋_GB2312" w:cs="Times New Roman"/>
          <w:color w:val="000000" w:themeColor="text1"/>
          <w:sz w:val="24"/>
          <w:szCs w:val="24"/>
          <w14:textFill>
            <w14:solidFill>
              <w14:schemeClr w14:val="tx1"/>
            </w14:solidFill>
          </w14:textFill>
        </w:rPr>
        <w:t>。</w:t>
      </w:r>
    </w:p>
    <w:p w14:paraId="4B8B4E2E">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323EF77F">
      <w:pPr>
        <w:pStyle w:val="2"/>
        <w:jc w:val="center"/>
        <w:rPr>
          <w:rFonts w:ascii="Times New Roman" w:hAnsi="Times New Roman" w:cs="Times New Roman"/>
          <w:color w:val="000000" w:themeColor="text1"/>
          <w:sz w:val="32"/>
          <w:szCs w:val="32"/>
          <w14:textFill>
            <w14:solidFill>
              <w14:schemeClr w14:val="tx1"/>
            </w14:solidFill>
          </w14:textFill>
        </w:rPr>
      </w:pPr>
      <w:bookmarkStart w:id="79" w:name="_Toc18951"/>
      <w:bookmarkStart w:id="80" w:name="_Toc57819236"/>
      <w:bookmarkStart w:id="81" w:name="_Toc57819240"/>
      <w:bookmarkStart w:id="82" w:name="_Toc2592"/>
      <w:r>
        <w:rPr>
          <w:rFonts w:ascii="Times New Roman" w:hAnsi="Times New Roman" w:cs="Times New Roman"/>
          <w:color w:val="000000" w:themeColor="text1"/>
          <w:sz w:val="32"/>
          <w:szCs w:val="32"/>
          <w14:textFill>
            <w14:solidFill>
              <w14:schemeClr w14:val="tx1"/>
            </w14:solidFill>
          </w14:textFill>
        </w:rPr>
        <w:t>7  处理效果检测</w:t>
      </w:r>
      <w:bookmarkEnd w:id="79"/>
      <w:bookmarkEnd w:id="80"/>
    </w:p>
    <w:p w14:paraId="34A995B5">
      <w:pPr>
        <w:pStyle w:val="4"/>
        <w:spacing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83" w:name="_Toc57819237"/>
      <w:bookmarkStart w:id="84" w:name="_Toc8663"/>
      <w:r>
        <w:rPr>
          <w:rFonts w:ascii="Times New Roman" w:hAnsi="Times New Roman" w:cs="Times New Roman"/>
          <w:color w:val="000000" w:themeColor="text1"/>
          <w:sz w:val="28"/>
          <w:szCs w:val="28"/>
          <w14:textFill>
            <w14:solidFill>
              <w14:schemeClr w14:val="tx1"/>
            </w14:solidFill>
          </w14:textFill>
        </w:rPr>
        <w:t>7.1  一般规定</w:t>
      </w:r>
      <w:bookmarkEnd w:id="83"/>
      <w:bookmarkEnd w:id="84"/>
    </w:p>
    <w:p w14:paraId="68E12109">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7.1.1</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泥浆</w:t>
      </w:r>
      <w:r>
        <w:rPr>
          <w:rFonts w:ascii="Times New Roman" w:hAnsi="Times New Roman" w:eastAsia="仿宋_GB2312" w:cs="Times New Roman"/>
          <w:color w:val="000000" w:themeColor="text1"/>
          <w:sz w:val="24"/>
          <w:szCs w:val="24"/>
          <w14:textFill>
            <w14:solidFill>
              <w14:schemeClr w14:val="tx1"/>
            </w14:solidFill>
          </w14:textFill>
        </w:rPr>
        <w:t>处理效果</w:t>
      </w:r>
      <w:r>
        <w:rPr>
          <w:rFonts w:hint="eastAsia" w:ascii="Times New Roman" w:hAnsi="Times New Roman" w:eastAsia="仿宋_GB2312" w:cs="Times New Roman"/>
          <w:color w:val="000000" w:themeColor="text1"/>
          <w:sz w:val="24"/>
          <w:szCs w:val="24"/>
          <w14:textFill>
            <w14:solidFill>
              <w14:schemeClr w14:val="tx1"/>
            </w14:solidFill>
          </w14:textFill>
        </w:rPr>
        <w:t>的检测</w:t>
      </w:r>
      <w:r>
        <w:rPr>
          <w:rFonts w:ascii="Times New Roman" w:hAnsi="Times New Roman" w:eastAsia="仿宋_GB2312" w:cs="Times New Roman"/>
          <w:color w:val="000000" w:themeColor="text1"/>
          <w:sz w:val="24"/>
          <w:szCs w:val="24"/>
          <w14:textFill>
            <w14:solidFill>
              <w14:schemeClr w14:val="tx1"/>
            </w14:solidFill>
          </w14:textFill>
        </w:rPr>
        <w:t>指标应</w:t>
      </w:r>
      <w:r>
        <w:rPr>
          <w:rFonts w:hint="eastAsia" w:ascii="Times New Roman" w:hAnsi="Times New Roman" w:eastAsia="仿宋_GB2312" w:cs="Times New Roman"/>
          <w:color w:val="000000" w:themeColor="text1"/>
          <w:sz w:val="24"/>
          <w:szCs w:val="24"/>
          <w14:textFill>
            <w14:solidFill>
              <w14:schemeClr w14:val="tx1"/>
            </w14:solidFill>
          </w14:textFill>
        </w:rPr>
        <w:t>结合项目要求和国家和地方相关排放标准确定。</w:t>
      </w:r>
    </w:p>
    <w:p w14:paraId="1FBD3FC5">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bookmarkStart w:id="85" w:name="_Toc51678232"/>
      <w:bookmarkStart w:id="86" w:name="_Toc51677056"/>
      <w:r>
        <w:rPr>
          <w:rFonts w:ascii="Times New Roman" w:hAnsi="Times New Roman" w:eastAsia="仿宋_GB2312" w:cs="Times New Roman"/>
          <w:b/>
          <w:color w:val="000000" w:themeColor="text1"/>
          <w:sz w:val="24"/>
          <w:szCs w:val="24"/>
          <w14:textFill>
            <w14:solidFill>
              <w14:schemeClr w14:val="tx1"/>
            </w14:solidFill>
          </w14:textFill>
        </w:rPr>
        <w:t>7.</w:t>
      </w:r>
      <w:r>
        <w:rPr>
          <w:rFonts w:hint="eastAsia" w:ascii="Times New Roman" w:hAnsi="Times New Roman" w:eastAsia="仿宋_GB2312" w:cs="Times New Roman"/>
          <w:b/>
          <w:color w:val="000000" w:themeColor="text1"/>
          <w:sz w:val="24"/>
          <w:szCs w:val="24"/>
          <w14:textFill>
            <w14:solidFill>
              <w14:schemeClr w14:val="tx1"/>
            </w14:solidFill>
          </w14:textFill>
        </w:rPr>
        <w:t>1</w:t>
      </w:r>
      <w:r>
        <w:rPr>
          <w:rFonts w:ascii="Times New Roman" w:hAnsi="Times New Roman" w:eastAsia="仿宋_GB2312" w:cs="Times New Roman"/>
          <w:b/>
          <w:color w:val="000000" w:themeColor="text1"/>
          <w:sz w:val="24"/>
          <w:szCs w:val="24"/>
          <w14:textFill>
            <w14:solidFill>
              <w14:schemeClr w14:val="tx1"/>
            </w14:solidFill>
          </w14:textFill>
        </w:rPr>
        <w:t>.</w:t>
      </w:r>
      <w:r>
        <w:rPr>
          <w:rFonts w:hint="eastAsia" w:ascii="Times New Roman" w:hAnsi="Times New Roman" w:eastAsia="仿宋_GB2312" w:cs="Times New Roman"/>
          <w:b/>
          <w:color w:val="000000" w:themeColor="text1"/>
          <w:sz w:val="24"/>
          <w:szCs w:val="24"/>
          <w14:textFill>
            <w14:solidFill>
              <w14:schemeClr w14:val="tx1"/>
            </w14:solidFill>
          </w14:textFill>
        </w:rPr>
        <w:t>2</w:t>
      </w:r>
      <w:r>
        <w:rPr>
          <w:rFonts w:ascii="Times New Roman" w:hAnsi="Times New Roman" w:eastAsia="仿宋_GB2312" w:cs="Times New Roman"/>
          <w:color w:val="000000" w:themeColor="text1"/>
          <w:sz w:val="24"/>
          <w:szCs w:val="24"/>
          <w14:textFill>
            <w14:solidFill>
              <w14:schemeClr w14:val="tx1"/>
            </w14:solidFill>
          </w14:textFill>
        </w:rPr>
        <w:t xml:space="preserve"> 泥浆处理效果</w:t>
      </w:r>
      <w:r>
        <w:rPr>
          <w:rFonts w:hint="eastAsia" w:ascii="Times New Roman" w:hAnsi="Times New Roman" w:eastAsia="仿宋_GB2312" w:cs="Times New Roman"/>
          <w:color w:val="000000" w:themeColor="text1"/>
          <w:sz w:val="24"/>
          <w:szCs w:val="24"/>
          <w14:textFill>
            <w14:solidFill>
              <w14:schemeClr w14:val="tx1"/>
            </w14:solidFill>
          </w14:textFill>
        </w:rPr>
        <w:t>的相关</w:t>
      </w:r>
      <w:r>
        <w:rPr>
          <w:rFonts w:ascii="Times New Roman" w:hAnsi="Times New Roman" w:eastAsia="仿宋_GB2312" w:cs="Times New Roman"/>
          <w:color w:val="000000" w:themeColor="text1"/>
          <w:sz w:val="24"/>
          <w:szCs w:val="24"/>
          <w14:textFill>
            <w14:solidFill>
              <w14:schemeClr w14:val="tx1"/>
            </w14:solidFill>
          </w14:textFill>
        </w:rPr>
        <w:t>指标应经具有相关检测资质的第三方检测合格，</w:t>
      </w:r>
      <w:r>
        <w:rPr>
          <w:rFonts w:hint="eastAsia" w:ascii="Times New Roman" w:hAnsi="Times New Roman" w:eastAsia="仿宋_GB2312" w:cs="Times New Roman"/>
          <w:color w:val="000000" w:themeColor="text1"/>
          <w:sz w:val="24"/>
          <w:szCs w:val="24"/>
          <w14:textFill>
            <w14:solidFill>
              <w14:schemeClr w14:val="tx1"/>
            </w14:solidFill>
          </w14:textFill>
        </w:rPr>
        <w:t>且</w:t>
      </w:r>
      <w:r>
        <w:rPr>
          <w:rFonts w:ascii="Times New Roman" w:hAnsi="Times New Roman" w:eastAsia="仿宋_GB2312" w:cs="Times New Roman"/>
          <w:color w:val="000000" w:themeColor="text1"/>
          <w:sz w:val="24"/>
          <w:szCs w:val="24"/>
          <w14:textFill>
            <w14:solidFill>
              <w14:schemeClr w14:val="tx1"/>
            </w14:solidFill>
          </w14:textFill>
        </w:rPr>
        <w:t>符合相关排放或使用要求。</w:t>
      </w:r>
      <w:bookmarkEnd w:id="85"/>
      <w:bookmarkEnd w:id="86"/>
    </w:p>
    <w:p w14:paraId="3A4438D1">
      <w:pPr>
        <w:pStyle w:val="4"/>
        <w:spacing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87" w:name="_Toc26961"/>
      <w:bookmarkStart w:id="88" w:name="_Toc57819238"/>
      <w:r>
        <w:rPr>
          <w:rFonts w:ascii="Times New Roman" w:hAnsi="Times New Roman" w:cs="Times New Roman"/>
          <w:color w:val="000000" w:themeColor="text1"/>
          <w:sz w:val="28"/>
          <w:szCs w:val="28"/>
          <w14:textFill>
            <w14:solidFill>
              <w14:schemeClr w14:val="tx1"/>
            </w14:solidFill>
          </w14:textFill>
        </w:rPr>
        <w:t>7.2  处理效果检测</w:t>
      </w:r>
      <w:bookmarkEnd w:id="87"/>
      <w:bookmarkEnd w:id="88"/>
    </w:p>
    <w:p w14:paraId="66447201">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bookmarkStart w:id="89" w:name="_Toc51677060"/>
      <w:bookmarkStart w:id="90" w:name="_Toc51678236"/>
      <w:bookmarkStart w:id="91" w:name="_Toc38448029"/>
      <w:bookmarkStart w:id="92" w:name="_Toc38448144"/>
      <w:r>
        <w:rPr>
          <w:rFonts w:ascii="Times New Roman" w:hAnsi="Times New Roman" w:eastAsia="仿宋_GB2312" w:cs="Times New Roman"/>
          <w:b/>
          <w:color w:val="000000" w:themeColor="text1"/>
          <w:sz w:val="24"/>
          <w:szCs w:val="24"/>
          <w14:textFill>
            <w14:solidFill>
              <w14:schemeClr w14:val="tx1"/>
            </w14:solidFill>
          </w14:textFill>
        </w:rPr>
        <w:t>7.2.1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清液</w:t>
      </w:r>
      <w:r>
        <w:rPr>
          <w:rFonts w:ascii="Times New Roman" w:hAnsi="Times New Roman" w:eastAsia="仿宋_GB2312" w:cs="Times New Roman"/>
          <w:color w:val="000000" w:themeColor="text1"/>
          <w:sz w:val="24"/>
          <w:szCs w:val="24"/>
          <w14:textFill>
            <w14:solidFill>
              <w14:schemeClr w14:val="tx1"/>
            </w14:solidFill>
          </w14:textFill>
        </w:rPr>
        <w:t>排入雨水管网或直接排入河道、湖泊和水景</w:t>
      </w:r>
      <w:r>
        <w:rPr>
          <w:rFonts w:hint="eastAsia" w:ascii="Times New Roman" w:hAnsi="Times New Roman" w:eastAsia="仿宋_GB2312" w:cs="Times New Roman"/>
          <w:color w:val="000000" w:themeColor="text1"/>
          <w:sz w:val="24"/>
          <w:szCs w:val="24"/>
          <w14:textFill>
            <w14:solidFill>
              <w14:schemeClr w14:val="tx1"/>
            </w14:solidFill>
          </w14:textFill>
        </w:rPr>
        <w:t>等</w:t>
      </w:r>
      <w:r>
        <w:rPr>
          <w:rFonts w:ascii="Times New Roman" w:hAnsi="Times New Roman" w:eastAsia="仿宋_GB2312" w:cs="Times New Roman"/>
          <w:color w:val="000000" w:themeColor="text1"/>
          <w:sz w:val="24"/>
          <w:szCs w:val="24"/>
          <w14:textFill>
            <w14:solidFill>
              <w14:schemeClr w14:val="tx1"/>
            </w14:solidFill>
          </w14:textFill>
        </w:rPr>
        <w:t>用于景观环境用水的，应</w:t>
      </w:r>
      <w:r>
        <w:rPr>
          <w:rFonts w:hint="eastAsia" w:ascii="Times New Roman" w:hAnsi="Times New Roman" w:eastAsia="仿宋_GB2312" w:cs="Times New Roman"/>
          <w:color w:val="000000" w:themeColor="text1"/>
          <w:sz w:val="24"/>
          <w:szCs w:val="24"/>
          <w14:textFill>
            <w14:solidFill>
              <w14:schemeClr w14:val="tx1"/>
            </w14:solidFill>
          </w14:textFill>
        </w:rPr>
        <w:t>对相关水质指标进行检测，并应符合《城市污水再生利用 景观环境用水水质》GB/T</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18921中表1的限值</w:t>
      </w:r>
      <w:r>
        <w:rPr>
          <w:rFonts w:ascii="Times New Roman" w:hAnsi="Times New Roman" w:eastAsia="仿宋_GB2312" w:cs="Times New Roman"/>
          <w:color w:val="000000" w:themeColor="text1"/>
          <w:sz w:val="24"/>
          <w:szCs w:val="24"/>
          <w14:textFill>
            <w14:solidFill>
              <w14:schemeClr w14:val="tx1"/>
            </w14:solidFill>
          </w14:textFill>
        </w:rPr>
        <w:t>要求。</w:t>
      </w:r>
    </w:p>
    <w:p w14:paraId="6AD68686">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7.2.2</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清液</w:t>
      </w:r>
      <w:r>
        <w:rPr>
          <w:rFonts w:ascii="Times New Roman" w:hAnsi="Times New Roman" w:eastAsia="仿宋_GB2312" w:cs="Times New Roman"/>
          <w:color w:val="000000" w:themeColor="text1"/>
          <w:sz w:val="24"/>
          <w:szCs w:val="24"/>
          <w14:textFill>
            <w14:solidFill>
              <w14:schemeClr w14:val="tx1"/>
            </w14:solidFill>
          </w14:textFill>
        </w:rPr>
        <w:t>用于建筑施工</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车辆冲洗、道路清扫、绿化、消防</w:t>
      </w:r>
      <w:r>
        <w:rPr>
          <w:rFonts w:hint="eastAsia" w:ascii="Times New Roman" w:hAnsi="Times New Roman" w:eastAsia="仿宋_GB2312" w:cs="Times New Roman"/>
          <w:color w:val="000000" w:themeColor="text1"/>
          <w:sz w:val="24"/>
          <w:szCs w:val="24"/>
          <w14:textFill>
            <w14:solidFill>
              <w14:schemeClr w14:val="tx1"/>
            </w14:solidFill>
          </w14:textFill>
        </w:rPr>
        <w:t>等</w:t>
      </w:r>
      <w:r>
        <w:rPr>
          <w:rFonts w:ascii="Times New Roman" w:hAnsi="Times New Roman" w:eastAsia="仿宋_GB2312" w:cs="Times New Roman"/>
          <w:color w:val="000000" w:themeColor="text1"/>
          <w:sz w:val="24"/>
          <w:szCs w:val="24"/>
          <w14:textFill>
            <w14:solidFill>
              <w14:schemeClr w14:val="tx1"/>
            </w14:solidFill>
          </w14:textFill>
        </w:rPr>
        <w:t>现场杂用水的，应</w:t>
      </w:r>
      <w:r>
        <w:rPr>
          <w:rFonts w:hint="eastAsia" w:ascii="Times New Roman" w:hAnsi="Times New Roman" w:eastAsia="仿宋_GB2312" w:cs="Times New Roman"/>
          <w:color w:val="000000" w:themeColor="text1"/>
          <w:sz w:val="24"/>
          <w:szCs w:val="24"/>
          <w14:textFill>
            <w14:solidFill>
              <w14:schemeClr w14:val="tx1"/>
            </w14:solidFill>
          </w14:textFill>
        </w:rPr>
        <w:t>对相关水质指标进行检测，并应符合《城市污水再生利用 杂用水水质》GB/T</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18920中表1的限值</w:t>
      </w:r>
      <w:r>
        <w:rPr>
          <w:rFonts w:ascii="Times New Roman" w:hAnsi="Times New Roman" w:eastAsia="仿宋_GB2312" w:cs="Times New Roman"/>
          <w:color w:val="000000" w:themeColor="text1"/>
          <w:sz w:val="24"/>
          <w:szCs w:val="24"/>
          <w14:textFill>
            <w14:solidFill>
              <w14:schemeClr w14:val="tx1"/>
            </w14:solidFill>
          </w14:textFill>
        </w:rPr>
        <w:t>要求。</w:t>
      </w:r>
      <w:bookmarkEnd w:id="89"/>
      <w:bookmarkEnd w:id="90"/>
      <w:bookmarkEnd w:id="91"/>
      <w:bookmarkEnd w:id="92"/>
    </w:p>
    <w:p w14:paraId="42F3ADAD">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bookmarkStart w:id="93" w:name="_Toc51678239"/>
      <w:bookmarkStart w:id="94" w:name="_Toc51677063"/>
      <w:bookmarkStart w:id="95" w:name="_Toc38448147"/>
      <w:bookmarkStart w:id="96" w:name="_Toc38448032"/>
      <w:r>
        <w:rPr>
          <w:rFonts w:ascii="Times New Roman" w:hAnsi="Times New Roman" w:eastAsia="仿宋_GB2312" w:cs="Times New Roman"/>
          <w:b/>
          <w:color w:val="000000" w:themeColor="text1"/>
          <w:sz w:val="24"/>
          <w:szCs w:val="24"/>
          <w14:textFill>
            <w14:solidFill>
              <w14:schemeClr w14:val="tx1"/>
            </w14:solidFill>
          </w14:textFill>
        </w:rPr>
        <w:t>7.2.3</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干泥</w:t>
      </w:r>
      <w:r>
        <w:rPr>
          <w:rFonts w:ascii="Times New Roman" w:hAnsi="Times New Roman" w:eastAsia="仿宋_GB2312" w:cs="Times New Roman"/>
          <w:color w:val="000000" w:themeColor="text1"/>
          <w:sz w:val="24"/>
          <w:szCs w:val="24"/>
          <w14:textFill>
            <w14:solidFill>
              <w14:schemeClr w14:val="tx1"/>
            </w14:solidFill>
          </w14:textFill>
        </w:rPr>
        <w:t>外运排放的，</w:t>
      </w:r>
      <w:r>
        <w:rPr>
          <w:rFonts w:hint="eastAsia" w:ascii="Times New Roman" w:hAnsi="Times New Roman" w:eastAsia="仿宋_GB2312" w:cs="Times New Roman"/>
          <w:color w:val="000000" w:themeColor="text1"/>
          <w:sz w:val="24"/>
          <w:szCs w:val="24"/>
          <w14:textFill>
            <w14:solidFill>
              <w14:schemeClr w14:val="tx1"/>
            </w14:solidFill>
          </w14:textFill>
        </w:rPr>
        <w:t>干泥</w:t>
      </w:r>
      <w:r>
        <w:rPr>
          <w:rFonts w:ascii="Times New Roman" w:hAnsi="Times New Roman" w:eastAsia="仿宋_GB2312" w:cs="Times New Roman"/>
          <w:color w:val="000000" w:themeColor="text1"/>
          <w:sz w:val="24"/>
          <w:szCs w:val="24"/>
          <w14:textFill>
            <w14:solidFill>
              <w14:schemeClr w14:val="tx1"/>
            </w14:solidFill>
          </w14:textFill>
        </w:rPr>
        <w:t>外排应</w:t>
      </w:r>
      <w:r>
        <w:rPr>
          <w:rFonts w:hint="eastAsia" w:ascii="Times New Roman" w:hAnsi="Times New Roman" w:eastAsia="仿宋_GB2312" w:cs="Times New Roman"/>
          <w:color w:val="000000" w:themeColor="text1"/>
          <w:sz w:val="24"/>
          <w:szCs w:val="24"/>
          <w14:textFill>
            <w14:solidFill>
              <w14:schemeClr w14:val="tx1"/>
            </w14:solidFill>
          </w14:textFill>
        </w:rPr>
        <w:t>对其含水率进行检测，并应符合</w:t>
      </w:r>
      <w:r>
        <w:rPr>
          <w:rFonts w:ascii="Times New Roman" w:hAnsi="Times New Roman" w:eastAsia="仿宋_GB2312" w:cs="Times New Roman"/>
          <w:color w:val="000000" w:themeColor="text1"/>
          <w:sz w:val="24"/>
          <w:szCs w:val="24"/>
          <w14:textFill>
            <w14:solidFill>
              <w14:schemeClr w14:val="tx1"/>
            </w14:solidFill>
          </w14:textFill>
        </w:rPr>
        <w:t>《建筑垃圾处理技术标准》CJJT 134</w:t>
      </w:r>
      <w:r>
        <w:rPr>
          <w:rFonts w:hint="eastAsia" w:ascii="Times New Roman" w:hAnsi="Times New Roman" w:eastAsia="仿宋_GB2312" w:cs="Times New Roman"/>
          <w:color w:val="000000" w:themeColor="text1"/>
          <w:sz w:val="24"/>
          <w:szCs w:val="24"/>
          <w14:textFill>
            <w14:solidFill>
              <w14:schemeClr w14:val="tx1"/>
            </w14:solidFill>
          </w14:textFill>
        </w:rPr>
        <w:t>中第1</w:t>
      </w:r>
      <w:r>
        <w:rPr>
          <w:rFonts w:ascii="Times New Roman" w:hAnsi="Times New Roman" w:eastAsia="仿宋_GB2312" w:cs="Times New Roman"/>
          <w:color w:val="000000" w:themeColor="text1"/>
          <w:sz w:val="24"/>
          <w:szCs w:val="24"/>
          <w14:textFill>
            <w14:solidFill>
              <w14:schemeClr w14:val="tx1"/>
            </w14:solidFill>
          </w14:textFill>
        </w:rPr>
        <w:t>0.1.3</w:t>
      </w:r>
      <w:r>
        <w:rPr>
          <w:rFonts w:hint="eastAsia" w:ascii="Times New Roman" w:hAnsi="Times New Roman" w:eastAsia="仿宋_GB2312" w:cs="Times New Roman"/>
          <w:color w:val="000000" w:themeColor="text1"/>
          <w:sz w:val="24"/>
          <w:szCs w:val="24"/>
          <w14:textFill>
            <w14:solidFill>
              <w14:schemeClr w14:val="tx1"/>
            </w14:solidFill>
          </w14:textFill>
        </w:rPr>
        <w:t>条的限值</w:t>
      </w:r>
      <w:r>
        <w:rPr>
          <w:rFonts w:ascii="Times New Roman" w:hAnsi="Times New Roman" w:eastAsia="仿宋_GB2312" w:cs="Times New Roman"/>
          <w:color w:val="000000" w:themeColor="text1"/>
          <w:sz w:val="24"/>
          <w:szCs w:val="24"/>
          <w14:textFill>
            <w14:solidFill>
              <w14:schemeClr w14:val="tx1"/>
            </w14:solidFill>
          </w14:textFill>
        </w:rPr>
        <w:t>要求。</w:t>
      </w:r>
      <w:bookmarkEnd w:id="93"/>
      <w:bookmarkEnd w:id="94"/>
      <w:bookmarkEnd w:id="95"/>
      <w:bookmarkEnd w:id="96"/>
    </w:p>
    <w:p w14:paraId="195AAE60">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7.2.4</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干泥和砂石</w:t>
      </w:r>
      <w:r>
        <w:rPr>
          <w:rFonts w:ascii="Times New Roman" w:hAnsi="Times New Roman" w:eastAsia="仿宋_GB2312" w:cs="Times New Roman"/>
          <w:color w:val="000000" w:themeColor="text1"/>
          <w:sz w:val="24"/>
          <w:szCs w:val="24"/>
          <w14:textFill>
            <w14:solidFill>
              <w14:schemeClr w14:val="tx1"/>
            </w14:solidFill>
          </w14:textFill>
        </w:rPr>
        <w:t>外运</w:t>
      </w:r>
      <w:r>
        <w:rPr>
          <w:rFonts w:hint="eastAsia" w:ascii="Times New Roman" w:hAnsi="Times New Roman" w:eastAsia="仿宋_GB2312" w:cs="Times New Roman"/>
          <w:color w:val="000000" w:themeColor="text1"/>
          <w:sz w:val="24"/>
          <w:szCs w:val="24"/>
          <w14:textFill>
            <w14:solidFill>
              <w14:schemeClr w14:val="tx1"/>
            </w14:solidFill>
          </w14:textFill>
        </w:rPr>
        <w:t>资源化利用</w:t>
      </w:r>
      <w:r>
        <w:rPr>
          <w:rFonts w:ascii="Times New Roman" w:hAnsi="Times New Roman" w:eastAsia="仿宋_GB2312" w:cs="Times New Roman"/>
          <w:color w:val="000000" w:themeColor="text1"/>
          <w:sz w:val="24"/>
          <w:szCs w:val="24"/>
          <w14:textFill>
            <w14:solidFill>
              <w14:schemeClr w14:val="tx1"/>
            </w14:solidFill>
          </w14:textFill>
        </w:rPr>
        <w:t>的，</w:t>
      </w:r>
      <w:r>
        <w:rPr>
          <w:rFonts w:hint="eastAsia" w:ascii="Times New Roman" w:hAnsi="Times New Roman" w:eastAsia="仿宋_GB2312" w:cs="Times New Roman"/>
          <w:color w:val="000000" w:themeColor="text1"/>
          <w:sz w:val="24"/>
          <w:szCs w:val="24"/>
          <w14:textFill>
            <w14:solidFill>
              <w14:schemeClr w14:val="tx1"/>
            </w14:solidFill>
          </w14:textFill>
        </w:rPr>
        <w:t>可由资源化利用单位根据自身需要自行对其相关指标进行</w:t>
      </w:r>
      <w:r>
        <w:rPr>
          <w:rFonts w:ascii="Times New Roman" w:hAnsi="Times New Roman" w:eastAsia="仿宋_GB2312" w:cs="Times New Roman"/>
          <w:color w:val="000000" w:themeColor="text1"/>
          <w:sz w:val="24"/>
          <w:szCs w:val="24"/>
          <w14:textFill>
            <w14:solidFill>
              <w14:schemeClr w14:val="tx1"/>
            </w14:solidFill>
          </w14:textFill>
        </w:rPr>
        <w:t>检测。</w:t>
      </w:r>
    </w:p>
    <w:p w14:paraId="46E05B43">
      <w:pPr>
        <w:pStyle w:val="4"/>
        <w:spacing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97" w:name="_Toc57819239"/>
      <w:bookmarkStart w:id="98" w:name="_Toc4627"/>
      <w:r>
        <w:rPr>
          <w:rFonts w:ascii="Times New Roman" w:hAnsi="Times New Roman" w:cs="Times New Roman"/>
          <w:color w:val="000000" w:themeColor="text1"/>
          <w:sz w:val="28"/>
          <w:szCs w:val="28"/>
          <w14:textFill>
            <w14:solidFill>
              <w14:schemeClr w14:val="tx1"/>
            </w14:solidFill>
          </w14:textFill>
        </w:rPr>
        <w:t xml:space="preserve">7.3  </w:t>
      </w:r>
      <w:bookmarkEnd w:id="97"/>
      <w:r>
        <w:rPr>
          <w:rFonts w:hint="eastAsia" w:ascii="Times New Roman" w:hAnsi="Times New Roman" w:cs="Times New Roman"/>
          <w:color w:val="000000" w:themeColor="text1"/>
          <w:sz w:val="28"/>
          <w:szCs w:val="28"/>
          <w14:textFill>
            <w14:solidFill>
              <w14:schemeClr w14:val="tx1"/>
            </w14:solidFill>
          </w14:textFill>
        </w:rPr>
        <w:t>档案管理</w:t>
      </w:r>
      <w:bookmarkEnd w:id="98"/>
    </w:p>
    <w:p w14:paraId="2819F0A2">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bookmarkStart w:id="99" w:name="_Toc38448158"/>
      <w:bookmarkStart w:id="100" w:name="_Toc51678251"/>
      <w:bookmarkStart w:id="101" w:name="_Toc38448043"/>
      <w:bookmarkStart w:id="102" w:name="_Toc51677075"/>
      <w:r>
        <w:rPr>
          <w:rFonts w:ascii="Times New Roman" w:hAnsi="Times New Roman" w:eastAsia="仿宋_GB2312" w:cs="Times New Roman"/>
          <w:b/>
          <w:color w:val="000000" w:themeColor="text1"/>
          <w:sz w:val="24"/>
          <w:szCs w:val="24"/>
          <w14:textFill>
            <w14:solidFill>
              <w14:schemeClr w14:val="tx1"/>
            </w14:solidFill>
          </w14:textFill>
        </w:rPr>
        <w:t>7.3.1</w:t>
      </w:r>
      <w:r>
        <w:rPr>
          <w:rFonts w:ascii="Times New Roman" w:hAnsi="Times New Roman" w:eastAsia="仿宋_GB2312" w:cs="Times New Roman"/>
          <w:color w:val="000000" w:themeColor="text1"/>
          <w:sz w:val="24"/>
          <w:szCs w:val="24"/>
          <w14:textFill>
            <w14:solidFill>
              <w14:schemeClr w14:val="tx1"/>
            </w14:solidFill>
          </w14:textFill>
        </w:rPr>
        <w:t xml:space="preserve"> 泥浆处理台账应清晰完整，可随机抽取连续三个月的泥浆处理量记录，统计泥浆处理总量和工作总时长，计算时均处理量。</w:t>
      </w:r>
      <w:bookmarkEnd w:id="99"/>
      <w:bookmarkEnd w:id="100"/>
      <w:bookmarkEnd w:id="101"/>
      <w:bookmarkEnd w:id="102"/>
    </w:p>
    <w:p w14:paraId="063141C9">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bookmarkStart w:id="103" w:name="_Toc51678253"/>
      <w:bookmarkStart w:id="104" w:name="_Toc51677077"/>
      <w:bookmarkStart w:id="105" w:name="_Toc38448161"/>
      <w:bookmarkStart w:id="106" w:name="_Toc38448046"/>
      <w:r>
        <w:rPr>
          <w:rFonts w:ascii="Times New Roman" w:hAnsi="Times New Roman" w:eastAsia="仿宋_GB2312" w:cs="Times New Roman"/>
          <w:b/>
          <w:color w:val="000000" w:themeColor="text1"/>
          <w:sz w:val="24"/>
          <w:szCs w:val="24"/>
          <w14:textFill>
            <w14:solidFill>
              <w14:schemeClr w14:val="tx1"/>
            </w14:solidFill>
          </w14:textFill>
        </w:rPr>
        <w:t>7.3.2</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干泥、砂土和清液</w:t>
      </w:r>
      <w:r>
        <w:rPr>
          <w:rFonts w:ascii="Times New Roman" w:hAnsi="Times New Roman" w:eastAsia="仿宋_GB2312" w:cs="Times New Roman"/>
          <w:color w:val="000000" w:themeColor="text1"/>
          <w:sz w:val="24"/>
          <w:szCs w:val="24"/>
          <w14:textFill>
            <w14:solidFill>
              <w14:schemeClr w14:val="tx1"/>
            </w14:solidFill>
          </w14:textFill>
        </w:rPr>
        <w:t>现场使用和外运台账应清晰完整，并与泥浆处理台账吻合。泥浆处理产出物的外运应符合城市管理规定，严格审验外运单位的资质，登记外运泥浆处理产出物具体数量和详细去向。</w:t>
      </w:r>
      <w:bookmarkEnd w:id="103"/>
      <w:bookmarkEnd w:id="104"/>
      <w:bookmarkEnd w:id="105"/>
      <w:bookmarkEnd w:id="106"/>
    </w:p>
    <w:p w14:paraId="2AB561B6">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0B72449C">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39BEBEB5">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65A6FBC5">
      <w:pPr>
        <w:pStyle w:val="2"/>
        <w:jc w:val="center"/>
        <w:rPr>
          <w:rFonts w:ascii="Times New Roman" w:hAnsi="Times New Roman" w:cs="Times New Roman"/>
          <w:color w:val="000000" w:themeColor="text1"/>
          <w:sz w:val="32"/>
          <w:szCs w:val="32"/>
          <w14:textFill>
            <w14:solidFill>
              <w14:schemeClr w14:val="tx1"/>
            </w14:solidFill>
          </w14:textFill>
        </w:rPr>
      </w:pPr>
      <w:bookmarkStart w:id="107" w:name="_Toc5739"/>
      <w:r>
        <w:rPr>
          <w:rFonts w:hint="eastAsia" w:ascii="Times New Roman" w:hAnsi="Times New Roman" w:cs="Times New Roman"/>
          <w:color w:val="000000" w:themeColor="text1"/>
          <w:sz w:val="32"/>
          <w:szCs w:val="32"/>
          <w14:textFill>
            <w14:solidFill>
              <w14:schemeClr w14:val="tx1"/>
            </w14:solidFill>
          </w14:textFill>
        </w:rPr>
        <w:t>8</w:t>
      </w:r>
      <w:r>
        <w:rPr>
          <w:rFonts w:ascii="Times New Roman" w:hAnsi="Times New Roman" w:cs="Times New Roman"/>
          <w:color w:val="000000" w:themeColor="text1"/>
          <w:sz w:val="32"/>
          <w:szCs w:val="32"/>
          <w14:textFill>
            <w14:solidFill>
              <w14:schemeClr w14:val="tx1"/>
            </w14:solidFill>
          </w14:textFill>
        </w:rPr>
        <w:t xml:space="preserve">  </w:t>
      </w:r>
      <w:r>
        <w:rPr>
          <w:rFonts w:hint="eastAsia" w:ascii="Times New Roman" w:hAnsi="Times New Roman" w:cs="Times New Roman"/>
          <w:color w:val="000000" w:themeColor="text1"/>
          <w:sz w:val="32"/>
          <w:szCs w:val="32"/>
          <w14:textFill>
            <w14:solidFill>
              <w14:schemeClr w14:val="tx1"/>
            </w14:solidFill>
          </w14:textFill>
        </w:rPr>
        <w:t>资源化利用</w:t>
      </w:r>
      <w:bookmarkEnd w:id="107"/>
    </w:p>
    <w:p w14:paraId="5215A27C">
      <w:pPr>
        <w:pStyle w:val="4"/>
        <w:spacing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108" w:name="_Toc22782"/>
      <w:r>
        <w:rPr>
          <w:rFonts w:hint="eastAsia" w:ascii="Times New Roman" w:hAnsi="Times New Roman" w:cs="Times New Roman"/>
          <w:color w:val="000000" w:themeColor="text1"/>
          <w:sz w:val="28"/>
          <w:szCs w:val="28"/>
          <w14:textFill>
            <w14:solidFill>
              <w14:schemeClr w14:val="tx1"/>
            </w14:solidFill>
          </w14:textFill>
        </w:rPr>
        <w:t>8.1 一般规定</w:t>
      </w:r>
      <w:bookmarkEnd w:id="108"/>
    </w:p>
    <w:p w14:paraId="23075ACC">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8.1.1</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实现工程泥浆资源化利用应预先对其进行分类，应根据泥浆产生的不同来源、种类及性质进行分模式处理，其中分为就地处理利用、集中处理利用，须符合下列要求：</w:t>
      </w:r>
    </w:p>
    <w:p w14:paraId="6C32FF3A">
      <w:pPr>
        <w:spacing w:line="360" w:lineRule="auto"/>
        <w:ind w:firstLine="424" w:firstLineChars="177"/>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工程泥浆直接或经处理后形成再生填料，可在有填料需求的工程现场就地利用，采用泥沙分离技术处理后，砂石可以作为再生骨料进行再利用；</w:t>
      </w:r>
    </w:p>
    <w:p w14:paraId="7B7639F8">
      <w:pPr>
        <w:spacing w:line="360" w:lineRule="auto"/>
        <w:ind w:firstLine="424" w:firstLineChars="177"/>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2</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无法就地利用时，工程泥浆可运输至集中处理场所进行处理后，产出再生产品，可使用于相关工程领域中。符合要求的工程泥浆经过处理后，可生产出建材原材料、城市绿化的种植土、非烧结砖及其他相关领域。</w:t>
      </w:r>
    </w:p>
    <w:p w14:paraId="019AE080">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8.1.2</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工程泥浆应遵循优先就地利用的原则。</w:t>
      </w:r>
    </w:p>
    <w:p w14:paraId="2DA3364A">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8.1.3</w:t>
      </w:r>
      <w:r>
        <w:rPr>
          <w:rFonts w:ascii="Times New Roman" w:hAnsi="Times New Roman" w:eastAsia="仿宋_GB2312" w:cs="Times New Roman"/>
          <w:b/>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资源化的过程中，应对工程泥浆进行物料成分、含固率、含水率等物化特性进行分析。根据分析结果选择不同的处理方式。</w:t>
      </w:r>
    </w:p>
    <w:p w14:paraId="696679AA">
      <w:pPr>
        <w:pStyle w:val="4"/>
        <w:spacing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109" w:name="_Toc32"/>
      <w:r>
        <w:rPr>
          <w:rFonts w:hint="eastAsia" w:ascii="Times New Roman" w:hAnsi="Times New Roman" w:cs="Times New Roman"/>
          <w:color w:val="000000" w:themeColor="text1"/>
          <w:sz w:val="28"/>
          <w:szCs w:val="28"/>
          <w14:textFill>
            <w14:solidFill>
              <w14:schemeClr w14:val="tx1"/>
            </w14:solidFill>
          </w14:textFill>
        </w:rPr>
        <w:t>8.2 干泥再生处理</w:t>
      </w:r>
      <w:bookmarkEnd w:id="109"/>
    </w:p>
    <w:p w14:paraId="1B5670B9">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8.2.</w:t>
      </w:r>
      <w:r>
        <w:rPr>
          <w:rFonts w:ascii="Times New Roman" w:hAnsi="Times New Roman" w:eastAsia="仿宋_GB2312" w:cs="Times New Roman"/>
          <w:b/>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工程泥浆经脱水、固化处理后，泥饼可用作回填、场地覆盖或制备再生产品。</w:t>
      </w:r>
    </w:p>
    <w:p w14:paraId="5E2F3209">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8.2.2</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工程泥浆经过处理后直接或改良后用作种植土和草坪土，其质量应符合现行业标准《绿色种植土壤》C</w:t>
      </w:r>
      <w:r>
        <w:rPr>
          <w:rFonts w:ascii="Times New Roman" w:hAnsi="Times New Roman" w:eastAsia="仿宋_GB2312" w:cs="Times New Roman"/>
          <w:color w:val="000000" w:themeColor="text1"/>
          <w:sz w:val="24"/>
          <w:szCs w:val="24"/>
          <w14:textFill>
            <w14:solidFill>
              <w14:schemeClr w14:val="tx1"/>
            </w14:solidFill>
          </w14:textFill>
        </w:rPr>
        <w:t>J/T 340</w:t>
      </w:r>
      <w:r>
        <w:rPr>
          <w:rFonts w:hint="eastAsia" w:ascii="Times New Roman" w:hAnsi="Times New Roman" w:eastAsia="仿宋_GB2312" w:cs="Times New Roman"/>
          <w:color w:val="000000" w:themeColor="text1"/>
          <w:sz w:val="24"/>
          <w:szCs w:val="24"/>
          <w14:textFill>
            <w14:solidFill>
              <w14:schemeClr w14:val="tx1"/>
            </w14:solidFill>
          </w14:textFill>
        </w:rPr>
        <w:t>的规定。</w:t>
      </w:r>
    </w:p>
    <w:p w14:paraId="539F7263">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8.2.</w:t>
      </w:r>
      <w:r>
        <w:rPr>
          <w:rFonts w:ascii="Times New Roman" w:hAnsi="Times New Roman" w:eastAsia="仿宋_GB2312" w:cs="Times New Roman"/>
          <w:b/>
          <w:color w:val="000000" w:themeColor="text1"/>
          <w:sz w:val="24"/>
          <w:szCs w:val="24"/>
          <w14:textFill>
            <w14:solidFill>
              <w14:schemeClr w14:val="tx1"/>
            </w14:solidFill>
          </w14:textFill>
        </w:rPr>
        <w:t>3</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不同土层形成的工程泥浆，宜分类处置。处置前应分析得出泥浆成分、含水率、含砂率、失水率、酸碱度等指标。</w:t>
      </w:r>
    </w:p>
    <w:p w14:paraId="26F4281E">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8.2.</w:t>
      </w:r>
      <w:r>
        <w:rPr>
          <w:rFonts w:ascii="Times New Roman" w:hAnsi="Times New Roman" w:eastAsia="仿宋_GB2312" w:cs="Times New Roman"/>
          <w:b/>
          <w:color w:val="000000" w:themeColor="text1"/>
          <w:sz w:val="24"/>
          <w:szCs w:val="24"/>
          <w14:textFill>
            <w14:solidFill>
              <w14:schemeClr w14:val="tx1"/>
            </w14:solidFill>
          </w14:textFill>
        </w:rPr>
        <w:t>4</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工程泥浆处理工艺应符合以下要求：</w:t>
      </w:r>
    </w:p>
    <w:p w14:paraId="7FB3CCCE">
      <w:pPr>
        <w:spacing w:line="360" w:lineRule="auto"/>
        <w:ind w:firstLine="424" w:firstLineChars="177"/>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1.</w:t>
      </w:r>
      <w:r>
        <w:rPr>
          <w:rFonts w:hint="eastAsia" w:ascii="Times New Roman" w:hAnsi="Times New Roman" w:eastAsia="仿宋_GB2312" w:cs="Times New Roman"/>
          <w:color w:val="000000" w:themeColor="text1"/>
          <w:sz w:val="24"/>
          <w:szCs w:val="24"/>
          <w14:textFill>
            <w14:solidFill>
              <w14:schemeClr w14:val="tx1"/>
            </w14:solidFill>
          </w14:textFill>
        </w:rPr>
        <w:t xml:space="preserve"> 粉土、粉砂等土层形成的工程泥浆，含固率较高时，宜先进行渣浆分离处理，分离泥浆中的渣土；</w:t>
      </w:r>
    </w:p>
    <w:p w14:paraId="2FC4E6BC">
      <w:pPr>
        <w:spacing w:line="360" w:lineRule="auto"/>
        <w:ind w:firstLine="424" w:firstLineChars="177"/>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2.</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根据泥浆的浓度、成分，可添加适量的絮凝剂等化学药剂。泥浆脱水固化的处理过程中不允许加入或产生《国家危险废物名录》中列出的或《危险废物鉴别标准毒性物质含量鉴别》G</w:t>
      </w:r>
      <w:r>
        <w:rPr>
          <w:rFonts w:ascii="Times New Roman" w:hAnsi="Times New Roman" w:eastAsia="仿宋_GB2312" w:cs="Times New Roman"/>
          <w:color w:val="000000" w:themeColor="text1"/>
          <w:sz w:val="24"/>
          <w:szCs w:val="24"/>
          <w14:textFill>
            <w14:solidFill>
              <w14:schemeClr w14:val="tx1"/>
            </w14:solidFill>
          </w14:textFill>
        </w:rPr>
        <w:t>B 5085.6</w:t>
      </w:r>
      <w:r>
        <w:rPr>
          <w:rFonts w:hint="eastAsia" w:ascii="Times New Roman" w:hAnsi="Times New Roman" w:eastAsia="仿宋_GB2312" w:cs="Times New Roman"/>
          <w:color w:val="000000" w:themeColor="text1"/>
          <w:sz w:val="24"/>
          <w:szCs w:val="24"/>
          <w14:textFill>
            <w14:solidFill>
              <w14:schemeClr w14:val="tx1"/>
            </w14:solidFill>
          </w14:textFill>
        </w:rPr>
        <w:t>等标准中规定的危险物质；</w:t>
      </w:r>
    </w:p>
    <w:p w14:paraId="2FD4835A">
      <w:pPr>
        <w:spacing w:line="360" w:lineRule="auto"/>
        <w:ind w:firstLine="424" w:firstLineChars="177"/>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根据工程项目现场条件、泥浆种类等要素，采用合适的固化、脱水技术；</w:t>
      </w:r>
    </w:p>
    <w:p w14:paraId="06BFF15C">
      <w:pPr>
        <w:spacing w:line="360" w:lineRule="auto"/>
        <w:ind w:firstLine="424" w:firstLineChars="177"/>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4.</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工程现场应进行工程泥浆资源化利用。工程现场进行固化脱水处理时，需按标准布置收集管网、沉淀池、固化处理站等设施及泥饼堆料场；</w:t>
      </w:r>
    </w:p>
    <w:p w14:paraId="0C9B0BD9">
      <w:pPr>
        <w:spacing w:line="360" w:lineRule="auto"/>
        <w:ind w:firstLine="424" w:firstLineChars="177"/>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5.</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工程泥浆原地或集中处理时，应配套合适高效的泥浆处理设备，处理设备应符合节能环保要求。现场应采取措施做好设备噪声降噪工作，脱水过程中的清水需妥善储存方便循环利用，清水外排时应达到《城镇污水处理厂污染物排放标准》GB</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18918排放标准。</w:t>
      </w:r>
    </w:p>
    <w:p w14:paraId="33224ADD">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8.2.5</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工程泥浆处理后形成的泥饼，应进行对应用途的有害物质检测。检测合格或无害化处理后予以再生利用：</w:t>
      </w:r>
    </w:p>
    <w:p w14:paraId="459EE19E">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可用于生产再生建材产品；</w:t>
      </w:r>
    </w:p>
    <w:p w14:paraId="7B42425C">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 xml:space="preserve">   2. </w:t>
      </w:r>
      <w:r>
        <w:rPr>
          <w:rFonts w:hint="eastAsia" w:ascii="Times New Roman" w:hAnsi="Times New Roman" w:eastAsia="仿宋_GB2312" w:cs="Times New Roman"/>
          <w:color w:val="000000" w:themeColor="text1"/>
          <w:sz w:val="24"/>
          <w:szCs w:val="24"/>
          <w14:textFill>
            <w14:solidFill>
              <w14:schemeClr w14:val="tx1"/>
            </w14:solidFill>
          </w14:textFill>
        </w:rPr>
        <w:t>可用于回填或覆盖用土。</w:t>
      </w:r>
    </w:p>
    <w:p w14:paraId="37F8CD11">
      <w:pPr>
        <w:pStyle w:val="4"/>
        <w:spacing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110" w:name="_Toc25876"/>
      <w:r>
        <w:rPr>
          <w:rFonts w:hint="eastAsia" w:ascii="Times New Roman" w:hAnsi="Times New Roman" w:cs="Times New Roman"/>
          <w:color w:val="000000" w:themeColor="text1"/>
          <w:sz w:val="28"/>
          <w:szCs w:val="28"/>
          <w14:textFill>
            <w14:solidFill>
              <w14:schemeClr w14:val="tx1"/>
            </w14:solidFill>
          </w14:textFill>
        </w:rPr>
        <w:t>8.3 砂土再生处理</w:t>
      </w:r>
      <w:bookmarkEnd w:id="110"/>
    </w:p>
    <w:p w14:paraId="5EDFD293">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8.3.</w:t>
      </w:r>
      <w:r>
        <w:rPr>
          <w:rFonts w:ascii="Times New Roman" w:hAnsi="Times New Roman" w:eastAsia="仿宋_GB2312" w:cs="Times New Roman"/>
          <w:b/>
          <w:color w:val="000000" w:themeColor="text1"/>
          <w:sz w:val="24"/>
          <w:szCs w:val="24"/>
          <w14:textFill>
            <w14:solidFill>
              <w14:schemeClr w14:val="tx1"/>
            </w14:solidFill>
          </w14:textFill>
        </w:rPr>
        <w:t>1</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工程泥浆筛分后形成的砂、石骨料，其性能符合现行国家标准《混凝土用再生粗骨料》G</w:t>
      </w:r>
      <w:r>
        <w:rPr>
          <w:rFonts w:ascii="Times New Roman" w:hAnsi="Times New Roman" w:eastAsia="仿宋_GB2312" w:cs="Times New Roman"/>
          <w:color w:val="000000" w:themeColor="text1"/>
          <w:sz w:val="24"/>
          <w:szCs w:val="24"/>
          <w14:textFill>
            <w14:solidFill>
              <w14:schemeClr w14:val="tx1"/>
            </w14:solidFill>
          </w14:textFill>
        </w:rPr>
        <w:t>B/T 25177</w:t>
      </w:r>
      <w:r>
        <w:rPr>
          <w:rFonts w:hint="eastAsia" w:ascii="Times New Roman" w:hAnsi="Times New Roman" w:eastAsia="仿宋_GB2312" w:cs="Times New Roman"/>
          <w:color w:val="000000" w:themeColor="text1"/>
          <w:sz w:val="24"/>
          <w:szCs w:val="24"/>
          <w14:textFill>
            <w14:solidFill>
              <w14:schemeClr w14:val="tx1"/>
            </w14:solidFill>
          </w14:textFill>
        </w:rPr>
        <w:t>、</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混凝土和砂浆用再生细骨料》</w:t>
      </w:r>
      <w:r>
        <w:rPr>
          <w:rFonts w:ascii="Times New Roman" w:hAnsi="Times New Roman" w:eastAsia="仿宋_GB2312" w:cs="Times New Roman"/>
          <w:color w:val="000000" w:themeColor="text1"/>
          <w:sz w:val="24"/>
          <w:szCs w:val="24"/>
          <w14:textFill>
            <w14:solidFill>
              <w14:schemeClr w14:val="tx1"/>
            </w14:solidFill>
          </w14:textFill>
        </w:rPr>
        <w:t>GB/T 25176</w:t>
      </w:r>
      <w:r>
        <w:rPr>
          <w:rFonts w:hint="eastAsia" w:ascii="Times New Roman" w:hAnsi="Times New Roman" w:eastAsia="仿宋_GB2312" w:cs="Times New Roman"/>
          <w:color w:val="000000" w:themeColor="text1"/>
          <w:sz w:val="24"/>
          <w:szCs w:val="24"/>
          <w14:textFill>
            <w14:solidFill>
              <w14:schemeClr w14:val="tx1"/>
            </w14:solidFill>
          </w14:textFill>
        </w:rPr>
        <w:t>规定时，可用作再生粗、细骨料。</w:t>
      </w:r>
    </w:p>
    <w:p w14:paraId="4B9E4398">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8.3.2</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工程渣土用作生产再生骨料时，应符合下列规定：</w:t>
      </w:r>
    </w:p>
    <w:p w14:paraId="1193F12B">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  1. </w:t>
      </w:r>
      <w:r>
        <w:rPr>
          <w:rFonts w:hint="eastAsia" w:ascii="Times New Roman" w:hAnsi="Times New Roman" w:eastAsia="仿宋_GB2312" w:cs="Times New Roman"/>
          <w:color w:val="000000" w:themeColor="text1"/>
          <w:sz w:val="24"/>
          <w:szCs w:val="24"/>
          <w14:textFill>
            <w14:solidFill>
              <w14:schemeClr w14:val="tx1"/>
            </w14:solidFill>
          </w14:textFill>
        </w:rPr>
        <w:t>粉砂、砂土，经筛选、清洗工艺除泥后，其性能满足现行国家标准《混凝土和砂浆用再生细骨料》G</w:t>
      </w:r>
      <w:r>
        <w:rPr>
          <w:rFonts w:ascii="Times New Roman" w:hAnsi="Times New Roman" w:eastAsia="仿宋_GB2312" w:cs="Times New Roman"/>
          <w:color w:val="000000" w:themeColor="text1"/>
          <w:sz w:val="24"/>
          <w:szCs w:val="24"/>
          <w14:textFill>
            <w14:solidFill>
              <w14:schemeClr w14:val="tx1"/>
            </w14:solidFill>
          </w14:textFill>
        </w:rPr>
        <w:t>B/T 25176</w:t>
      </w:r>
      <w:r>
        <w:rPr>
          <w:rFonts w:hint="eastAsia" w:ascii="Times New Roman" w:hAnsi="Times New Roman" w:eastAsia="仿宋_GB2312" w:cs="Times New Roman"/>
          <w:color w:val="000000" w:themeColor="text1"/>
          <w:sz w:val="24"/>
          <w:szCs w:val="24"/>
          <w14:textFill>
            <w14:solidFill>
              <w14:schemeClr w14:val="tx1"/>
            </w14:solidFill>
          </w14:textFill>
        </w:rPr>
        <w:t>的规定时，可用作制备混凝土、砂浆的细骨料；</w:t>
      </w:r>
    </w:p>
    <w:p w14:paraId="7397B504">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  2. </w:t>
      </w:r>
      <w:r>
        <w:rPr>
          <w:rFonts w:hint="eastAsia" w:ascii="Times New Roman" w:hAnsi="Times New Roman" w:eastAsia="仿宋_GB2312" w:cs="Times New Roman"/>
          <w:color w:val="000000" w:themeColor="text1"/>
          <w:sz w:val="24"/>
          <w:szCs w:val="24"/>
          <w14:textFill>
            <w14:solidFill>
              <w14:schemeClr w14:val="tx1"/>
            </w14:solidFill>
          </w14:textFill>
        </w:rPr>
        <w:t>砾石、卵石及岩土等经除泥、破碎、筛选后，其性能满足现行国家标准《混凝土再生粗骨料》G</w:t>
      </w:r>
      <w:r>
        <w:rPr>
          <w:rFonts w:ascii="Times New Roman" w:hAnsi="Times New Roman" w:eastAsia="仿宋_GB2312" w:cs="Times New Roman"/>
          <w:color w:val="000000" w:themeColor="text1"/>
          <w:sz w:val="24"/>
          <w:szCs w:val="24"/>
          <w14:textFill>
            <w14:solidFill>
              <w14:schemeClr w14:val="tx1"/>
            </w14:solidFill>
          </w14:textFill>
        </w:rPr>
        <w:t>B/T 25177</w:t>
      </w:r>
      <w:r>
        <w:rPr>
          <w:rFonts w:hint="eastAsia" w:ascii="Times New Roman" w:hAnsi="Times New Roman" w:eastAsia="仿宋_GB2312" w:cs="Times New Roman"/>
          <w:color w:val="000000" w:themeColor="text1"/>
          <w:sz w:val="24"/>
          <w:szCs w:val="24"/>
          <w14:textFill>
            <w14:solidFill>
              <w14:schemeClr w14:val="tx1"/>
            </w14:solidFill>
          </w14:textFill>
        </w:rPr>
        <w:t>的规定时，可用作制备混凝土的粗骨料；</w:t>
      </w:r>
    </w:p>
    <w:p w14:paraId="1E0855B6">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  3. </w:t>
      </w:r>
      <w:r>
        <w:rPr>
          <w:rFonts w:hint="eastAsia" w:ascii="Times New Roman" w:hAnsi="Times New Roman" w:eastAsia="仿宋_GB2312" w:cs="Times New Roman"/>
          <w:color w:val="000000" w:themeColor="text1"/>
          <w:sz w:val="24"/>
          <w:szCs w:val="24"/>
          <w14:textFill>
            <w14:solidFill>
              <w14:schemeClr w14:val="tx1"/>
            </w14:solidFill>
          </w14:textFill>
        </w:rPr>
        <w:t>非单一土性的工程渣土，经破碎、筛分、分离、清洗工艺处置后，其性能满足第8</w:t>
      </w:r>
      <w:r>
        <w:rPr>
          <w:rFonts w:ascii="Times New Roman" w:hAnsi="Times New Roman" w:eastAsia="仿宋_GB2312" w:cs="Times New Roman"/>
          <w:color w:val="000000" w:themeColor="text1"/>
          <w:sz w:val="24"/>
          <w:szCs w:val="24"/>
          <w14:textFill>
            <w14:solidFill>
              <w14:schemeClr w14:val="tx1"/>
            </w14:solidFill>
          </w14:textFill>
        </w:rPr>
        <w:t>.3.2条</w:t>
      </w:r>
      <w:r>
        <w:rPr>
          <w:rFonts w:hint="eastAsia" w:ascii="Times New Roman" w:hAnsi="Times New Roman" w:eastAsia="仿宋_GB2312" w:cs="Times New Roman"/>
          <w:color w:val="000000" w:themeColor="text1"/>
          <w:sz w:val="24"/>
          <w:szCs w:val="24"/>
          <w14:textFill>
            <w14:solidFill>
              <w14:schemeClr w14:val="tx1"/>
            </w14:solidFill>
          </w14:textFill>
        </w:rPr>
        <w:t>第1、2款的规定后，可用作制备混凝土、砂浆的粗骨料和细骨料。</w:t>
      </w:r>
    </w:p>
    <w:p w14:paraId="40CCF950">
      <w:pPr>
        <w:pStyle w:val="4"/>
        <w:spacing w:beforeLines="0" w:after="156" w:afterLines="50"/>
        <w:jc w:val="center"/>
        <w:rPr>
          <w:rFonts w:ascii="Times New Roman" w:hAnsi="Times New Roman" w:cs="Times New Roman"/>
          <w:color w:val="000000" w:themeColor="text1"/>
          <w:sz w:val="28"/>
          <w:szCs w:val="28"/>
          <w14:textFill>
            <w14:solidFill>
              <w14:schemeClr w14:val="tx1"/>
            </w14:solidFill>
          </w14:textFill>
        </w:rPr>
      </w:pPr>
      <w:bookmarkStart w:id="111" w:name="_Toc29278"/>
      <w:r>
        <w:rPr>
          <w:rFonts w:hint="eastAsia" w:ascii="Times New Roman" w:hAnsi="Times New Roman" w:cs="Times New Roman"/>
          <w:color w:val="000000" w:themeColor="text1"/>
          <w:sz w:val="28"/>
          <w:szCs w:val="28"/>
          <w14:textFill>
            <w14:solidFill>
              <w14:schemeClr w14:val="tx1"/>
            </w14:solidFill>
          </w14:textFill>
        </w:rPr>
        <w:t>8.4 清液再利用</w:t>
      </w:r>
      <w:bookmarkEnd w:id="111"/>
    </w:p>
    <w:p w14:paraId="128555DF">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8.4.1</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工程泥浆脱水</w:t>
      </w:r>
      <w:r>
        <w:rPr>
          <w:rFonts w:ascii="Times New Roman" w:hAnsi="Times New Roman" w:eastAsia="仿宋_GB2312" w:cs="Times New Roman"/>
          <w:color w:val="000000" w:themeColor="text1"/>
          <w:sz w:val="24"/>
          <w:szCs w:val="24"/>
          <w14:textFill>
            <w14:solidFill>
              <w14:schemeClr w14:val="tx1"/>
            </w14:solidFill>
          </w14:textFill>
        </w:rPr>
        <w:t>产生的清液</w:t>
      </w:r>
      <w:r>
        <w:rPr>
          <w:rFonts w:hint="eastAsia" w:ascii="Times New Roman" w:hAnsi="Times New Roman" w:eastAsia="仿宋_GB2312" w:cs="Times New Roman"/>
          <w:color w:val="000000" w:themeColor="text1"/>
          <w:sz w:val="24"/>
          <w:szCs w:val="24"/>
          <w14:textFill>
            <w14:solidFill>
              <w14:schemeClr w14:val="tx1"/>
            </w14:solidFill>
          </w14:textFill>
        </w:rPr>
        <w:t>不应排入污水管网，应经再生处理达到再生利用水质标准后</w:t>
      </w:r>
      <w:r>
        <w:rPr>
          <w:rFonts w:ascii="Times New Roman" w:hAnsi="Times New Roman" w:eastAsia="仿宋_GB2312" w:cs="Times New Roman"/>
          <w:color w:val="000000" w:themeColor="text1"/>
          <w:sz w:val="24"/>
          <w:szCs w:val="24"/>
          <w14:textFill>
            <w14:solidFill>
              <w14:schemeClr w14:val="tx1"/>
            </w14:solidFill>
          </w14:textFill>
        </w:rPr>
        <w:t>循环利用</w:t>
      </w:r>
      <w:r>
        <w:rPr>
          <w:rFonts w:hint="eastAsia" w:ascii="Times New Roman" w:hAnsi="Times New Roman" w:eastAsia="仿宋_GB2312" w:cs="Times New Roman"/>
          <w:color w:val="000000" w:themeColor="text1"/>
          <w:sz w:val="24"/>
          <w:szCs w:val="24"/>
          <w14:textFill>
            <w14:solidFill>
              <w14:schemeClr w14:val="tx1"/>
            </w14:solidFill>
          </w14:textFill>
        </w:rPr>
        <w:t>。</w:t>
      </w:r>
    </w:p>
    <w:p w14:paraId="203BFD64">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8.4.</w:t>
      </w:r>
      <w:r>
        <w:rPr>
          <w:rFonts w:ascii="Times New Roman" w:hAnsi="Times New Roman" w:eastAsia="仿宋_GB2312" w:cs="Times New Roman"/>
          <w:b/>
          <w:color w:val="000000" w:themeColor="text1"/>
          <w:sz w:val="24"/>
          <w:szCs w:val="24"/>
          <w14:textFill>
            <w14:solidFill>
              <w14:schemeClr w14:val="tx1"/>
            </w14:solidFill>
          </w14:textFill>
        </w:rPr>
        <w:t>2</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清液经处理后</w:t>
      </w:r>
      <w:r>
        <w:rPr>
          <w:rFonts w:ascii="Times New Roman" w:hAnsi="Times New Roman" w:eastAsia="仿宋_GB2312" w:cs="Times New Roman"/>
          <w:color w:val="000000" w:themeColor="text1"/>
          <w:sz w:val="24"/>
          <w:szCs w:val="24"/>
          <w14:textFill>
            <w14:solidFill>
              <w14:schemeClr w14:val="tx1"/>
            </w14:solidFill>
          </w14:textFill>
        </w:rPr>
        <w:t>用于冲厕、车辆冲洗、道路清扫、绿化、消防和建筑施工</w:t>
      </w:r>
      <w:r>
        <w:rPr>
          <w:rFonts w:hint="eastAsia" w:ascii="Times New Roman" w:hAnsi="Times New Roman" w:eastAsia="仿宋_GB2312" w:cs="Times New Roman"/>
          <w:color w:val="000000" w:themeColor="text1"/>
          <w:sz w:val="24"/>
          <w:szCs w:val="24"/>
          <w14:textFill>
            <w14:solidFill>
              <w14:schemeClr w14:val="tx1"/>
            </w14:solidFill>
          </w14:textFill>
        </w:rPr>
        <w:t>等</w:t>
      </w:r>
      <w:r>
        <w:rPr>
          <w:rFonts w:ascii="Times New Roman" w:hAnsi="Times New Roman" w:eastAsia="仿宋_GB2312" w:cs="Times New Roman"/>
          <w:color w:val="000000" w:themeColor="text1"/>
          <w:sz w:val="24"/>
          <w:szCs w:val="24"/>
          <w14:textFill>
            <w14:solidFill>
              <w14:schemeClr w14:val="tx1"/>
            </w14:solidFill>
          </w14:textFill>
        </w:rPr>
        <w:t>现场杂用水的，应</w:t>
      </w:r>
      <w:r>
        <w:rPr>
          <w:rFonts w:hint="eastAsia" w:ascii="Times New Roman" w:hAnsi="Times New Roman" w:eastAsia="仿宋_GB2312" w:cs="Times New Roman"/>
          <w:color w:val="000000" w:themeColor="text1"/>
          <w:sz w:val="24"/>
          <w:szCs w:val="24"/>
          <w14:textFill>
            <w14:solidFill>
              <w14:schemeClr w14:val="tx1"/>
            </w14:solidFill>
          </w14:textFill>
        </w:rPr>
        <w:t>对相关水质指标进行检测，并应符合《城市污水再生利用 杂用水水质》GB/T</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18920-2020中表1的限值</w:t>
      </w:r>
      <w:r>
        <w:rPr>
          <w:rFonts w:ascii="Times New Roman" w:hAnsi="Times New Roman" w:eastAsia="仿宋_GB2312" w:cs="Times New Roman"/>
          <w:color w:val="000000" w:themeColor="text1"/>
          <w:sz w:val="24"/>
          <w:szCs w:val="24"/>
          <w14:textFill>
            <w14:solidFill>
              <w14:schemeClr w14:val="tx1"/>
            </w14:solidFill>
          </w14:textFill>
        </w:rPr>
        <w:t>要求。</w:t>
      </w:r>
    </w:p>
    <w:p w14:paraId="3874B3B4">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8.4.</w:t>
      </w:r>
      <w:r>
        <w:rPr>
          <w:rFonts w:ascii="Times New Roman" w:hAnsi="Times New Roman" w:eastAsia="仿宋_GB2312" w:cs="Times New Roman"/>
          <w:b/>
          <w:color w:val="000000" w:themeColor="text1"/>
          <w:sz w:val="24"/>
          <w:szCs w:val="24"/>
          <w14:textFill>
            <w14:solidFill>
              <w14:schemeClr w14:val="tx1"/>
            </w14:solidFill>
          </w14:textFill>
        </w:rPr>
        <w:t>3</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清液经处理后</w:t>
      </w:r>
      <w:r>
        <w:rPr>
          <w:rFonts w:ascii="Times New Roman" w:hAnsi="Times New Roman" w:eastAsia="仿宋_GB2312" w:cs="Times New Roman"/>
          <w:color w:val="000000" w:themeColor="text1"/>
          <w:sz w:val="24"/>
          <w:szCs w:val="24"/>
          <w14:textFill>
            <w14:solidFill>
              <w14:schemeClr w14:val="tx1"/>
            </w14:solidFill>
          </w14:textFill>
        </w:rPr>
        <w:t>排入雨水管网或直接排入河道、湖泊和水景</w:t>
      </w:r>
      <w:r>
        <w:rPr>
          <w:rFonts w:hint="eastAsia" w:ascii="Times New Roman" w:hAnsi="Times New Roman" w:eastAsia="仿宋_GB2312" w:cs="Times New Roman"/>
          <w:color w:val="000000" w:themeColor="text1"/>
          <w:sz w:val="24"/>
          <w:szCs w:val="24"/>
          <w14:textFill>
            <w14:solidFill>
              <w14:schemeClr w14:val="tx1"/>
            </w14:solidFill>
          </w14:textFill>
        </w:rPr>
        <w:t>等</w:t>
      </w:r>
      <w:r>
        <w:rPr>
          <w:rFonts w:ascii="Times New Roman" w:hAnsi="Times New Roman" w:eastAsia="仿宋_GB2312" w:cs="Times New Roman"/>
          <w:color w:val="000000" w:themeColor="text1"/>
          <w:sz w:val="24"/>
          <w:szCs w:val="24"/>
          <w14:textFill>
            <w14:solidFill>
              <w14:schemeClr w14:val="tx1"/>
            </w14:solidFill>
          </w14:textFill>
        </w:rPr>
        <w:t>用于景观环境用水的，应</w:t>
      </w:r>
      <w:r>
        <w:rPr>
          <w:rFonts w:hint="eastAsia" w:ascii="Times New Roman" w:hAnsi="Times New Roman" w:eastAsia="仿宋_GB2312" w:cs="Times New Roman"/>
          <w:color w:val="000000" w:themeColor="text1"/>
          <w:sz w:val="24"/>
          <w:szCs w:val="24"/>
          <w14:textFill>
            <w14:solidFill>
              <w14:schemeClr w14:val="tx1"/>
            </w14:solidFill>
          </w14:textFill>
        </w:rPr>
        <w:t>对相关水质指标进行检测，并应符合《城市污水再生利用 景观环境用水水质》GB/T</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18921-2019中表1的限值</w:t>
      </w:r>
      <w:r>
        <w:rPr>
          <w:rFonts w:ascii="Times New Roman" w:hAnsi="Times New Roman" w:eastAsia="仿宋_GB2312" w:cs="Times New Roman"/>
          <w:color w:val="000000" w:themeColor="text1"/>
          <w:sz w:val="24"/>
          <w:szCs w:val="24"/>
          <w14:textFill>
            <w14:solidFill>
              <w14:schemeClr w14:val="tx1"/>
            </w14:solidFill>
          </w14:textFill>
        </w:rPr>
        <w:t>要求。</w:t>
      </w:r>
    </w:p>
    <w:p w14:paraId="701EDA14">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6AA11B5D">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41A3A06B">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3D4DF659">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72F08720">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107CCBD1">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1EA3C7B3">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0C30EF67">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4C5CFFEF">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26D35289">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14121C07">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15C9EC3F">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7E78ED19">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002CCB7A">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5186B04E">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372687E4">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5C37F8BD">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6A4E4C5D">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58D48697">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6C3C43E4">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5F057764">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6FC21104">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0313B08E">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2568F2DB">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78BCF46E">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284B0812">
      <w:pPr>
        <w:pStyle w:val="2"/>
        <w:jc w:val="center"/>
        <w:rPr>
          <w:rFonts w:ascii="Times New Roman" w:hAnsi="Times New Roman" w:cs="Times New Roman"/>
          <w:color w:val="000000" w:themeColor="text1"/>
          <w:sz w:val="32"/>
          <w:szCs w:val="32"/>
          <w14:textFill>
            <w14:solidFill>
              <w14:schemeClr w14:val="tx1"/>
            </w14:solidFill>
          </w14:textFill>
        </w:rPr>
      </w:pPr>
      <w:bookmarkStart w:id="112" w:name="_Toc29826"/>
      <w:r>
        <w:rPr>
          <w:rFonts w:ascii="Times New Roman" w:hAnsi="Times New Roman" w:cs="Times New Roman"/>
          <w:color w:val="000000" w:themeColor="text1"/>
          <w:sz w:val="32"/>
          <w:szCs w:val="32"/>
          <w14:textFill>
            <w14:solidFill>
              <w14:schemeClr w14:val="tx1"/>
            </w14:solidFill>
          </w14:textFill>
        </w:rPr>
        <w:t xml:space="preserve">附录A  </w:t>
      </w:r>
      <w:r>
        <w:rPr>
          <w:rFonts w:hint="eastAsia" w:ascii="Times New Roman" w:hAnsi="Times New Roman" w:cs="Times New Roman"/>
          <w:color w:val="000000" w:themeColor="text1"/>
          <w:sz w:val="32"/>
          <w:szCs w:val="32"/>
          <w14:textFill>
            <w14:solidFill>
              <w14:schemeClr w14:val="tx1"/>
            </w14:solidFill>
          </w14:textFill>
        </w:rPr>
        <w:t xml:space="preserve">  </w:t>
      </w:r>
      <w:r>
        <w:rPr>
          <w:rFonts w:hint="eastAsia" w:ascii="Times New Roman" w:hAnsi="Times New Roman" w:cs="Times New Roman"/>
          <w:color w:val="000000" w:themeColor="text1"/>
          <w:sz w:val="32"/>
          <w:szCs w:val="32"/>
          <w:u w:val="single"/>
          <w14:textFill>
            <w14:solidFill>
              <w14:schemeClr w14:val="tx1"/>
            </w14:solidFill>
          </w14:textFill>
        </w:rPr>
        <w:t xml:space="preserve">          </w:t>
      </w:r>
      <w:r>
        <w:rPr>
          <w:rFonts w:hint="eastAsia" w:ascii="Times New Roman" w:hAnsi="Times New Roman" w:cs="Times New Roman"/>
          <w:color w:val="000000" w:themeColor="text1"/>
          <w:sz w:val="32"/>
          <w:szCs w:val="32"/>
          <w14:textFill>
            <w14:solidFill>
              <w14:schemeClr w14:val="tx1"/>
            </w14:solidFill>
          </w14:textFill>
        </w:rPr>
        <w:t>设备</w:t>
      </w:r>
      <w:r>
        <w:rPr>
          <w:rFonts w:ascii="Times New Roman" w:hAnsi="Times New Roman" w:cs="Times New Roman"/>
          <w:color w:val="000000" w:themeColor="text1"/>
          <w:sz w:val="32"/>
          <w:szCs w:val="32"/>
          <w14:textFill>
            <w14:solidFill>
              <w14:schemeClr w14:val="tx1"/>
            </w14:solidFill>
          </w14:textFill>
        </w:rPr>
        <w:t>日常维护</w:t>
      </w:r>
      <w:r>
        <w:rPr>
          <w:rFonts w:hint="eastAsia" w:ascii="Times New Roman" w:hAnsi="Times New Roman" w:cs="Times New Roman"/>
          <w:color w:val="000000" w:themeColor="text1"/>
          <w:sz w:val="32"/>
          <w:szCs w:val="32"/>
          <w14:textFill>
            <w14:solidFill>
              <w14:schemeClr w14:val="tx1"/>
            </w14:solidFill>
          </w14:textFill>
        </w:rPr>
        <w:t>保养</w:t>
      </w:r>
      <w:r>
        <w:rPr>
          <w:rFonts w:ascii="Times New Roman" w:hAnsi="Times New Roman" w:cs="Times New Roman"/>
          <w:color w:val="000000" w:themeColor="text1"/>
          <w:sz w:val="32"/>
          <w:szCs w:val="32"/>
          <w14:textFill>
            <w14:solidFill>
              <w14:schemeClr w14:val="tx1"/>
            </w14:solidFill>
          </w14:textFill>
        </w:rPr>
        <w:t>记录表</w:t>
      </w:r>
      <w:bookmarkEnd w:id="81"/>
      <w:bookmarkEnd w:id="82"/>
      <w:bookmarkEnd w:id="112"/>
    </w:p>
    <w:p w14:paraId="6181604C">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Style w:val="45"/>
          <w:rFonts w:hint="default" w:ascii="Times New Roman" w:hAnsi="Times New Roman" w:cs="Times New Roman"/>
          <w:color w:val="000000" w:themeColor="text1"/>
          <w:lang w:bidi="ar"/>
          <w14:textFill>
            <w14:solidFill>
              <w14:schemeClr w14:val="tx1"/>
            </w14:solidFill>
          </w14:textFill>
        </w:rPr>
        <w:t xml:space="preserve">                                                                     年   月   日</w:t>
      </w:r>
    </w:p>
    <w:tbl>
      <w:tblPr>
        <w:tblStyle w:val="17"/>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064"/>
        <w:gridCol w:w="1064"/>
        <w:gridCol w:w="1064"/>
        <w:gridCol w:w="1065"/>
        <w:gridCol w:w="1065"/>
        <w:gridCol w:w="1065"/>
        <w:gridCol w:w="1065"/>
      </w:tblGrid>
      <w:tr w14:paraId="7F3EB0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3B582192">
            <w:pPr>
              <w:widowControl/>
              <w:ind w:firstLine="220" w:firstLineChars="10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日期</w:t>
            </w:r>
          </w:p>
        </w:tc>
        <w:tc>
          <w:tcPr>
            <w:tcW w:w="1064" w:type="dxa"/>
            <w:vAlign w:val="center"/>
          </w:tcPr>
          <w:p w14:paraId="3F0CAF56">
            <w:pPr>
              <w:widowControl/>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运行</w:t>
            </w:r>
          </w:p>
        </w:tc>
        <w:tc>
          <w:tcPr>
            <w:tcW w:w="1064" w:type="dxa"/>
            <w:vAlign w:val="center"/>
          </w:tcPr>
          <w:p w14:paraId="64AF5327">
            <w:pPr>
              <w:widowControl/>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设备状态</w:t>
            </w:r>
          </w:p>
        </w:tc>
        <w:tc>
          <w:tcPr>
            <w:tcW w:w="1064" w:type="dxa"/>
            <w:vAlign w:val="center"/>
          </w:tcPr>
          <w:p w14:paraId="3515E200">
            <w:pPr>
              <w:widowControl/>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加黄油点</w:t>
            </w:r>
          </w:p>
        </w:tc>
        <w:tc>
          <w:tcPr>
            <w:tcW w:w="1065" w:type="dxa"/>
            <w:vAlign w:val="center"/>
          </w:tcPr>
          <w:p w14:paraId="238BE3E2">
            <w:pPr>
              <w:widowControl/>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机油点</w:t>
            </w:r>
          </w:p>
        </w:tc>
        <w:tc>
          <w:tcPr>
            <w:tcW w:w="1065" w:type="dxa"/>
            <w:vAlign w:val="center"/>
          </w:tcPr>
          <w:p w14:paraId="48B20C53">
            <w:pPr>
              <w:widowControl/>
              <w:jc w:val="center"/>
              <w:textAlignment w:val="center"/>
              <w:rPr>
                <w:rFonts w:ascii="Times New Roman" w:hAnsi="Times New Roman" w:eastAsia="宋体" w:cs="Times New Roman"/>
                <w:color w:val="000000" w:themeColor="text1"/>
                <w:kern w:val="0"/>
                <w:sz w:val="22"/>
                <w:lang w:bidi="ar"/>
                <w14:textFill>
                  <w14:solidFill>
                    <w14:schemeClr w14:val="tx1"/>
                  </w14:solidFill>
                </w14:textFill>
              </w:rPr>
            </w:pPr>
            <w:r>
              <w:rPr>
                <w:rFonts w:hint="eastAsia" w:ascii="Times New Roman" w:hAnsi="Times New Roman" w:eastAsia="宋体" w:cs="Times New Roman"/>
                <w:color w:val="000000" w:themeColor="text1"/>
                <w:kern w:val="0"/>
                <w:sz w:val="22"/>
                <w:lang w:bidi="ar"/>
                <w14:textFill>
                  <w14:solidFill>
                    <w14:schemeClr w14:val="tx1"/>
                  </w14:solidFill>
                </w14:textFill>
              </w:rPr>
              <w:t>故障维修</w:t>
            </w:r>
          </w:p>
        </w:tc>
        <w:tc>
          <w:tcPr>
            <w:tcW w:w="1065" w:type="dxa"/>
            <w:vAlign w:val="center"/>
          </w:tcPr>
          <w:p w14:paraId="718FA0F8">
            <w:pPr>
              <w:widowControl/>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维护人</w:t>
            </w:r>
          </w:p>
        </w:tc>
        <w:tc>
          <w:tcPr>
            <w:tcW w:w="1065" w:type="dxa"/>
            <w:vAlign w:val="center"/>
          </w:tcPr>
          <w:p w14:paraId="2E1F3B9D">
            <w:pPr>
              <w:widowControl/>
              <w:jc w:val="center"/>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备注</w:t>
            </w:r>
          </w:p>
        </w:tc>
      </w:tr>
      <w:tr w14:paraId="22C9E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230DCBD9">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w:t>
            </w:r>
          </w:p>
        </w:tc>
        <w:tc>
          <w:tcPr>
            <w:tcW w:w="1064" w:type="dxa"/>
            <w:vAlign w:val="center"/>
          </w:tcPr>
          <w:p w14:paraId="63521162">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5E71B65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4B6DFEDA">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55D6CEB4">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CC4C39B">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1390E096">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380494B6">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720F1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370156C1">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w:t>
            </w:r>
          </w:p>
        </w:tc>
        <w:tc>
          <w:tcPr>
            <w:tcW w:w="1064" w:type="dxa"/>
            <w:vAlign w:val="center"/>
          </w:tcPr>
          <w:p w14:paraId="4969F3B1">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00B6B561">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7C59092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7EC1F35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71A23171">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764FA339">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6835C68E">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7C071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471A56E8">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3</w:t>
            </w:r>
          </w:p>
        </w:tc>
        <w:tc>
          <w:tcPr>
            <w:tcW w:w="1064" w:type="dxa"/>
            <w:vAlign w:val="center"/>
          </w:tcPr>
          <w:p w14:paraId="5884E39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7D1CD5FF">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564AA147">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081A149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6B937DC6">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144D0E3E">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6B2816FE">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56DEDF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3610CCA7">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4</w:t>
            </w:r>
          </w:p>
        </w:tc>
        <w:tc>
          <w:tcPr>
            <w:tcW w:w="1064" w:type="dxa"/>
            <w:vAlign w:val="center"/>
          </w:tcPr>
          <w:p w14:paraId="3D87E787">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21C9FD1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5CFFF78F">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62C9015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54463383">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433038E">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541C25B1">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11BF3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3F34EACA">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5</w:t>
            </w:r>
          </w:p>
        </w:tc>
        <w:tc>
          <w:tcPr>
            <w:tcW w:w="1064" w:type="dxa"/>
            <w:vAlign w:val="center"/>
          </w:tcPr>
          <w:p w14:paraId="6C202B09">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291FE87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4824E761">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4ACD5425">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4221FC76">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CDF1FB9">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06D0C26B">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69814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70B718F0">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6</w:t>
            </w:r>
          </w:p>
        </w:tc>
        <w:tc>
          <w:tcPr>
            <w:tcW w:w="1064" w:type="dxa"/>
            <w:vAlign w:val="center"/>
          </w:tcPr>
          <w:p w14:paraId="3B44B4B6">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55D577F7">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7968345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DADDABC">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01AD1706">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6858E18C">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34D1A3AF">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2BE69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1FF3D77A">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7</w:t>
            </w:r>
          </w:p>
        </w:tc>
        <w:tc>
          <w:tcPr>
            <w:tcW w:w="1064" w:type="dxa"/>
            <w:vAlign w:val="center"/>
          </w:tcPr>
          <w:p w14:paraId="689E1931">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14395DA5">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77CA4B8B">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6C11413">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582BEB0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7E53CDF">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05D071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45BA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493BF440">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8</w:t>
            </w:r>
          </w:p>
        </w:tc>
        <w:tc>
          <w:tcPr>
            <w:tcW w:w="1064" w:type="dxa"/>
            <w:vAlign w:val="center"/>
          </w:tcPr>
          <w:p w14:paraId="1C16258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18A968B5">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3622ACF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6B533974">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72D00548">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31679BF6">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6ED6E922">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47180A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24101010">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9</w:t>
            </w:r>
          </w:p>
        </w:tc>
        <w:tc>
          <w:tcPr>
            <w:tcW w:w="1064" w:type="dxa"/>
            <w:vAlign w:val="center"/>
          </w:tcPr>
          <w:p w14:paraId="1744F3B5">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4B461B94">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5B9CD8C7">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B35263B">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31087A67">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D4C9A82">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6ED045F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791CE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0062B1F1">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10</w:t>
            </w:r>
          </w:p>
        </w:tc>
        <w:tc>
          <w:tcPr>
            <w:tcW w:w="1064" w:type="dxa"/>
            <w:vAlign w:val="center"/>
          </w:tcPr>
          <w:p w14:paraId="655113C2">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726FF5EE">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4C3AAEBC">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024E4522">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0FBECCDF">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5C63E3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414E6F9E">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38456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651DAE9D">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11</w:t>
            </w:r>
          </w:p>
        </w:tc>
        <w:tc>
          <w:tcPr>
            <w:tcW w:w="1064" w:type="dxa"/>
            <w:vAlign w:val="center"/>
          </w:tcPr>
          <w:p w14:paraId="3EC09886">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7DA81E33">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359B7C58">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8FE1283">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3618FD9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77C44C35">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40AC97B9">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48A20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58B8A9C2">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12</w:t>
            </w:r>
          </w:p>
        </w:tc>
        <w:tc>
          <w:tcPr>
            <w:tcW w:w="1064" w:type="dxa"/>
            <w:vAlign w:val="center"/>
          </w:tcPr>
          <w:p w14:paraId="3F5552AA">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47511FC5">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0E3CA482">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477FBDD5">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0AA26D79">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144E6D5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1FC44BF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6F9A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0A0068BB">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13</w:t>
            </w:r>
          </w:p>
        </w:tc>
        <w:tc>
          <w:tcPr>
            <w:tcW w:w="1064" w:type="dxa"/>
            <w:vAlign w:val="center"/>
          </w:tcPr>
          <w:p w14:paraId="4CBE81C9">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4385CA2B">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7EA9BEC4">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51085BAA">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48B16957">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59230D9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30CE262A">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68B03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23FD13D2">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14</w:t>
            </w:r>
          </w:p>
        </w:tc>
        <w:tc>
          <w:tcPr>
            <w:tcW w:w="1064" w:type="dxa"/>
            <w:vAlign w:val="center"/>
          </w:tcPr>
          <w:p w14:paraId="3EEE1E4E">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500D66F5">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2D33AFEE">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32F0F8A8">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61800B89">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0847840E">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3AA1B52C">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7F08C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4BA02E8E">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15</w:t>
            </w:r>
          </w:p>
        </w:tc>
        <w:tc>
          <w:tcPr>
            <w:tcW w:w="1064" w:type="dxa"/>
            <w:vAlign w:val="center"/>
          </w:tcPr>
          <w:p w14:paraId="5B26DF97">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7D5C942B">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63AD4089">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0891BEFC">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5A587CA6">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0FB2C18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57B61321">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78D40D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0F7B95C1">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16</w:t>
            </w:r>
          </w:p>
        </w:tc>
        <w:tc>
          <w:tcPr>
            <w:tcW w:w="1064" w:type="dxa"/>
            <w:vAlign w:val="center"/>
          </w:tcPr>
          <w:p w14:paraId="132CCD2E">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38C81CC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7005BC1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70C989E">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947A0F8">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3BF70D15">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0FBDA0F2">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305D6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7A25196C">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17</w:t>
            </w:r>
          </w:p>
        </w:tc>
        <w:tc>
          <w:tcPr>
            <w:tcW w:w="1064" w:type="dxa"/>
            <w:vAlign w:val="center"/>
          </w:tcPr>
          <w:p w14:paraId="7C4D3659">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392AE6C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3DE3155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4BB5756E">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0B66CEDC">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021A95DB">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50F3B46B">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796F4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093D10F4">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18</w:t>
            </w:r>
          </w:p>
        </w:tc>
        <w:tc>
          <w:tcPr>
            <w:tcW w:w="1064" w:type="dxa"/>
            <w:vAlign w:val="center"/>
          </w:tcPr>
          <w:p w14:paraId="06C02102">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13BEFE54">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212FA3A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3BA4F31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420D80A8">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1B0D90B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727479B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0282F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3CA92085">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19</w:t>
            </w:r>
          </w:p>
        </w:tc>
        <w:tc>
          <w:tcPr>
            <w:tcW w:w="1064" w:type="dxa"/>
            <w:vAlign w:val="center"/>
          </w:tcPr>
          <w:p w14:paraId="3F51592C">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2ED6B212">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7D7A2225">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517CDBD4">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3E0A2D8E">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7827CC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53F89542">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21A7E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75737E03">
            <w:pPr>
              <w:widowControl/>
              <w:ind w:firstLine="440"/>
              <w:jc w:val="left"/>
              <w:textAlignment w:val="center"/>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20</w:t>
            </w:r>
          </w:p>
        </w:tc>
        <w:tc>
          <w:tcPr>
            <w:tcW w:w="1064" w:type="dxa"/>
            <w:vAlign w:val="center"/>
          </w:tcPr>
          <w:p w14:paraId="6AB6312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6A878917">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6CA329D8">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4A89324A">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0C5B0D3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1C179429">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4F9BA8CF">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r w14:paraId="2DFE9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4" w:type="dxa"/>
            <w:vAlign w:val="center"/>
          </w:tcPr>
          <w:p w14:paraId="40FE2050">
            <w:pPr>
              <w:widowControl/>
              <w:ind w:firstLine="440"/>
              <w:jc w:val="left"/>
              <w:textAlignment w:val="center"/>
              <w:rPr>
                <w:rFonts w:ascii="Times New Roman" w:hAnsi="Times New Roman" w:eastAsia="宋体" w:cs="Times New Roman"/>
                <w:color w:val="000000" w:themeColor="text1"/>
                <w:sz w:val="24"/>
                <w:szCs w:val="24"/>
                <w14:textFill>
                  <w14:solidFill>
                    <w14:schemeClr w14:val="tx1"/>
                  </w14:solidFill>
                </w14:textFill>
              </w:rPr>
            </w:pPr>
            <w:r>
              <w:rPr>
                <w:rFonts w:ascii="Times New Roman" w:hAnsi="Times New Roman" w:eastAsia="宋体" w:cs="Times New Roman"/>
                <w:color w:val="000000" w:themeColor="text1"/>
                <w:kern w:val="0"/>
                <w:sz w:val="22"/>
                <w:lang w:bidi="ar"/>
                <w14:textFill>
                  <w14:solidFill>
                    <w14:schemeClr w14:val="tx1"/>
                  </w14:solidFill>
                </w14:textFill>
              </w:rPr>
              <w:t>......</w:t>
            </w:r>
          </w:p>
        </w:tc>
        <w:tc>
          <w:tcPr>
            <w:tcW w:w="1064" w:type="dxa"/>
            <w:vAlign w:val="center"/>
          </w:tcPr>
          <w:p w14:paraId="702A831D">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29F4D883">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4" w:type="dxa"/>
            <w:vAlign w:val="center"/>
          </w:tcPr>
          <w:p w14:paraId="3122DF80">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21E4F709">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67E5DD53">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786896CF">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c>
          <w:tcPr>
            <w:tcW w:w="1065" w:type="dxa"/>
            <w:vAlign w:val="center"/>
          </w:tcPr>
          <w:p w14:paraId="5F6E8559">
            <w:pPr>
              <w:spacing w:line="360" w:lineRule="auto"/>
              <w:ind w:firstLine="480"/>
              <w:jc w:val="center"/>
              <w:rPr>
                <w:rFonts w:ascii="Times New Roman" w:hAnsi="Times New Roman" w:eastAsia="仿宋_GB2312" w:cs="Times New Roman"/>
                <w:color w:val="000000" w:themeColor="text1"/>
                <w:sz w:val="24"/>
                <w:szCs w:val="24"/>
                <w14:textFill>
                  <w14:solidFill>
                    <w14:schemeClr w14:val="tx1"/>
                  </w14:solidFill>
                </w14:textFill>
              </w:rPr>
            </w:pPr>
          </w:p>
        </w:tc>
      </w:tr>
    </w:tbl>
    <w:p w14:paraId="1A9F64C7">
      <w:pPr>
        <w:ind w:left="480" w:hanging="480" w:hanging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 xml:space="preserve">注 </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1、运行正常打√，未开机打×；设备状态正常打√，不正常打×，维修画圆；</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 xml:space="preserve">机油黄油，加油打√，未加油打×; </w:t>
      </w:r>
    </w:p>
    <w:p w14:paraId="6FE9D3C6">
      <w:pPr>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 xml:space="preserve">2、轴承加黄油15天（实际运行天数）一次； </w:t>
      </w:r>
    </w:p>
    <w:p w14:paraId="786E3695">
      <w:pPr>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3、</w:t>
      </w:r>
      <w:r>
        <w:rPr>
          <w:rFonts w:hint="eastAsia" w:ascii="Times New Roman" w:hAnsi="Times New Roman" w:eastAsia="仿宋_GB2312" w:cs="Times New Roman"/>
          <w:color w:val="000000" w:themeColor="text1"/>
          <w:sz w:val="24"/>
          <w:szCs w:val="24"/>
          <w14:textFill>
            <w14:solidFill>
              <w14:schemeClr w14:val="tx1"/>
            </w14:solidFill>
          </w14:textFill>
        </w:rPr>
        <w:t>机油每天检查漏油情况</w:t>
      </w:r>
      <w:r>
        <w:rPr>
          <w:rFonts w:ascii="Times New Roman" w:hAnsi="Times New Roman" w:eastAsia="仿宋_GB2312" w:cs="Times New Roman"/>
          <w:color w:val="000000" w:themeColor="text1"/>
          <w:sz w:val="24"/>
          <w:szCs w:val="24"/>
          <w14:textFill>
            <w14:solidFill>
              <w14:schemeClr w14:val="tx1"/>
            </w14:solidFill>
          </w14:textFill>
        </w:rPr>
        <w:t xml:space="preserve">。 </w:t>
      </w:r>
    </w:p>
    <w:p w14:paraId="3DFB11A0">
      <w:pPr>
        <w:spacing w:line="360" w:lineRule="auto"/>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696C140A">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7249C1A9">
      <w:pPr>
        <w:pStyle w:val="2"/>
        <w:jc w:val="center"/>
        <w:rPr>
          <w:rFonts w:ascii="Times New Roman" w:hAnsi="Times New Roman" w:cs="Times New Roman"/>
          <w:color w:val="000000" w:themeColor="text1"/>
          <w:sz w:val="32"/>
          <w:szCs w:val="32"/>
          <w14:textFill>
            <w14:solidFill>
              <w14:schemeClr w14:val="tx1"/>
            </w14:solidFill>
          </w14:textFill>
        </w:rPr>
      </w:pPr>
      <w:bookmarkStart w:id="113" w:name="_Toc5314"/>
      <w:bookmarkStart w:id="114" w:name="_Toc57819242"/>
      <w:bookmarkStart w:id="115" w:name="_Toc6890"/>
      <w:r>
        <w:rPr>
          <w:rFonts w:hint="eastAsia" w:ascii="Times New Roman" w:hAnsi="Times New Roman" w:cs="Times New Roman"/>
          <w:color w:val="000000" w:themeColor="text1"/>
          <w:sz w:val="32"/>
          <w:szCs w:val="32"/>
          <w14:textFill>
            <w14:solidFill>
              <w14:schemeClr w14:val="tx1"/>
            </w14:solidFill>
          </w14:textFill>
        </w:rPr>
        <w:t>附录B 工程泥浆原地处理生产信息记录表</w:t>
      </w:r>
      <w:bookmarkEnd w:id="113"/>
      <w:bookmarkEnd w:id="114"/>
      <w:bookmarkEnd w:id="115"/>
    </w:p>
    <w:tbl>
      <w:tblPr>
        <w:tblStyle w:val="16"/>
        <w:tblW w:w="13390" w:type="dxa"/>
        <w:tblInd w:w="0" w:type="dxa"/>
        <w:tblLayout w:type="fixed"/>
        <w:tblCellMar>
          <w:top w:w="0" w:type="dxa"/>
          <w:left w:w="108" w:type="dxa"/>
          <w:bottom w:w="0" w:type="dxa"/>
          <w:right w:w="108" w:type="dxa"/>
        </w:tblCellMar>
      </w:tblPr>
      <w:tblGrid>
        <w:gridCol w:w="1470"/>
        <w:gridCol w:w="1468"/>
        <w:gridCol w:w="847"/>
        <w:gridCol w:w="1468"/>
        <w:gridCol w:w="2264"/>
        <w:gridCol w:w="1999"/>
        <w:gridCol w:w="1911"/>
        <w:gridCol w:w="849"/>
        <w:gridCol w:w="1114"/>
      </w:tblGrid>
      <w:tr w14:paraId="54044F24">
        <w:tblPrEx>
          <w:tblCellMar>
            <w:top w:w="0" w:type="dxa"/>
            <w:left w:w="108" w:type="dxa"/>
            <w:bottom w:w="0" w:type="dxa"/>
            <w:right w:w="108" w:type="dxa"/>
          </w:tblCellMar>
        </w:tblPrEx>
        <w:trPr>
          <w:trHeight w:val="280" w:hRule="atLeast"/>
        </w:trPr>
        <w:tc>
          <w:tcPr>
            <w:tcW w:w="1339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5E2B">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工程名称：</w:t>
            </w:r>
          </w:p>
        </w:tc>
      </w:tr>
      <w:tr w14:paraId="40264E99">
        <w:tblPrEx>
          <w:tblCellMar>
            <w:top w:w="0" w:type="dxa"/>
            <w:left w:w="108" w:type="dxa"/>
            <w:bottom w:w="0" w:type="dxa"/>
            <w:right w:w="108" w:type="dxa"/>
          </w:tblCellMar>
        </w:tblPrEx>
        <w:trPr>
          <w:trHeight w:val="280" w:hRule="atLeast"/>
        </w:trPr>
        <w:tc>
          <w:tcPr>
            <w:tcW w:w="1339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D08C5">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（一）生产投入</w:t>
            </w:r>
          </w:p>
        </w:tc>
      </w:tr>
      <w:tr w14:paraId="74458760">
        <w:tblPrEx>
          <w:tblCellMar>
            <w:top w:w="0" w:type="dxa"/>
            <w:left w:w="108" w:type="dxa"/>
            <w:bottom w:w="0" w:type="dxa"/>
            <w:right w:w="108" w:type="dxa"/>
          </w:tblCellMar>
        </w:tblPrEx>
        <w:trPr>
          <w:trHeight w:val="280" w:hRule="atLeast"/>
        </w:trPr>
        <w:tc>
          <w:tcPr>
            <w:tcW w:w="5253"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A2260A">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人员投入</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A1B09">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用水量</w:t>
            </w:r>
          </w:p>
        </w:tc>
        <w:tc>
          <w:tcPr>
            <w:tcW w:w="3910"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BF418">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用电量</w:t>
            </w:r>
          </w:p>
        </w:tc>
        <w:tc>
          <w:tcPr>
            <w:tcW w:w="19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03607">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化学药剂用量</w:t>
            </w:r>
          </w:p>
        </w:tc>
      </w:tr>
      <w:tr w14:paraId="5E351E47">
        <w:tblPrEx>
          <w:tblCellMar>
            <w:top w:w="0" w:type="dxa"/>
            <w:left w:w="108" w:type="dxa"/>
            <w:bottom w:w="0" w:type="dxa"/>
            <w:right w:w="108" w:type="dxa"/>
          </w:tblCellMar>
        </w:tblPrEx>
        <w:trPr>
          <w:trHeight w:val="2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7701A">
            <w:pPr>
              <w:widowControl/>
              <w:jc w:val="center"/>
              <w:rPr>
                <w:rFonts w:ascii="Calibri" w:hAnsi="Calibri" w:eastAsia="宋体" w:cs="Calibri"/>
                <w:color w:val="000000" w:themeColor="text1"/>
                <w:kern w:val="0"/>
                <w:sz w:val="20"/>
                <w:szCs w:val="20"/>
                <w14:textFill>
                  <w14:solidFill>
                    <w14:schemeClr w14:val="tx1"/>
                  </w14:solidFill>
                </w14:textFill>
              </w:rPr>
            </w:pPr>
            <w:r>
              <w:rPr>
                <w:rFonts w:ascii="Calibri" w:hAnsi="Calibri" w:eastAsia="宋体" w:cs="Calibri"/>
                <w:color w:val="000000" w:themeColor="text1"/>
                <w:kern w:val="0"/>
                <w:sz w:val="20"/>
                <w:szCs w:val="20"/>
                <w14:textFill>
                  <w14:solidFill>
                    <w14:schemeClr w14:val="tx1"/>
                  </w14:solidFill>
                </w14:textFill>
              </w:rPr>
              <w:t>/</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446398">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人数</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DA95E">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班次</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74B3F">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分班内容</w:t>
            </w:r>
          </w:p>
        </w:tc>
        <w:tc>
          <w:tcPr>
            <w:tcW w:w="22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E9065">
            <w:pPr>
              <w:widowControl/>
              <w:jc w:val="center"/>
              <w:rPr>
                <w:rFonts w:ascii="仿宋" w:hAnsi="仿宋" w:eastAsia="仿宋" w:cs="宋体"/>
                <w:color w:val="000000" w:themeColor="text1"/>
                <w:kern w:val="0"/>
                <w:sz w:val="20"/>
                <w:szCs w:val="20"/>
                <w14:textFill>
                  <w14:solidFill>
                    <w14:schemeClr w14:val="tx1"/>
                  </w14:solidFill>
                </w14:textFill>
              </w:rPr>
            </w:pPr>
          </w:p>
        </w:tc>
        <w:tc>
          <w:tcPr>
            <w:tcW w:w="391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64ABC">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63" w:type="dxa"/>
            <w:gridSpan w:val="2"/>
            <w:vMerge w:val="restart"/>
            <w:tcBorders>
              <w:top w:val="single" w:color="000000" w:sz="4" w:space="0"/>
              <w:left w:val="nil"/>
              <w:bottom w:val="single" w:color="000000" w:sz="4" w:space="0"/>
              <w:right w:val="single" w:color="000000" w:sz="4" w:space="0"/>
            </w:tcBorders>
            <w:shd w:val="clear" w:color="auto" w:fill="auto"/>
            <w:noWrap/>
            <w:vAlign w:val="center"/>
          </w:tcPr>
          <w:p w14:paraId="05BDD230">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216A5A95">
        <w:tblPrEx>
          <w:tblCellMar>
            <w:top w:w="0" w:type="dxa"/>
            <w:left w:w="108" w:type="dxa"/>
            <w:bottom w:w="0" w:type="dxa"/>
            <w:right w:w="108" w:type="dxa"/>
          </w:tblCellMar>
        </w:tblPrEx>
        <w:trPr>
          <w:trHeight w:val="2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77564">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管理人员</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F50E1">
            <w:pPr>
              <w:widowControl/>
              <w:jc w:val="center"/>
              <w:rPr>
                <w:rFonts w:ascii="仿宋" w:hAnsi="仿宋" w:eastAsia="仿宋" w:cs="宋体"/>
                <w:color w:val="000000" w:themeColor="text1"/>
                <w:kern w:val="0"/>
                <w:sz w:val="20"/>
                <w:szCs w:val="20"/>
                <w14:textFill>
                  <w14:solidFill>
                    <w14:schemeClr w14:val="tx1"/>
                  </w14:solidFill>
                </w14:textFill>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6929">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4FDD2">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早晚分班</w:t>
            </w:r>
          </w:p>
        </w:tc>
        <w:tc>
          <w:tcPr>
            <w:tcW w:w="2264" w:type="dxa"/>
            <w:vMerge w:val="continue"/>
            <w:tcBorders>
              <w:top w:val="single" w:color="000000" w:sz="4" w:space="0"/>
              <w:left w:val="single" w:color="000000" w:sz="4" w:space="0"/>
              <w:bottom w:val="single" w:color="000000" w:sz="4" w:space="0"/>
              <w:right w:val="single" w:color="000000" w:sz="4" w:space="0"/>
            </w:tcBorders>
            <w:vAlign w:val="center"/>
          </w:tcPr>
          <w:p w14:paraId="276A4D68">
            <w:pPr>
              <w:widowControl/>
              <w:jc w:val="left"/>
              <w:rPr>
                <w:rFonts w:ascii="仿宋" w:hAnsi="仿宋" w:eastAsia="仿宋" w:cs="宋体"/>
                <w:color w:val="000000" w:themeColor="text1"/>
                <w:kern w:val="0"/>
                <w:sz w:val="20"/>
                <w:szCs w:val="20"/>
                <w14:textFill>
                  <w14:solidFill>
                    <w14:schemeClr w14:val="tx1"/>
                  </w14:solidFill>
                </w14:textFill>
              </w:rPr>
            </w:pPr>
          </w:p>
        </w:tc>
        <w:tc>
          <w:tcPr>
            <w:tcW w:w="391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342859A3">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63" w:type="dxa"/>
            <w:gridSpan w:val="2"/>
            <w:vMerge w:val="continue"/>
            <w:tcBorders>
              <w:top w:val="single" w:color="000000" w:sz="4" w:space="0"/>
              <w:left w:val="nil"/>
              <w:bottom w:val="single" w:color="000000" w:sz="4" w:space="0"/>
              <w:right w:val="single" w:color="000000" w:sz="4" w:space="0"/>
            </w:tcBorders>
            <w:vAlign w:val="center"/>
          </w:tcPr>
          <w:p w14:paraId="0B03874D">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43CF97F9">
        <w:tblPrEx>
          <w:tblCellMar>
            <w:top w:w="0" w:type="dxa"/>
            <w:left w:w="108" w:type="dxa"/>
            <w:bottom w:w="0" w:type="dxa"/>
            <w:right w:w="108" w:type="dxa"/>
          </w:tblCellMar>
        </w:tblPrEx>
        <w:trPr>
          <w:trHeight w:val="2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D628">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生产人员</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16FB6">
            <w:pPr>
              <w:widowControl/>
              <w:jc w:val="center"/>
              <w:rPr>
                <w:rFonts w:ascii="仿宋" w:hAnsi="仿宋" w:eastAsia="仿宋" w:cs="宋体"/>
                <w:color w:val="000000" w:themeColor="text1"/>
                <w:kern w:val="0"/>
                <w:sz w:val="20"/>
                <w:szCs w:val="20"/>
                <w14:textFill>
                  <w14:solidFill>
                    <w14:schemeClr w14:val="tx1"/>
                  </w14:solidFill>
                </w14:textFill>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74EEB">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vMerge w:val="continue"/>
            <w:tcBorders>
              <w:top w:val="single" w:color="000000" w:sz="4" w:space="0"/>
              <w:left w:val="single" w:color="000000" w:sz="4" w:space="0"/>
              <w:bottom w:val="single" w:color="000000" w:sz="4" w:space="0"/>
              <w:right w:val="single" w:color="000000" w:sz="4" w:space="0"/>
            </w:tcBorders>
            <w:vAlign w:val="center"/>
          </w:tcPr>
          <w:p w14:paraId="7F2B50E1">
            <w:pPr>
              <w:widowControl/>
              <w:jc w:val="left"/>
              <w:rPr>
                <w:rFonts w:ascii="仿宋" w:hAnsi="仿宋" w:eastAsia="仿宋" w:cs="宋体"/>
                <w:color w:val="000000" w:themeColor="text1"/>
                <w:kern w:val="0"/>
                <w:sz w:val="20"/>
                <w:szCs w:val="20"/>
                <w14:textFill>
                  <w14:solidFill>
                    <w14:schemeClr w14:val="tx1"/>
                  </w14:solidFill>
                </w14:textFill>
              </w:rPr>
            </w:pPr>
          </w:p>
        </w:tc>
        <w:tc>
          <w:tcPr>
            <w:tcW w:w="2264" w:type="dxa"/>
            <w:vMerge w:val="continue"/>
            <w:tcBorders>
              <w:top w:val="single" w:color="000000" w:sz="4" w:space="0"/>
              <w:left w:val="single" w:color="000000" w:sz="4" w:space="0"/>
              <w:bottom w:val="single" w:color="000000" w:sz="4" w:space="0"/>
              <w:right w:val="single" w:color="000000" w:sz="4" w:space="0"/>
            </w:tcBorders>
            <w:vAlign w:val="center"/>
          </w:tcPr>
          <w:p w14:paraId="3BCABAD4">
            <w:pPr>
              <w:widowControl/>
              <w:jc w:val="left"/>
              <w:rPr>
                <w:rFonts w:ascii="仿宋" w:hAnsi="仿宋" w:eastAsia="仿宋" w:cs="宋体"/>
                <w:color w:val="000000" w:themeColor="text1"/>
                <w:kern w:val="0"/>
                <w:sz w:val="20"/>
                <w:szCs w:val="20"/>
                <w14:textFill>
                  <w14:solidFill>
                    <w14:schemeClr w14:val="tx1"/>
                  </w14:solidFill>
                </w14:textFill>
              </w:rPr>
            </w:pPr>
          </w:p>
        </w:tc>
        <w:tc>
          <w:tcPr>
            <w:tcW w:w="3910"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6B6E30DA">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63" w:type="dxa"/>
            <w:gridSpan w:val="2"/>
            <w:vMerge w:val="continue"/>
            <w:tcBorders>
              <w:top w:val="single" w:color="000000" w:sz="4" w:space="0"/>
              <w:left w:val="single" w:color="000000" w:sz="4" w:space="0"/>
              <w:bottom w:val="single" w:color="000000" w:sz="4" w:space="0"/>
              <w:right w:val="single" w:color="000000" w:sz="4" w:space="0"/>
            </w:tcBorders>
            <w:vAlign w:val="center"/>
          </w:tcPr>
          <w:p w14:paraId="7D55133A">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18620225">
        <w:tblPrEx>
          <w:tblCellMar>
            <w:top w:w="0" w:type="dxa"/>
            <w:left w:w="108" w:type="dxa"/>
            <w:bottom w:w="0" w:type="dxa"/>
            <w:right w:w="108" w:type="dxa"/>
          </w:tblCellMar>
        </w:tblPrEx>
        <w:trPr>
          <w:trHeight w:val="280" w:hRule="atLeast"/>
        </w:trPr>
        <w:tc>
          <w:tcPr>
            <w:tcW w:w="13390"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607B2">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二、生产信息</w:t>
            </w:r>
          </w:p>
        </w:tc>
      </w:tr>
      <w:tr w14:paraId="253DC9E9">
        <w:tblPrEx>
          <w:tblCellMar>
            <w:top w:w="0" w:type="dxa"/>
            <w:left w:w="108" w:type="dxa"/>
            <w:bottom w:w="0" w:type="dxa"/>
            <w:right w:w="108" w:type="dxa"/>
          </w:tblCellMar>
        </w:tblPrEx>
        <w:trPr>
          <w:trHeight w:val="280" w:hRule="atLeast"/>
        </w:trPr>
        <w:tc>
          <w:tcPr>
            <w:tcW w:w="147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90E0D">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生产日期</w:t>
            </w:r>
          </w:p>
        </w:tc>
        <w:tc>
          <w:tcPr>
            <w:tcW w:w="231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CBC93">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处理前泥浆信息</w:t>
            </w:r>
          </w:p>
        </w:tc>
        <w:tc>
          <w:tcPr>
            <w:tcW w:w="764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B218E">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处理后信息</w:t>
            </w:r>
          </w:p>
        </w:tc>
        <w:tc>
          <w:tcPr>
            <w:tcW w:w="1963"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432060">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水质情况（是否有其他）</w:t>
            </w:r>
          </w:p>
        </w:tc>
      </w:tr>
      <w:tr w14:paraId="49D4425A">
        <w:tblPrEx>
          <w:tblCellMar>
            <w:top w:w="0" w:type="dxa"/>
            <w:left w:w="108" w:type="dxa"/>
            <w:bottom w:w="0" w:type="dxa"/>
            <w:right w:w="108" w:type="dxa"/>
          </w:tblCellMar>
        </w:tblPrEx>
        <w:trPr>
          <w:trHeight w:val="280" w:hRule="atLeast"/>
        </w:trPr>
        <w:tc>
          <w:tcPr>
            <w:tcW w:w="1470" w:type="dxa"/>
            <w:vMerge w:val="continue"/>
            <w:tcBorders>
              <w:top w:val="single" w:color="000000" w:sz="4" w:space="0"/>
              <w:left w:val="single" w:color="000000" w:sz="4" w:space="0"/>
              <w:bottom w:val="single" w:color="000000" w:sz="4" w:space="0"/>
              <w:right w:val="single" w:color="000000" w:sz="4" w:space="0"/>
            </w:tcBorders>
            <w:vAlign w:val="center"/>
          </w:tcPr>
          <w:p w14:paraId="4E77AA9D">
            <w:pPr>
              <w:widowControl/>
              <w:jc w:val="left"/>
              <w:rPr>
                <w:rFonts w:ascii="仿宋" w:hAnsi="仿宋" w:eastAsia="仿宋" w:cs="宋体"/>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92100">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泥浆性质</w:t>
            </w: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3E048">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数量m</w:t>
            </w:r>
            <w:r>
              <w:rPr>
                <w:rFonts w:ascii="Calibri" w:hAnsi="Calibri" w:eastAsia="仿宋" w:cs="Calibri"/>
                <w:color w:val="000000" w:themeColor="text1"/>
                <w:kern w:val="0"/>
                <w:sz w:val="20"/>
                <w:szCs w:val="20"/>
                <w14:textFill>
                  <w14:solidFill>
                    <w14:schemeClr w14:val="tx1"/>
                  </w14:solidFill>
                </w14:textFill>
              </w:rPr>
              <w:t>³</w:t>
            </w: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FF77C">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干泥</w:t>
            </w:r>
            <w:r>
              <w:rPr>
                <w:rFonts w:ascii="仿宋" w:hAnsi="仿宋" w:eastAsia="仿宋" w:cs="宋体"/>
                <w:color w:val="000000" w:themeColor="text1"/>
                <w:kern w:val="0"/>
                <w:sz w:val="20"/>
                <w:szCs w:val="20"/>
                <w14:textFill>
                  <w14:solidFill>
                    <w14:schemeClr w14:val="tx1"/>
                  </w14:solidFill>
                </w14:textFill>
              </w:rPr>
              <w:t>数量m</w:t>
            </w:r>
            <w:r>
              <w:rPr>
                <w:rFonts w:ascii="宋体" w:hAnsi="宋体" w:eastAsia="宋体" w:cs="宋体"/>
                <w:color w:val="000000" w:themeColor="text1"/>
                <w:kern w:val="0"/>
                <w:sz w:val="20"/>
                <w:szCs w:val="20"/>
                <w14:textFill>
                  <w14:solidFill>
                    <w14:schemeClr w14:val="tx1"/>
                  </w14:solidFill>
                </w14:textFill>
              </w:rPr>
              <w:t>³</w:t>
            </w: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614E8">
            <w:pPr>
              <w:widowControl/>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砂、石数量m</w:t>
            </w:r>
            <w:r>
              <w:rPr>
                <w:rFonts w:ascii="宋体" w:hAnsi="宋体" w:eastAsia="宋体" w:cs="宋体"/>
                <w:color w:val="000000" w:themeColor="text1"/>
                <w:kern w:val="0"/>
                <w:sz w:val="20"/>
                <w:szCs w:val="20"/>
                <w14:textFill>
                  <w14:solidFill>
                    <w14:schemeClr w14:val="tx1"/>
                  </w14:solidFill>
                </w14:textFill>
              </w:rPr>
              <w:t>³</w:t>
            </w: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CDF59">
            <w:pPr>
              <w:widowControl/>
              <w:jc w:val="center"/>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干泥含水率%</w:t>
            </w: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135B9">
            <w:pPr>
              <w:widowControl/>
              <w:jc w:val="center"/>
              <w:rPr>
                <w:rFonts w:ascii="仿宋" w:hAnsi="仿宋" w:eastAsia="仿宋" w:cs="宋体"/>
                <w:color w:val="000000" w:themeColor="text1"/>
                <w:kern w:val="0"/>
                <w:sz w:val="20"/>
                <w:szCs w:val="20"/>
                <w14:textFill>
                  <w14:solidFill>
                    <w14:schemeClr w14:val="tx1"/>
                  </w14:solidFill>
                </w14:textFill>
              </w:rPr>
            </w:pPr>
            <w:r>
              <w:rPr>
                <w:rFonts w:ascii="仿宋" w:hAnsi="仿宋" w:eastAsia="仿宋" w:cs="宋体"/>
                <w:color w:val="000000" w:themeColor="text1"/>
                <w:kern w:val="0"/>
                <w:sz w:val="20"/>
                <w:szCs w:val="20"/>
                <w14:textFill>
                  <w14:solidFill>
                    <w14:schemeClr w14:val="tx1"/>
                  </w14:solidFill>
                </w14:textFill>
              </w:rPr>
              <w:t>分离水量m</w:t>
            </w:r>
            <w:r>
              <w:rPr>
                <w:rFonts w:ascii="宋体" w:hAnsi="宋体" w:eastAsia="宋体" w:cs="宋体"/>
                <w:color w:val="000000" w:themeColor="text1"/>
                <w:kern w:val="0"/>
                <w:sz w:val="20"/>
                <w:szCs w:val="20"/>
                <w14:textFill>
                  <w14:solidFill>
                    <w14:schemeClr w14:val="tx1"/>
                  </w14:solidFill>
                </w14:textFill>
              </w:rPr>
              <w:t>³</w:t>
            </w: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B6AC43">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lang w:val="en-US" w:eastAsia="zh-CN"/>
                <w14:textFill>
                  <w14:solidFill>
                    <w14:schemeClr w14:val="tx1"/>
                  </w14:solidFill>
                </w14:textFill>
              </w:rPr>
              <w:t>p</w:t>
            </w:r>
            <w:bookmarkStart w:id="241" w:name="_GoBack"/>
            <w:bookmarkEnd w:id="241"/>
            <w:r>
              <w:rPr>
                <w:rFonts w:hint="eastAsia" w:ascii="仿宋" w:hAnsi="仿宋" w:eastAsia="仿宋" w:cs="宋体"/>
                <w:color w:val="000000" w:themeColor="text1"/>
                <w:kern w:val="0"/>
                <w:sz w:val="20"/>
                <w:szCs w:val="20"/>
                <w14:textFill>
                  <w14:solidFill>
                    <w14:schemeClr w14:val="tx1"/>
                  </w14:solidFill>
                </w14:textFill>
              </w:rPr>
              <w:t>H值</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B46B4">
            <w:pPr>
              <w:widowControl/>
              <w:jc w:val="left"/>
              <w:rPr>
                <w:rFonts w:ascii="仿宋" w:hAnsi="仿宋" w:eastAsia="仿宋" w:cs="宋体"/>
                <w:color w:val="000000" w:themeColor="text1"/>
                <w:kern w:val="0"/>
                <w:sz w:val="20"/>
                <w:szCs w:val="20"/>
                <w14:textFill>
                  <w14:solidFill>
                    <w14:schemeClr w14:val="tx1"/>
                  </w14:solidFill>
                </w14:textFill>
              </w:rPr>
            </w:pPr>
            <w:r>
              <w:rPr>
                <w:rFonts w:hint="eastAsia" w:ascii="仿宋" w:hAnsi="仿宋" w:eastAsia="仿宋" w:cs="宋体"/>
                <w:color w:val="000000" w:themeColor="text1"/>
                <w:kern w:val="0"/>
                <w:sz w:val="20"/>
                <w:szCs w:val="20"/>
                <w14:textFill>
                  <w14:solidFill>
                    <w14:schemeClr w14:val="tx1"/>
                  </w14:solidFill>
                </w14:textFill>
              </w:rPr>
              <w:t>悬浮物</w:t>
            </w:r>
          </w:p>
        </w:tc>
      </w:tr>
      <w:tr w14:paraId="59481B7F">
        <w:tblPrEx>
          <w:tblCellMar>
            <w:top w:w="0" w:type="dxa"/>
            <w:left w:w="108" w:type="dxa"/>
            <w:bottom w:w="0" w:type="dxa"/>
            <w:right w:w="108" w:type="dxa"/>
          </w:tblCellMar>
        </w:tblPrEx>
        <w:trPr>
          <w:trHeight w:val="2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2642A">
            <w:pPr>
              <w:widowControl/>
              <w:jc w:val="left"/>
              <w:rPr>
                <w:rFonts w:ascii="仿宋" w:hAnsi="仿宋" w:eastAsia="仿宋" w:cs="宋体"/>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9878F">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4CCB">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28EB66">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B9839">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9965">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8BDF6">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C7364">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381D2">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3C6C1DBF">
        <w:tblPrEx>
          <w:tblCellMar>
            <w:top w:w="0" w:type="dxa"/>
            <w:left w:w="108" w:type="dxa"/>
            <w:bottom w:w="0" w:type="dxa"/>
            <w:right w:w="108" w:type="dxa"/>
          </w:tblCellMar>
        </w:tblPrEx>
        <w:trPr>
          <w:trHeight w:val="2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53B88B">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B8B6F">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0DA1E">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CA4F6">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5924">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5A9DF">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2AA26">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66159">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1829A">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4F302E6A">
        <w:tblPrEx>
          <w:tblCellMar>
            <w:top w:w="0" w:type="dxa"/>
            <w:left w:w="108" w:type="dxa"/>
            <w:bottom w:w="0" w:type="dxa"/>
            <w:right w:w="108" w:type="dxa"/>
          </w:tblCellMar>
        </w:tblPrEx>
        <w:trPr>
          <w:trHeight w:val="2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DED06">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3AC158">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180F5C">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1ED5A">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CB779E">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8E72D">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899013">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903DE">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22C1">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7EEBF377">
        <w:tblPrEx>
          <w:tblCellMar>
            <w:top w:w="0" w:type="dxa"/>
            <w:left w:w="108" w:type="dxa"/>
            <w:bottom w:w="0" w:type="dxa"/>
            <w:right w:w="108" w:type="dxa"/>
          </w:tblCellMar>
        </w:tblPrEx>
        <w:trPr>
          <w:trHeight w:val="2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16C5B">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69C5A">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8F280">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BEF1D">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12AD7">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544F5">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35673">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865C0">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1446C7">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07B2AD36">
        <w:tblPrEx>
          <w:tblCellMar>
            <w:top w:w="0" w:type="dxa"/>
            <w:left w:w="108" w:type="dxa"/>
            <w:bottom w:w="0" w:type="dxa"/>
            <w:right w:w="108" w:type="dxa"/>
          </w:tblCellMar>
        </w:tblPrEx>
        <w:trPr>
          <w:trHeight w:val="2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81EC2">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0BC23">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E6561">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340BD6">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6E32A">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5949C">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2C9AF">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03471">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87BCF">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6B0ED3E3">
        <w:tblPrEx>
          <w:tblCellMar>
            <w:top w:w="0" w:type="dxa"/>
            <w:left w:w="108" w:type="dxa"/>
            <w:bottom w:w="0" w:type="dxa"/>
            <w:right w:w="108" w:type="dxa"/>
          </w:tblCellMar>
        </w:tblPrEx>
        <w:trPr>
          <w:trHeight w:val="2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BB194">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8671D">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89030">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0544F">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F307E">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942ACB">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A5921">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A2758">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444B70">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272455E4">
        <w:tblPrEx>
          <w:tblCellMar>
            <w:top w:w="0" w:type="dxa"/>
            <w:left w:w="108" w:type="dxa"/>
            <w:bottom w:w="0" w:type="dxa"/>
            <w:right w:w="108" w:type="dxa"/>
          </w:tblCellMar>
        </w:tblPrEx>
        <w:trPr>
          <w:trHeight w:val="2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3A141">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E02C4">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D1655">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EA1C1">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05216">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EA0230">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2D05E">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07366">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7F44F">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0058176C">
        <w:tblPrEx>
          <w:tblCellMar>
            <w:top w:w="0" w:type="dxa"/>
            <w:left w:w="108" w:type="dxa"/>
            <w:bottom w:w="0" w:type="dxa"/>
            <w:right w:w="108" w:type="dxa"/>
          </w:tblCellMar>
        </w:tblPrEx>
        <w:trPr>
          <w:trHeight w:val="2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FC17A">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4141">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A55F2">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FFE00">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04514">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36EC81">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1BDB57">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A8794">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FECB1">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r w14:paraId="3AFBCB87">
        <w:tblPrEx>
          <w:tblCellMar>
            <w:top w:w="0" w:type="dxa"/>
            <w:left w:w="108" w:type="dxa"/>
            <w:bottom w:w="0" w:type="dxa"/>
            <w:right w:w="108" w:type="dxa"/>
          </w:tblCellMar>
        </w:tblPrEx>
        <w:trPr>
          <w:trHeight w:val="280" w:hRule="atLeast"/>
        </w:trPr>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74AE6">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2A08">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39EA">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4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8AB03">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226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5663D">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E4F6">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9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9F910C">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8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C77D6">
            <w:pPr>
              <w:widowControl/>
              <w:jc w:val="center"/>
              <w:rPr>
                <w:rFonts w:ascii="Times New Roman" w:hAnsi="Times New Roman" w:eastAsia="Times New Roman" w:cs="Times New Roman"/>
                <w:color w:val="000000" w:themeColor="text1"/>
                <w:kern w:val="0"/>
                <w:sz w:val="20"/>
                <w:szCs w:val="20"/>
                <w14:textFill>
                  <w14:solidFill>
                    <w14:schemeClr w14:val="tx1"/>
                  </w14:solidFill>
                </w14:textFill>
              </w:rPr>
            </w:pP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E3DF5">
            <w:pPr>
              <w:widowControl/>
              <w:jc w:val="left"/>
              <w:rPr>
                <w:rFonts w:ascii="Times New Roman" w:hAnsi="Times New Roman" w:eastAsia="Times New Roman" w:cs="Times New Roman"/>
                <w:color w:val="000000" w:themeColor="text1"/>
                <w:kern w:val="0"/>
                <w:sz w:val="20"/>
                <w:szCs w:val="20"/>
                <w14:textFill>
                  <w14:solidFill>
                    <w14:schemeClr w14:val="tx1"/>
                  </w14:solidFill>
                </w14:textFill>
              </w:rPr>
            </w:pPr>
          </w:p>
        </w:tc>
      </w:tr>
    </w:tbl>
    <w:p w14:paraId="2DCC410C">
      <w:pPr>
        <w:spacing w:line="360" w:lineRule="auto"/>
        <w:ind w:firstLine="960" w:firstLineChars="400"/>
        <w:rPr>
          <w:rFonts w:ascii="Times New Roman" w:hAnsi="Times New Roman" w:eastAsia="仿宋_GB2312" w:cs="Times New Roman"/>
          <w:color w:val="000000" w:themeColor="text1"/>
          <w:sz w:val="24"/>
          <w:szCs w:val="24"/>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14:paraId="06C26D8A">
      <w:pPr>
        <w:spacing w:line="360" w:lineRule="auto"/>
        <w:ind w:firstLine="960" w:firstLineChars="400"/>
        <w:rPr>
          <w:rFonts w:ascii="Times New Roman" w:hAnsi="Times New Roman" w:eastAsia="仿宋_GB2312" w:cs="Times New Roman"/>
          <w:color w:val="000000" w:themeColor="text1"/>
          <w:sz w:val="24"/>
          <w:szCs w:val="24"/>
          <w14:textFill>
            <w14:solidFill>
              <w14:schemeClr w14:val="tx1"/>
            </w14:solidFill>
          </w14:textFill>
        </w:rPr>
      </w:pPr>
    </w:p>
    <w:p w14:paraId="6BF0F68F">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162FCB55">
      <w:pPr>
        <w:widowControl/>
        <w:spacing w:line="360" w:lineRule="auto"/>
        <w:outlineLvl w:val="0"/>
        <w:rPr>
          <w:rFonts w:ascii="Times New Roman" w:hAnsi="Times New Roman" w:cs="Times New Roman"/>
          <w:b/>
          <w:color w:val="000000" w:themeColor="text1"/>
          <w:sz w:val="32"/>
          <w:szCs w:val="32"/>
          <w14:textFill>
            <w14:solidFill>
              <w14:schemeClr w14:val="tx1"/>
            </w14:solidFill>
          </w14:textFill>
        </w:rPr>
      </w:pPr>
      <w:bookmarkStart w:id="116" w:name="_Toc464545617"/>
    </w:p>
    <w:p w14:paraId="42982743">
      <w:pPr>
        <w:widowControl/>
        <w:spacing w:line="360" w:lineRule="auto"/>
        <w:jc w:val="center"/>
        <w:outlineLvl w:val="0"/>
        <w:rPr>
          <w:rFonts w:ascii="Times New Roman" w:hAnsi="Times New Roman" w:cs="Times New Roman"/>
          <w:b/>
          <w:color w:val="000000" w:themeColor="text1"/>
          <w:sz w:val="32"/>
          <w:szCs w:val="32"/>
          <w14:textFill>
            <w14:solidFill>
              <w14:schemeClr w14:val="tx1"/>
            </w14:solidFill>
          </w14:textFill>
        </w:rPr>
      </w:pPr>
      <w:bookmarkStart w:id="117" w:name="_Toc57819244"/>
      <w:bookmarkStart w:id="118" w:name="_Toc4590"/>
      <w:bookmarkStart w:id="119" w:name="_Toc12327"/>
      <w:r>
        <w:rPr>
          <w:rFonts w:ascii="Times New Roman" w:hAnsi="Times New Roman" w:cs="Times New Roman"/>
          <w:b/>
          <w:color w:val="000000" w:themeColor="text1"/>
          <w:sz w:val="32"/>
          <w:szCs w:val="32"/>
          <w14:textFill>
            <w14:solidFill>
              <w14:schemeClr w14:val="tx1"/>
            </w14:solidFill>
          </w14:textFill>
        </w:rPr>
        <w:t>本标准用词说明</w:t>
      </w:r>
      <w:bookmarkEnd w:id="116"/>
      <w:bookmarkEnd w:id="117"/>
      <w:bookmarkEnd w:id="118"/>
      <w:bookmarkEnd w:id="119"/>
    </w:p>
    <w:p w14:paraId="622715B2">
      <w:pPr>
        <w:widowControl/>
        <w:spacing w:line="360" w:lineRule="auto"/>
        <w:jc w:val="center"/>
        <w:rPr>
          <w:rFonts w:ascii="Times New Roman" w:hAnsi="Times New Roman" w:cs="Times New Roman"/>
          <w:color w:val="000000" w:themeColor="text1"/>
          <w:sz w:val="32"/>
          <w:szCs w:val="32"/>
          <w14:textFill>
            <w14:solidFill>
              <w14:schemeClr w14:val="tx1"/>
            </w14:solidFill>
          </w14:textFill>
        </w:rPr>
      </w:pPr>
    </w:p>
    <w:p w14:paraId="10783E22">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1  为便于在执行本标准条文时区别对待，对要求严格程度不同的用词，说明如下：</w:t>
      </w:r>
    </w:p>
    <w:p w14:paraId="6FF46A7A">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1）表示很严格，非这样做不可的用词：</w:t>
      </w:r>
    </w:p>
    <w:p w14:paraId="0EA5B925">
      <w:pPr>
        <w:autoSpaceDE w:val="0"/>
        <w:autoSpaceDN w:val="0"/>
        <w:adjustRightInd w:val="0"/>
        <w:spacing w:line="360" w:lineRule="auto"/>
        <w:ind w:firstLine="360" w:firstLineChars="150"/>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正面词采用“必须”，反面词采用“严禁”。</w:t>
      </w:r>
    </w:p>
    <w:p w14:paraId="06BC666F">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2）表示严格，在正常情况下均应这样做的用词：</w:t>
      </w:r>
    </w:p>
    <w:p w14:paraId="04B26753">
      <w:pPr>
        <w:autoSpaceDE w:val="0"/>
        <w:autoSpaceDN w:val="0"/>
        <w:adjustRightInd w:val="0"/>
        <w:spacing w:line="360" w:lineRule="auto"/>
        <w:ind w:firstLine="360" w:firstLineChars="150"/>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正面词采用“应”，反面词采用“不应”或“不得”。</w:t>
      </w:r>
    </w:p>
    <w:p w14:paraId="4B329B11">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3）表示允许稍有选择，在条件许可时，首先应这样做的用词：</w:t>
      </w:r>
    </w:p>
    <w:p w14:paraId="6F73B2B1">
      <w:pPr>
        <w:autoSpaceDE w:val="0"/>
        <w:autoSpaceDN w:val="0"/>
        <w:adjustRightInd w:val="0"/>
        <w:spacing w:line="360" w:lineRule="auto"/>
        <w:ind w:firstLine="360" w:firstLineChars="150"/>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正面词采用“宜”，反面词采用“不宜”。</w:t>
      </w:r>
    </w:p>
    <w:p w14:paraId="449B1022">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4）表示有选择，在一定条件下可以这样做的用词，采用“可”。</w:t>
      </w:r>
    </w:p>
    <w:p w14:paraId="0BC6CE7B">
      <w:pPr>
        <w:autoSpaceDE w:val="0"/>
        <w:autoSpaceDN w:val="0"/>
        <w:adjustRightInd w:val="0"/>
        <w:spacing w:line="360" w:lineRule="auto"/>
        <w:jc w:val="left"/>
        <w:rPr>
          <w:rFonts w:ascii="Times New Roman" w:hAnsi="Times New Roman" w:cs="Times New Roman"/>
          <w:color w:val="000000" w:themeColor="text1"/>
          <w:kern w:val="0"/>
          <w:sz w:val="24"/>
          <w14:textFill>
            <w14:solidFill>
              <w14:schemeClr w14:val="tx1"/>
            </w14:solidFill>
          </w14:textFill>
        </w:rPr>
      </w:pPr>
      <w:r>
        <w:rPr>
          <w:rFonts w:ascii="Times New Roman" w:hAnsi="Times New Roman" w:cs="Times New Roman"/>
          <w:color w:val="000000" w:themeColor="text1"/>
          <w:kern w:val="0"/>
          <w:sz w:val="24"/>
          <w14:textFill>
            <w14:solidFill>
              <w14:schemeClr w14:val="tx1"/>
            </w14:solidFill>
          </w14:textFill>
        </w:rPr>
        <w:t>2  条文中指明应按其他有关标准执行的写法为：“应符合</w:t>
      </w:r>
      <w:r>
        <w:rPr>
          <w:rFonts w:ascii="Times New Roman" w:hAnsi="Times New Roman" w:cs="Times New Roman"/>
          <w:b/>
          <w:color w:val="000000" w:themeColor="text1"/>
          <w:kern w:val="0"/>
          <w:sz w:val="24"/>
          <w:vertAlign w:val="superscript"/>
          <w14:textFill>
            <w14:solidFill>
              <w14:schemeClr w14:val="tx1"/>
            </w14:solidFill>
          </w14:textFill>
        </w:rPr>
        <w:t>……</w:t>
      </w:r>
      <w:r>
        <w:rPr>
          <w:rFonts w:ascii="Times New Roman" w:hAnsi="Times New Roman" w:cs="Times New Roman"/>
          <w:color w:val="000000" w:themeColor="text1"/>
          <w:kern w:val="0"/>
          <w:sz w:val="24"/>
          <w14:textFill>
            <w14:solidFill>
              <w14:schemeClr w14:val="tx1"/>
            </w14:solidFill>
          </w14:textFill>
        </w:rPr>
        <w:t>的规定”或“应按</w:t>
      </w:r>
      <w:r>
        <w:rPr>
          <w:rFonts w:ascii="Times New Roman" w:hAnsi="Times New Roman" w:cs="Times New Roman"/>
          <w:b/>
          <w:color w:val="000000" w:themeColor="text1"/>
          <w:kern w:val="0"/>
          <w:sz w:val="24"/>
          <w:vertAlign w:val="superscript"/>
          <w14:textFill>
            <w14:solidFill>
              <w14:schemeClr w14:val="tx1"/>
            </w14:solidFill>
          </w14:textFill>
        </w:rPr>
        <w:t>……</w:t>
      </w:r>
      <w:r>
        <w:rPr>
          <w:rFonts w:ascii="Times New Roman" w:hAnsi="Times New Roman" w:cs="Times New Roman"/>
          <w:color w:val="000000" w:themeColor="text1"/>
          <w:kern w:val="0"/>
          <w:sz w:val="24"/>
          <w14:textFill>
            <w14:solidFill>
              <w14:schemeClr w14:val="tx1"/>
            </w14:solidFill>
          </w14:textFill>
        </w:rPr>
        <w:t>执行”。非必须按所指定的标准执行时。写法为“可参照</w:t>
      </w:r>
      <w:r>
        <w:rPr>
          <w:rFonts w:ascii="Times New Roman" w:hAnsi="Times New Roman" w:cs="Times New Roman"/>
          <w:b/>
          <w:color w:val="000000" w:themeColor="text1"/>
          <w:kern w:val="0"/>
          <w:sz w:val="24"/>
          <w:vertAlign w:val="superscript"/>
          <w14:textFill>
            <w14:solidFill>
              <w14:schemeClr w14:val="tx1"/>
            </w14:solidFill>
          </w14:textFill>
        </w:rPr>
        <w:t>……</w:t>
      </w:r>
      <w:r>
        <w:rPr>
          <w:rFonts w:ascii="Times New Roman" w:hAnsi="Times New Roman" w:cs="Times New Roman"/>
          <w:color w:val="000000" w:themeColor="text1"/>
          <w:kern w:val="0"/>
          <w:sz w:val="24"/>
          <w14:textFill>
            <w14:solidFill>
              <w14:schemeClr w14:val="tx1"/>
            </w14:solidFill>
          </w14:textFill>
        </w:rPr>
        <w:t>”。</w:t>
      </w:r>
    </w:p>
    <w:p w14:paraId="64EC0E43">
      <w:pPr>
        <w:spacing w:line="360" w:lineRule="auto"/>
        <w:rPr>
          <w:rFonts w:ascii="Times New Roman" w:hAnsi="Times New Roman" w:cs="Times New Roman"/>
          <w:color w:val="000000" w:themeColor="text1"/>
          <w:sz w:val="24"/>
          <w14:textFill>
            <w14:solidFill>
              <w14:schemeClr w14:val="tx1"/>
            </w14:solidFill>
          </w14:textFill>
        </w:rPr>
      </w:pPr>
    </w:p>
    <w:p w14:paraId="4EEC086A">
      <w:pPr>
        <w:spacing w:line="360" w:lineRule="auto"/>
        <w:rPr>
          <w:rFonts w:ascii="Times New Roman" w:hAnsi="Times New Roman" w:cs="Times New Roman"/>
          <w:color w:val="000000" w:themeColor="text1"/>
          <w:sz w:val="24"/>
          <w14:textFill>
            <w14:solidFill>
              <w14:schemeClr w14:val="tx1"/>
            </w14:solidFill>
          </w14:textFill>
        </w:rPr>
      </w:pPr>
    </w:p>
    <w:p w14:paraId="500BAFCF">
      <w:pPr>
        <w:spacing w:line="360" w:lineRule="auto"/>
        <w:rPr>
          <w:rFonts w:ascii="Times New Roman" w:hAnsi="Times New Roman" w:cs="Times New Roman"/>
          <w:color w:val="000000" w:themeColor="text1"/>
          <w:sz w:val="24"/>
          <w14:textFill>
            <w14:solidFill>
              <w14:schemeClr w14:val="tx1"/>
            </w14:solidFill>
          </w14:textFill>
        </w:rPr>
      </w:pPr>
    </w:p>
    <w:p w14:paraId="6B648837">
      <w:pPr>
        <w:spacing w:line="360" w:lineRule="auto"/>
        <w:rPr>
          <w:rFonts w:ascii="Times New Roman" w:hAnsi="Times New Roman" w:cs="Times New Roman"/>
          <w:color w:val="000000" w:themeColor="text1"/>
          <w:sz w:val="24"/>
          <w14:textFill>
            <w14:solidFill>
              <w14:schemeClr w14:val="tx1"/>
            </w14:solidFill>
          </w14:textFill>
        </w:rPr>
      </w:pPr>
    </w:p>
    <w:p w14:paraId="0ACA9507">
      <w:pPr>
        <w:spacing w:line="360" w:lineRule="auto"/>
        <w:rPr>
          <w:rFonts w:ascii="Times New Roman" w:hAnsi="Times New Roman" w:cs="Times New Roman"/>
          <w:color w:val="000000" w:themeColor="text1"/>
          <w:sz w:val="24"/>
          <w14:textFill>
            <w14:solidFill>
              <w14:schemeClr w14:val="tx1"/>
            </w14:solidFill>
          </w14:textFill>
        </w:rPr>
      </w:pPr>
    </w:p>
    <w:p w14:paraId="18C3E884">
      <w:pPr>
        <w:spacing w:line="360" w:lineRule="auto"/>
        <w:rPr>
          <w:rFonts w:ascii="Times New Roman" w:hAnsi="Times New Roman" w:cs="Times New Roman"/>
          <w:color w:val="000000" w:themeColor="text1"/>
          <w:sz w:val="24"/>
          <w14:textFill>
            <w14:solidFill>
              <w14:schemeClr w14:val="tx1"/>
            </w14:solidFill>
          </w14:textFill>
        </w:rPr>
      </w:pPr>
    </w:p>
    <w:p w14:paraId="2EBBC18F">
      <w:pPr>
        <w:spacing w:line="360" w:lineRule="auto"/>
        <w:rPr>
          <w:rFonts w:ascii="Times New Roman" w:hAnsi="Times New Roman" w:cs="Times New Roman"/>
          <w:color w:val="000000" w:themeColor="text1"/>
          <w:sz w:val="24"/>
          <w14:textFill>
            <w14:solidFill>
              <w14:schemeClr w14:val="tx1"/>
            </w14:solidFill>
          </w14:textFill>
        </w:rPr>
      </w:pPr>
    </w:p>
    <w:p w14:paraId="73FD47DD">
      <w:pPr>
        <w:spacing w:line="360" w:lineRule="auto"/>
        <w:rPr>
          <w:rFonts w:ascii="Times New Roman" w:hAnsi="Times New Roman" w:cs="Times New Roman"/>
          <w:color w:val="000000" w:themeColor="text1"/>
          <w:sz w:val="24"/>
          <w14:textFill>
            <w14:solidFill>
              <w14:schemeClr w14:val="tx1"/>
            </w14:solidFill>
          </w14:textFill>
        </w:rPr>
      </w:pPr>
    </w:p>
    <w:p w14:paraId="56BADCF9">
      <w:pPr>
        <w:spacing w:line="360" w:lineRule="auto"/>
        <w:rPr>
          <w:rFonts w:ascii="Times New Roman" w:hAnsi="Times New Roman" w:cs="Times New Roman"/>
          <w:color w:val="000000" w:themeColor="text1"/>
          <w:sz w:val="24"/>
          <w14:textFill>
            <w14:solidFill>
              <w14:schemeClr w14:val="tx1"/>
            </w14:solidFill>
          </w14:textFill>
        </w:rPr>
      </w:pPr>
    </w:p>
    <w:p w14:paraId="59BC27AE">
      <w:pPr>
        <w:spacing w:line="360" w:lineRule="auto"/>
        <w:rPr>
          <w:rFonts w:ascii="Times New Roman" w:hAnsi="Times New Roman" w:cs="Times New Roman"/>
          <w:color w:val="000000" w:themeColor="text1"/>
          <w:sz w:val="24"/>
          <w14:textFill>
            <w14:solidFill>
              <w14:schemeClr w14:val="tx1"/>
            </w14:solidFill>
          </w14:textFill>
        </w:rPr>
      </w:pPr>
    </w:p>
    <w:p w14:paraId="224B1548">
      <w:pPr>
        <w:spacing w:line="360" w:lineRule="auto"/>
        <w:rPr>
          <w:rFonts w:ascii="Times New Roman" w:hAnsi="Times New Roman" w:cs="Times New Roman"/>
          <w:color w:val="000000" w:themeColor="text1"/>
          <w:sz w:val="24"/>
          <w14:textFill>
            <w14:solidFill>
              <w14:schemeClr w14:val="tx1"/>
            </w14:solidFill>
          </w14:textFill>
        </w:rPr>
      </w:pPr>
    </w:p>
    <w:p w14:paraId="357C212E">
      <w:pPr>
        <w:widowControl/>
        <w:spacing w:line="360" w:lineRule="auto"/>
        <w:outlineLvl w:val="0"/>
        <w:rPr>
          <w:rFonts w:ascii="Times New Roman" w:hAnsi="Times New Roman" w:cs="Times New Roman"/>
          <w:b/>
          <w:color w:val="000000" w:themeColor="text1"/>
          <w:sz w:val="32"/>
          <w:szCs w:val="32"/>
          <w14:textFill>
            <w14:solidFill>
              <w14:schemeClr w14:val="tx1"/>
            </w14:solidFill>
          </w14:textFill>
        </w:rPr>
      </w:pPr>
    </w:p>
    <w:p w14:paraId="7611BA20">
      <w:pPr>
        <w:widowControl/>
        <w:spacing w:line="360" w:lineRule="auto"/>
        <w:jc w:val="center"/>
        <w:outlineLvl w:val="0"/>
        <w:rPr>
          <w:rFonts w:ascii="Times New Roman" w:hAnsi="Times New Roman" w:cs="Times New Roman"/>
          <w:b/>
          <w:color w:val="000000" w:themeColor="text1"/>
          <w:sz w:val="32"/>
          <w:szCs w:val="32"/>
          <w14:textFill>
            <w14:solidFill>
              <w14:schemeClr w14:val="tx1"/>
            </w14:solidFill>
          </w14:textFill>
        </w:rPr>
      </w:pPr>
      <w:bookmarkStart w:id="120" w:name="_Toc57819245"/>
      <w:bookmarkStart w:id="121" w:name="_Toc13270"/>
      <w:bookmarkStart w:id="122" w:name="_Toc19154"/>
      <w:r>
        <w:rPr>
          <w:rFonts w:ascii="Times New Roman" w:hAnsi="Times New Roman" w:cs="Times New Roman"/>
          <w:b/>
          <w:color w:val="000000" w:themeColor="text1"/>
          <w:sz w:val="32"/>
          <w:szCs w:val="32"/>
          <w14:textFill>
            <w14:solidFill>
              <w14:schemeClr w14:val="tx1"/>
            </w14:solidFill>
          </w14:textFill>
        </w:rPr>
        <w:t>引用标准名录</w:t>
      </w:r>
      <w:bookmarkEnd w:id="120"/>
      <w:bookmarkEnd w:id="121"/>
      <w:bookmarkEnd w:id="122"/>
    </w:p>
    <w:p w14:paraId="211E445B">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《电气装置安装工程 接地装置施工及验收规范》GB 50169</w:t>
      </w:r>
    </w:p>
    <w:p w14:paraId="21310BBC">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《建筑电气工程施工质量验收规范》GB 50303</w:t>
      </w:r>
    </w:p>
    <w:p w14:paraId="719BF95F">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《电气装置安装工程接地装置施工及验收规范》GB 50169</w:t>
      </w:r>
    </w:p>
    <w:p w14:paraId="07BA95B2">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《混凝土结构工程施工质量验收规范》GB 50204</w:t>
      </w:r>
    </w:p>
    <w:p w14:paraId="1C0D7B99">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《环境空气质量标准》GB 3095</w:t>
      </w:r>
    </w:p>
    <w:p w14:paraId="4C4B5D52">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《地表水环境质量标准》GB 3838</w:t>
      </w:r>
    </w:p>
    <w:p w14:paraId="0247EA3C">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《声环境质量标准》GB 3096</w:t>
      </w:r>
    </w:p>
    <w:p w14:paraId="1BF1B24D">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《城镇污水处理厂污染物排放标准》GB 18918</w:t>
      </w:r>
    </w:p>
    <w:p w14:paraId="2251F7CA">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《建筑施工场界环境噪声排放标准》GB 12523</w:t>
      </w:r>
    </w:p>
    <w:p w14:paraId="1938D1A2">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《地表水环境质量标准》GB 3838</w:t>
      </w:r>
    </w:p>
    <w:p w14:paraId="16931F4C">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《污水排入城镇下水道水质标准》GB/T 31962</w:t>
      </w:r>
    </w:p>
    <w:p w14:paraId="33CEE17C">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《城市污水再生利用 城市杂用水水质》GB/T 18920</w:t>
      </w:r>
    </w:p>
    <w:p w14:paraId="22AD1D47">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《城镇污水处理厂污泥处置 混合填埋用泥质》GB/T 23485</w:t>
      </w:r>
    </w:p>
    <w:p w14:paraId="6648EE5A">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《城镇污水处理厂污泥处置 园林绿化用泥质》GB/T 23486</w:t>
      </w:r>
    </w:p>
    <w:p w14:paraId="16ECF06E">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《城镇污水处理厂污泥处置 土地改良用泥质》GB/T 24600</w:t>
      </w:r>
    </w:p>
    <w:p w14:paraId="1AD0577F">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《城镇污水处理厂污泥处置 制砖用泥质》GB/T 25031</w:t>
      </w:r>
    </w:p>
    <w:p w14:paraId="45B96B11">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《建设用砂》GB/T 14684</w:t>
      </w:r>
    </w:p>
    <w:p w14:paraId="54007D4C">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《城市污水再生利用 景观环境用水水质》GB/T 18921</w:t>
      </w:r>
    </w:p>
    <w:p w14:paraId="48EC1CB8">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color w:val="000000" w:themeColor="text1"/>
          <w:sz w:val="24"/>
          <w:szCs w:val="24"/>
          <w14:textFill>
            <w14:solidFill>
              <w14:schemeClr w14:val="tx1"/>
            </w14:solidFill>
          </w14:textFill>
        </w:rPr>
        <w:t>《城市污水再生利用 杂用水水质》GB/T 18920</w:t>
      </w:r>
    </w:p>
    <w:p w14:paraId="754D5366">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《建筑垃圾处理技术标准》CJJT 134</w:t>
      </w:r>
    </w:p>
    <w:p w14:paraId="3285634C">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《城镇污水处理厂污泥处置 农用泥质》CJ/T 309</w:t>
      </w:r>
    </w:p>
    <w:p w14:paraId="423F1C2C">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《城镇污水处理厂污泥处置 林地用泥质》CJ/T 362</w:t>
      </w:r>
    </w:p>
    <w:p w14:paraId="0A289B5B">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《城镇污水处理厂污泥处置 水泥熟料生产用泥质》CJ/T 314</w:t>
      </w:r>
    </w:p>
    <w:p w14:paraId="5057D207">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542149DB">
      <w:pPr>
        <w:spacing w:line="500" w:lineRule="exact"/>
        <w:rPr>
          <w:rFonts w:ascii="Times New Roman" w:hAnsi="Times New Roman" w:eastAsia="仿宋_GB2312" w:cs="Times New Roman"/>
          <w:color w:val="000000" w:themeColor="text1"/>
          <w:sz w:val="24"/>
          <w:szCs w:val="24"/>
          <w14:textFill>
            <w14:solidFill>
              <w14:schemeClr w14:val="tx1"/>
            </w14:solidFill>
          </w14:textFill>
        </w:rPr>
      </w:pPr>
    </w:p>
    <w:p w14:paraId="1C1B454E">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5D3E86A5">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42C04274">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64C2462A">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0C0A93ED">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0CD99656">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广东省标准</w:t>
      </w:r>
    </w:p>
    <w:p w14:paraId="12690D4E">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63301551">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46AEB62B">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工程泥浆原地处理技术标准</w:t>
      </w:r>
    </w:p>
    <w:p w14:paraId="378F5F1F">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T /GDJSKB  XXXXX-2023</w:t>
      </w:r>
    </w:p>
    <w:p w14:paraId="1240F764">
      <w:pPr>
        <w:widowControl/>
        <w:spacing w:line="360" w:lineRule="auto"/>
        <w:jc w:val="center"/>
        <w:outlineLvl w:val="0"/>
        <w:rPr>
          <w:rFonts w:ascii="Times New Roman" w:hAnsi="Times New Roman" w:cs="Times New Roman"/>
          <w:b/>
          <w:color w:val="000000" w:themeColor="text1"/>
          <w:sz w:val="32"/>
          <w:szCs w:val="32"/>
          <w14:textFill>
            <w14:solidFill>
              <w14:schemeClr w14:val="tx1"/>
            </w14:solidFill>
          </w14:textFill>
        </w:rPr>
      </w:pPr>
      <w:bookmarkStart w:id="123" w:name="_Toc28761"/>
      <w:bookmarkStart w:id="124" w:name="_Toc57819246"/>
      <w:bookmarkStart w:id="125" w:name="_Toc5428"/>
      <w:r>
        <w:rPr>
          <w:rFonts w:ascii="Times New Roman" w:hAnsi="Times New Roman" w:cs="Times New Roman"/>
          <w:b/>
          <w:color w:val="000000" w:themeColor="text1"/>
          <w:sz w:val="32"/>
          <w:szCs w:val="32"/>
          <w14:textFill>
            <w14:solidFill>
              <w14:schemeClr w14:val="tx1"/>
            </w14:solidFill>
          </w14:textFill>
        </w:rPr>
        <w:t>条文说明</w:t>
      </w:r>
      <w:bookmarkEnd w:id="123"/>
      <w:bookmarkEnd w:id="124"/>
      <w:bookmarkEnd w:id="125"/>
    </w:p>
    <w:p w14:paraId="615F639C">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237D3EED">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16E3C91D">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3BA72E29">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1AF71F59">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157A4C83">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0FD5F364">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1DE706D7">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42FE32D5">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2CF0EF38">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17A29F75">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54CC06B2">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439595A8">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p w14:paraId="3229C789">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制定说明</w:t>
      </w:r>
    </w:p>
    <w:p w14:paraId="5C9B1A62">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4ECB98BD">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工程泥浆原地处理技术标准</w:t>
      </w:r>
      <w:r>
        <w:rPr>
          <w:rFonts w:ascii="Times New Roman" w:hAnsi="Times New Roman" w:eastAsia="仿宋_GB2312" w:cs="Times New Roman"/>
          <w:color w:val="000000" w:themeColor="text1"/>
          <w:sz w:val="24"/>
          <w:szCs w:val="24"/>
          <w14:textFill>
            <w14:solidFill>
              <w14:schemeClr w14:val="tx1"/>
            </w14:solidFill>
          </w14:textFill>
        </w:rPr>
        <w:t>》T /GDJSKB  XXXXX-2023，经广东省住房和城乡建设厅xx年x月x日以粤建公告</w:t>
      </w:r>
      <w:r>
        <w:rPr>
          <w:rFonts w:hint="eastAsia" w:ascii="Times New Roman" w:hAnsi="Times New Roman" w:eastAsia="仿宋_GB2312" w:cs="Times New Roman"/>
          <w:color w:val="000000" w:themeColor="text1"/>
          <w:sz w:val="24"/>
          <w:szCs w:val="24"/>
          <w14:textFill>
            <w14:solidFill>
              <w14:schemeClr w14:val="tx1"/>
            </w14:solidFill>
          </w14:textFill>
        </w:rPr>
        <w:t>2</w:t>
      </w:r>
      <w:r>
        <w:rPr>
          <w:rFonts w:ascii="Times New Roman" w:hAnsi="Times New Roman" w:eastAsia="仿宋_GB2312" w:cs="Times New Roman"/>
          <w:color w:val="000000" w:themeColor="text1"/>
          <w:sz w:val="24"/>
          <w:szCs w:val="24"/>
          <w14:textFill>
            <w14:solidFill>
              <w14:schemeClr w14:val="tx1"/>
            </w14:solidFill>
          </w14:textFill>
        </w:rPr>
        <w:t>02x</w:t>
      </w:r>
      <w:r>
        <w:rPr>
          <w:rFonts w:hint="eastAsia" w:ascii="微软雅黑" w:hAnsi="微软雅黑" w:eastAsia="微软雅黑" w:cs="微软雅黑"/>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xx号批准发布。</w:t>
      </w:r>
    </w:p>
    <w:p w14:paraId="1B63E028">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本标准在制订过程中，编制组遵循了技术先进、安全有效、经济合理、突出地方特色的原则。在对广东省</w:t>
      </w:r>
      <w:r>
        <w:rPr>
          <w:rFonts w:hint="eastAsia" w:ascii="Times New Roman" w:hAnsi="Times New Roman" w:eastAsia="仿宋_GB2312" w:cs="Times New Roman"/>
          <w:color w:val="000000" w:themeColor="text1"/>
          <w:sz w:val="24"/>
          <w:szCs w:val="24"/>
          <w14:textFill>
            <w14:solidFill>
              <w14:schemeClr w14:val="tx1"/>
            </w14:solidFill>
          </w14:textFill>
        </w:rPr>
        <w:t>工程泥浆原地处理的实践经验和有关研究成果调查研究的基础上，参考了国内外相关规范和标准，对场地布置和系统设计、系统安装和验收、施工现场泥浆处理、处理效果检测和评价、资源化利用等作出了相应规定。</w:t>
      </w:r>
    </w:p>
    <w:p w14:paraId="20BE29CC">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t>为便于广大</w:t>
      </w:r>
      <w:r>
        <w:rPr>
          <w:rFonts w:hint="eastAsia" w:ascii="Times New Roman" w:hAnsi="Times New Roman" w:eastAsia="仿宋_GB2312" w:cs="Times New Roman"/>
          <w:color w:val="000000" w:themeColor="text1"/>
          <w:sz w:val="24"/>
          <w:szCs w:val="24"/>
          <w14:textFill>
            <w14:solidFill>
              <w14:schemeClr w14:val="tx1"/>
            </w14:solidFill>
          </w14:textFill>
        </w:rPr>
        <w:t>工程泥浆原地处理</w:t>
      </w:r>
      <w:r>
        <w:rPr>
          <w:rFonts w:ascii="Times New Roman" w:hAnsi="Times New Roman" w:eastAsia="仿宋_GB2312" w:cs="Times New Roman"/>
          <w:color w:val="000000" w:themeColor="text1"/>
          <w:sz w:val="24"/>
          <w:szCs w:val="24"/>
          <w14:textFill>
            <w14:solidFill>
              <w14:schemeClr w14:val="tx1"/>
            </w14:solidFill>
          </w14:textFill>
        </w:rPr>
        <w:t>技术人员在使用本标准时能正确理解和执行条文规定，</w:t>
      </w:r>
      <w:r>
        <w:rPr>
          <w:rFonts w:hint="eastAsia" w:ascii="Times New Roman" w:hAnsi="Times New Roman" w:eastAsia="仿宋_GB2312" w:cs="Times New Roman"/>
          <w:color w:val="000000" w:themeColor="text1"/>
          <w:sz w:val="24"/>
          <w:szCs w:val="24"/>
          <w14:textFill>
            <w14:solidFill>
              <w14:schemeClr w14:val="tx1"/>
            </w14:solidFill>
          </w14:textFill>
        </w:rPr>
        <w:t>《工程泥浆原地处理技术标准》编制组按章、节、条顺序编制了条文说明，对条文规定的目的、依据以及执行中需要注意的有关事项进行了说明。本条文说明不具备与标准正文同等的法律效力，仅供使用者作为理解和把握标准规定的参考。</w:t>
      </w:r>
    </w:p>
    <w:p w14:paraId="3F00E659">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45646BD9">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07D8A9B1">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1DF29364">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7E0D1D9E">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583642BD">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32160904">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1264B7D8">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3CEDA7B2">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0447236C">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38268BD9">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39CFE4B7">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778614FF">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pPr>
    </w:p>
    <w:p w14:paraId="39E37268">
      <w:pPr>
        <w:widowControl/>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1790CACB">
      <w:pPr>
        <w:widowControl/>
        <w:spacing w:line="360" w:lineRule="auto"/>
        <w:rPr>
          <w:rFonts w:ascii="Times New Roman" w:hAnsi="Times New Roman" w:cs="Times New Roman"/>
          <w:b/>
          <w:color w:val="000000" w:themeColor="text1"/>
          <w:sz w:val="32"/>
          <w:szCs w:val="32"/>
          <w14:textFill>
            <w14:solidFill>
              <w14:schemeClr w14:val="tx1"/>
            </w14:solidFill>
          </w14:textFill>
        </w:rPr>
      </w:pPr>
    </w:p>
    <w:p w14:paraId="65A8C7C9">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r>
        <w:rPr>
          <w:rFonts w:ascii="Times New Roman" w:hAnsi="Times New Roman" w:cs="Times New Roman"/>
          <w:b/>
          <w:color w:val="000000" w:themeColor="text1"/>
          <w:sz w:val="32"/>
          <w:szCs w:val="32"/>
          <w14:textFill>
            <w14:solidFill>
              <w14:schemeClr w14:val="tx1"/>
            </w14:solidFill>
          </w14:textFill>
        </w:rPr>
        <w:t>目    次</w:t>
      </w:r>
    </w:p>
    <w:p w14:paraId="17055937">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pPr>
    </w:p>
    <w:sdt>
      <w:sdtPr>
        <w:rPr>
          <w:rFonts w:ascii="Times New Roman" w:hAnsi="Times New Roman" w:eastAsia="宋体" w:cs="Times New Roman"/>
          <w:color w:val="000000" w:themeColor="text1"/>
          <w:szCs w:val="21"/>
          <w:lang w:val="zh-CN"/>
          <w14:textFill>
            <w14:solidFill>
              <w14:schemeClr w14:val="tx1"/>
            </w14:solidFill>
          </w14:textFill>
        </w:rPr>
        <w:id w:val="-551919893"/>
        <w:docPartObj>
          <w:docPartGallery w:val="Table of Contents"/>
          <w:docPartUnique/>
        </w:docPartObj>
      </w:sdtPr>
      <w:sdtEndPr>
        <w:rPr>
          <w:rFonts w:ascii="Times New Roman" w:hAnsi="Times New Roman" w:eastAsia="宋体" w:cs="Times New Roman"/>
          <w:color w:val="000000" w:themeColor="text1"/>
          <w:szCs w:val="21"/>
          <w:lang w:val="en-US"/>
          <w14:textFill>
            <w14:solidFill>
              <w14:schemeClr w14:val="tx1"/>
            </w14:solidFill>
          </w14:textFill>
        </w:rPr>
      </w:sdtEndPr>
      <w:sdtContent>
        <w:p w14:paraId="433C5BBC">
          <w:pPr>
            <w:spacing w:line="288" w:lineRule="auto"/>
            <w:rPr>
              <w:rFonts w:ascii="Times New Roman" w:hAnsi="Times New Roman" w:cs="Times New Roman"/>
              <w:color w:val="000000" w:themeColor="text1"/>
              <w14:textFill>
                <w14:solidFill>
                  <w14:schemeClr w14:val="tx1"/>
                </w14:solidFill>
              </w14:textFill>
            </w:rPr>
          </w:pPr>
          <w:r>
            <w:rPr>
              <w:rFonts w:ascii="Times New Roman" w:hAnsi="Times New Roman" w:cs="Times New Roman"/>
              <w:color w:val="000000" w:themeColor="text1"/>
              <w14:textFill>
                <w14:solidFill>
                  <w14:schemeClr w14:val="tx1"/>
                </w14:solidFill>
              </w14:textFill>
            </w:rPr>
            <w:t>1 总则</w:t>
          </w:r>
          <w:r>
            <w:rPr>
              <w:rFonts w:ascii="Times New Roman" w:hAnsi="Times New Roman" w:eastAsia="宋体" w:cs="Times New Roman"/>
              <w:color w:val="000000" w:themeColor="text1"/>
              <w:szCs w:val="21"/>
              <w14:textFill>
                <w14:solidFill>
                  <w14:schemeClr w14:val="tx1"/>
                </w14:solidFill>
              </w14:textFill>
            </w:rPr>
            <w:ptab w:relativeTo="margin" w:alignment="right" w:leader="dot"/>
          </w:r>
          <w:r>
            <w:rPr>
              <w:rFonts w:ascii="Times New Roman" w:hAnsi="Times New Roman" w:cs="Times New Roman"/>
              <w:color w:val="000000" w:themeColor="text1"/>
              <w14:textFill>
                <w14:solidFill>
                  <w14:schemeClr w14:val="tx1"/>
                </w14:solidFill>
              </w14:textFill>
            </w:rPr>
            <w:t>20</w:t>
          </w:r>
        </w:p>
        <w:p w14:paraId="7D982372">
          <w:pPr>
            <w:pStyle w:val="11"/>
            <w:spacing w:before="78" w:after="78" w:line="288"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2 术语和符号</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21</w:t>
          </w:r>
        </w:p>
        <w:p w14:paraId="5094B8AF">
          <w:pPr>
            <w:pStyle w:val="11"/>
            <w:spacing w:before="78" w:after="78" w:line="288"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3 基本规定</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22</w:t>
          </w:r>
        </w:p>
        <w:p w14:paraId="747DFD8B">
          <w:pPr>
            <w:pStyle w:val="11"/>
            <w:spacing w:before="78" w:after="78" w:line="288"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 规划和设计</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23</w:t>
          </w:r>
        </w:p>
        <w:p w14:paraId="6D02965A">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4.2 </w:t>
          </w:r>
          <w:r>
            <w:rPr>
              <w:rFonts w:hint="eastAsia" w:ascii="Times New Roman"/>
              <w:color w:val="000000" w:themeColor="text1"/>
              <w14:textFill>
                <w14:solidFill>
                  <w14:schemeClr w14:val="tx1"/>
                </w14:solidFill>
              </w14:textFill>
            </w:rPr>
            <w:t>场地</w:t>
          </w:r>
          <w:r>
            <w:rPr>
              <w:rFonts w:ascii="Times New Roman"/>
              <w:color w:val="000000" w:themeColor="text1"/>
              <w14:textFill>
                <w14:solidFill>
                  <w14:schemeClr w14:val="tx1"/>
                </w14:solidFill>
              </w14:textFill>
            </w:rPr>
            <w:t>布置</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23</w:t>
          </w:r>
        </w:p>
        <w:p w14:paraId="54D0E589">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 xml:space="preserve">4.3 </w:t>
          </w:r>
          <w:r>
            <w:rPr>
              <w:rFonts w:hint="eastAsia" w:ascii="Times New Roman"/>
              <w:color w:val="000000" w:themeColor="text1"/>
              <w14:textFill>
                <w14:solidFill>
                  <w14:schemeClr w14:val="tx1"/>
                </w14:solidFill>
              </w14:textFill>
            </w:rPr>
            <w:t>系统设计</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24</w:t>
          </w:r>
        </w:p>
        <w:p w14:paraId="2074B3E3">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4.4 安全和环保</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24</w:t>
          </w:r>
        </w:p>
        <w:p w14:paraId="3825BEA4">
          <w:pPr>
            <w:pStyle w:val="11"/>
            <w:spacing w:before="78" w:after="78" w:line="288"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 安装和验收</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25</w:t>
          </w:r>
        </w:p>
        <w:p w14:paraId="1B0F75BE">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5.1 一般规定</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25</w:t>
          </w:r>
        </w:p>
        <w:p w14:paraId="3B24BD89">
          <w:pPr>
            <w:pStyle w:val="11"/>
            <w:spacing w:before="78" w:after="78" w:line="288"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 施工现场泥浆处理</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26</w:t>
          </w:r>
        </w:p>
        <w:p w14:paraId="0B87FD80">
          <w:pPr>
            <w:pStyle w:val="11"/>
            <w:spacing w:before="78" w:after="78" w:line="288" w:lineRule="auto"/>
            <w:ind w:firstLine="210" w:firstLineChars="100"/>
            <w:rPr>
              <w:rFonts w:ascii="Times New Roman"/>
              <w:color w:val="000000" w:themeColor="text1"/>
              <w14:textFill>
                <w14:solidFill>
                  <w14:schemeClr w14:val="tx1"/>
                </w14:solidFill>
              </w14:textFill>
            </w:rPr>
          </w:pPr>
          <w:bookmarkStart w:id="126" w:name="_Hlk52357203"/>
          <w:r>
            <w:rPr>
              <w:rFonts w:ascii="Times New Roman"/>
              <w:color w:val="000000" w:themeColor="text1"/>
              <w14:textFill>
                <w14:solidFill>
                  <w14:schemeClr w14:val="tx1"/>
                </w14:solidFill>
              </w14:textFill>
            </w:rPr>
            <w:t>6.1 一般规定</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26</w:t>
          </w:r>
        </w:p>
        <w:p w14:paraId="7B14CAF9">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6.2 施工现场泥浆处理</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26</w:t>
          </w:r>
        </w:p>
        <w:p w14:paraId="170BC2CB">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hint="eastAsia" w:ascii="Times New Roman"/>
              <w:color w:val="000000" w:themeColor="text1"/>
              <w14:textFill>
                <w14:solidFill>
                  <w14:schemeClr w14:val="tx1"/>
                </w14:solidFill>
              </w14:textFill>
            </w:rPr>
            <w:t>6.3</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计算</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26</w:t>
          </w:r>
        </w:p>
        <w:bookmarkEnd w:id="126"/>
        <w:p w14:paraId="67BBAA7D">
          <w:pPr>
            <w:pStyle w:val="11"/>
            <w:spacing w:before="78" w:after="78" w:line="288" w:lineRule="auto"/>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 处理效果检测和评价</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27</w:t>
          </w:r>
        </w:p>
        <w:p w14:paraId="25887D51">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w:t>
          </w:r>
          <w:r>
            <w:rPr>
              <w:rFonts w:hint="eastAsia" w:ascii="Times New Roman"/>
              <w:color w:val="000000" w:themeColor="text1"/>
              <w14:textFill>
                <w14:solidFill>
                  <w14:schemeClr w14:val="tx1"/>
                </w14:solidFill>
              </w14:textFill>
            </w:rPr>
            <w:t>1</w:t>
          </w:r>
          <w:r>
            <w:rPr>
              <w:rFonts w:ascii="Times New Roman"/>
              <w:color w:val="000000" w:themeColor="text1"/>
              <w14:textFill>
                <w14:solidFill>
                  <w14:schemeClr w14:val="tx1"/>
                </w14:solidFill>
              </w14:textFill>
            </w:rPr>
            <w:t xml:space="preserve"> </w:t>
          </w:r>
          <w:r>
            <w:rPr>
              <w:rFonts w:hint="eastAsia" w:ascii="Times New Roman"/>
              <w:color w:val="000000" w:themeColor="text1"/>
              <w14:textFill>
                <w14:solidFill>
                  <w14:schemeClr w14:val="tx1"/>
                </w14:solidFill>
              </w14:textFill>
            </w:rPr>
            <w:t>一般规定</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27</w:t>
          </w:r>
        </w:p>
        <w:p w14:paraId="003C423B">
          <w:pPr>
            <w:pStyle w:val="11"/>
            <w:spacing w:before="78" w:after="78" w:line="288" w:lineRule="auto"/>
            <w:ind w:firstLine="210" w:firstLineChars="100"/>
            <w:rPr>
              <w:rFonts w:ascii="Times New Roman"/>
              <w:color w:val="000000" w:themeColor="text1"/>
              <w14:textFill>
                <w14:solidFill>
                  <w14:schemeClr w14:val="tx1"/>
                </w14:solidFill>
              </w14:textFill>
            </w:rPr>
          </w:pPr>
          <w:r>
            <w:rPr>
              <w:rFonts w:ascii="Times New Roman"/>
              <w:color w:val="000000" w:themeColor="text1"/>
              <w14:textFill>
                <w14:solidFill>
                  <w14:schemeClr w14:val="tx1"/>
                </w14:solidFill>
              </w14:textFill>
            </w:rPr>
            <w:t>7.3 处理效果评价</w:t>
          </w:r>
          <w:r>
            <w:rPr>
              <w:rFonts w:ascii="Times New Roman"/>
              <w:color w:val="000000" w:themeColor="text1"/>
              <w14:textFill>
                <w14:solidFill>
                  <w14:schemeClr w14:val="tx1"/>
                </w14:solidFill>
              </w14:textFill>
            </w:rPr>
            <w:ptab w:relativeTo="margin" w:alignment="right" w:leader="dot"/>
          </w:r>
          <w:r>
            <w:rPr>
              <w:rFonts w:ascii="Times New Roman"/>
              <w:color w:val="000000" w:themeColor="text1"/>
              <w14:textFill>
                <w14:solidFill>
                  <w14:schemeClr w14:val="tx1"/>
                </w14:solidFill>
              </w14:textFill>
            </w:rPr>
            <w:t>27</w:t>
          </w:r>
        </w:p>
        <w:p w14:paraId="22C56E95">
          <w:pPr>
            <w:pStyle w:val="11"/>
            <w:spacing w:before="78" w:after="78" w:line="288" w:lineRule="auto"/>
            <w:rPr>
              <w:rFonts w:ascii="Times New Roman"/>
              <w:color w:val="000000" w:themeColor="text1"/>
              <w14:textFill>
                <w14:solidFill>
                  <w14:schemeClr w14:val="tx1"/>
                </w14:solidFill>
              </w14:textFill>
            </w:rPr>
          </w:pPr>
        </w:p>
      </w:sdtContent>
    </w:sdt>
    <w:p w14:paraId="7714E94B">
      <w:pPr>
        <w:widowControl/>
        <w:spacing w:line="360" w:lineRule="auto"/>
        <w:rPr>
          <w:rFonts w:ascii="Times New Roman" w:hAnsi="Times New Roman" w:cs="Times New Roman"/>
          <w:b/>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EE9B7C9">
      <w:pPr>
        <w:pStyle w:val="2"/>
        <w:jc w:val="center"/>
        <w:rPr>
          <w:rFonts w:ascii="Times New Roman" w:hAnsi="Times New Roman" w:cs="Times New Roman"/>
          <w:color w:val="000000" w:themeColor="text1"/>
          <w:sz w:val="32"/>
          <w:szCs w:val="32"/>
          <w14:textFill>
            <w14:solidFill>
              <w14:schemeClr w14:val="tx1"/>
            </w14:solidFill>
          </w14:textFill>
        </w:rPr>
      </w:pPr>
      <w:bookmarkStart w:id="127" w:name="_Toc52358977"/>
      <w:bookmarkStart w:id="128" w:name="_Toc6779"/>
      <w:bookmarkStart w:id="129" w:name="_Toc10972"/>
      <w:bookmarkStart w:id="130" w:name="_Toc52366869"/>
      <w:bookmarkStart w:id="131" w:name="_Toc57819247"/>
      <w:bookmarkStart w:id="132" w:name="_Toc52358519"/>
      <w:bookmarkStart w:id="133" w:name="_Toc23498"/>
      <w:bookmarkStart w:id="134" w:name="_Toc51678261"/>
      <w:bookmarkStart w:id="135" w:name="_Toc73542988"/>
      <w:r>
        <w:rPr>
          <w:rFonts w:ascii="Times New Roman" w:hAnsi="Times New Roman" w:cs="Times New Roman"/>
          <w:color w:val="000000" w:themeColor="text1"/>
          <w:sz w:val="32"/>
          <w:szCs w:val="32"/>
          <w14:textFill>
            <w14:solidFill>
              <w14:schemeClr w14:val="tx1"/>
            </w14:solidFill>
          </w14:textFill>
        </w:rPr>
        <w:t>1  总   则</w:t>
      </w:r>
      <w:bookmarkEnd w:id="127"/>
      <w:bookmarkEnd w:id="128"/>
      <w:bookmarkEnd w:id="129"/>
      <w:bookmarkEnd w:id="130"/>
      <w:bookmarkEnd w:id="131"/>
      <w:bookmarkEnd w:id="132"/>
      <w:bookmarkEnd w:id="133"/>
      <w:bookmarkEnd w:id="134"/>
      <w:bookmarkEnd w:id="135"/>
    </w:p>
    <w:p w14:paraId="773C66E5">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1.0.2</w:t>
      </w:r>
      <w:r>
        <w:rPr>
          <w:rFonts w:ascii="Times New Roman" w:hAnsi="Times New Roman" w:eastAsia="仿宋_GB2312" w:cs="Times New Roman"/>
          <w:color w:val="000000" w:themeColor="text1"/>
          <w:sz w:val="24"/>
          <w:szCs w:val="24"/>
          <w14:textFill>
            <w14:solidFill>
              <w14:schemeClr w14:val="tx1"/>
            </w14:solidFill>
          </w14:textFill>
        </w:rPr>
        <w:t xml:space="preserve">  工程建设是指轨道交通工程、建筑工程和市政工程等建设。</w:t>
      </w:r>
    </w:p>
    <w:p w14:paraId="188828C6">
      <w:pPr>
        <w:spacing w:line="360" w:lineRule="auto"/>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4D636199">
      <w:pPr>
        <w:pStyle w:val="2"/>
        <w:jc w:val="center"/>
        <w:rPr>
          <w:rFonts w:ascii="Times New Roman" w:hAnsi="Times New Roman" w:cs="Times New Roman"/>
          <w:color w:val="000000" w:themeColor="text1"/>
          <w:sz w:val="32"/>
          <w:szCs w:val="32"/>
          <w14:textFill>
            <w14:solidFill>
              <w14:schemeClr w14:val="tx1"/>
            </w14:solidFill>
          </w14:textFill>
        </w:rPr>
      </w:pPr>
      <w:bookmarkStart w:id="136" w:name="_Toc57819248"/>
      <w:bookmarkStart w:id="137" w:name="_Toc52366870"/>
      <w:bookmarkStart w:id="138" w:name="_Toc26367"/>
      <w:bookmarkStart w:id="139" w:name="_Toc52358520"/>
      <w:bookmarkStart w:id="140" w:name="_Toc30764"/>
      <w:bookmarkStart w:id="141" w:name="_Toc73542989"/>
      <w:bookmarkStart w:id="142" w:name="_Toc51678262"/>
      <w:bookmarkStart w:id="143" w:name="_Toc23023"/>
      <w:bookmarkStart w:id="144" w:name="_Toc52358978"/>
      <w:r>
        <w:rPr>
          <w:rFonts w:ascii="Times New Roman" w:hAnsi="Times New Roman" w:cs="Times New Roman"/>
          <w:color w:val="000000" w:themeColor="text1"/>
          <w:sz w:val="32"/>
          <w:szCs w:val="32"/>
          <w14:textFill>
            <w14:solidFill>
              <w14:schemeClr w14:val="tx1"/>
            </w14:solidFill>
          </w14:textFill>
        </w:rPr>
        <w:t>2  术语和符号</w:t>
      </w:r>
      <w:bookmarkEnd w:id="136"/>
      <w:bookmarkEnd w:id="137"/>
      <w:bookmarkEnd w:id="138"/>
      <w:bookmarkEnd w:id="139"/>
      <w:bookmarkEnd w:id="140"/>
      <w:bookmarkEnd w:id="141"/>
      <w:bookmarkEnd w:id="142"/>
      <w:bookmarkEnd w:id="143"/>
      <w:bookmarkEnd w:id="144"/>
    </w:p>
    <w:p w14:paraId="78A40BB0">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2.1.1</w:t>
      </w:r>
      <w:r>
        <w:rPr>
          <w:rFonts w:ascii="Times New Roman" w:hAnsi="Times New Roman" w:eastAsia="仿宋_GB2312" w:cs="Times New Roman"/>
          <w:color w:val="000000" w:themeColor="text1"/>
          <w:sz w:val="24"/>
          <w:szCs w:val="24"/>
          <w14:textFill>
            <w14:solidFill>
              <w14:schemeClr w14:val="tx1"/>
            </w14:solidFill>
          </w14:textFill>
        </w:rPr>
        <w:t>工程泥浆主要是指</w:t>
      </w:r>
      <w:r>
        <w:rPr>
          <w:rFonts w:hint="eastAsia" w:ascii="Times New Roman" w:hAnsi="Times New Roman" w:eastAsia="仿宋_GB2312" w:cs="Times New Roman"/>
          <w:color w:val="000000" w:themeColor="text1"/>
          <w:sz w:val="24"/>
          <w:szCs w:val="24"/>
          <w14:textFill>
            <w14:solidFill>
              <w14:schemeClr w14:val="tx1"/>
            </w14:solidFill>
          </w14:textFill>
        </w:rPr>
        <w:t>城市轨道交通</w:t>
      </w:r>
      <w:r>
        <w:rPr>
          <w:rFonts w:ascii="Times New Roman" w:hAnsi="Times New Roman" w:eastAsia="仿宋_GB2312" w:cs="Times New Roman"/>
          <w:color w:val="000000" w:themeColor="text1"/>
          <w:sz w:val="24"/>
          <w:szCs w:val="24"/>
          <w14:textFill>
            <w14:solidFill>
              <w14:schemeClr w14:val="tx1"/>
            </w14:solidFill>
          </w14:textFill>
        </w:rPr>
        <w:t>盾构</w:t>
      </w:r>
      <w:r>
        <w:rPr>
          <w:rFonts w:hint="eastAsia" w:ascii="Times New Roman" w:hAnsi="Times New Roman" w:eastAsia="仿宋_GB2312" w:cs="Times New Roman"/>
          <w:color w:val="000000" w:themeColor="text1"/>
          <w:sz w:val="24"/>
          <w:szCs w:val="24"/>
          <w14:textFill>
            <w14:solidFill>
              <w14:schemeClr w14:val="tx1"/>
            </w14:solidFill>
          </w14:textFill>
        </w:rPr>
        <w:t>、水利</w:t>
      </w:r>
      <w:r>
        <w:rPr>
          <w:rFonts w:ascii="Times New Roman" w:hAnsi="Times New Roman" w:eastAsia="仿宋_GB2312" w:cs="Times New Roman"/>
          <w:color w:val="000000" w:themeColor="text1"/>
          <w:sz w:val="24"/>
          <w:szCs w:val="24"/>
          <w14:textFill>
            <w14:solidFill>
              <w14:schemeClr w14:val="tx1"/>
            </w14:solidFill>
          </w14:textFill>
        </w:rPr>
        <w:t>盾构</w:t>
      </w:r>
      <w:r>
        <w:rPr>
          <w:rFonts w:hint="eastAsia" w:ascii="Times New Roman" w:hAnsi="Times New Roman" w:eastAsia="仿宋_GB2312" w:cs="Times New Roman"/>
          <w:color w:val="000000" w:themeColor="text1"/>
          <w:sz w:val="24"/>
          <w:szCs w:val="24"/>
          <w14:textFill>
            <w14:solidFill>
              <w14:schemeClr w14:val="tx1"/>
            </w14:solidFill>
          </w14:textFill>
        </w:rPr>
        <w:t>、管廊</w:t>
      </w:r>
      <w:r>
        <w:rPr>
          <w:rFonts w:ascii="Times New Roman" w:hAnsi="Times New Roman" w:eastAsia="仿宋_GB2312" w:cs="Times New Roman"/>
          <w:color w:val="000000" w:themeColor="text1"/>
          <w:sz w:val="24"/>
          <w:szCs w:val="24"/>
          <w14:textFill>
            <w14:solidFill>
              <w14:schemeClr w14:val="tx1"/>
            </w14:solidFill>
          </w14:textFill>
        </w:rPr>
        <w:t>盾构、水平定向钻、泥水顶管、钻</w:t>
      </w:r>
      <w:r>
        <w:rPr>
          <w:rFonts w:hint="eastAsia" w:ascii="Times New Roman" w:hAnsi="Times New Roman" w:eastAsia="仿宋_GB2312" w:cs="Times New Roman"/>
          <w:color w:val="000000" w:themeColor="text1"/>
          <w:sz w:val="24"/>
          <w:szCs w:val="24"/>
          <w14:textFill>
            <w14:solidFill>
              <w14:schemeClr w14:val="tx1"/>
            </w14:solidFill>
          </w14:textFill>
        </w:rPr>
        <w:t>（冲）</w:t>
      </w:r>
      <w:r>
        <w:rPr>
          <w:rFonts w:ascii="Times New Roman" w:hAnsi="Times New Roman" w:eastAsia="仿宋_GB2312" w:cs="Times New Roman"/>
          <w:color w:val="000000" w:themeColor="text1"/>
          <w:sz w:val="24"/>
          <w:szCs w:val="24"/>
          <w14:textFill>
            <w14:solidFill>
              <w14:schemeClr w14:val="tx1"/>
            </w14:solidFill>
          </w14:textFill>
        </w:rPr>
        <w:t>孔桩和地下</w:t>
      </w:r>
      <w:r>
        <w:rPr>
          <w:rFonts w:hint="eastAsia" w:ascii="Times New Roman" w:hAnsi="Times New Roman" w:eastAsia="仿宋_GB2312" w:cs="Times New Roman"/>
          <w:color w:val="000000" w:themeColor="text1"/>
          <w:sz w:val="24"/>
          <w:szCs w:val="24"/>
          <w14:textFill>
            <w14:solidFill>
              <w14:schemeClr w14:val="tx1"/>
            </w14:solidFill>
          </w14:textFill>
        </w:rPr>
        <w:t>连续</w:t>
      </w:r>
      <w:r>
        <w:rPr>
          <w:rFonts w:ascii="Times New Roman" w:hAnsi="Times New Roman" w:eastAsia="仿宋_GB2312" w:cs="Times New Roman"/>
          <w:color w:val="000000" w:themeColor="text1"/>
          <w:sz w:val="24"/>
          <w:szCs w:val="24"/>
          <w14:textFill>
            <w14:solidFill>
              <w14:schemeClr w14:val="tx1"/>
            </w14:solidFill>
          </w14:textFill>
        </w:rPr>
        <w:t>墙等工程施工过程中产生无污染的泥土、砂石和水混合物，以下简称泥浆。</w:t>
      </w:r>
    </w:p>
    <w:p w14:paraId="4861485D">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2.1.2</w:t>
      </w:r>
      <w:r>
        <w:rPr>
          <w:rFonts w:ascii="Times New Roman" w:hAnsi="Times New Roman" w:eastAsia="仿宋_GB2312" w:cs="Times New Roman"/>
          <w:color w:val="000000" w:themeColor="text1"/>
          <w:sz w:val="24"/>
          <w:szCs w:val="24"/>
          <w14:textFill>
            <w14:solidFill>
              <w14:schemeClr w14:val="tx1"/>
            </w14:solidFill>
          </w14:textFill>
        </w:rPr>
        <w:t xml:space="preserve"> 泥浆原地处理简称泥浆处理。</w:t>
      </w:r>
    </w:p>
    <w:p w14:paraId="5721E124">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2.1.3</w:t>
      </w:r>
      <w:r>
        <w:rPr>
          <w:rFonts w:ascii="Times New Roman" w:hAnsi="Times New Roman" w:eastAsia="仿宋_GB2312" w:cs="Times New Roman"/>
          <w:color w:val="000000" w:themeColor="text1"/>
          <w:sz w:val="24"/>
          <w:szCs w:val="24"/>
          <w14:textFill>
            <w14:solidFill>
              <w14:schemeClr w14:val="tx1"/>
            </w14:solidFill>
          </w14:textFill>
        </w:rPr>
        <w:t>工程泥浆原地处理系统简称泥浆处理系统。</w:t>
      </w:r>
    </w:p>
    <w:p w14:paraId="49C6F540">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2.1.4 </w:t>
      </w:r>
      <w:r>
        <w:rPr>
          <w:rFonts w:ascii="Times New Roman" w:hAnsi="Times New Roman" w:eastAsia="仿宋_GB2312" w:cs="Times New Roman"/>
          <w:color w:val="000000" w:themeColor="text1"/>
          <w:sz w:val="24"/>
          <w:szCs w:val="24"/>
          <w14:textFill>
            <w14:solidFill>
              <w14:schemeClr w14:val="tx1"/>
            </w14:solidFill>
          </w14:textFill>
        </w:rPr>
        <w:t>在工程施工过程中主要根据泥浆的类型和特点选用合适的泥浆泵进行收集。</w:t>
      </w:r>
    </w:p>
    <w:p w14:paraId="70BB638D">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2.1.5</w:t>
      </w:r>
      <w:r>
        <w:rPr>
          <w:rFonts w:hint="eastAsia" w:ascii="Times New Roman" w:hAnsi="Times New Roman" w:eastAsia="仿宋_GB2312" w:cs="Times New Roman"/>
          <w:color w:val="000000" w:themeColor="text1"/>
          <w:sz w:val="24"/>
          <w:szCs w:val="24"/>
          <w14:textFill>
            <w14:solidFill>
              <w14:schemeClr w14:val="tx1"/>
            </w14:solidFill>
          </w14:textFill>
        </w:rPr>
        <w:t xml:space="preserve"> 清液是通过压滤机在压榨过程中排出的滤液</w:t>
      </w:r>
    </w:p>
    <w:p w14:paraId="3D08DD25">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2.1.6 </w:t>
      </w:r>
      <w:r>
        <w:rPr>
          <w:rFonts w:ascii="Times New Roman" w:hAnsi="Times New Roman" w:eastAsia="仿宋_GB2312" w:cs="Times New Roman"/>
          <w:color w:val="000000" w:themeColor="text1"/>
          <w:sz w:val="24"/>
          <w:szCs w:val="24"/>
          <w14:textFill>
            <w14:solidFill>
              <w14:schemeClr w14:val="tx1"/>
            </w14:solidFill>
          </w14:textFill>
        </w:rPr>
        <w:t>目前常见的尾渣处置方式有循环利用和</w:t>
      </w:r>
      <w:r>
        <w:rPr>
          <w:rFonts w:hint="eastAsia" w:ascii="Times New Roman" w:hAnsi="Times New Roman" w:eastAsia="仿宋_GB2312" w:cs="Times New Roman"/>
          <w:color w:val="000000" w:themeColor="text1"/>
          <w:sz w:val="24"/>
          <w:szCs w:val="24"/>
          <w14:textFill>
            <w14:solidFill>
              <w14:schemeClr w14:val="tx1"/>
            </w14:solidFill>
          </w14:textFill>
        </w:rPr>
        <w:t>一般</w:t>
      </w:r>
      <w:r>
        <w:rPr>
          <w:rFonts w:ascii="Times New Roman" w:hAnsi="Times New Roman" w:eastAsia="仿宋_GB2312" w:cs="Times New Roman"/>
          <w:color w:val="000000" w:themeColor="text1"/>
          <w:sz w:val="24"/>
          <w:szCs w:val="24"/>
          <w14:textFill>
            <w14:solidFill>
              <w14:schemeClr w14:val="tx1"/>
            </w14:solidFill>
          </w14:textFill>
        </w:rPr>
        <w:t>固废处置</w:t>
      </w:r>
      <w:r>
        <w:rPr>
          <w:rFonts w:hint="eastAsia" w:ascii="Times New Roman" w:hAnsi="Times New Roman" w:eastAsia="仿宋_GB2312" w:cs="Times New Roman"/>
          <w:color w:val="000000" w:themeColor="text1"/>
          <w:sz w:val="24"/>
          <w:szCs w:val="24"/>
          <w14:textFill>
            <w14:solidFill>
              <w14:schemeClr w14:val="tx1"/>
            </w14:solidFill>
          </w14:textFill>
        </w:rPr>
        <w:t>等</w:t>
      </w:r>
      <w:r>
        <w:rPr>
          <w:rFonts w:ascii="Times New Roman" w:hAnsi="Times New Roman" w:eastAsia="仿宋_GB2312" w:cs="Times New Roman"/>
          <w:color w:val="000000" w:themeColor="text1"/>
          <w:sz w:val="24"/>
          <w:szCs w:val="24"/>
          <w14:textFill>
            <w14:solidFill>
              <w14:schemeClr w14:val="tx1"/>
            </w14:solidFill>
          </w14:textFill>
        </w:rPr>
        <w:t>。</w:t>
      </w:r>
    </w:p>
    <w:p w14:paraId="35DF8943">
      <w:pPr>
        <w:spacing w:line="360" w:lineRule="auto"/>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04C07EE5">
      <w:pPr>
        <w:pStyle w:val="2"/>
        <w:jc w:val="center"/>
        <w:rPr>
          <w:rFonts w:ascii="Times New Roman" w:hAnsi="Times New Roman" w:cs="Times New Roman"/>
          <w:color w:val="000000" w:themeColor="text1"/>
          <w:sz w:val="32"/>
          <w:szCs w:val="32"/>
          <w14:textFill>
            <w14:solidFill>
              <w14:schemeClr w14:val="tx1"/>
            </w14:solidFill>
          </w14:textFill>
        </w:rPr>
      </w:pPr>
      <w:bookmarkStart w:id="145" w:name="_Toc73542990"/>
      <w:bookmarkStart w:id="146" w:name="_Toc51678263"/>
      <w:bookmarkStart w:id="147" w:name="_Toc52366871"/>
      <w:bookmarkStart w:id="148" w:name="_Toc52358521"/>
      <w:bookmarkStart w:id="149" w:name="_Toc52358979"/>
      <w:bookmarkStart w:id="150" w:name="_Toc57819249"/>
      <w:bookmarkStart w:id="151" w:name="_Toc5292"/>
      <w:bookmarkStart w:id="152" w:name="_Toc26815"/>
      <w:bookmarkStart w:id="153" w:name="_Toc517"/>
      <w:r>
        <w:rPr>
          <w:rFonts w:ascii="Times New Roman" w:hAnsi="Times New Roman" w:cs="Times New Roman"/>
          <w:color w:val="000000" w:themeColor="text1"/>
          <w:sz w:val="32"/>
          <w:szCs w:val="32"/>
          <w14:textFill>
            <w14:solidFill>
              <w14:schemeClr w14:val="tx1"/>
            </w14:solidFill>
          </w14:textFill>
        </w:rPr>
        <w:t>3 基本规定</w:t>
      </w:r>
      <w:bookmarkEnd w:id="145"/>
      <w:bookmarkEnd w:id="146"/>
      <w:bookmarkEnd w:id="147"/>
      <w:bookmarkEnd w:id="148"/>
      <w:bookmarkEnd w:id="149"/>
      <w:bookmarkEnd w:id="150"/>
      <w:bookmarkEnd w:id="151"/>
      <w:bookmarkEnd w:id="152"/>
      <w:bookmarkEnd w:id="153"/>
    </w:p>
    <w:p w14:paraId="67D0C472">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3.0.1 </w:t>
      </w:r>
      <w:r>
        <w:rPr>
          <w:rFonts w:ascii="Times New Roman" w:hAnsi="Times New Roman" w:eastAsia="仿宋_GB2312" w:cs="Times New Roman"/>
          <w:color w:val="000000" w:themeColor="text1"/>
          <w:sz w:val="24"/>
          <w:szCs w:val="24"/>
          <w14:textFill>
            <w14:solidFill>
              <w14:schemeClr w14:val="tx1"/>
            </w14:solidFill>
          </w14:textFill>
        </w:rPr>
        <w:t>泥浆处理可根据泥浆的种类添加泥浆处理剂。</w:t>
      </w:r>
    </w:p>
    <w:p w14:paraId="4F0D3E87">
      <w:pPr>
        <w:spacing w:line="360" w:lineRule="auto"/>
        <w:rPr>
          <w:rFonts w:ascii="Times New Roman" w:hAnsi="Times New Roman" w:eastAsia="仿宋_GB2312" w:cs="Times New Roman"/>
          <w:b/>
          <w:color w:val="000000" w:themeColor="text1"/>
          <w:sz w:val="24"/>
          <w:szCs w:val="24"/>
          <w14:textFill>
            <w14:solidFill>
              <w14:schemeClr w14:val="tx1"/>
            </w14:solidFill>
          </w14:textFill>
        </w:rPr>
      </w:pPr>
      <w:r>
        <w:rPr>
          <w:rFonts w:hint="eastAsia" w:ascii="Times New Roman" w:hAnsi="Times New Roman" w:eastAsia="仿宋_GB2312" w:cs="Times New Roman"/>
          <w:b/>
          <w:color w:val="000000" w:themeColor="text1"/>
          <w:sz w:val="24"/>
          <w:szCs w:val="24"/>
          <w14:textFill>
            <w14:solidFill>
              <w14:schemeClr w14:val="tx1"/>
            </w14:solidFill>
          </w14:textFill>
        </w:rPr>
        <w:t>3.0.3</w:t>
      </w:r>
      <w:r>
        <w:rPr>
          <w:rFonts w:hint="eastAsia" w:ascii="Times New Roman" w:hAnsi="Times New Roman" w:eastAsia="仿宋_GB2312" w:cs="Times New Roman"/>
          <w:bCs/>
          <w:color w:val="000000" w:themeColor="text1"/>
          <w:sz w:val="24"/>
          <w:szCs w:val="24"/>
          <w14:textFill>
            <w14:solidFill>
              <w14:schemeClr w14:val="tx1"/>
            </w14:solidFill>
          </w14:textFill>
        </w:rPr>
        <w:t>泥浆收集的设备工具可采用</w:t>
      </w:r>
      <w:r>
        <w:rPr>
          <w:rFonts w:ascii="Times New Roman" w:hAnsi="Times New Roman" w:eastAsia="仿宋_GB2312" w:cs="Times New Roman"/>
          <w:bCs/>
          <w:color w:val="000000" w:themeColor="text1"/>
          <w:sz w:val="24"/>
          <w:szCs w:val="24"/>
          <w14:textFill>
            <w14:solidFill>
              <w14:schemeClr w14:val="tx1"/>
            </w14:solidFill>
          </w14:textFill>
        </w:rPr>
        <w:t>泥浆泵、吊斗等</w:t>
      </w:r>
      <w:r>
        <w:rPr>
          <w:rFonts w:hint="eastAsia" w:ascii="Times New Roman" w:hAnsi="Times New Roman" w:eastAsia="仿宋_GB2312" w:cs="Times New Roman"/>
          <w:bCs/>
          <w:color w:val="000000" w:themeColor="text1"/>
          <w:sz w:val="24"/>
          <w:szCs w:val="24"/>
          <w14:textFill>
            <w14:solidFill>
              <w14:schemeClr w14:val="tx1"/>
            </w14:solidFill>
          </w14:textFill>
        </w:rPr>
        <w:t>。</w:t>
      </w:r>
    </w:p>
    <w:p w14:paraId="4A249736">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p>
    <w:p w14:paraId="076B675C">
      <w:pPr>
        <w:spacing w:line="360" w:lineRule="auto"/>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700EBDAD">
      <w:pPr>
        <w:pStyle w:val="2"/>
        <w:jc w:val="center"/>
        <w:rPr>
          <w:rFonts w:ascii="Times New Roman" w:hAnsi="Times New Roman" w:cs="Times New Roman"/>
          <w:color w:val="000000" w:themeColor="text1"/>
          <w:sz w:val="32"/>
          <w:szCs w:val="32"/>
          <w14:textFill>
            <w14:solidFill>
              <w14:schemeClr w14:val="tx1"/>
            </w14:solidFill>
          </w14:textFill>
        </w:rPr>
      </w:pPr>
      <w:bookmarkStart w:id="154" w:name="_Toc5488"/>
      <w:bookmarkStart w:id="155" w:name="_Toc52358980"/>
      <w:bookmarkStart w:id="156" w:name="_Toc52358522"/>
      <w:bookmarkStart w:id="157" w:name="_Toc31016"/>
      <w:bookmarkStart w:id="158" w:name="_Toc9496"/>
      <w:bookmarkStart w:id="159" w:name="_Toc73542991"/>
      <w:bookmarkStart w:id="160" w:name="_Toc52366872"/>
      <w:bookmarkStart w:id="161" w:name="_Toc51678264"/>
      <w:bookmarkStart w:id="162" w:name="_Toc57819250"/>
      <w:r>
        <w:rPr>
          <w:rFonts w:ascii="Times New Roman" w:hAnsi="Times New Roman" w:cs="Times New Roman"/>
          <w:color w:val="000000" w:themeColor="text1"/>
          <w:sz w:val="32"/>
          <w:szCs w:val="32"/>
          <w14:textFill>
            <w14:solidFill>
              <w14:schemeClr w14:val="tx1"/>
            </w14:solidFill>
          </w14:textFill>
        </w:rPr>
        <w:t>4 规划和设计</w:t>
      </w:r>
      <w:bookmarkEnd w:id="154"/>
      <w:bookmarkEnd w:id="155"/>
      <w:bookmarkEnd w:id="156"/>
      <w:bookmarkEnd w:id="157"/>
      <w:bookmarkEnd w:id="158"/>
      <w:bookmarkEnd w:id="159"/>
      <w:bookmarkEnd w:id="160"/>
      <w:bookmarkEnd w:id="161"/>
      <w:bookmarkEnd w:id="162"/>
      <w:r>
        <w:rPr>
          <w:rFonts w:ascii="Times New Roman" w:hAnsi="Times New Roman" w:cs="Times New Roman"/>
          <w:color w:val="000000" w:themeColor="text1"/>
          <w:sz w:val="32"/>
          <w:szCs w:val="32"/>
          <w14:textFill>
            <w14:solidFill>
              <w14:schemeClr w14:val="tx1"/>
            </w14:solidFill>
          </w14:textFill>
        </w:rPr>
        <w:t xml:space="preserve"> </w:t>
      </w:r>
    </w:p>
    <w:p w14:paraId="3A1F2DD3">
      <w:pPr>
        <w:pStyle w:val="3"/>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4.2  场地</w:t>
      </w:r>
      <w:r>
        <w:rPr>
          <w:rFonts w:hint="eastAsia" w:ascii="Times New Roman" w:hAnsi="Times New Roman" w:cs="Times New Roman"/>
          <w:color w:val="000000" w:themeColor="text1"/>
          <w:sz w:val="28"/>
          <w:szCs w:val="28"/>
          <w14:textFill>
            <w14:solidFill>
              <w14:schemeClr w14:val="tx1"/>
            </w14:solidFill>
          </w14:textFill>
        </w:rPr>
        <w:t>布置</w:t>
      </w:r>
    </w:p>
    <w:p w14:paraId="1AFE7634">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4.2.1</w:t>
      </w:r>
      <w:r>
        <w:rPr>
          <w:rFonts w:ascii="Times New Roman" w:hAnsi="Times New Roman" w:eastAsia="仿宋_GB2312" w:cs="Times New Roman"/>
          <w:color w:val="000000" w:themeColor="text1"/>
          <w:sz w:val="24"/>
          <w:szCs w:val="24"/>
          <w14:textFill>
            <w14:solidFill>
              <w14:schemeClr w14:val="tx1"/>
            </w14:solidFill>
          </w14:textFill>
        </w:rPr>
        <w:t xml:space="preserve"> 场地功能分区和各设备的布置应根据项目现场用地条件和渣浆量进行规划设计，场地规划见示意图4-1。</w:t>
      </w:r>
    </w:p>
    <w:p w14:paraId="15F57624">
      <w:pPr>
        <w:spacing w:line="360" w:lineRule="auto"/>
        <w:rPr>
          <w:rFonts w:ascii="Times New Roman" w:hAnsi="Times New Roman" w:eastAsia="仿宋_GB2312" w:cs="Times New Roman"/>
          <w:color w:val="000000" w:themeColor="text1"/>
          <w:sz w:val="28"/>
          <w:szCs w:val="28"/>
          <w14:textFill>
            <w14:solidFill>
              <w14:schemeClr w14:val="tx1"/>
            </w14:solidFill>
          </w14:textFill>
        </w:rPr>
      </w:pPr>
      <w:r>
        <w:rPr>
          <w:rFonts w:ascii="Times New Roman" w:hAnsi="Times New Roman" w:eastAsia="仿宋_GB2312" w:cs="Times New Roman"/>
          <w:color w:val="000000" w:themeColor="text1"/>
          <w:sz w:val="28"/>
          <w:szCs w:val="28"/>
          <w14:textFill>
            <w14:solidFill>
              <w14:schemeClr w14:val="tx1"/>
            </w14:solidFill>
          </w14:textFill>
        </w:rPr>
        <w:drawing>
          <wp:inline distT="0" distB="0" distL="114300" distR="114300">
            <wp:extent cx="5274310" cy="4018280"/>
            <wp:effectExtent l="0" t="0" r="8890" b="7620"/>
            <wp:docPr id="1" name="图片 1" descr="0ac04b1c18843ef7a3bede0c1611e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ac04b1c18843ef7a3bede0c1611e45"/>
                    <pic:cNvPicPr>
                      <a:picLocks noChangeAspect="1"/>
                    </pic:cNvPicPr>
                  </pic:nvPicPr>
                  <pic:blipFill>
                    <a:blip r:embed="rId6"/>
                    <a:stretch>
                      <a:fillRect/>
                    </a:stretch>
                  </pic:blipFill>
                  <pic:spPr>
                    <a:xfrm>
                      <a:off x="0" y="0"/>
                      <a:ext cx="5274310" cy="4018280"/>
                    </a:xfrm>
                    <a:prstGeom prst="rect">
                      <a:avLst/>
                    </a:prstGeom>
                  </pic:spPr>
                </pic:pic>
              </a:graphicData>
            </a:graphic>
          </wp:inline>
        </w:drawing>
      </w:r>
    </w:p>
    <w:p w14:paraId="2462360D">
      <w:pPr>
        <w:spacing w:line="360" w:lineRule="auto"/>
        <w:ind w:firstLine="482" w:firstLineChars="200"/>
        <w:jc w:val="center"/>
        <w:rPr>
          <w:rFonts w:ascii="Times New Roman" w:hAnsi="Times New Roman" w:eastAsia="仿宋_GB2312" w:cs="Times New Roman"/>
          <w:b/>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图4-1 场地规划示意图</w:t>
      </w:r>
    </w:p>
    <w:p w14:paraId="4E2F7C50">
      <w:pPr>
        <w:widowControl/>
        <w:spacing w:line="360" w:lineRule="auto"/>
        <w:jc w:val="center"/>
        <w:rPr>
          <w:rFonts w:ascii="Times New Roman" w:hAnsi="Times New Roman" w:cs="Times New Roman"/>
          <w:b/>
          <w:color w:val="000000" w:themeColor="text1"/>
          <w:sz w:val="32"/>
          <w:szCs w:val="32"/>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92DBC49">
      <w:pPr>
        <w:pStyle w:val="3"/>
        <w:jc w:val="center"/>
        <w:rPr>
          <w:rFonts w:ascii="Times New Roman" w:hAnsi="Times New Roman" w:cs="Times New Roman"/>
          <w:color w:val="000000" w:themeColor="text1"/>
          <w:sz w:val="28"/>
          <w:szCs w:val="28"/>
          <w14:textFill>
            <w14:solidFill>
              <w14:schemeClr w14:val="tx1"/>
            </w14:solidFill>
          </w14:textFill>
        </w:rPr>
      </w:pPr>
      <w:r>
        <w:rPr>
          <w:rFonts w:hint="eastAsia" w:ascii="Times New Roman" w:hAnsi="Times New Roman" w:cs="Times New Roman"/>
          <w:color w:val="000000" w:themeColor="text1"/>
          <w:sz w:val="28"/>
          <w:szCs w:val="28"/>
          <w14:textFill>
            <w14:solidFill>
              <w14:schemeClr w14:val="tx1"/>
            </w14:solidFill>
          </w14:textFill>
        </w:rPr>
        <w:t>4.3  系统设计</w:t>
      </w:r>
    </w:p>
    <w:p w14:paraId="7C8D3186">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4.3.1</w:t>
      </w:r>
      <w:r>
        <w:rPr>
          <w:rFonts w:ascii="Times New Roman" w:hAnsi="Times New Roman" w:eastAsia="仿宋_GB2312" w:cs="Times New Roman"/>
          <w:color w:val="000000" w:themeColor="text1"/>
          <w:sz w:val="24"/>
          <w:szCs w:val="24"/>
          <w14:textFill>
            <w14:solidFill>
              <w14:schemeClr w14:val="tx1"/>
            </w14:solidFill>
          </w14:textFill>
        </w:rPr>
        <w:t xml:space="preserve"> 泥浆处理系统应包括净化除砂系统、在线检测系统、脱水系统、尾水处理系统，见图4-2。</w:t>
      </w:r>
    </w:p>
    <w:p w14:paraId="4FB1D691">
      <w:pPr>
        <w:spacing w:line="360" w:lineRule="auto"/>
        <w:jc w:val="left"/>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color w:val="000000" w:themeColor="text1"/>
          <w:sz w:val="24"/>
          <w:szCs w:val="24"/>
          <w14:textFill>
            <w14:solidFill>
              <w14:schemeClr w14:val="tx1"/>
            </w14:solidFill>
          </w14:textFill>
        </w:rPr>
        <w:drawing>
          <wp:inline distT="0" distB="0" distL="114300" distR="114300">
            <wp:extent cx="5270500" cy="3763010"/>
            <wp:effectExtent l="0" t="0" r="0" b="8890"/>
            <wp:docPr id="2" name="图片 2" descr="55f5b5a4b4a01255e9abafe17734c5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5f5b5a4b4a01255e9abafe17734c5d"/>
                    <pic:cNvPicPr>
                      <a:picLocks noChangeAspect="1"/>
                    </pic:cNvPicPr>
                  </pic:nvPicPr>
                  <pic:blipFill>
                    <a:blip r:embed="rId7"/>
                    <a:stretch>
                      <a:fillRect/>
                    </a:stretch>
                  </pic:blipFill>
                  <pic:spPr>
                    <a:xfrm>
                      <a:off x="0" y="0"/>
                      <a:ext cx="5270500" cy="3763010"/>
                    </a:xfrm>
                    <a:prstGeom prst="rect">
                      <a:avLst/>
                    </a:prstGeom>
                  </pic:spPr>
                </pic:pic>
              </a:graphicData>
            </a:graphic>
          </wp:inline>
        </w:drawing>
      </w:r>
    </w:p>
    <w:p w14:paraId="7481604C">
      <w:pPr>
        <w:spacing w:line="360" w:lineRule="auto"/>
        <w:ind w:firstLine="482" w:firstLineChars="200"/>
        <w:jc w:val="center"/>
        <w:rPr>
          <w:rFonts w:ascii="Times New Roman" w:hAnsi="Times New Roman" w:cs="Times New Roman"/>
          <w:color w:val="FF0000"/>
          <w:sz w:val="32"/>
          <w:szCs w:val="32"/>
        </w:rPr>
      </w:pPr>
      <w:r>
        <w:rPr>
          <w:rFonts w:ascii="Times New Roman" w:hAnsi="Times New Roman" w:eastAsia="仿宋_GB2312" w:cs="Times New Roman"/>
          <w:b/>
          <w:color w:val="000000" w:themeColor="text1"/>
          <w:sz w:val="24"/>
          <w:szCs w:val="24"/>
          <w14:textFill>
            <w14:solidFill>
              <w14:schemeClr w14:val="tx1"/>
            </w14:solidFill>
          </w14:textFill>
        </w:rPr>
        <w:t>图4-2 泥浆处理系统设计示意图</w:t>
      </w:r>
    </w:p>
    <w:p w14:paraId="22584BD5">
      <w:pPr>
        <w:pStyle w:val="3"/>
        <w:jc w:val="center"/>
        <w:rPr>
          <w:rFonts w:ascii="Times New Roman" w:hAnsi="Times New Roman" w:cs="Times New Roman"/>
          <w:color w:val="000000" w:themeColor="text1"/>
          <w:sz w:val="28"/>
          <w:szCs w:val="28"/>
          <w14:textFill>
            <w14:solidFill>
              <w14:schemeClr w14:val="tx1"/>
            </w14:solidFill>
          </w14:textFill>
        </w:rPr>
      </w:pPr>
      <w:bookmarkStart w:id="163" w:name="_Toc52358523"/>
      <w:bookmarkStart w:id="164" w:name="_Toc52366873"/>
      <w:bookmarkStart w:id="165" w:name="_Toc52358981"/>
      <w:bookmarkStart w:id="166" w:name="_Toc57819251"/>
      <w:bookmarkStart w:id="167" w:name="_Toc73542992"/>
      <w:bookmarkStart w:id="168" w:name="_Toc28191"/>
      <w:bookmarkStart w:id="169" w:name="_Toc15419"/>
      <w:bookmarkStart w:id="170" w:name="_Toc51678265"/>
      <w:bookmarkStart w:id="171" w:name="_Toc165"/>
      <w:r>
        <w:rPr>
          <w:rFonts w:ascii="Times New Roman" w:hAnsi="Times New Roman" w:cs="Times New Roman"/>
          <w:color w:val="000000" w:themeColor="text1"/>
          <w:sz w:val="28"/>
          <w:szCs w:val="28"/>
          <w14:textFill>
            <w14:solidFill>
              <w14:schemeClr w14:val="tx1"/>
            </w14:solidFill>
          </w14:textFill>
        </w:rPr>
        <w:t>4.4  安全</w:t>
      </w:r>
      <w:r>
        <w:rPr>
          <w:rFonts w:hint="eastAsia" w:ascii="Times New Roman" w:hAnsi="Times New Roman" w:cs="Times New Roman"/>
          <w:color w:val="000000" w:themeColor="text1"/>
          <w:sz w:val="28"/>
          <w:szCs w:val="28"/>
          <w14:textFill>
            <w14:solidFill>
              <w14:schemeClr w14:val="tx1"/>
            </w14:solidFill>
          </w14:textFill>
        </w:rPr>
        <w:t>和</w:t>
      </w:r>
      <w:r>
        <w:rPr>
          <w:rFonts w:ascii="Times New Roman" w:hAnsi="Times New Roman" w:cs="Times New Roman"/>
          <w:color w:val="000000" w:themeColor="text1"/>
          <w:sz w:val="28"/>
          <w:szCs w:val="28"/>
          <w14:textFill>
            <w14:solidFill>
              <w14:schemeClr w14:val="tx1"/>
            </w14:solidFill>
          </w14:textFill>
        </w:rPr>
        <w:t>环保</w:t>
      </w:r>
      <w:bookmarkEnd w:id="163"/>
      <w:bookmarkEnd w:id="164"/>
      <w:bookmarkEnd w:id="165"/>
      <w:bookmarkEnd w:id="166"/>
      <w:bookmarkEnd w:id="167"/>
      <w:bookmarkEnd w:id="168"/>
      <w:bookmarkEnd w:id="169"/>
      <w:bookmarkEnd w:id="170"/>
      <w:bookmarkEnd w:id="171"/>
    </w:p>
    <w:p w14:paraId="3061E68C">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 xml:space="preserve">4.4.4 </w:t>
      </w:r>
      <w:r>
        <w:rPr>
          <w:rFonts w:ascii="Times New Roman" w:hAnsi="Times New Roman" w:eastAsia="仿宋_GB2312" w:cs="Times New Roman"/>
          <w:color w:val="000000" w:themeColor="text1"/>
          <w:sz w:val="24"/>
          <w:szCs w:val="24"/>
          <w14:textFill>
            <w14:solidFill>
              <w14:schemeClr w14:val="tx1"/>
            </w14:solidFill>
          </w14:textFill>
        </w:rPr>
        <w:t>现场道路可采用现浇混凝土、预制混凝土拼装、钢板铺设等方式。采用钢筋混凝土路面，混凝土强度不低于C25，道路厚度不低于200mm。采用钢板铺设的道路地基应平整坚实，钢板厚度不低于20mm，长宽根据现场实际尺寸进行设计确定。</w:t>
      </w:r>
    </w:p>
    <w:p w14:paraId="30CF4608">
      <w:pPr>
        <w:spacing w:line="360" w:lineRule="auto"/>
        <w:ind w:firstLine="480" w:firstLineChars="200"/>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p>
    <w:p w14:paraId="58C36824">
      <w:pPr>
        <w:pStyle w:val="2"/>
        <w:jc w:val="center"/>
        <w:rPr>
          <w:rFonts w:ascii="Times New Roman" w:hAnsi="Times New Roman" w:cs="Times New Roman"/>
          <w:color w:val="000000" w:themeColor="text1"/>
          <w:sz w:val="32"/>
          <w:szCs w:val="32"/>
          <w14:textFill>
            <w14:solidFill>
              <w14:schemeClr w14:val="tx1"/>
            </w14:solidFill>
          </w14:textFill>
        </w:rPr>
      </w:pPr>
      <w:bookmarkStart w:id="172" w:name="_Toc14642"/>
      <w:bookmarkStart w:id="173" w:name="_Toc52358524"/>
      <w:bookmarkStart w:id="174" w:name="_Toc51678266"/>
      <w:bookmarkStart w:id="175" w:name="_Toc52358982"/>
      <w:bookmarkStart w:id="176" w:name="_Toc12183"/>
      <w:bookmarkStart w:id="177" w:name="_Toc52366874"/>
      <w:bookmarkStart w:id="178" w:name="_Toc25260"/>
      <w:bookmarkStart w:id="179" w:name="_Toc73542993"/>
      <w:bookmarkStart w:id="180" w:name="_Toc57819252"/>
      <w:r>
        <w:rPr>
          <w:rFonts w:ascii="Times New Roman" w:hAnsi="Times New Roman" w:cs="Times New Roman"/>
          <w:color w:val="000000" w:themeColor="text1"/>
          <w:sz w:val="32"/>
          <w:szCs w:val="32"/>
          <w14:textFill>
            <w14:solidFill>
              <w14:schemeClr w14:val="tx1"/>
            </w14:solidFill>
          </w14:textFill>
        </w:rPr>
        <w:t>5  安装和验收</w:t>
      </w:r>
      <w:bookmarkEnd w:id="172"/>
      <w:bookmarkEnd w:id="173"/>
      <w:bookmarkEnd w:id="174"/>
      <w:bookmarkEnd w:id="175"/>
      <w:bookmarkEnd w:id="176"/>
      <w:bookmarkEnd w:id="177"/>
      <w:bookmarkEnd w:id="178"/>
      <w:bookmarkEnd w:id="179"/>
      <w:bookmarkEnd w:id="180"/>
    </w:p>
    <w:p w14:paraId="5B7F0066">
      <w:pPr>
        <w:pStyle w:val="3"/>
        <w:jc w:val="center"/>
        <w:rPr>
          <w:rFonts w:ascii="Times New Roman" w:hAnsi="Times New Roman" w:cs="Times New Roman"/>
          <w:color w:val="000000" w:themeColor="text1"/>
          <w:sz w:val="28"/>
          <w:szCs w:val="28"/>
          <w14:textFill>
            <w14:solidFill>
              <w14:schemeClr w14:val="tx1"/>
            </w14:solidFill>
          </w14:textFill>
        </w:rPr>
      </w:pPr>
      <w:bookmarkStart w:id="181" w:name="_Toc52358983"/>
      <w:bookmarkStart w:id="182" w:name="_Toc51678267"/>
      <w:bookmarkStart w:id="183" w:name="_Toc13115"/>
      <w:bookmarkStart w:id="184" w:name="_Toc73542994"/>
      <w:bookmarkStart w:id="185" w:name="_Toc57819253"/>
      <w:bookmarkStart w:id="186" w:name="_Toc52366875"/>
      <w:bookmarkStart w:id="187" w:name="_Toc18036"/>
      <w:bookmarkStart w:id="188" w:name="_Toc21902"/>
      <w:bookmarkStart w:id="189" w:name="_Toc52358525"/>
      <w:r>
        <w:rPr>
          <w:rFonts w:ascii="Times New Roman" w:hAnsi="Times New Roman" w:cs="Times New Roman"/>
          <w:color w:val="000000" w:themeColor="text1"/>
          <w:sz w:val="28"/>
          <w:szCs w:val="28"/>
          <w14:textFill>
            <w14:solidFill>
              <w14:schemeClr w14:val="tx1"/>
            </w14:solidFill>
          </w14:textFill>
        </w:rPr>
        <w:t>5.1  一般规定</w:t>
      </w:r>
      <w:bookmarkEnd w:id="181"/>
      <w:bookmarkEnd w:id="182"/>
      <w:bookmarkEnd w:id="183"/>
      <w:bookmarkEnd w:id="184"/>
      <w:bookmarkEnd w:id="185"/>
      <w:bookmarkEnd w:id="186"/>
      <w:bookmarkEnd w:id="187"/>
      <w:bookmarkEnd w:id="188"/>
      <w:bookmarkEnd w:id="189"/>
    </w:p>
    <w:p w14:paraId="323F224C">
      <w:pPr>
        <w:snapToGrid w:val="0"/>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5.1.1</w:t>
      </w:r>
      <w:r>
        <w:rPr>
          <w:rFonts w:ascii="Times New Roman" w:hAnsi="Times New Roman" w:eastAsia="仿宋_GB2312" w:cs="Times New Roman"/>
          <w:color w:val="000000" w:themeColor="text1"/>
          <w:sz w:val="24"/>
          <w:szCs w:val="24"/>
          <w14:textFill>
            <w14:solidFill>
              <w14:schemeClr w14:val="tx1"/>
            </w14:solidFill>
          </w14:textFill>
        </w:rPr>
        <w:t xml:space="preserve">  安全管理体系和安全生产责任制应针对整个系统安装流程和环节进行建立和制定。</w:t>
      </w:r>
    </w:p>
    <w:p w14:paraId="6FA6D4F1">
      <w:pPr>
        <w:snapToGrid w:val="0"/>
        <w:spacing w:line="360" w:lineRule="auto"/>
        <w:rPr>
          <w:rFonts w:ascii="Times New Roman" w:hAnsi="Times New Roman" w:cs="Times New Roman"/>
          <w:color w:val="000000" w:themeColor="text1"/>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ascii="Times New Roman" w:hAnsi="Times New Roman" w:eastAsia="仿宋_GB2312" w:cs="Times New Roman"/>
          <w:b/>
          <w:color w:val="000000" w:themeColor="text1"/>
          <w:sz w:val="24"/>
          <w:szCs w:val="24"/>
          <w14:textFill>
            <w14:solidFill>
              <w14:schemeClr w14:val="tx1"/>
            </w14:solidFill>
          </w14:textFill>
        </w:rPr>
        <w:t>5.1.2</w:t>
      </w:r>
      <w:r>
        <w:rPr>
          <w:rFonts w:ascii="Times New Roman" w:hAnsi="Times New Roman" w:eastAsia="仿宋_GB2312" w:cs="Times New Roman"/>
          <w:color w:val="000000" w:themeColor="text1"/>
          <w:sz w:val="24"/>
          <w:szCs w:val="24"/>
          <w14:textFill>
            <w14:solidFill>
              <w14:schemeClr w14:val="tx1"/>
            </w14:solidFill>
          </w14:textFill>
        </w:rPr>
        <w:t xml:space="preserve">  设备安装时间宜控制在15天之内。</w:t>
      </w:r>
    </w:p>
    <w:p w14:paraId="58E357C1">
      <w:pPr>
        <w:pStyle w:val="2"/>
        <w:jc w:val="center"/>
        <w:rPr>
          <w:rFonts w:ascii="Times New Roman" w:hAnsi="Times New Roman" w:cs="Times New Roman"/>
          <w:color w:val="000000" w:themeColor="text1"/>
          <w:sz w:val="32"/>
          <w:szCs w:val="32"/>
          <w14:textFill>
            <w14:solidFill>
              <w14:schemeClr w14:val="tx1"/>
            </w14:solidFill>
          </w14:textFill>
        </w:rPr>
      </w:pPr>
      <w:bookmarkStart w:id="190" w:name="_Toc27319"/>
      <w:bookmarkStart w:id="191" w:name="_Toc73542995"/>
      <w:bookmarkStart w:id="192" w:name="_Toc57819254"/>
      <w:bookmarkStart w:id="193" w:name="_Toc52358526"/>
      <w:bookmarkStart w:id="194" w:name="_Toc18859"/>
      <w:bookmarkStart w:id="195" w:name="_Toc52366876"/>
      <w:bookmarkStart w:id="196" w:name="_Toc52358984"/>
      <w:bookmarkStart w:id="197" w:name="_Toc51678268"/>
      <w:bookmarkStart w:id="198" w:name="_Toc14104"/>
      <w:r>
        <w:rPr>
          <w:rFonts w:ascii="Times New Roman" w:hAnsi="Times New Roman" w:cs="Times New Roman"/>
          <w:color w:val="000000" w:themeColor="text1"/>
          <w:sz w:val="32"/>
          <w:szCs w:val="32"/>
          <w14:textFill>
            <w14:solidFill>
              <w14:schemeClr w14:val="tx1"/>
            </w14:solidFill>
          </w14:textFill>
        </w:rPr>
        <w:t>6  施工现场泥浆处理</w:t>
      </w:r>
      <w:bookmarkEnd w:id="190"/>
      <w:bookmarkEnd w:id="191"/>
      <w:bookmarkEnd w:id="192"/>
      <w:bookmarkEnd w:id="193"/>
      <w:bookmarkEnd w:id="194"/>
      <w:bookmarkEnd w:id="195"/>
      <w:bookmarkEnd w:id="196"/>
      <w:bookmarkEnd w:id="197"/>
      <w:bookmarkEnd w:id="198"/>
    </w:p>
    <w:p w14:paraId="24AA7F60">
      <w:pPr>
        <w:pStyle w:val="3"/>
        <w:jc w:val="center"/>
        <w:rPr>
          <w:rFonts w:ascii="Times New Roman" w:hAnsi="Times New Roman" w:cs="Times New Roman"/>
          <w:color w:val="000000" w:themeColor="text1"/>
          <w:sz w:val="28"/>
          <w:szCs w:val="28"/>
          <w14:textFill>
            <w14:solidFill>
              <w14:schemeClr w14:val="tx1"/>
            </w14:solidFill>
          </w14:textFill>
        </w:rPr>
      </w:pPr>
      <w:bookmarkStart w:id="199" w:name="_Toc51678269"/>
      <w:bookmarkStart w:id="200" w:name="_Toc52358985"/>
      <w:bookmarkStart w:id="201" w:name="_Toc52358527"/>
      <w:bookmarkStart w:id="202" w:name="_Toc22726"/>
      <w:bookmarkStart w:id="203" w:name="_Toc30661"/>
      <w:bookmarkStart w:id="204" w:name="_Toc73542996"/>
      <w:bookmarkStart w:id="205" w:name="_Toc2647"/>
      <w:bookmarkStart w:id="206" w:name="_Toc57819255"/>
      <w:bookmarkStart w:id="207" w:name="_Toc52366877"/>
      <w:r>
        <w:rPr>
          <w:rFonts w:ascii="Times New Roman" w:hAnsi="Times New Roman" w:cs="Times New Roman"/>
          <w:color w:val="000000" w:themeColor="text1"/>
          <w:sz w:val="28"/>
          <w:szCs w:val="28"/>
          <w14:textFill>
            <w14:solidFill>
              <w14:schemeClr w14:val="tx1"/>
            </w14:solidFill>
          </w14:textFill>
        </w:rPr>
        <w:t>6.1  一般规定</w:t>
      </w:r>
      <w:bookmarkEnd w:id="199"/>
      <w:bookmarkEnd w:id="200"/>
      <w:bookmarkEnd w:id="201"/>
      <w:bookmarkEnd w:id="202"/>
      <w:bookmarkEnd w:id="203"/>
      <w:bookmarkEnd w:id="204"/>
      <w:bookmarkEnd w:id="205"/>
      <w:bookmarkEnd w:id="206"/>
      <w:bookmarkEnd w:id="207"/>
    </w:p>
    <w:p w14:paraId="3BE54DCF">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6.1.5</w:t>
      </w:r>
      <w:r>
        <w:rPr>
          <w:rFonts w:hint="eastAsia" w:ascii="Times New Roman" w:hAnsi="Times New Roman" w:eastAsia="仿宋_GB2312" w:cs="Times New Roman"/>
          <w:color w:val="000000" w:themeColor="text1"/>
          <w:sz w:val="24"/>
          <w:szCs w:val="24"/>
          <w14:textFill>
            <w14:solidFill>
              <w14:schemeClr w14:val="tx1"/>
            </w14:solidFill>
          </w14:textFill>
        </w:rPr>
        <w:t>泥浆处理</w:t>
      </w:r>
      <w:r>
        <w:rPr>
          <w:rFonts w:ascii="Times New Roman" w:hAnsi="Times New Roman" w:eastAsia="仿宋_GB2312" w:cs="Times New Roman"/>
          <w:color w:val="000000" w:themeColor="text1"/>
          <w:sz w:val="24"/>
          <w:szCs w:val="24"/>
          <w14:textFill>
            <w14:solidFill>
              <w14:schemeClr w14:val="tx1"/>
            </w14:solidFill>
          </w14:textFill>
        </w:rPr>
        <w:t>应采取措施避免施工现场的各种粉尘、废水、噪声、振动对环境的污染和危害。</w:t>
      </w:r>
    </w:p>
    <w:p w14:paraId="66E6C00F">
      <w:pPr>
        <w:pStyle w:val="3"/>
        <w:jc w:val="center"/>
        <w:rPr>
          <w:rFonts w:ascii="Times New Roman" w:hAnsi="Times New Roman" w:cs="Times New Roman"/>
          <w:color w:val="000000" w:themeColor="text1"/>
          <w:sz w:val="28"/>
          <w:szCs w:val="28"/>
          <w14:textFill>
            <w14:solidFill>
              <w14:schemeClr w14:val="tx1"/>
            </w14:solidFill>
          </w14:textFill>
        </w:rPr>
      </w:pPr>
      <w:bookmarkStart w:id="208" w:name="_Toc73542997"/>
      <w:bookmarkStart w:id="209" w:name="_Toc4747"/>
      <w:bookmarkStart w:id="210" w:name="_Toc52358986"/>
      <w:bookmarkStart w:id="211" w:name="_Toc21540"/>
      <w:bookmarkStart w:id="212" w:name="_Toc52366878"/>
      <w:bookmarkStart w:id="213" w:name="_Toc26924"/>
      <w:bookmarkStart w:id="214" w:name="_Toc57819256"/>
      <w:bookmarkStart w:id="215" w:name="_Toc51678270"/>
      <w:bookmarkStart w:id="216" w:name="_Toc52358528"/>
      <w:r>
        <w:rPr>
          <w:rFonts w:ascii="Times New Roman" w:hAnsi="Times New Roman" w:cs="Times New Roman"/>
          <w:color w:val="000000" w:themeColor="text1"/>
          <w:sz w:val="28"/>
          <w:szCs w:val="28"/>
          <w14:textFill>
            <w14:solidFill>
              <w14:schemeClr w14:val="tx1"/>
            </w14:solidFill>
          </w14:textFill>
        </w:rPr>
        <w:t>6.2</w:t>
      </w:r>
      <w:r>
        <w:rPr>
          <w:rFonts w:hint="eastAsia" w:ascii="Times New Roman" w:hAnsi="Times New Roman" w:cs="Times New Roman"/>
          <w:color w:val="000000" w:themeColor="text1"/>
          <w:sz w:val="28"/>
          <w:szCs w:val="28"/>
          <w14:textFill>
            <w14:solidFill>
              <w14:schemeClr w14:val="tx1"/>
            </w14:solidFill>
          </w14:textFill>
        </w:rPr>
        <w:t xml:space="preserve"> </w:t>
      </w:r>
      <w:r>
        <w:rPr>
          <w:rFonts w:ascii="Times New Roman" w:hAnsi="Times New Roman" w:cs="Times New Roman"/>
          <w:color w:val="000000" w:themeColor="text1"/>
          <w:sz w:val="28"/>
          <w:szCs w:val="28"/>
          <w14:textFill>
            <w14:solidFill>
              <w14:schemeClr w14:val="tx1"/>
            </w14:solidFill>
          </w14:textFill>
        </w:rPr>
        <w:t xml:space="preserve"> 施工现场泥浆处理</w:t>
      </w:r>
      <w:bookmarkEnd w:id="208"/>
      <w:bookmarkEnd w:id="209"/>
      <w:bookmarkEnd w:id="210"/>
      <w:bookmarkEnd w:id="211"/>
      <w:bookmarkEnd w:id="212"/>
      <w:bookmarkEnd w:id="213"/>
      <w:bookmarkEnd w:id="214"/>
      <w:bookmarkEnd w:id="215"/>
      <w:bookmarkEnd w:id="216"/>
    </w:p>
    <w:p w14:paraId="3D62F2B0">
      <w:pPr>
        <w:spacing w:line="360" w:lineRule="auto"/>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6.2.2</w:t>
      </w:r>
      <w:r>
        <w:rPr>
          <w:rFonts w:ascii="Times New Roman" w:hAnsi="Times New Roman" w:eastAsia="仿宋" w:cs="Times New Roman"/>
          <w:color w:val="000000" w:themeColor="text1"/>
          <w:sz w:val="24"/>
          <w:szCs w:val="24"/>
          <w14:textFill>
            <w14:solidFill>
              <w14:schemeClr w14:val="tx1"/>
            </w14:solidFill>
          </w14:textFill>
        </w:rPr>
        <w:t>泥浆含水率调至大于80%。</w:t>
      </w:r>
    </w:p>
    <w:p w14:paraId="1A5102EA">
      <w:pPr>
        <w:spacing w:line="360" w:lineRule="auto"/>
        <w:rPr>
          <w:rFonts w:ascii="Times New Roman" w:hAnsi="Times New Roman" w:eastAsia="仿宋"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6.2.4</w:t>
      </w:r>
      <w:r>
        <w:rPr>
          <w:rFonts w:ascii="Times New Roman" w:hAnsi="Times New Roman" w:eastAsia="仿宋" w:cs="Times New Roman"/>
          <w:color w:val="000000" w:themeColor="text1"/>
          <w:sz w:val="24"/>
          <w:szCs w:val="24"/>
          <w14:textFill>
            <w14:solidFill>
              <w14:schemeClr w14:val="tx1"/>
            </w14:solidFill>
          </w14:textFill>
        </w:rPr>
        <w:t xml:space="preserve"> 工程泥浆经干化后含水率低于40%时方可进入建筑垃圾填埋场填埋</w:t>
      </w:r>
      <w:r>
        <w:rPr>
          <w:rFonts w:hint="eastAsia" w:ascii="Times New Roman" w:hAnsi="Times New Roman" w:eastAsia="仿宋" w:cs="Times New Roman"/>
          <w:color w:val="000000" w:themeColor="text1"/>
          <w:sz w:val="24"/>
          <w:szCs w:val="24"/>
          <w14:textFill>
            <w14:solidFill>
              <w14:schemeClr w14:val="tx1"/>
            </w14:solidFill>
          </w14:textFill>
        </w:rPr>
        <w:t>。</w:t>
      </w:r>
    </w:p>
    <w:p w14:paraId="08B1AC35">
      <w:pPr>
        <w:pStyle w:val="3"/>
        <w:jc w:val="center"/>
        <w:rPr>
          <w:rFonts w:ascii="Times New Roman" w:hAnsi="Times New Roman" w:cs="Times New Roman"/>
          <w:color w:val="000000" w:themeColor="text1"/>
          <w:sz w:val="28"/>
          <w:szCs w:val="28"/>
          <w14:textFill>
            <w14:solidFill>
              <w14:schemeClr w14:val="tx1"/>
            </w14:solidFill>
          </w14:textFill>
        </w:rPr>
      </w:pPr>
      <w:r>
        <w:rPr>
          <w:rFonts w:ascii="Times New Roman" w:hAnsi="Times New Roman" w:cs="Times New Roman"/>
          <w:color w:val="000000" w:themeColor="text1"/>
          <w:sz w:val="28"/>
          <w:szCs w:val="28"/>
          <w14:textFill>
            <w14:solidFill>
              <w14:schemeClr w14:val="tx1"/>
            </w14:solidFill>
          </w14:textFill>
        </w:rPr>
        <w:t>6.3  计算</w:t>
      </w:r>
    </w:p>
    <w:p w14:paraId="74D8F769">
      <w:pPr>
        <w:spacing w:line="360" w:lineRule="auto"/>
        <w:rPr>
          <w:rFonts w:ascii="Times New Roman" w:hAnsi="Times New Roman" w:eastAsia="仿宋_GB2312" w:cs="Times New Roman"/>
          <w:color w:val="000000" w:themeColor="text1"/>
          <w:sz w:val="24"/>
          <w:szCs w:val="24"/>
          <w14:textFill>
            <w14:solidFill>
              <w14:schemeClr w14:val="tx1"/>
            </w14:solidFill>
          </w14:textFill>
        </w:rPr>
        <w:sectPr>
          <w:pgSz w:w="11906" w:h="16838"/>
          <w:pgMar w:top="1440" w:right="1800" w:bottom="1440" w:left="1800" w:header="851" w:footer="992" w:gutter="0"/>
          <w:cols w:space="425" w:num="1"/>
          <w:docGrid w:type="lines" w:linePitch="312" w:charSpace="0"/>
        </w:sectPr>
      </w:pPr>
      <w:r>
        <w:rPr>
          <w:rFonts w:hint="eastAsia" w:ascii="Times New Roman" w:hAnsi="Times New Roman" w:eastAsia="仿宋_GB2312" w:cs="Times New Roman"/>
          <w:b/>
          <w:color w:val="000000" w:themeColor="text1"/>
          <w:sz w:val="24"/>
          <w:szCs w:val="24"/>
          <w14:textFill>
            <w14:solidFill>
              <w14:schemeClr w14:val="tx1"/>
            </w14:solidFill>
          </w14:textFill>
        </w:rPr>
        <w:t>6.</w:t>
      </w:r>
      <w:r>
        <w:rPr>
          <w:rFonts w:ascii="Times New Roman" w:hAnsi="Times New Roman" w:eastAsia="仿宋_GB2312" w:cs="Times New Roman"/>
          <w:b/>
          <w:color w:val="000000" w:themeColor="text1"/>
          <w:sz w:val="24"/>
          <w:szCs w:val="24"/>
          <w14:textFill>
            <w14:solidFill>
              <w14:schemeClr w14:val="tx1"/>
            </w14:solidFill>
          </w14:textFill>
        </w:rPr>
        <w:t>3</w:t>
      </w:r>
      <w:r>
        <w:rPr>
          <w:rFonts w:hint="eastAsia" w:ascii="Times New Roman" w:hAnsi="Times New Roman" w:eastAsia="仿宋_GB2312" w:cs="Times New Roman"/>
          <w:b/>
          <w:color w:val="000000" w:themeColor="text1"/>
          <w:sz w:val="24"/>
          <w:szCs w:val="24"/>
          <w14:textFill>
            <w14:solidFill>
              <w14:schemeClr w14:val="tx1"/>
            </w14:solidFill>
          </w14:textFill>
        </w:rPr>
        <w:t>.</w:t>
      </w:r>
      <w:r>
        <w:rPr>
          <w:rFonts w:ascii="Times New Roman" w:hAnsi="Times New Roman" w:eastAsia="仿宋_GB2312" w:cs="Times New Roman"/>
          <w:b/>
          <w:color w:val="000000" w:themeColor="text1"/>
          <w:sz w:val="24"/>
          <w:szCs w:val="24"/>
          <w14:textFill>
            <w14:solidFill>
              <w14:schemeClr w14:val="tx1"/>
            </w14:solidFill>
          </w14:textFill>
        </w:rPr>
        <w:t>2</w:t>
      </w:r>
      <w:r>
        <w:rPr>
          <w:rFonts w:hint="eastAsia" w:ascii="Times New Roman" w:hAnsi="Times New Roman" w:eastAsia="仿宋_GB2312" w:cs="Times New Roman"/>
          <w:color w:val="000000" w:themeColor="text1"/>
          <w:sz w:val="24"/>
          <w:szCs w:val="24"/>
          <w14:textFill>
            <w14:solidFill>
              <w14:schemeClr w14:val="tx1"/>
            </w14:solidFill>
          </w14:textFill>
        </w:rPr>
        <w:t xml:space="preserve"> 微风化岩</w:t>
      </w:r>
      <w:r>
        <w:rPr>
          <w:rFonts w:ascii="Times New Roman" w:hAnsi="Times New Roman" w:eastAsia="仿宋_GB2312" w:cs="Times New Roman"/>
          <w:i/>
          <w:iCs/>
          <w:color w:val="000000" w:themeColor="text1"/>
          <w:sz w:val="24"/>
          <w:szCs w:val="24"/>
          <w14:textFill>
            <w14:solidFill>
              <w14:schemeClr w14:val="tx1"/>
            </w14:solidFill>
          </w14:textFill>
        </w:rPr>
        <w:t>K</w:t>
      </w:r>
      <w:r>
        <w:rPr>
          <w:rFonts w:hint="eastAsia" w:ascii="Times New Roman" w:hAnsi="Times New Roman" w:eastAsia="仿宋_GB2312" w:cs="Times New Roman"/>
          <w:color w:val="000000" w:themeColor="text1"/>
          <w:sz w:val="24"/>
          <w:szCs w:val="24"/>
          <w14:textFill>
            <w14:solidFill>
              <w14:schemeClr w14:val="tx1"/>
            </w14:solidFill>
          </w14:textFill>
        </w:rPr>
        <w:t>取1.2-1.5，全风化岩，沙层，砾石等取值1.4-1.6，淤泥、粘性土等取值1.5-1.8。</w:t>
      </w:r>
    </w:p>
    <w:p w14:paraId="52F2D4D5">
      <w:pPr>
        <w:pStyle w:val="2"/>
        <w:jc w:val="center"/>
        <w:rPr>
          <w:rFonts w:ascii="Times New Roman" w:hAnsi="Times New Roman" w:cs="Times New Roman"/>
          <w:color w:val="000000" w:themeColor="text1"/>
          <w:sz w:val="32"/>
          <w:szCs w:val="32"/>
          <w14:textFill>
            <w14:solidFill>
              <w14:schemeClr w14:val="tx1"/>
            </w14:solidFill>
          </w14:textFill>
        </w:rPr>
      </w:pPr>
      <w:bookmarkStart w:id="217" w:name="_Toc52358987"/>
      <w:bookmarkStart w:id="218" w:name="_Toc20267"/>
      <w:bookmarkStart w:id="219" w:name="_Toc73542998"/>
      <w:bookmarkStart w:id="220" w:name="_Toc4271"/>
      <w:bookmarkStart w:id="221" w:name="_Toc52358529"/>
      <w:bookmarkStart w:id="222" w:name="_Toc57819257"/>
      <w:bookmarkStart w:id="223" w:name="_Toc51678271"/>
      <w:bookmarkStart w:id="224" w:name="_Toc52366879"/>
      <w:bookmarkStart w:id="225" w:name="_Toc22730"/>
      <w:r>
        <w:rPr>
          <w:rFonts w:ascii="Times New Roman" w:hAnsi="Times New Roman" w:cs="Times New Roman"/>
          <w:color w:val="000000" w:themeColor="text1"/>
          <w:sz w:val="32"/>
          <w:szCs w:val="32"/>
          <w14:textFill>
            <w14:solidFill>
              <w14:schemeClr w14:val="tx1"/>
            </w14:solidFill>
          </w14:textFill>
        </w:rPr>
        <w:t>7  处理效果检测和评价</w:t>
      </w:r>
      <w:bookmarkEnd w:id="217"/>
      <w:bookmarkEnd w:id="218"/>
      <w:bookmarkEnd w:id="219"/>
      <w:bookmarkEnd w:id="220"/>
      <w:bookmarkEnd w:id="221"/>
      <w:bookmarkEnd w:id="222"/>
      <w:bookmarkEnd w:id="223"/>
      <w:bookmarkEnd w:id="224"/>
      <w:bookmarkEnd w:id="225"/>
      <w:r>
        <w:rPr>
          <w:rFonts w:ascii="Times New Roman" w:hAnsi="Times New Roman" w:cs="Times New Roman"/>
          <w:color w:val="000000" w:themeColor="text1"/>
          <w:sz w:val="32"/>
          <w:szCs w:val="32"/>
          <w14:textFill>
            <w14:solidFill>
              <w14:schemeClr w14:val="tx1"/>
            </w14:solidFill>
          </w14:textFill>
        </w:rPr>
        <w:t xml:space="preserve"> </w:t>
      </w:r>
    </w:p>
    <w:p w14:paraId="48DBD368">
      <w:pPr>
        <w:pStyle w:val="3"/>
        <w:jc w:val="center"/>
        <w:rPr>
          <w:rFonts w:ascii="Times New Roman" w:hAnsi="Times New Roman" w:cs="Times New Roman"/>
          <w:color w:val="000000" w:themeColor="text1"/>
          <w:sz w:val="28"/>
          <w:szCs w:val="28"/>
          <w14:textFill>
            <w14:solidFill>
              <w14:schemeClr w14:val="tx1"/>
            </w14:solidFill>
          </w14:textFill>
        </w:rPr>
      </w:pPr>
      <w:bookmarkStart w:id="226" w:name="_Toc8487"/>
      <w:bookmarkStart w:id="227" w:name="_Toc5808"/>
      <w:bookmarkStart w:id="228" w:name="_Toc31593"/>
      <w:bookmarkStart w:id="229" w:name="_Toc57819258"/>
      <w:bookmarkStart w:id="230" w:name="_Toc73542999"/>
      <w:r>
        <w:rPr>
          <w:rFonts w:ascii="Times New Roman" w:hAnsi="Times New Roman" w:cs="Times New Roman"/>
          <w:color w:val="000000" w:themeColor="text1"/>
          <w:sz w:val="28"/>
          <w:szCs w:val="28"/>
          <w14:textFill>
            <w14:solidFill>
              <w14:schemeClr w14:val="tx1"/>
            </w14:solidFill>
          </w14:textFill>
        </w:rPr>
        <w:t>7.1  一般规定</w:t>
      </w:r>
      <w:bookmarkEnd w:id="226"/>
      <w:bookmarkEnd w:id="227"/>
      <w:bookmarkEnd w:id="228"/>
      <w:bookmarkEnd w:id="229"/>
      <w:bookmarkEnd w:id="230"/>
    </w:p>
    <w:p w14:paraId="1C2422FA">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r>
        <w:rPr>
          <w:rFonts w:ascii="Times New Roman" w:hAnsi="Times New Roman" w:eastAsia="仿宋_GB2312" w:cs="Times New Roman"/>
          <w:b/>
          <w:color w:val="000000" w:themeColor="text1"/>
          <w:sz w:val="24"/>
          <w:szCs w:val="24"/>
          <w14:textFill>
            <w14:solidFill>
              <w14:schemeClr w14:val="tx1"/>
            </w14:solidFill>
          </w14:textFill>
        </w:rPr>
        <w:t>7.1.</w:t>
      </w:r>
      <w:r>
        <w:rPr>
          <w:rFonts w:hint="eastAsia" w:ascii="Times New Roman" w:hAnsi="Times New Roman" w:eastAsia="仿宋_GB2312" w:cs="Times New Roman"/>
          <w:b/>
          <w:color w:val="000000" w:themeColor="text1"/>
          <w:sz w:val="24"/>
          <w:szCs w:val="24"/>
          <w14:textFill>
            <w14:solidFill>
              <w14:schemeClr w14:val="tx1"/>
            </w14:solidFill>
          </w14:textFill>
        </w:rPr>
        <w:t>4</w:t>
      </w:r>
      <w:r>
        <w:rPr>
          <w:rFonts w:ascii="Times New Roman" w:hAnsi="Times New Roman" w:eastAsia="仿宋_GB2312" w:cs="Times New Roman"/>
          <w:color w:val="000000" w:themeColor="text1"/>
          <w:sz w:val="24"/>
          <w:szCs w:val="24"/>
          <w14:textFill>
            <w14:solidFill>
              <w14:schemeClr w14:val="tx1"/>
            </w14:solidFill>
          </w14:textFill>
        </w:rPr>
        <w:t xml:space="preserve"> </w:t>
      </w:r>
      <w:r>
        <w:rPr>
          <w:rFonts w:hint="eastAsia" w:ascii="Times New Roman" w:hAnsi="Times New Roman" w:eastAsia="仿宋_GB2312" w:cs="Times New Roman"/>
          <w:color w:val="000000" w:themeColor="text1"/>
          <w:sz w:val="24"/>
          <w:szCs w:val="24"/>
          <w14:textFill>
            <w14:solidFill>
              <w14:schemeClr w14:val="tx1"/>
            </w14:solidFill>
          </w14:textFill>
        </w:rPr>
        <w:t xml:space="preserve"> </w:t>
      </w:r>
      <w:r>
        <w:rPr>
          <w:rFonts w:ascii="Times New Roman" w:hAnsi="Times New Roman" w:eastAsia="仿宋_GB2312" w:cs="Times New Roman"/>
          <w:color w:val="000000" w:themeColor="text1"/>
          <w:sz w:val="24"/>
          <w:szCs w:val="24"/>
          <w14:textFill>
            <w14:solidFill>
              <w14:schemeClr w14:val="tx1"/>
            </w14:solidFill>
          </w14:textFill>
        </w:rPr>
        <w:t>采用</w:t>
      </w:r>
      <w:r>
        <w:rPr>
          <w:rFonts w:hint="eastAsia" w:ascii="Times New Roman" w:hAnsi="Times New Roman" w:eastAsia="仿宋_GB2312" w:cs="Times New Roman"/>
          <w:color w:val="000000" w:themeColor="text1"/>
          <w:sz w:val="24"/>
          <w:szCs w:val="24"/>
          <w14:textFill>
            <w14:solidFill>
              <w14:schemeClr w14:val="tx1"/>
            </w14:solidFill>
          </w14:textFill>
        </w:rPr>
        <w:t>液压活塞式卧式增压</w:t>
      </w:r>
      <w:r>
        <w:rPr>
          <w:rFonts w:ascii="Times New Roman" w:hAnsi="Times New Roman" w:eastAsia="仿宋_GB2312" w:cs="Times New Roman"/>
          <w:color w:val="000000" w:themeColor="text1"/>
          <w:sz w:val="24"/>
          <w:szCs w:val="24"/>
          <w14:textFill>
            <w14:solidFill>
              <w14:schemeClr w14:val="tx1"/>
            </w14:solidFill>
          </w14:textFill>
        </w:rPr>
        <w:t>泵</w:t>
      </w:r>
      <w:r>
        <w:rPr>
          <w:rFonts w:hint="eastAsia" w:ascii="Times New Roman" w:hAnsi="Times New Roman" w:eastAsia="仿宋_GB2312" w:cs="Times New Roman"/>
          <w:color w:val="000000" w:themeColor="text1"/>
          <w:sz w:val="24"/>
          <w:szCs w:val="24"/>
          <w14:textFill>
            <w14:solidFill>
              <w14:schemeClr w14:val="tx1"/>
            </w14:solidFill>
          </w14:textFill>
        </w:rPr>
        <w:t>和</w:t>
      </w:r>
      <w:r>
        <w:rPr>
          <w:rFonts w:ascii="Times New Roman" w:hAnsi="Times New Roman" w:eastAsia="仿宋_GB2312" w:cs="Times New Roman"/>
          <w:color w:val="000000" w:themeColor="text1"/>
          <w:sz w:val="24"/>
          <w:szCs w:val="24"/>
          <w14:textFill>
            <w14:solidFill>
              <w14:schemeClr w14:val="tx1"/>
            </w14:solidFill>
          </w14:textFill>
        </w:rPr>
        <w:t>PLC控制系统</w:t>
      </w:r>
      <w:r>
        <w:rPr>
          <w:rFonts w:hint="eastAsia" w:ascii="Times New Roman" w:hAnsi="Times New Roman" w:eastAsia="仿宋_GB2312" w:cs="Times New Roman"/>
          <w:color w:val="000000" w:themeColor="text1"/>
          <w:sz w:val="24"/>
          <w:szCs w:val="24"/>
          <w14:textFill>
            <w14:solidFill>
              <w14:schemeClr w14:val="tx1"/>
            </w14:solidFill>
          </w14:textFill>
        </w:rPr>
        <w:t>可避免传统泵正压压力不足现象，运行效率可提升至95%。有效</w:t>
      </w:r>
      <w:r>
        <w:rPr>
          <w:rFonts w:ascii="Times New Roman" w:hAnsi="Times New Roman" w:eastAsia="仿宋_GB2312" w:cs="Times New Roman"/>
          <w:color w:val="000000" w:themeColor="text1"/>
          <w:sz w:val="24"/>
          <w:szCs w:val="24"/>
          <w14:textFill>
            <w14:solidFill>
              <w14:schemeClr w14:val="tx1"/>
            </w14:solidFill>
          </w14:textFill>
        </w:rPr>
        <w:t>降低电能消耗</w:t>
      </w:r>
      <w:r>
        <w:rPr>
          <w:rFonts w:hint="eastAsia" w:ascii="Times New Roman" w:hAnsi="Times New Roman" w:eastAsia="仿宋_GB2312" w:cs="Times New Roman"/>
          <w:color w:val="000000" w:themeColor="text1"/>
          <w:sz w:val="24"/>
          <w:szCs w:val="24"/>
          <w14:textFill>
            <w14:solidFill>
              <w14:schemeClr w14:val="tx1"/>
            </w14:solidFill>
          </w14:textFill>
        </w:rPr>
        <w:t>60%以上</w:t>
      </w:r>
      <w:r>
        <w:rPr>
          <w:rFonts w:ascii="Times New Roman" w:hAnsi="Times New Roman" w:eastAsia="仿宋_GB2312" w:cs="Times New Roman"/>
          <w:color w:val="000000" w:themeColor="text1"/>
          <w:sz w:val="24"/>
          <w:szCs w:val="24"/>
          <w14:textFill>
            <w14:solidFill>
              <w14:schemeClr w14:val="tx1"/>
            </w14:solidFill>
          </w14:textFill>
        </w:rPr>
        <w:t>，</w:t>
      </w:r>
      <w:r>
        <w:rPr>
          <w:rFonts w:hint="eastAsia" w:ascii="Times New Roman" w:hAnsi="Times New Roman" w:eastAsia="仿宋_GB2312" w:cs="Times New Roman"/>
          <w:color w:val="000000" w:themeColor="text1"/>
          <w:sz w:val="24"/>
          <w:szCs w:val="24"/>
          <w14:textFill>
            <w14:solidFill>
              <w14:schemeClr w14:val="tx1"/>
            </w14:solidFill>
          </w14:textFill>
        </w:rPr>
        <w:t>并具有</w:t>
      </w:r>
      <w:r>
        <w:rPr>
          <w:rFonts w:ascii="Times New Roman" w:hAnsi="Times New Roman" w:eastAsia="仿宋_GB2312" w:cs="Times New Roman"/>
          <w:color w:val="000000" w:themeColor="text1"/>
          <w:sz w:val="24"/>
          <w:szCs w:val="24"/>
          <w14:textFill>
            <w14:solidFill>
              <w14:schemeClr w14:val="tx1"/>
            </w14:solidFill>
          </w14:textFill>
        </w:rPr>
        <w:t>运行低噪音、</w:t>
      </w:r>
      <w:r>
        <w:rPr>
          <w:rFonts w:hint="eastAsia" w:ascii="Times New Roman" w:hAnsi="Times New Roman" w:eastAsia="仿宋_GB2312" w:cs="Times New Roman"/>
          <w:color w:val="000000" w:themeColor="text1"/>
          <w:sz w:val="24"/>
          <w:szCs w:val="24"/>
          <w14:textFill>
            <w14:solidFill>
              <w14:schemeClr w14:val="tx1"/>
            </w14:solidFill>
          </w14:textFill>
        </w:rPr>
        <w:t>性能稳定和使用寿命长的优点。</w:t>
      </w:r>
    </w:p>
    <w:p w14:paraId="122B879A">
      <w:pPr>
        <w:pStyle w:val="3"/>
        <w:jc w:val="center"/>
        <w:rPr>
          <w:rFonts w:ascii="Times New Roman" w:hAnsi="Times New Roman" w:cs="Times New Roman"/>
          <w:color w:val="000000" w:themeColor="text1"/>
          <w:sz w:val="28"/>
          <w:szCs w:val="28"/>
          <w14:textFill>
            <w14:solidFill>
              <w14:schemeClr w14:val="tx1"/>
            </w14:solidFill>
          </w14:textFill>
        </w:rPr>
      </w:pPr>
      <w:bookmarkStart w:id="231" w:name="_Toc73543000"/>
      <w:bookmarkStart w:id="232" w:name="_Toc57819259"/>
      <w:bookmarkStart w:id="233" w:name="_Toc52358988"/>
      <w:bookmarkStart w:id="234" w:name="_Toc15781"/>
      <w:bookmarkStart w:id="235" w:name="_Toc52366880"/>
      <w:bookmarkStart w:id="236" w:name="_Toc51678272"/>
      <w:bookmarkStart w:id="237" w:name="_Toc6"/>
      <w:bookmarkStart w:id="238" w:name="_Toc52358530"/>
      <w:bookmarkStart w:id="239" w:name="_Toc689"/>
      <w:r>
        <w:rPr>
          <w:rFonts w:ascii="Times New Roman" w:hAnsi="Times New Roman" w:cs="Times New Roman"/>
          <w:color w:val="000000" w:themeColor="text1"/>
          <w:sz w:val="28"/>
          <w:szCs w:val="28"/>
          <w14:textFill>
            <w14:solidFill>
              <w14:schemeClr w14:val="tx1"/>
            </w14:solidFill>
          </w14:textFill>
        </w:rPr>
        <w:t>7.3  处理效果评价</w:t>
      </w:r>
      <w:bookmarkEnd w:id="231"/>
      <w:bookmarkEnd w:id="232"/>
      <w:bookmarkEnd w:id="233"/>
      <w:bookmarkEnd w:id="234"/>
      <w:bookmarkEnd w:id="235"/>
      <w:bookmarkEnd w:id="236"/>
      <w:bookmarkEnd w:id="237"/>
      <w:bookmarkEnd w:id="238"/>
      <w:bookmarkEnd w:id="239"/>
    </w:p>
    <w:p w14:paraId="69E543B8">
      <w:pPr>
        <w:spacing w:line="360" w:lineRule="auto"/>
        <w:rPr>
          <w:rFonts w:ascii="Times New Roman" w:hAnsi="Times New Roman" w:eastAsia="仿宋_GB2312" w:cs="Times New Roman"/>
          <w:color w:val="000000" w:themeColor="text1"/>
          <w:sz w:val="24"/>
          <w:szCs w:val="24"/>
          <w14:textFill>
            <w14:solidFill>
              <w14:schemeClr w14:val="tx1"/>
            </w14:solidFill>
          </w14:textFill>
        </w:rPr>
      </w:pPr>
      <w:bookmarkStart w:id="240" w:name="_Toc51678273"/>
      <w:r>
        <w:rPr>
          <w:rFonts w:ascii="Times New Roman" w:hAnsi="Times New Roman" w:eastAsia="仿宋_GB2312" w:cs="Times New Roman"/>
          <w:b/>
          <w:color w:val="000000" w:themeColor="text1"/>
          <w:sz w:val="24"/>
          <w:szCs w:val="24"/>
          <w14:textFill>
            <w14:solidFill>
              <w14:schemeClr w14:val="tx1"/>
            </w14:solidFill>
          </w14:textFill>
        </w:rPr>
        <w:t>7.3.5</w:t>
      </w:r>
      <w:r>
        <w:rPr>
          <w:rFonts w:ascii="Times New Roman" w:hAnsi="Times New Roman" w:eastAsia="仿宋_GB2312" w:cs="Times New Roman"/>
          <w:color w:val="000000" w:themeColor="text1"/>
          <w:sz w:val="24"/>
          <w:szCs w:val="24"/>
          <w14:textFill>
            <w14:solidFill>
              <w14:schemeClr w14:val="tx1"/>
            </w14:solidFill>
          </w14:textFill>
        </w:rPr>
        <w:t xml:space="preserve"> 泥浆处理工程的施工应未对周边建筑、设施、环境等造成破坏。</w:t>
      </w:r>
      <w:bookmarkEnd w:id="240"/>
    </w:p>
    <w:p w14:paraId="1B63D48B">
      <w:pPr>
        <w:spacing w:line="360" w:lineRule="auto"/>
        <w:rPr>
          <w:rFonts w:ascii="Times New Roman" w:hAnsi="Times New Roman" w:cs="Times New Roman"/>
          <w:color w:val="000000" w:themeColor="text1"/>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46FDD">
    <w:pPr>
      <w:pStyle w:val="9"/>
      <w:jc w:val="cente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D634D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66C/ssAgAAV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nroL+ywCAABVBAAADgAAAAAAAAABACAAAAAfAQAAZHJzL2Uyb0RvYy54bWxQSwUGAAAAAAYA&#10;BgBZAQAAvQUAAAAA&#10;">
              <v:fill on="f" focussize="0,0"/>
              <v:stroke on="f" weight="0.5pt"/>
              <v:imagedata o:title=""/>
              <o:lock v:ext="edit" aspectratio="f"/>
              <v:textbox inset="0mm,0mm,0mm,0mm" style="mso-fit-shape-to-text:t;">
                <w:txbxContent>
                  <w:p w14:paraId="22D634D9"/>
                </w:txbxContent>
              </v:textbox>
            </v:shape>
          </w:pict>
        </mc:Fallback>
      </mc:AlternateContent>
    </w:r>
  </w:p>
  <w:p w14:paraId="0EB63EC7">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A3151">
    <w:pPr>
      <w:pStyle w:val="9"/>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709720152"/>
                          </w:sdtPr>
                          <w:sdtContent>
                            <w:p w14:paraId="69ABA42A">
                              <w:pPr>
                                <w:pStyle w:val="9"/>
                                <w:jc w:val="center"/>
                              </w:pPr>
                              <w:r>
                                <w:fldChar w:fldCharType="begin"/>
                              </w:r>
                              <w:r>
                                <w:instrText xml:space="preserve">PAGE   \* MERGEFORMAT</w:instrText>
                              </w:r>
                              <w:r>
                                <w:fldChar w:fldCharType="separate"/>
                              </w:r>
                              <w:r>
                                <w:rPr>
                                  <w:lang w:val="zh-CN"/>
                                </w:rPr>
                                <w:t>27</w:t>
                              </w:r>
                              <w:r>
                                <w:fldChar w:fldCharType="end"/>
                              </w:r>
                            </w:p>
                          </w:sdtContent>
                        </w:sdt>
                        <w:p w14:paraId="78C5DAF6"/>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709720152"/>
                    </w:sdtPr>
                    <w:sdtContent>
                      <w:p w14:paraId="69ABA42A">
                        <w:pPr>
                          <w:pStyle w:val="9"/>
                          <w:jc w:val="center"/>
                        </w:pPr>
                        <w:r>
                          <w:fldChar w:fldCharType="begin"/>
                        </w:r>
                        <w:r>
                          <w:instrText xml:space="preserve">PAGE   \* MERGEFORMAT</w:instrText>
                        </w:r>
                        <w:r>
                          <w:fldChar w:fldCharType="separate"/>
                        </w:r>
                        <w:r>
                          <w:rPr>
                            <w:lang w:val="zh-CN"/>
                          </w:rPr>
                          <w:t>27</w:t>
                        </w:r>
                        <w:r>
                          <w:fldChar w:fldCharType="end"/>
                        </w:r>
                      </w:p>
                    </w:sdtContent>
                  </w:sdt>
                  <w:p w14:paraId="78C5DAF6"/>
                </w:txbxContent>
              </v:textbox>
            </v:shape>
          </w:pict>
        </mc:Fallback>
      </mc:AlternateContent>
    </w:r>
  </w:p>
  <w:p w14:paraId="596E0B4C">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mMGExYWIyMjZjMmVkZmMxNDRmOTdkM2FhY2ExNGYifQ=="/>
  </w:docVars>
  <w:rsids>
    <w:rsidRoot w:val="008D6EF0"/>
    <w:rsid w:val="00000909"/>
    <w:rsid w:val="00001391"/>
    <w:rsid w:val="00004F29"/>
    <w:rsid w:val="00006AE4"/>
    <w:rsid w:val="000072BD"/>
    <w:rsid w:val="0001191B"/>
    <w:rsid w:val="0003525C"/>
    <w:rsid w:val="00037CC7"/>
    <w:rsid w:val="00051939"/>
    <w:rsid w:val="0006057C"/>
    <w:rsid w:val="00063418"/>
    <w:rsid w:val="0007412A"/>
    <w:rsid w:val="00074A56"/>
    <w:rsid w:val="000850F0"/>
    <w:rsid w:val="00093DB3"/>
    <w:rsid w:val="00097BD2"/>
    <w:rsid w:val="000A26AE"/>
    <w:rsid w:val="000A3C86"/>
    <w:rsid w:val="000B3F5F"/>
    <w:rsid w:val="000B5E91"/>
    <w:rsid w:val="000B6973"/>
    <w:rsid w:val="000B6E7F"/>
    <w:rsid w:val="000B7591"/>
    <w:rsid w:val="000C02F6"/>
    <w:rsid w:val="000C5C66"/>
    <w:rsid w:val="000D3010"/>
    <w:rsid w:val="000D6E90"/>
    <w:rsid w:val="000E232C"/>
    <w:rsid w:val="000E2DC1"/>
    <w:rsid w:val="000E5AA0"/>
    <w:rsid w:val="000F4171"/>
    <w:rsid w:val="000F5BFB"/>
    <w:rsid w:val="000F63F2"/>
    <w:rsid w:val="000F79F7"/>
    <w:rsid w:val="00103100"/>
    <w:rsid w:val="001032DF"/>
    <w:rsid w:val="00103DD1"/>
    <w:rsid w:val="001136B7"/>
    <w:rsid w:val="00114AC9"/>
    <w:rsid w:val="001203EC"/>
    <w:rsid w:val="00123C4A"/>
    <w:rsid w:val="00124DE8"/>
    <w:rsid w:val="0012620C"/>
    <w:rsid w:val="00127E3D"/>
    <w:rsid w:val="00137705"/>
    <w:rsid w:val="00141106"/>
    <w:rsid w:val="00142C14"/>
    <w:rsid w:val="001434B3"/>
    <w:rsid w:val="00147B5A"/>
    <w:rsid w:val="00152F5D"/>
    <w:rsid w:val="00157B1D"/>
    <w:rsid w:val="001604DA"/>
    <w:rsid w:val="0016075C"/>
    <w:rsid w:val="00161F69"/>
    <w:rsid w:val="001639EA"/>
    <w:rsid w:val="00163E62"/>
    <w:rsid w:val="00171DD4"/>
    <w:rsid w:val="00173B3B"/>
    <w:rsid w:val="001751E0"/>
    <w:rsid w:val="001769F9"/>
    <w:rsid w:val="00182E01"/>
    <w:rsid w:val="00185A6C"/>
    <w:rsid w:val="001862AE"/>
    <w:rsid w:val="00191306"/>
    <w:rsid w:val="001A43B5"/>
    <w:rsid w:val="001A5C0C"/>
    <w:rsid w:val="001B0816"/>
    <w:rsid w:val="001B1471"/>
    <w:rsid w:val="001B7CE4"/>
    <w:rsid w:val="001C22F4"/>
    <w:rsid w:val="001C2618"/>
    <w:rsid w:val="001C2849"/>
    <w:rsid w:val="001C42FF"/>
    <w:rsid w:val="001D53AD"/>
    <w:rsid w:val="001E32C5"/>
    <w:rsid w:val="001E48A4"/>
    <w:rsid w:val="001E5ECA"/>
    <w:rsid w:val="001E7CDD"/>
    <w:rsid w:val="001F3AF1"/>
    <w:rsid w:val="001F5FE4"/>
    <w:rsid w:val="001F7D22"/>
    <w:rsid w:val="0020159E"/>
    <w:rsid w:val="00202705"/>
    <w:rsid w:val="0021191C"/>
    <w:rsid w:val="00216D19"/>
    <w:rsid w:val="00217908"/>
    <w:rsid w:val="0022049A"/>
    <w:rsid w:val="00221185"/>
    <w:rsid w:val="002234C7"/>
    <w:rsid w:val="00224299"/>
    <w:rsid w:val="00225CD8"/>
    <w:rsid w:val="0023079F"/>
    <w:rsid w:val="00233526"/>
    <w:rsid w:val="00235107"/>
    <w:rsid w:val="00235962"/>
    <w:rsid w:val="002365CD"/>
    <w:rsid w:val="002401EE"/>
    <w:rsid w:val="00240BD8"/>
    <w:rsid w:val="00241FD4"/>
    <w:rsid w:val="00254370"/>
    <w:rsid w:val="002568F7"/>
    <w:rsid w:val="002622E9"/>
    <w:rsid w:val="002673BF"/>
    <w:rsid w:val="00267ECE"/>
    <w:rsid w:val="00272B5F"/>
    <w:rsid w:val="00277C68"/>
    <w:rsid w:val="00286E86"/>
    <w:rsid w:val="00287275"/>
    <w:rsid w:val="00291927"/>
    <w:rsid w:val="00292CFD"/>
    <w:rsid w:val="00295039"/>
    <w:rsid w:val="00295551"/>
    <w:rsid w:val="002A36FC"/>
    <w:rsid w:val="002A45CE"/>
    <w:rsid w:val="002A47A1"/>
    <w:rsid w:val="002B3A56"/>
    <w:rsid w:val="002B4F55"/>
    <w:rsid w:val="002B51CA"/>
    <w:rsid w:val="002B51D7"/>
    <w:rsid w:val="002C053E"/>
    <w:rsid w:val="002D41EB"/>
    <w:rsid w:val="002D4FB0"/>
    <w:rsid w:val="002D4FFE"/>
    <w:rsid w:val="002D7117"/>
    <w:rsid w:val="002E2FE3"/>
    <w:rsid w:val="002E316C"/>
    <w:rsid w:val="002F27C7"/>
    <w:rsid w:val="00307BD2"/>
    <w:rsid w:val="00311EBC"/>
    <w:rsid w:val="00312678"/>
    <w:rsid w:val="0031395F"/>
    <w:rsid w:val="00316625"/>
    <w:rsid w:val="00317D45"/>
    <w:rsid w:val="003218F5"/>
    <w:rsid w:val="00322427"/>
    <w:rsid w:val="003243B4"/>
    <w:rsid w:val="003341D7"/>
    <w:rsid w:val="00334373"/>
    <w:rsid w:val="003364ED"/>
    <w:rsid w:val="00336E6D"/>
    <w:rsid w:val="003374B1"/>
    <w:rsid w:val="00352D21"/>
    <w:rsid w:val="00355580"/>
    <w:rsid w:val="00356BCC"/>
    <w:rsid w:val="00357C3A"/>
    <w:rsid w:val="00361693"/>
    <w:rsid w:val="003720A6"/>
    <w:rsid w:val="003752E7"/>
    <w:rsid w:val="00383B22"/>
    <w:rsid w:val="003860CC"/>
    <w:rsid w:val="003871E0"/>
    <w:rsid w:val="00390817"/>
    <w:rsid w:val="00397F13"/>
    <w:rsid w:val="003B3BB1"/>
    <w:rsid w:val="003B4205"/>
    <w:rsid w:val="003C7FF3"/>
    <w:rsid w:val="003D5E4B"/>
    <w:rsid w:val="003E4F81"/>
    <w:rsid w:val="003F0D87"/>
    <w:rsid w:val="003F497E"/>
    <w:rsid w:val="004022E6"/>
    <w:rsid w:val="00402DCD"/>
    <w:rsid w:val="00407384"/>
    <w:rsid w:val="004130C8"/>
    <w:rsid w:val="00414567"/>
    <w:rsid w:val="004173B6"/>
    <w:rsid w:val="00421C18"/>
    <w:rsid w:val="00422BFC"/>
    <w:rsid w:val="00425141"/>
    <w:rsid w:val="00427636"/>
    <w:rsid w:val="00427EB2"/>
    <w:rsid w:val="00432549"/>
    <w:rsid w:val="00450E53"/>
    <w:rsid w:val="00455345"/>
    <w:rsid w:val="00456407"/>
    <w:rsid w:val="0046348B"/>
    <w:rsid w:val="00463A40"/>
    <w:rsid w:val="00463A7F"/>
    <w:rsid w:val="004731A8"/>
    <w:rsid w:val="004773DF"/>
    <w:rsid w:val="00484679"/>
    <w:rsid w:val="004900DF"/>
    <w:rsid w:val="00490672"/>
    <w:rsid w:val="00490F04"/>
    <w:rsid w:val="00491314"/>
    <w:rsid w:val="00495DBA"/>
    <w:rsid w:val="004A136D"/>
    <w:rsid w:val="004A29F7"/>
    <w:rsid w:val="004A3734"/>
    <w:rsid w:val="004A44C3"/>
    <w:rsid w:val="004A5BC5"/>
    <w:rsid w:val="004A6198"/>
    <w:rsid w:val="004A7403"/>
    <w:rsid w:val="004A79D3"/>
    <w:rsid w:val="004B1FEE"/>
    <w:rsid w:val="004B39B8"/>
    <w:rsid w:val="004B4B86"/>
    <w:rsid w:val="004B6FB9"/>
    <w:rsid w:val="004C1D6F"/>
    <w:rsid w:val="004C75BA"/>
    <w:rsid w:val="004C77F1"/>
    <w:rsid w:val="004D0482"/>
    <w:rsid w:val="004E0D4B"/>
    <w:rsid w:val="004E1C0D"/>
    <w:rsid w:val="004E1C6B"/>
    <w:rsid w:val="004E3719"/>
    <w:rsid w:val="004E425F"/>
    <w:rsid w:val="004E47D9"/>
    <w:rsid w:val="004E52FD"/>
    <w:rsid w:val="004E5B9B"/>
    <w:rsid w:val="004F0864"/>
    <w:rsid w:val="004F0F52"/>
    <w:rsid w:val="004F1D02"/>
    <w:rsid w:val="005013F5"/>
    <w:rsid w:val="00502197"/>
    <w:rsid w:val="005034A9"/>
    <w:rsid w:val="0050413F"/>
    <w:rsid w:val="0050438C"/>
    <w:rsid w:val="00507773"/>
    <w:rsid w:val="005102C9"/>
    <w:rsid w:val="00511326"/>
    <w:rsid w:val="005129BA"/>
    <w:rsid w:val="0051579D"/>
    <w:rsid w:val="00516A25"/>
    <w:rsid w:val="00516FD8"/>
    <w:rsid w:val="00517841"/>
    <w:rsid w:val="005207BF"/>
    <w:rsid w:val="0052273D"/>
    <w:rsid w:val="005245C9"/>
    <w:rsid w:val="00525F2C"/>
    <w:rsid w:val="005272A9"/>
    <w:rsid w:val="00532CB9"/>
    <w:rsid w:val="00536E3A"/>
    <w:rsid w:val="00552BD5"/>
    <w:rsid w:val="00557922"/>
    <w:rsid w:val="005614CC"/>
    <w:rsid w:val="00561B40"/>
    <w:rsid w:val="00564E1B"/>
    <w:rsid w:val="005659BC"/>
    <w:rsid w:val="00566B0F"/>
    <w:rsid w:val="005702C4"/>
    <w:rsid w:val="00572C78"/>
    <w:rsid w:val="00581231"/>
    <w:rsid w:val="00591B94"/>
    <w:rsid w:val="005960AA"/>
    <w:rsid w:val="005A1DDA"/>
    <w:rsid w:val="005B1102"/>
    <w:rsid w:val="005B2B08"/>
    <w:rsid w:val="005C0656"/>
    <w:rsid w:val="005C1BD0"/>
    <w:rsid w:val="005C4CD4"/>
    <w:rsid w:val="005D3E0F"/>
    <w:rsid w:val="005D4659"/>
    <w:rsid w:val="005D5435"/>
    <w:rsid w:val="005E3279"/>
    <w:rsid w:val="005E3A54"/>
    <w:rsid w:val="005E3FF4"/>
    <w:rsid w:val="005E71B9"/>
    <w:rsid w:val="005F022E"/>
    <w:rsid w:val="005F6597"/>
    <w:rsid w:val="00604DD7"/>
    <w:rsid w:val="00610971"/>
    <w:rsid w:val="00610C2B"/>
    <w:rsid w:val="00614BE2"/>
    <w:rsid w:val="00623952"/>
    <w:rsid w:val="006351DB"/>
    <w:rsid w:val="00635645"/>
    <w:rsid w:val="00653658"/>
    <w:rsid w:val="00660295"/>
    <w:rsid w:val="006674E4"/>
    <w:rsid w:val="00672F1F"/>
    <w:rsid w:val="006812D6"/>
    <w:rsid w:val="00694981"/>
    <w:rsid w:val="006A3F60"/>
    <w:rsid w:val="006A49E3"/>
    <w:rsid w:val="006A5AB4"/>
    <w:rsid w:val="006A69F7"/>
    <w:rsid w:val="006B0C9F"/>
    <w:rsid w:val="006B3F8F"/>
    <w:rsid w:val="006B5809"/>
    <w:rsid w:val="006B69E3"/>
    <w:rsid w:val="006C1358"/>
    <w:rsid w:val="006C1859"/>
    <w:rsid w:val="006C1CA5"/>
    <w:rsid w:val="006C1E6B"/>
    <w:rsid w:val="006C3282"/>
    <w:rsid w:val="006C3820"/>
    <w:rsid w:val="006D5558"/>
    <w:rsid w:val="006D58B7"/>
    <w:rsid w:val="006D5DEC"/>
    <w:rsid w:val="006D75CF"/>
    <w:rsid w:val="006D7A9B"/>
    <w:rsid w:val="006E0011"/>
    <w:rsid w:val="006E0E2B"/>
    <w:rsid w:val="006E4312"/>
    <w:rsid w:val="006F08A0"/>
    <w:rsid w:val="006F5762"/>
    <w:rsid w:val="0070023E"/>
    <w:rsid w:val="007041D9"/>
    <w:rsid w:val="00706436"/>
    <w:rsid w:val="00706A90"/>
    <w:rsid w:val="00715875"/>
    <w:rsid w:val="00717683"/>
    <w:rsid w:val="00721A4F"/>
    <w:rsid w:val="00722099"/>
    <w:rsid w:val="00723BCF"/>
    <w:rsid w:val="00724AF3"/>
    <w:rsid w:val="00736AAB"/>
    <w:rsid w:val="00737312"/>
    <w:rsid w:val="007430F4"/>
    <w:rsid w:val="00753C7A"/>
    <w:rsid w:val="007570BF"/>
    <w:rsid w:val="0076035A"/>
    <w:rsid w:val="0076053E"/>
    <w:rsid w:val="0077789A"/>
    <w:rsid w:val="007840A6"/>
    <w:rsid w:val="00786A83"/>
    <w:rsid w:val="00786D84"/>
    <w:rsid w:val="00791F0D"/>
    <w:rsid w:val="00797158"/>
    <w:rsid w:val="00797BA4"/>
    <w:rsid w:val="007A0623"/>
    <w:rsid w:val="007A2B5C"/>
    <w:rsid w:val="007A4A8C"/>
    <w:rsid w:val="007A60BE"/>
    <w:rsid w:val="007A6ED4"/>
    <w:rsid w:val="007B5163"/>
    <w:rsid w:val="007C50A1"/>
    <w:rsid w:val="007C6247"/>
    <w:rsid w:val="007D0635"/>
    <w:rsid w:val="007D1B63"/>
    <w:rsid w:val="007D5C2A"/>
    <w:rsid w:val="007E1969"/>
    <w:rsid w:val="007E1A8B"/>
    <w:rsid w:val="007F2A32"/>
    <w:rsid w:val="007F5133"/>
    <w:rsid w:val="00810A52"/>
    <w:rsid w:val="00811B65"/>
    <w:rsid w:val="00813244"/>
    <w:rsid w:val="0081358A"/>
    <w:rsid w:val="0081459D"/>
    <w:rsid w:val="008155D3"/>
    <w:rsid w:val="00817FCE"/>
    <w:rsid w:val="00823B1F"/>
    <w:rsid w:val="00823FAB"/>
    <w:rsid w:val="008269BF"/>
    <w:rsid w:val="00831138"/>
    <w:rsid w:val="00832A44"/>
    <w:rsid w:val="00836CF1"/>
    <w:rsid w:val="008370F7"/>
    <w:rsid w:val="0084002C"/>
    <w:rsid w:val="008408CB"/>
    <w:rsid w:val="0084450A"/>
    <w:rsid w:val="0085528C"/>
    <w:rsid w:val="0085547A"/>
    <w:rsid w:val="008569AD"/>
    <w:rsid w:val="00861746"/>
    <w:rsid w:val="00866013"/>
    <w:rsid w:val="00866195"/>
    <w:rsid w:val="00877C10"/>
    <w:rsid w:val="00882DE7"/>
    <w:rsid w:val="00883697"/>
    <w:rsid w:val="00887751"/>
    <w:rsid w:val="00890198"/>
    <w:rsid w:val="008940B7"/>
    <w:rsid w:val="00895DC8"/>
    <w:rsid w:val="00897B91"/>
    <w:rsid w:val="008A0CF4"/>
    <w:rsid w:val="008A7F03"/>
    <w:rsid w:val="008B0D49"/>
    <w:rsid w:val="008B5FAD"/>
    <w:rsid w:val="008C2B59"/>
    <w:rsid w:val="008C34DD"/>
    <w:rsid w:val="008C365E"/>
    <w:rsid w:val="008C48CB"/>
    <w:rsid w:val="008D1EC7"/>
    <w:rsid w:val="008D202F"/>
    <w:rsid w:val="008D3059"/>
    <w:rsid w:val="008D6EF0"/>
    <w:rsid w:val="008E7050"/>
    <w:rsid w:val="008F3265"/>
    <w:rsid w:val="008F497D"/>
    <w:rsid w:val="008F6056"/>
    <w:rsid w:val="008F6DC2"/>
    <w:rsid w:val="008F754B"/>
    <w:rsid w:val="00903227"/>
    <w:rsid w:val="00905DE5"/>
    <w:rsid w:val="00915997"/>
    <w:rsid w:val="00920552"/>
    <w:rsid w:val="00925B58"/>
    <w:rsid w:val="00927EA4"/>
    <w:rsid w:val="00930AE9"/>
    <w:rsid w:val="009311F0"/>
    <w:rsid w:val="00935889"/>
    <w:rsid w:val="00936EBF"/>
    <w:rsid w:val="00937B82"/>
    <w:rsid w:val="0094319C"/>
    <w:rsid w:val="00943CB9"/>
    <w:rsid w:val="00944A3B"/>
    <w:rsid w:val="00945A0A"/>
    <w:rsid w:val="00947A97"/>
    <w:rsid w:val="009519D2"/>
    <w:rsid w:val="00952061"/>
    <w:rsid w:val="00955A19"/>
    <w:rsid w:val="00956BA4"/>
    <w:rsid w:val="00971209"/>
    <w:rsid w:val="009729EE"/>
    <w:rsid w:val="00976C31"/>
    <w:rsid w:val="009879BD"/>
    <w:rsid w:val="00991819"/>
    <w:rsid w:val="0099262C"/>
    <w:rsid w:val="00993118"/>
    <w:rsid w:val="009956EC"/>
    <w:rsid w:val="009A1484"/>
    <w:rsid w:val="009A7593"/>
    <w:rsid w:val="009B6933"/>
    <w:rsid w:val="009B7EEE"/>
    <w:rsid w:val="009C262D"/>
    <w:rsid w:val="009C5331"/>
    <w:rsid w:val="009C5C96"/>
    <w:rsid w:val="009C5CD4"/>
    <w:rsid w:val="009C6843"/>
    <w:rsid w:val="009D0BFA"/>
    <w:rsid w:val="009D3077"/>
    <w:rsid w:val="009D6350"/>
    <w:rsid w:val="009E4249"/>
    <w:rsid w:val="009E672E"/>
    <w:rsid w:val="00A05EAA"/>
    <w:rsid w:val="00A107D3"/>
    <w:rsid w:val="00A12491"/>
    <w:rsid w:val="00A13C9C"/>
    <w:rsid w:val="00A14101"/>
    <w:rsid w:val="00A15550"/>
    <w:rsid w:val="00A1751A"/>
    <w:rsid w:val="00A33C11"/>
    <w:rsid w:val="00A344F3"/>
    <w:rsid w:val="00A37994"/>
    <w:rsid w:val="00A47FAA"/>
    <w:rsid w:val="00A47FE8"/>
    <w:rsid w:val="00A52AF5"/>
    <w:rsid w:val="00A53C94"/>
    <w:rsid w:val="00A60514"/>
    <w:rsid w:val="00A6628A"/>
    <w:rsid w:val="00A71259"/>
    <w:rsid w:val="00A72F4C"/>
    <w:rsid w:val="00A80BE3"/>
    <w:rsid w:val="00A8423F"/>
    <w:rsid w:val="00A87F51"/>
    <w:rsid w:val="00A95E69"/>
    <w:rsid w:val="00A97734"/>
    <w:rsid w:val="00AA4F00"/>
    <w:rsid w:val="00AA7714"/>
    <w:rsid w:val="00AA7957"/>
    <w:rsid w:val="00AA7B55"/>
    <w:rsid w:val="00AA7B6C"/>
    <w:rsid w:val="00AA7CA0"/>
    <w:rsid w:val="00AB5A84"/>
    <w:rsid w:val="00AC01CC"/>
    <w:rsid w:val="00AC0383"/>
    <w:rsid w:val="00AC5DC4"/>
    <w:rsid w:val="00AC6D1D"/>
    <w:rsid w:val="00AD0982"/>
    <w:rsid w:val="00AD3F60"/>
    <w:rsid w:val="00AE080B"/>
    <w:rsid w:val="00AE2ED4"/>
    <w:rsid w:val="00AE3138"/>
    <w:rsid w:val="00AE6092"/>
    <w:rsid w:val="00AE6E09"/>
    <w:rsid w:val="00AF2D44"/>
    <w:rsid w:val="00AF3F20"/>
    <w:rsid w:val="00AF4D78"/>
    <w:rsid w:val="00B0022E"/>
    <w:rsid w:val="00B06316"/>
    <w:rsid w:val="00B221A7"/>
    <w:rsid w:val="00B2550F"/>
    <w:rsid w:val="00B25B04"/>
    <w:rsid w:val="00B25E47"/>
    <w:rsid w:val="00B30859"/>
    <w:rsid w:val="00B31E6C"/>
    <w:rsid w:val="00B34FE8"/>
    <w:rsid w:val="00B422C2"/>
    <w:rsid w:val="00B46F76"/>
    <w:rsid w:val="00B47AB4"/>
    <w:rsid w:val="00B556C3"/>
    <w:rsid w:val="00B57015"/>
    <w:rsid w:val="00B618B7"/>
    <w:rsid w:val="00B64F8C"/>
    <w:rsid w:val="00B66969"/>
    <w:rsid w:val="00B674D1"/>
    <w:rsid w:val="00B67CD9"/>
    <w:rsid w:val="00B67FBB"/>
    <w:rsid w:val="00B70267"/>
    <w:rsid w:val="00B70C2E"/>
    <w:rsid w:val="00B72659"/>
    <w:rsid w:val="00B73E73"/>
    <w:rsid w:val="00B76910"/>
    <w:rsid w:val="00B80D0B"/>
    <w:rsid w:val="00B92643"/>
    <w:rsid w:val="00B94ECF"/>
    <w:rsid w:val="00B95BA5"/>
    <w:rsid w:val="00BA68E2"/>
    <w:rsid w:val="00BB32F2"/>
    <w:rsid w:val="00BB349E"/>
    <w:rsid w:val="00BB3570"/>
    <w:rsid w:val="00BB3F6D"/>
    <w:rsid w:val="00BB7BFC"/>
    <w:rsid w:val="00BC0D48"/>
    <w:rsid w:val="00BC22E2"/>
    <w:rsid w:val="00BC45E2"/>
    <w:rsid w:val="00BD10BE"/>
    <w:rsid w:val="00BD3605"/>
    <w:rsid w:val="00BE69A1"/>
    <w:rsid w:val="00BE6A8A"/>
    <w:rsid w:val="00BF2EFF"/>
    <w:rsid w:val="00BF2F0D"/>
    <w:rsid w:val="00C01817"/>
    <w:rsid w:val="00C030FC"/>
    <w:rsid w:val="00C06610"/>
    <w:rsid w:val="00C07EAC"/>
    <w:rsid w:val="00C131FC"/>
    <w:rsid w:val="00C13DD8"/>
    <w:rsid w:val="00C151F1"/>
    <w:rsid w:val="00C23AD8"/>
    <w:rsid w:val="00C30280"/>
    <w:rsid w:val="00C31E14"/>
    <w:rsid w:val="00C3381D"/>
    <w:rsid w:val="00C36CF2"/>
    <w:rsid w:val="00C3753E"/>
    <w:rsid w:val="00C4019E"/>
    <w:rsid w:val="00C43DA2"/>
    <w:rsid w:val="00C44B17"/>
    <w:rsid w:val="00C44FA4"/>
    <w:rsid w:val="00C46BF0"/>
    <w:rsid w:val="00C46C6E"/>
    <w:rsid w:val="00C47B10"/>
    <w:rsid w:val="00C50791"/>
    <w:rsid w:val="00C50976"/>
    <w:rsid w:val="00C55843"/>
    <w:rsid w:val="00C55AA4"/>
    <w:rsid w:val="00C56C39"/>
    <w:rsid w:val="00C57DAC"/>
    <w:rsid w:val="00C6039E"/>
    <w:rsid w:val="00C639A3"/>
    <w:rsid w:val="00C63F40"/>
    <w:rsid w:val="00C703AE"/>
    <w:rsid w:val="00C70E86"/>
    <w:rsid w:val="00C71C9F"/>
    <w:rsid w:val="00C75F51"/>
    <w:rsid w:val="00C8041F"/>
    <w:rsid w:val="00C87870"/>
    <w:rsid w:val="00C90265"/>
    <w:rsid w:val="00C90734"/>
    <w:rsid w:val="00C90B4C"/>
    <w:rsid w:val="00C9128E"/>
    <w:rsid w:val="00C933A3"/>
    <w:rsid w:val="00C935B0"/>
    <w:rsid w:val="00C95CFA"/>
    <w:rsid w:val="00CA2F9D"/>
    <w:rsid w:val="00CA40BF"/>
    <w:rsid w:val="00CB5C35"/>
    <w:rsid w:val="00CC55DC"/>
    <w:rsid w:val="00CC6146"/>
    <w:rsid w:val="00CD29BC"/>
    <w:rsid w:val="00CD4000"/>
    <w:rsid w:val="00CD4990"/>
    <w:rsid w:val="00CE506B"/>
    <w:rsid w:val="00CE6F13"/>
    <w:rsid w:val="00CF21F5"/>
    <w:rsid w:val="00D004AB"/>
    <w:rsid w:val="00D007AD"/>
    <w:rsid w:val="00D04CE4"/>
    <w:rsid w:val="00D12D81"/>
    <w:rsid w:val="00D24584"/>
    <w:rsid w:val="00D30364"/>
    <w:rsid w:val="00D347E4"/>
    <w:rsid w:val="00D3586F"/>
    <w:rsid w:val="00D367EB"/>
    <w:rsid w:val="00D4230D"/>
    <w:rsid w:val="00D4419C"/>
    <w:rsid w:val="00D45B5A"/>
    <w:rsid w:val="00D46CD5"/>
    <w:rsid w:val="00D50AAD"/>
    <w:rsid w:val="00D52874"/>
    <w:rsid w:val="00D56B60"/>
    <w:rsid w:val="00D65B1C"/>
    <w:rsid w:val="00D66EAE"/>
    <w:rsid w:val="00D735BE"/>
    <w:rsid w:val="00D80912"/>
    <w:rsid w:val="00D8324C"/>
    <w:rsid w:val="00D8504D"/>
    <w:rsid w:val="00D965E1"/>
    <w:rsid w:val="00DA0AAC"/>
    <w:rsid w:val="00DA30FF"/>
    <w:rsid w:val="00DA36E6"/>
    <w:rsid w:val="00DA7AAA"/>
    <w:rsid w:val="00DB0269"/>
    <w:rsid w:val="00DB11B6"/>
    <w:rsid w:val="00DB5A39"/>
    <w:rsid w:val="00DC0012"/>
    <w:rsid w:val="00DC17FC"/>
    <w:rsid w:val="00DC18A8"/>
    <w:rsid w:val="00DC1C16"/>
    <w:rsid w:val="00DC5514"/>
    <w:rsid w:val="00DC7A43"/>
    <w:rsid w:val="00DD46D0"/>
    <w:rsid w:val="00DE372E"/>
    <w:rsid w:val="00DE6C1F"/>
    <w:rsid w:val="00DF0100"/>
    <w:rsid w:val="00DF1DBA"/>
    <w:rsid w:val="00DF3154"/>
    <w:rsid w:val="00E06588"/>
    <w:rsid w:val="00E1596E"/>
    <w:rsid w:val="00E15B7B"/>
    <w:rsid w:val="00E15EFE"/>
    <w:rsid w:val="00E337E8"/>
    <w:rsid w:val="00E346F0"/>
    <w:rsid w:val="00E3616B"/>
    <w:rsid w:val="00E36369"/>
    <w:rsid w:val="00E42A18"/>
    <w:rsid w:val="00E45A63"/>
    <w:rsid w:val="00E47635"/>
    <w:rsid w:val="00E47C13"/>
    <w:rsid w:val="00E50261"/>
    <w:rsid w:val="00E6210B"/>
    <w:rsid w:val="00E65347"/>
    <w:rsid w:val="00E66670"/>
    <w:rsid w:val="00E66F87"/>
    <w:rsid w:val="00E70DF2"/>
    <w:rsid w:val="00E77C3F"/>
    <w:rsid w:val="00E81E59"/>
    <w:rsid w:val="00E86C9C"/>
    <w:rsid w:val="00E87B30"/>
    <w:rsid w:val="00E87C8E"/>
    <w:rsid w:val="00E910BD"/>
    <w:rsid w:val="00E93987"/>
    <w:rsid w:val="00E9594C"/>
    <w:rsid w:val="00EA1953"/>
    <w:rsid w:val="00EA1F30"/>
    <w:rsid w:val="00EA6F01"/>
    <w:rsid w:val="00EB14EB"/>
    <w:rsid w:val="00EB1CFD"/>
    <w:rsid w:val="00EB4D8F"/>
    <w:rsid w:val="00EB4F7A"/>
    <w:rsid w:val="00EB7A52"/>
    <w:rsid w:val="00EC4ACB"/>
    <w:rsid w:val="00EC561D"/>
    <w:rsid w:val="00EC6A0D"/>
    <w:rsid w:val="00ED1517"/>
    <w:rsid w:val="00ED76CF"/>
    <w:rsid w:val="00EE06B1"/>
    <w:rsid w:val="00EE2468"/>
    <w:rsid w:val="00EE5F6C"/>
    <w:rsid w:val="00EE7167"/>
    <w:rsid w:val="00EF6426"/>
    <w:rsid w:val="00F01B2F"/>
    <w:rsid w:val="00F01E69"/>
    <w:rsid w:val="00F046FC"/>
    <w:rsid w:val="00F10681"/>
    <w:rsid w:val="00F14513"/>
    <w:rsid w:val="00F228B5"/>
    <w:rsid w:val="00F23D05"/>
    <w:rsid w:val="00F24086"/>
    <w:rsid w:val="00F2630B"/>
    <w:rsid w:val="00F26B4F"/>
    <w:rsid w:val="00F3054B"/>
    <w:rsid w:val="00F307B1"/>
    <w:rsid w:val="00F30C32"/>
    <w:rsid w:val="00F323F5"/>
    <w:rsid w:val="00F33EB2"/>
    <w:rsid w:val="00F37BB7"/>
    <w:rsid w:val="00F43C1D"/>
    <w:rsid w:val="00F50272"/>
    <w:rsid w:val="00F5764C"/>
    <w:rsid w:val="00F60A1E"/>
    <w:rsid w:val="00F6389C"/>
    <w:rsid w:val="00F71EC8"/>
    <w:rsid w:val="00F73116"/>
    <w:rsid w:val="00F8023A"/>
    <w:rsid w:val="00F81063"/>
    <w:rsid w:val="00F84E74"/>
    <w:rsid w:val="00F8766D"/>
    <w:rsid w:val="00F90B75"/>
    <w:rsid w:val="00F9710E"/>
    <w:rsid w:val="00F97358"/>
    <w:rsid w:val="00F976A2"/>
    <w:rsid w:val="00FA54C7"/>
    <w:rsid w:val="00FA673A"/>
    <w:rsid w:val="00FC6872"/>
    <w:rsid w:val="00FD45B2"/>
    <w:rsid w:val="00FD6267"/>
    <w:rsid w:val="00FD759D"/>
    <w:rsid w:val="00FE0A00"/>
    <w:rsid w:val="00FE1517"/>
    <w:rsid w:val="00FE1733"/>
    <w:rsid w:val="00FE7F96"/>
    <w:rsid w:val="01126EE2"/>
    <w:rsid w:val="01CC4FA0"/>
    <w:rsid w:val="038670F1"/>
    <w:rsid w:val="03AF7496"/>
    <w:rsid w:val="043C02BD"/>
    <w:rsid w:val="045C161D"/>
    <w:rsid w:val="046F071C"/>
    <w:rsid w:val="04810A92"/>
    <w:rsid w:val="04A94845"/>
    <w:rsid w:val="0560177A"/>
    <w:rsid w:val="063B2989"/>
    <w:rsid w:val="073C2A8F"/>
    <w:rsid w:val="07CB7F67"/>
    <w:rsid w:val="07CC4866"/>
    <w:rsid w:val="07D46271"/>
    <w:rsid w:val="07DB639E"/>
    <w:rsid w:val="098531A1"/>
    <w:rsid w:val="09C97C4F"/>
    <w:rsid w:val="0A4321DB"/>
    <w:rsid w:val="0A775D2C"/>
    <w:rsid w:val="0BCB3295"/>
    <w:rsid w:val="0BFD2E14"/>
    <w:rsid w:val="0D3D133B"/>
    <w:rsid w:val="0DC65E22"/>
    <w:rsid w:val="10867A9D"/>
    <w:rsid w:val="10FE2C23"/>
    <w:rsid w:val="11121882"/>
    <w:rsid w:val="11E04AF6"/>
    <w:rsid w:val="121B4A71"/>
    <w:rsid w:val="13007666"/>
    <w:rsid w:val="133043FD"/>
    <w:rsid w:val="13FA3D7A"/>
    <w:rsid w:val="15A7407F"/>
    <w:rsid w:val="16980EB7"/>
    <w:rsid w:val="17A57FBB"/>
    <w:rsid w:val="17B65F5B"/>
    <w:rsid w:val="1836093F"/>
    <w:rsid w:val="184F5020"/>
    <w:rsid w:val="18BC1DFE"/>
    <w:rsid w:val="191B1393"/>
    <w:rsid w:val="19660A15"/>
    <w:rsid w:val="19A01956"/>
    <w:rsid w:val="19EF136E"/>
    <w:rsid w:val="1AB27F6C"/>
    <w:rsid w:val="1B3B1F1D"/>
    <w:rsid w:val="1C3D1BF0"/>
    <w:rsid w:val="1C810E7B"/>
    <w:rsid w:val="1CD4366E"/>
    <w:rsid w:val="1CDE5251"/>
    <w:rsid w:val="1D152295"/>
    <w:rsid w:val="1D36286D"/>
    <w:rsid w:val="1D9F7880"/>
    <w:rsid w:val="1E1332A2"/>
    <w:rsid w:val="1EB4154C"/>
    <w:rsid w:val="1F42002B"/>
    <w:rsid w:val="1FC23782"/>
    <w:rsid w:val="1FFB3330"/>
    <w:rsid w:val="201265F8"/>
    <w:rsid w:val="20201BD5"/>
    <w:rsid w:val="205B3C94"/>
    <w:rsid w:val="21093BA1"/>
    <w:rsid w:val="22303472"/>
    <w:rsid w:val="226B7B8D"/>
    <w:rsid w:val="234970B8"/>
    <w:rsid w:val="24682C7E"/>
    <w:rsid w:val="25337DF5"/>
    <w:rsid w:val="265C2ADD"/>
    <w:rsid w:val="26A8084E"/>
    <w:rsid w:val="27136C97"/>
    <w:rsid w:val="275109BA"/>
    <w:rsid w:val="276176A3"/>
    <w:rsid w:val="276E55F5"/>
    <w:rsid w:val="27A7295E"/>
    <w:rsid w:val="27B92CBE"/>
    <w:rsid w:val="28CB1CE5"/>
    <w:rsid w:val="2AAC5E47"/>
    <w:rsid w:val="2B211CE4"/>
    <w:rsid w:val="2B962C9E"/>
    <w:rsid w:val="2BA25060"/>
    <w:rsid w:val="2BA410F2"/>
    <w:rsid w:val="2BB77B9B"/>
    <w:rsid w:val="2BDC71AB"/>
    <w:rsid w:val="2C010A68"/>
    <w:rsid w:val="2C1F67F2"/>
    <w:rsid w:val="2C9B4626"/>
    <w:rsid w:val="2D1C0918"/>
    <w:rsid w:val="2D472FCB"/>
    <w:rsid w:val="2E552B84"/>
    <w:rsid w:val="2EE628CE"/>
    <w:rsid w:val="2FB12F5A"/>
    <w:rsid w:val="2FDB060F"/>
    <w:rsid w:val="2FEF72FD"/>
    <w:rsid w:val="2FFD0BAB"/>
    <w:rsid w:val="30247A0C"/>
    <w:rsid w:val="31E67B8A"/>
    <w:rsid w:val="320F0A7A"/>
    <w:rsid w:val="324948CB"/>
    <w:rsid w:val="32C24608"/>
    <w:rsid w:val="32F923E3"/>
    <w:rsid w:val="330205BD"/>
    <w:rsid w:val="33971713"/>
    <w:rsid w:val="33C550B0"/>
    <w:rsid w:val="35430BF3"/>
    <w:rsid w:val="354E6B7F"/>
    <w:rsid w:val="35615C33"/>
    <w:rsid w:val="35E374A4"/>
    <w:rsid w:val="361A55B5"/>
    <w:rsid w:val="363D793F"/>
    <w:rsid w:val="37F850FD"/>
    <w:rsid w:val="37FE493A"/>
    <w:rsid w:val="38247EF7"/>
    <w:rsid w:val="38601DBD"/>
    <w:rsid w:val="39181B07"/>
    <w:rsid w:val="39800348"/>
    <w:rsid w:val="39EC3E91"/>
    <w:rsid w:val="3B6C3555"/>
    <w:rsid w:val="3B900CCA"/>
    <w:rsid w:val="3C3E51B4"/>
    <w:rsid w:val="3CA91B56"/>
    <w:rsid w:val="3CED6011"/>
    <w:rsid w:val="3CFD2B52"/>
    <w:rsid w:val="3E114F14"/>
    <w:rsid w:val="3E750C19"/>
    <w:rsid w:val="3EA91029"/>
    <w:rsid w:val="3F345A84"/>
    <w:rsid w:val="401A22FF"/>
    <w:rsid w:val="409473E4"/>
    <w:rsid w:val="41684253"/>
    <w:rsid w:val="41BF0510"/>
    <w:rsid w:val="428E34DF"/>
    <w:rsid w:val="430C11C7"/>
    <w:rsid w:val="43377A15"/>
    <w:rsid w:val="448F4718"/>
    <w:rsid w:val="4519670E"/>
    <w:rsid w:val="454203B2"/>
    <w:rsid w:val="454C2B24"/>
    <w:rsid w:val="45B146C0"/>
    <w:rsid w:val="45E35BFF"/>
    <w:rsid w:val="45F4345F"/>
    <w:rsid w:val="470B09D0"/>
    <w:rsid w:val="47ED3D75"/>
    <w:rsid w:val="481F2F21"/>
    <w:rsid w:val="494E4946"/>
    <w:rsid w:val="49FB4A4B"/>
    <w:rsid w:val="49FD1CEE"/>
    <w:rsid w:val="4A5F5EA4"/>
    <w:rsid w:val="4A820E20"/>
    <w:rsid w:val="4AE06BF7"/>
    <w:rsid w:val="4B137DC4"/>
    <w:rsid w:val="4C6204AE"/>
    <w:rsid w:val="4CB51CA5"/>
    <w:rsid w:val="4E4605C2"/>
    <w:rsid w:val="4E502EBB"/>
    <w:rsid w:val="4E771829"/>
    <w:rsid w:val="4EBF7668"/>
    <w:rsid w:val="500A390D"/>
    <w:rsid w:val="50E25731"/>
    <w:rsid w:val="513D5D9C"/>
    <w:rsid w:val="52790996"/>
    <w:rsid w:val="52C307F8"/>
    <w:rsid w:val="52F930DF"/>
    <w:rsid w:val="53016B4D"/>
    <w:rsid w:val="5369562B"/>
    <w:rsid w:val="542535D8"/>
    <w:rsid w:val="54CD431E"/>
    <w:rsid w:val="54DE3E76"/>
    <w:rsid w:val="55425A1B"/>
    <w:rsid w:val="57111439"/>
    <w:rsid w:val="5714085C"/>
    <w:rsid w:val="594D1A30"/>
    <w:rsid w:val="59660E90"/>
    <w:rsid w:val="5A6146CC"/>
    <w:rsid w:val="5AFD7E97"/>
    <w:rsid w:val="5BDC2573"/>
    <w:rsid w:val="5CBA789F"/>
    <w:rsid w:val="5D1F522E"/>
    <w:rsid w:val="5E5D1622"/>
    <w:rsid w:val="5EB32ABB"/>
    <w:rsid w:val="60930518"/>
    <w:rsid w:val="60DF2ED7"/>
    <w:rsid w:val="60EE72AB"/>
    <w:rsid w:val="63656CC0"/>
    <w:rsid w:val="63AA4175"/>
    <w:rsid w:val="63DB4512"/>
    <w:rsid w:val="64CD6AAB"/>
    <w:rsid w:val="657D23B0"/>
    <w:rsid w:val="674C2774"/>
    <w:rsid w:val="67B146AB"/>
    <w:rsid w:val="67BD57F4"/>
    <w:rsid w:val="68056DFC"/>
    <w:rsid w:val="68CA5E39"/>
    <w:rsid w:val="691A211A"/>
    <w:rsid w:val="694B7F36"/>
    <w:rsid w:val="699A1C49"/>
    <w:rsid w:val="69C00F57"/>
    <w:rsid w:val="6B6643C4"/>
    <w:rsid w:val="6C041827"/>
    <w:rsid w:val="6C1D18A6"/>
    <w:rsid w:val="6C4E460E"/>
    <w:rsid w:val="6CBA3DE4"/>
    <w:rsid w:val="6D4F16FB"/>
    <w:rsid w:val="6D531984"/>
    <w:rsid w:val="6E320193"/>
    <w:rsid w:val="6E4B7D2F"/>
    <w:rsid w:val="6E4E6663"/>
    <w:rsid w:val="6E80059A"/>
    <w:rsid w:val="6F2C1B7C"/>
    <w:rsid w:val="6F446C65"/>
    <w:rsid w:val="707C070B"/>
    <w:rsid w:val="70EB6578"/>
    <w:rsid w:val="715C1686"/>
    <w:rsid w:val="723B0FEA"/>
    <w:rsid w:val="730E4476"/>
    <w:rsid w:val="732600B0"/>
    <w:rsid w:val="73AE47CF"/>
    <w:rsid w:val="73BE79E6"/>
    <w:rsid w:val="740A4659"/>
    <w:rsid w:val="741E6886"/>
    <w:rsid w:val="74B363E9"/>
    <w:rsid w:val="750754BE"/>
    <w:rsid w:val="756B6F42"/>
    <w:rsid w:val="763E160F"/>
    <w:rsid w:val="7670562B"/>
    <w:rsid w:val="76841CB7"/>
    <w:rsid w:val="769739C9"/>
    <w:rsid w:val="7740055E"/>
    <w:rsid w:val="77F02A15"/>
    <w:rsid w:val="787056CE"/>
    <w:rsid w:val="78D26831"/>
    <w:rsid w:val="78F16F76"/>
    <w:rsid w:val="79CC1D20"/>
    <w:rsid w:val="79F8152E"/>
    <w:rsid w:val="7B3E5432"/>
    <w:rsid w:val="7B5F4F16"/>
    <w:rsid w:val="7BBE7164"/>
    <w:rsid w:val="7BEA5E85"/>
    <w:rsid w:val="7C414D9E"/>
    <w:rsid w:val="7C5B769A"/>
    <w:rsid w:val="7D0763B0"/>
    <w:rsid w:val="7D5E210C"/>
    <w:rsid w:val="7E081977"/>
    <w:rsid w:val="7E921B7A"/>
    <w:rsid w:val="7ED00224"/>
    <w:rsid w:val="7EE34FD3"/>
    <w:rsid w:val="7FE86E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3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qFormat/>
    <w:uiPriority w:val="0"/>
    <w:pPr>
      <w:keepNext/>
      <w:keepLines/>
      <w:spacing w:before="156" w:beforeLines="50" w:line="600" w:lineRule="exact"/>
      <w:outlineLvl w:val="2"/>
    </w:pPr>
    <w:rPr>
      <w:rFonts w:eastAsia="黑体"/>
      <w:b/>
      <w:bCs/>
      <w:sz w:val="32"/>
      <w:szCs w:val="32"/>
    </w:rPr>
  </w:style>
  <w:style w:type="character" w:default="1" w:styleId="18">
    <w:name w:val="Default Paragraph Font"/>
    <w:semiHidden/>
    <w:unhideWhenUsed/>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42"/>
    <w:semiHidden/>
    <w:unhideWhenUsed/>
    <w:qFormat/>
    <w:uiPriority w:val="99"/>
    <w:pPr>
      <w:jc w:val="left"/>
    </w:pPr>
  </w:style>
  <w:style w:type="paragraph" w:styleId="6">
    <w:name w:val="Body Text"/>
    <w:basedOn w:val="1"/>
    <w:link w:val="30"/>
    <w:qFormat/>
    <w:uiPriority w:val="1"/>
    <w:rPr>
      <w:rFonts w:ascii="Times New Roman" w:hAnsi="Times New Roman" w:eastAsia="宋体" w:cs="Times New Roman"/>
      <w:sz w:val="36"/>
      <w:szCs w:val="36"/>
    </w:rPr>
  </w:style>
  <w:style w:type="paragraph" w:styleId="7">
    <w:name w:val="toc 3"/>
    <w:basedOn w:val="1"/>
    <w:next w:val="1"/>
    <w:qFormat/>
    <w:uiPriority w:val="39"/>
    <w:pPr>
      <w:tabs>
        <w:tab w:val="right" w:leader="dot" w:pos="9241"/>
      </w:tabs>
      <w:ind w:firstLine="102" w:firstLineChars="100"/>
      <w:jc w:val="left"/>
    </w:pPr>
    <w:rPr>
      <w:rFonts w:ascii="宋体" w:hAnsi="Times New Roman" w:eastAsia="宋体" w:cs="Times New Roman"/>
      <w:szCs w:val="21"/>
    </w:rPr>
  </w:style>
  <w:style w:type="paragraph" w:styleId="8">
    <w:name w:val="Balloon Text"/>
    <w:basedOn w:val="1"/>
    <w:link w:val="26"/>
    <w:semiHidden/>
    <w:unhideWhenUsed/>
    <w:qFormat/>
    <w:uiPriority w:val="99"/>
    <w:rPr>
      <w:sz w:val="18"/>
      <w:szCs w:val="18"/>
    </w:rPr>
  </w:style>
  <w:style w:type="paragraph" w:styleId="9">
    <w:name w:val="footer"/>
    <w:basedOn w:val="1"/>
    <w:link w:val="25"/>
    <w:unhideWhenUsed/>
    <w:qFormat/>
    <w:uiPriority w:val="99"/>
    <w:pPr>
      <w:tabs>
        <w:tab w:val="center" w:pos="4153"/>
        <w:tab w:val="right" w:pos="8306"/>
      </w:tabs>
      <w:snapToGrid w:val="0"/>
      <w:jc w:val="left"/>
    </w:pPr>
    <w:rPr>
      <w:sz w:val="18"/>
      <w:szCs w:val="18"/>
    </w:rPr>
  </w:style>
  <w:style w:type="paragraph" w:styleId="10">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tabs>
        <w:tab w:val="right" w:leader="dot" w:pos="9241"/>
      </w:tabs>
      <w:spacing w:before="25" w:beforeLines="25" w:after="25" w:afterLines="25"/>
      <w:jc w:val="left"/>
    </w:pPr>
    <w:rPr>
      <w:rFonts w:ascii="宋体" w:hAnsi="Times New Roman" w:eastAsia="宋体" w:cs="Times New Roman"/>
      <w:szCs w:val="21"/>
    </w:rPr>
  </w:style>
  <w:style w:type="paragraph" w:styleId="12">
    <w:name w:val="toc 4"/>
    <w:basedOn w:val="1"/>
    <w:next w:val="1"/>
    <w:qFormat/>
    <w:uiPriority w:val="39"/>
    <w:pPr>
      <w:tabs>
        <w:tab w:val="right" w:leader="dot" w:pos="9241"/>
      </w:tabs>
      <w:ind w:firstLine="198" w:firstLineChars="200"/>
      <w:jc w:val="left"/>
    </w:pPr>
    <w:rPr>
      <w:rFonts w:ascii="宋体" w:hAnsi="Times New Roman" w:eastAsia="宋体" w:cs="Times New Roman"/>
      <w:szCs w:val="21"/>
    </w:rPr>
  </w:style>
  <w:style w:type="paragraph" w:styleId="13">
    <w:name w:val="toc 2"/>
    <w:basedOn w:val="1"/>
    <w:next w:val="1"/>
    <w:qFormat/>
    <w:uiPriority w:val="39"/>
    <w:pPr>
      <w:tabs>
        <w:tab w:val="right" w:leader="dot" w:pos="9241"/>
      </w:tabs>
    </w:pPr>
    <w:rPr>
      <w:rFonts w:ascii="宋体" w:hAnsi="Times New Roman" w:eastAsia="宋体" w:cs="Times New Roman"/>
      <w:szCs w:val="21"/>
    </w:rPr>
  </w:style>
  <w:style w:type="paragraph" w:styleId="14">
    <w:name w:val="Normal (Web)"/>
    <w:basedOn w:val="1"/>
    <w:qFormat/>
    <w:uiPriority w:val="99"/>
    <w:rPr>
      <w:rFonts w:ascii="Times New Roman" w:hAnsi="Times New Roman" w:eastAsia="宋体" w:cs="Times New Roman"/>
      <w:sz w:val="24"/>
      <w:szCs w:val="24"/>
    </w:rPr>
  </w:style>
  <w:style w:type="paragraph" w:styleId="15">
    <w:name w:val="annotation subject"/>
    <w:basedOn w:val="5"/>
    <w:next w:val="5"/>
    <w:link w:val="48"/>
    <w:semiHidden/>
    <w:unhideWhenUsed/>
    <w:qFormat/>
    <w:uiPriority w:val="99"/>
    <w:rPr>
      <w:b/>
      <w:bCs/>
    </w:rPr>
  </w:style>
  <w:style w:type="table" w:styleId="17">
    <w:name w:val="Table Grid"/>
    <w:basedOn w:val="1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u w:val="single"/>
    </w:rPr>
  </w:style>
  <w:style w:type="character" w:styleId="20">
    <w:name w:val="Emphasis"/>
    <w:basedOn w:val="18"/>
    <w:qFormat/>
    <w:uiPriority w:val="20"/>
    <w:rPr>
      <w:i/>
      <w:iCs/>
    </w:rPr>
  </w:style>
  <w:style w:type="character" w:styleId="21">
    <w:name w:val="Hyperlink"/>
    <w:qFormat/>
    <w:uiPriority w:val="99"/>
    <w:rPr>
      <w:color w:val="0000FF"/>
      <w:spacing w:val="0"/>
      <w:w w:val="100"/>
      <w:szCs w:val="21"/>
      <w:u w:val="single"/>
      <w:lang w:val="en-US" w:eastAsia="zh-CN"/>
    </w:rPr>
  </w:style>
  <w:style w:type="character" w:styleId="22">
    <w:name w:val="annotation reference"/>
    <w:basedOn w:val="18"/>
    <w:semiHidden/>
    <w:unhideWhenUsed/>
    <w:qFormat/>
    <w:uiPriority w:val="99"/>
    <w:rPr>
      <w:sz w:val="21"/>
      <w:szCs w:val="21"/>
    </w:rPr>
  </w:style>
  <w:style w:type="paragraph" w:styleId="23">
    <w:name w:val="List Paragraph"/>
    <w:basedOn w:val="1"/>
    <w:qFormat/>
    <w:uiPriority w:val="34"/>
    <w:pPr>
      <w:ind w:firstLine="420" w:firstLineChars="200"/>
    </w:pPr>
  </w:style>
  <w:style w:type="character" w:customStyle="1" w:styleId="24">
    <w:name w:val="页眉 Char"/>
    <w:basedOn w:val="18"/>
    <w:link w:val="10"/>
    <w:qFormat/>
    <w:uiPriority w:val="99"/>
    <w:rPr>
      <w:sz w:val="18"/>
      <w:szCs w:val="18"/>
    </w:rPr>
  </w:style>
  <w:style w:type="character" w:customStyle="1" w:styleId="25">
    <w:name w:val="页脚 Char"/>
    <w:basedOn w:val="18"/>
    <w:link w:val="9"/>
    <w:qFormat/>
    <w:uiPriority w:val="99"/>
    <w:rPr>
      <w:sz w:val="18"/>
      <w:szCs w:val="18"/>
    </w:rPr>
  </w:style>
  <w:style w:type="character" w:customStyle="1" w:styleId="26">
    <w:name w:val="批注框文本 Char"/>
    <w:basedOn w:val="18"/>
    <w:link w:val="8"/>
    <w:semiHidden/>
    <w:qFormat/>
    <w:uiPriority w:val="99"/>
    <w:rPr>
      <w:sz w:val="18"/>
      <w:szCs w:val="18"/>
    </w:rPr>
  </w:style>
  <w:style w:type="character" w:customStyle="1" w:styleId="27">
    <w:name w:val="段 Char"/>
    <w:link w:val="28"/>
    <w:qFormat/>
    <w:uiPriority w:val="0"/>
    <w:rPr>
      <w:rFonts w:ascii="宋体"/>
      <w:sz w:val="21"/>
    </w:rPr>
  </w:style>
  <w:style w:type="paragraph" w:customStyle="1" w:styleId="28">
    <w:name w:val="段"/>
    <w:link w:val="27"/>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9">
    <w:name w:val="发布"/>
    <w:qFormat/>
    <w:uiPriority w:val="0"/>
    <w:rPr>
      <w:rFonts w:ascii="黑体" w:eastAsia="黑体"/>
      <w:spacing w:val="85"/>
      <w:w w:val="100"/>
      <w:position w:val="3"/>
      <w:sz w:val="28"/>
      <w:szCs w:val="28"/>
    </w:rPr>
  </w:style>
  <w:style w:type="character" w:customStyle="1" w:styleId="30">
    <w:name w:val="正文文本 Char"/>
    <w:basedOn w:val="18"/>
    <w:link w:val="6"/>
    <w:qFormat/>
    <w:uiPriority w:val="1"/>
    <w:rPr>
      <w:kern w:val="2"/>
      <w:sz w:val="36"/>
      <w:szCs w:val="36"/>
    </w:rPr>
  </w:style>
  <w:style w:type="paragraph" w:customStyle="1" w:styleId="31">
    <w:name w:val="目次、标准名称标题"/>
    <w:basedOn w:val="1"/>
    <w:next w:val="28"/>
    <w:qFormat/>
    <w:uiPriority w:val="0"/>
    <w:pPr>
      <w:keepNext/>
      <w:pageBreakBefore/>
      <w:widowControl/>
      <w:shd w:val="clear" w:color="FFFFFF" w:fill="FFFFFF"/>
      <w:spacing w:before="640" w:after="560" w:line="460" w:lineRule="exact"/>
      <w:jc w:val="center"/>
      <w:outlineLvl w:val="0"/>
    </w:pPr>
    <w:rPr>
      <w:rFonts w:ascii="黑体" w:hAnsi="Times New Roman" w:eastAsia="黑体" w:cs="Times New Roman"/>
      <w:kern w:val="0"/>
      <w:sz w:val="32"/>
      <w:szCs w:val="20"/>
    </w:rPr>
  </w:style>
  <w:style w:type="paragraph" w:customStyle="1" w:styleId="32">
    <w:name w:val="封面标准英文名称"/>
    <w:basedOn w:val="33"/>
    <w:qFormat/>
    <w:uiPriority w:val="0"/>
    <w:pPr>
      <w:framePr w:wrap="around"/>
      <w:spacing w:before="370" w:line="400" w:lineRule="exact"/>
    </w:pPr>
    <w:rPr>
      <w:rFonts w:ascii="Times New Roman"/>
      <w:sz w:val="28"/>
      <w:szCs w:val="28"/>
    </w:rPr>
  </w:style>
  <w:style w:type="paragraph" w:customStyle="1" w:styleId="3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34">
    <w:name w:val="文献分类号"/>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5">
    <w:name w:val="其他发布部门"/>
    <w:basedOn w:val="1"/>
    <w:qFormat/>
    <w:uiPriority w:val="0"/>
    <w:pPr>
      <w:framePr w:w="7938" w:h="1134" w:hRule="exact" w:hSpace="125" w:vSpace="181" w:wrap="around" w:vAnchor="page" w:hAnchor="page" w:x="2150" w:y="15310" w:anchorLock="1"/>
      <w:widowControl/>
      <w:spacing w:line="0" w:lineRule="atLeast"/>
      <w:jc w:val="center"/>
    </w:pPr>
    <w:rPr>
      <w:rFonts w:ascii="黑体" w:hAnsi="Times New Roman" w:eastAsia="黑体" w:cs="Times New Roman"/>
      <w:spacing w:val="20"/>
      <w:w w:val="135"/>
      <w:kern w:val="0"/>
      <w:sz w:val="28"/>
      <w:szCs w:val="20"/>
    </w:rPr>
  </w:style>
  <w:style w:type="paragraph" w:customStyle="1" w:styleId="36">
    <w:name w:val="封面标准号2"/>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37">
    <w:name w:val="其他发布日期"/>
    <w:basedOn w:val="1"/>
    <w:qFormat/>
    <w:uiPriority w:val="0"/>
    <w:pPr>
      <w:framePr w:w="3997" w:h="471" w:hRule="exact" w:vSpace="181" w:wrap="around" w:vAnchor="page" w:hAnchor="page" w:x="1419" w:y="14097" w:anchorLock="1"/>
      <w:widowControl/>
      <w:jc w:val="left"/>
    </w:pPr>
    <w:rPr>
      <w:rFonts w:ascii="Times New Roman" w:hAnsi="Times New Roman" w:eastAsia="黑体" w:cs="Times New Roman"/>
      <w:kern w:val="0"/>
      <w:sz w:val="28"/>
      <w:szCs w:val="20"/>
    </w:rPr>
  </w:style>
  <w:style w:type="character" w:customStyle="1" w:styleId="38">
    <w:name w:val="标题 1 Char"/>
    <w:basedOn w:val="18"/>
    <w:link w:val="2"/>
    <w:qFormat/>
    <w:uiPriority w:val="9"/>
    <w:rPr>
      <w:rFonts w:asciiTheme="minorHAnsi" w:hAnsiTheme="minorHAnsi" w:eastAsiaTheme="minorEastAsia" w:cstheme="minorBidi"/>
      <w:b/>
      <w:bCs/>
      <w:kern w:val="44"/>
      <w:sz w:val="44"/>
      <w:szCs w:val="44"/>
    </w:rPr>
  </w:style>
  <w:style w:type="character" w:customStyle="1" w:styleId="39">
    <w:name w:val="标题 2 Char"/>
    <w:basedOn w:val="18"/>
    <w:link w:val="3"/>
    <w:qFormat/>
    <w:uiPriority w:val="9"/>
    <w:rPr>
      <w:rFonts w:asciiTheme="majorHAnsi" w:hAnsiTheme="majorHAnsi" w:eastAsiaTheme="majorEastAsia" w:cstheme="majorBidi"/>
      <w:b/>
      <w:bCs/>
      <w:kern w:val="2"/>
      <w:sz w:val="32"/>
      <w:szCs w:val="32"/>
    </w:rPr>
  </w:style>
  <w:style w:type="character" w:customStyle="1" w:styleId="40">
    <w:name w:val="Body text|1_"/>
    <w:basedOn w:val="18"/>
    <w:link w:val="41"/>
    <w:qFormat/>
    <w:uiPriority w:val="0"/>
    <w:rPr>
      <w:rFonts w:ascii="宋体" w:hAnsi="宋体" w:cs="宋体"/>
      <w:sz w:val="22"/>
      <w:szCs w:val="22"/>
      <w:lang w:val="zh-TW" w:eastAsia="zh-TW" w:bidi="zh-TW"/>
    </w:rPr>
  </w:style>
  <w:style w:type="paragraph" w:customStyle="1" w:styleId="41">
    <w:name w:val="Body text|1"/>
    <w:basedOn w:val="1"/>
    <w:link w:val="40"/>
    <w:qFormat/>
    <w:uiPriority w:val="0"/>
    <w:pPr>
      <w:spacing w:after="70" w:line="370" w:lineRule="auto"/>
      <w:ind w:firstLine="400"/>
      <w:jc w:val="left"/>
    </w:pPr>
    <w:rPr>
      <w:rFonts w:ascii="宋体" w:hAnsi="宋体" w:eastAsia="宋体" w:cs="宋体"/>
      <w:kern w:val="0"/>
      <w:sz w:val="22"/>
      <w:lang w:val="zh-TW" w:eastAsia="zh-TW" w:bidi="zh-TW"/>
    </w:rPr>
  </w:style>
  <w:style w:type="character" w:customStyle="1" w:styleId="42">
    <w:name w:val="批注文字 Char"/>
    <w:basedOn w:val="18"/>
    <w:link w:val="5"/>
    <w:semiHidden/>
    <w:qFormat/>
    <w:uiPriority w:val="99"/>
    <w:rPr>
      <w:rFonts w:asciiTheme="minorHAnsi" w:hAnsiTheme="minorHAnsi" w:eastAsiaTheme="minorEastAsia" w:cstheme="minorBidi"/>
      <w:kern w:val="2"/>
      <w:sz w:val="21"/>
      <w:szCs w:val="22"/>
    </w:rPr>
  </w:style>
  <w:style w:type="character" w:customStyle="1" w:styleId="43">
    <w:name w:val="font01"/>
    <w:basedOn w:val="18"/>
    <w:qFormat/>
    <w:uiPriority w:val="0"/>
    <w:rPr>
      <w:rFonts w:hint="eastAsia" w:ascii="宋体" w:hAnsi="宋体" w:eastAsia="宋体" w:cs="宋体"/>
      <w:color w:val="000000"/>
      <w:sz w:val="22"/>
      <w:szCs w:val="22"/>
      <w:u w:val="none"/>
    </w:rPr>
  </w:style>
  <w:style w:type="character" w:customStyle="1" w:styleId="44">
    <w:name w:val="font31"/>
    <w:basedOn w:val="18"/>
    <w:qFormat/>
    <w:uiPriority w:val="0"/>
    <w:rPr>
      <w:rFonts w:hint="eastAsia" w:ascii="宋体" w:hAnsi="宋体" w:eastAsia="宋体" w:cs="宋体"/>
      <w:color w:val="000000"/>
      <w:sz w:val="32"/>
      <w:szCs w:val="32"/>
      <w:u w:val="none"/>
    </w:rPr>
  </w:style>
  <w:style w:type="character" w:customStyle="1" w:styleId="45">
    <w:name w:val="font21"/>
    <w:basedOn w:val="18"/>
    <w:qFormat/>
    <w:uiPriority w:val="0"/>
    <w:rPr>
      <w:rFonts w:hint="eastAsia" w:ascii="宋体" w:hAnsi="宋体" w:eastAsia="宋体" w:cs="宋体"/>
      <w:color w:val="000000"/>
      <w:sz w:val="20"/>
      <w:szCs w:val="20"/>
      <w:u w:val="none"/>
    </w:rPr>
  </w:style>
  <w:style w:type="paragraph" w:customStyle="1" w:styleId="46">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table" w:customStyle="1" w:styleId="47">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48">
    <w:name w:val="批注主题 Char"/>
    <w:basedOn w:val="42"/>
    <w:link w:val="15"/>
    <w:semiHidden/>
    <w:qFormat/>
    <w:uiPriority w:val="99"/>
    <w:rPr>
      <w:rFonts w:asciiTheme="minorHAnsi" w:hAnsiTheme="minorHAnsi" w:eastAsiaTheme="minorEastAsia" w:cstheme="minorBidi"/>
      <w:b/>
      <w:bCs/>
      <w:kern w:val="2"/>
      <w:sz w:val="21"/>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73167AA-EA8A-4BE3-A27E-D9A6E121B326}">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5524</Words>
  <Characters>7024</Characters>
  <Lines>969</Lines>
  <Paragraphs>700</Paragraphs>
  <TotalTime>270</TotalTime>
  <ScaleCrop>false</ScaleCrop>
  <LinksUpToDate>false</LinksUpToDate>
  <CharactersWithSpaces>7776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2023-11-15T08:25:00Z</dcterms:created>
  <dc:creator>admin</dc:creator>
  <cp:lastModifiedBy>陌</cp:lastModifiedBy>
  <cp:lastPrinted>2023-11-21T08:33:00Z</cp:lastPrinted>
  <dcterms:modified xsi:type="dcterms:W3CDTF">2025-01-20T09:20:27Z</dcterms:modified>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17A80E37B88C4FE69FFA35FAE8C02BFF_13</vt:lpwstr>
  </property>
  <property fmtid="{D5CDD505-2E9C-101B-9397-08002B2CF9AE}" pid="4" name="KSOTemplateDocerSaveRecord">
    <vt:lpwstr>eyJoZGlkIjoiYmNhZDU5Nzc0MWRjZjgzYTk5MjI0N2JhZjg4OWRhMWIiLCJ1c2VySWQiOiIxMjA5OTQ0MDAwIn0=</vt:lpwstr>
  </property>
</Properties>
</file>